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480386458"/>
        <w:docPartObj>
          <w:docPartGallery w:val="Cover Pages"/>
          <w:docPartUnique/>
        </w:docPartObj>
      </w:sdtPr>
      <w:sdtEndPr>
        <w:rPr>
          <w:rFonts w:ascii="Arial Black" w:eastAsiaTheme="minorHAnsi" w:hAnsi="Arial Black" w:cs="Arial"/>
          <w:color w:val="auto"/>
          <w:kern w:val="2"/>
          <w:sz w:val="24"/>
          <w:szCs w:val="24"/>
          <w:lang w:val="en-GB"/>
          <w14:ligatures w14:val="standardContextual"/>
        </w:rPr>
      </w:sdtEndPr>
      <w:sdtContent>
        <w:p w14:paraId="3D29912E" w14:textId="772CB714" w:rsidR="00E13121" w:rsidRDefault="00E13121">
          <w:pPr>
            <w:pStyle w:val="NoSpacing"/>
            <w:spacing w:before="1540" w:after="240"/>
            <w:jc w:val="center"/>
            <w:rPr>
              <w:color w:val="156082" w:themeColor="accent1"/>
            </w:rPr>
          </w:pPr>
          <w:r>
            <w:rPr>
              <w:rFonts w:ascii="Arial Black" w:hAnsi="Arial Black" w:cs="Arial"/>
              <w:noProof/>
            </w:rPr>
            <w:drawing>
              <wp:anchor distT="0" distB="0" distL="114300" distR="114300" simplePos="0" relativeHeight="251660288" behindDoc="1" locked="0" layoutInCell="1" allowOverlap="1" wp14:anchorId="48FDD58B" wp14:editId="2624B0F0">
                <wp:simplePos x="0" y="0"/>
                <wp:positionH relativeFrom="column">
                  <wp:posOffset>3695700</wp:posOffset>
                </wp:positionH>
                <wp:positionV relativeFrom="paragraph">
                  <wp:posOffset>0</wp:posOffset>
                </wp:positionV>
                <wp:extent cx="2400300" cy="1003300"/>
                <wp:effectExtent l="0" t="0" r="0" b="6350"/>
                <wp:wrapTight wrapText="bothSides">
                  <wp:wrapPolygon edited="0">
                    <wp:start x="0" y="0"/>
                    <wp:lineTo x="0" y="21327"/>
                    <wp:lineTo x="21429" y="21327"/>
                    <wp:lineTo x="21429" y="0"/>
                    <wp:lineTo x="0" y="0"/>
                  </wp:wrapPolygon>
                </wp:wrapTight>
                <wp:docPr id="335990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0300" cy="1003300"/>
                        </a:xfrm>
                        <a:prstGeom prst="rect">
                          <a:avLst/>
                        </a:prstGeom>
                        <a:noFill/>
                        <a:ln>
                          <a:noFill/>
                        </a:ln>
                      </pic:spPr>
                    </pic:pic>
                  </a:graphicData>
                </a:graphic>
              </wp:anchor>
            </w:drawing>
          </w:r>
        </w:p>
        <w:p w14:paraId="43FE1439" w14:textId="16758E57" w:rsidR="00E13121" w:rsidRDefault="00E13121">
          <w:pPr>
            <w:pStyle w:val="NoSpacing"/>
            <w:spacing w:before="1540" w:after="240"/>
            <w:jc w:val="center"/>
            <w:rPr>
              <w:color w:val="156082" w:themeColor="accent1"/>
            </w:rPr>
          </w:pPr>
        </w:p>
        <w:p w14:paraId="48ED8220" w14:textId="38B79DC7" w:rsidR="00E13121" w:rsidRDefault="00E13121">
          <w:pPr>
            <w:pStyle w:val="NoSpacing"/>
            <w:spacing w:before="1540" w:after="240"/>
            <w:jc w:val="center"/>
            <w:rPr>
              <w:color w:val="156082" w:themeColor="accent1"/>
            </w:rPr>
          </w:pPr>
        </w:p>
        <w:sdt>
          <w:sdtPr>
            <w:rPr>
              <w:rFonts w:ascii="Arial Black" w:eastAsiaTheme="majorEastAsia" w:hAnsi="Arial Black" w:cstheme="majorBidi"/>
              <w:caps/>
              <w:color w:val="000000" w:themeColor="text1"/>
              <w:sz w:val="144"/>
              <w:szCs w:val="144"/>
            </w:rPr>
            <w:alias w:val="Title"/>
            <w:tag w:val=""/>
            <w:id w:val="1735040861"/>
            <w:placeholder>
              <w:docPart w:val="1B3F4A07728948B5A74654CCCD274AB3"/>
            </w:placeholder>
            <w:dataBinding w:prefixMappings="xmlns:ns0='http://purl.org/dc/elements/1.1/' xmlns:ns1='http://schemas.openxmlformats.org/package/2006/metadata/core-properties' " w:xpath="/ns1:coreProperties[1]/ns0:title[1]" w:storeItemID="{6C3C8BC8-F283-45AE-878A-BAB7291924A1}"/>
            <w:text/>
          </w:sdtPr>
          <w:sdtContent>
            <w:p w14:paraId="2A7A52E2" w14:textId="217CA866" w:rsidR="00E13121" w:rsidRPr="00E13121" w:rsidRDefault="00E13121" w:rsidP="00E13121">
              <w:pPr>
                <w:pStyle w:val="NoSpacing"/>
                <w:pBdr>
                  <w:top w:val="single" w:sz="6" w:space="6" w:color="156082" w:themeColor="accent1"/>
                  <w:bottom w:val="single" w:sz="6" w:space="6" w:color="156082" w:themeColor="accent1"/>
                </w:pBdr>
                <w:spacing w:after="240"/>
                <w:jc w:val="center"/>
                <w:rPr>
                  <w:rFonts w:ascii="Arial Black" w:eastAsiaTheme="majorEastAsia" w:hAnsi="Arial Black" w:cstheme="majorBidi"/>
                  <w:caps/>
                  <w:color w:val="000000" w:themeColor="text1"/>
                  <w:sz w:val="144"/>
                  <w:szCs w:val="144"/>
                </w:rPr>
              </w:pPr>
              <w:r w:rsidRPr="00E13121">
                <w:rPr>
                  <w:rFonts w:ascii="Arial Black" w:eastAsiaTheme="majorEastAsia" w:hAnsi="Arial Black" w:cstheme="majorBidi"/>
                  <w:caps/>
                  <w:color w:val="000000" w:themeColor="text1"/>
                  <w:sz w:val="144"/>
                  <w:szCs w:val="144"/>
                </w:rPr>
                <w:t>Report</w:t>
              </w:r>
            </w:p>
          </w:sdtContent>
        </w:sdt>
        <w:p w14:paraId="31CA7CD9" w14:textId="32966687" w:rsidR="00E13121" w:rsidRDefault="00E13121">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A03BF86" wp14:editId="4CD7265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Content>
                                  <w:p w14:paraId="3FB5F07B" w14:textId="3DEB9115" w:rsidR="00E13121" w:rsidRPr="00E13121" w:rsidRDefault="00E13121">
                                    <w:pPr>
                                      <w:pStyle w:val="NoSpacing"/>
                                      <w:spacing w:after="40"/>
                                      <w:jc w:val="center"/>
                                      <w:rPr>
                                        <w:rFonts w:ascii="Arial Black" w:hAnsi="Arial Black"/>
                                        <w:caps/>
                                        <w:color w:val="000000" w:themeColor="text1"/>
                                        <w:sz w:val="28"/>
                                        <w:szCs w:val="28"/>
                                      </w:rPr>
                                    </w:pPr>
                                    <w:r w:rsidRPr="00E13121">
                                      <w:rPr>
                                        <w:rFonts w:ascii="Arial Black" w:hAnsi="Arial Black"/>
                                        <w:caps/>
                                        <w:color w:val="000000" w:themeColor="text1"/>
                                        <w:sz w:val="28"/>
                                        <w:szCs w:val="28"/>
                                      </w:rPr>
                                      <w:t>December 12, 2025</w:t>
                                    </w:r>
                                  </w:p>
                                </w:sdtContent>
                              </w:sdt>
                              <w:p w14:paraId="41D76B30" w14:textId="6B7F9C2D" w:rsidR="00E13121" w:rsidRPr="00E13121" w:rsidRDefault="00E13121">
                                <w:pPr>
                                  <w:pStyle w:val="NoSpacing"/>
                                  <w:jc w:val="center"/>
                                  <w:rPr>
                                    <w:rFonts w:ascii="Arial Black" w:hAnsi="Arial Black"/>
                                    <w:color w:val="000000" w:themeColor="text1"/>
                                  </w:rPr>
                                </w:pPr>
                                <w:sdt>
                                  <w:sdtPr>
                                    <w:rPr>
                                      <w:rFonts w:ascii="Arial Black" w:hAnsi="Arial Black"/>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Pr="00E13121">
                                      <w:rPr>
                                        <w:rFonts w:ascii="Arial Black" w:hAnsi="Arial Black"/>
                                        <w:caps/>
                                        <w:color w:val="000000" w:themeColor="text1"/>
                                      </w:rPr>
                                      <w:t>Student name: Gheorghe Silaghi</w:t>
                                    </w:r>
                                  </w:sdtContent>
                                </w:sdt>
                              </w:p>
                              <w:p w14:paraId="0037D560" w14:textId="4257A7B3" w:rsidR="00E13121" w:rsidRPr="00E13121" w:rsidRDefault="00E13121">
                                <w:pPr>
                                  <w:pStyle w:val="NoSpacing"/>
                                  <w:jc w:val="center"/>
                                  <w:rPr>
                                    <w:rFonts w:ascii="Arial Black" w:hAnsi="Arial Black"/>
                                    <w:color w:val="000000" w:themeColor="text1"/>
                                  </w:rPr>
                                </w:pPr>
                                <w:sdt>
                                  <w:sdtPr>
                                    <w:rPr>
                                      <w:rFonts w:ascii="Arial Black" w:hAnsi="Arial Black"/>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Pr="00E13121">
                                      <w:rPr>
                                        <w:rFonts w:ascii="Arial Black" w:hAnsi="Arial Black"/>
                                        <w:color w:val="000000" w:themeColor="text1"/>
                                      </w:rPr>
                                      <w:t>Module:</w:t>
                                    </w:r>
                                    <w:r w:rsidRPr="00E13121">
                                      <w:rPr>
                                        <w:rFonts w:ascii="Arial Black" w:hAnsi="Arial Black"/>
                                        <w:color w:val="000000" w:themeColor="text1"/>
                                      </w:rPr>
                                      <w:t xml:space="preserve"> </w:t>
                                    </w:r>
                                    <w:r w:rsidRPr="00E13121">
                                      <w:rPr>
                                        <w:rFonts w:ascii="Arial Black" w:hAnsi="Arial Black"/>
                                        <w:color w:val="000000" w:themeColor="text1"/>
                                      </w:rPr>
                                      <w:t>Digital Marketing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03BF86"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Black" w:hAnsi="Arial Black"/>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Content>
                            <w:p w14:paraId="3FB5F07B" w14:textId="3DEB9115" w:rsidR="00E13121" w:rsidRPr="00E13121" w:rsidRDefault="00E13121">
                              <w:pPr>
                                <w:pStyle w:val="NoSpacing"/>
                                <w:spacing w:after="40"/>
                                <w:jc w:val="center"/>
                                <w:rPr>
                                  <w:rFonts w:ascii="Arial Black" w:hAnsi="Arial Black"/>
                                  <w:caps/>
                                  <w:color w:val="000000" w:themeColor="text1"/>
                                  <w:sz w:val="28"/>
                                  <w:szCs w:val="28"/>
                                </w:rPr>
                              </w:pPr>
                              <w:r w:rsidRPr="00E13121">
                                <w:rPr>
                                  <w:rFonts w:ascii="Arial Black" w:hAnsi="Arial Black"/>
                                  <w:caps/>
                                  <w:color w:val="000000" w:themeColor="text1"/>
                                  <w:sz w:val="28"/>
                                  <w:szCs w:val="28"/>
                                </w:rPr>
                                <w:t>December 12, 2025</w:t>
                              </w:r>
                            </w:p>
                          </w:sdtContent>
                        </w:sdt>
                        <w:p w14:paraId="41D76B30" w14:textId="6B7F9C2D" w:rsidR="00E13121" w:rsidRPr="00E13121" w:rsidRDefault="00E13121">
                          <w:pPr>
                            <w:pStyle w:val="NoSpacing"/>
                            <w:jc w:val="center"/>
                            <w:rPr>
                              <w:rFonts w:ascii="Arial Black" w:hAnsi="Arial Black"/>
                              <w:color w:val="000000" w:themeColor="text1"/>
                            </w:rPr>
                          </w:pPr>
                          <w:sdt>
                            <w:sdtPr>
                              <w:rPr>
                                <w:rFonts w:ascii="Arial Black" w:hAnsi="Arial Black"/>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Pr="00E13121">
                                <w:rPr>
                                  <w:rFonts w:ascii="Arial Black" w:hAnsi="Arial Black"/>
                                  <w:caps/>
                                  <w:color w:val="000000" w:themeColor="text1"/>
                                </w:rPr>
                                <w:t>Student name: Gheorghe Silaghi</w:t>
                              </w:r>
                            </w:sdtContent>
                          </w:sdt>
                        </w:p>
                        <w:p w14:paraId="0037D560" w14:textId="4257A7B3" w:rsidR="00E13121" w:rsidRPr="00E13121" w:rsidRDefault="00E13121">
                          <w:pPr>
                            <w:pStyle w:val="NoSpacing"/>
                            <w:jc w:val="center"/>
                            <w:rPr>
                              <w:rFonts w:ascii="Arial Black" w:hAnsi="Arial Black"/>
                              <w:color w:val="000000" w:themeColor="text1"/>
                            </w:rPr>
                          </w:pPr>
                          <w:sdt>
                            <w:sdtPr>
                              <w:rPr>
                                <w:rFonts w:ascii="Arial Black" w:hAnsi="Arial Black"/>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Pr="00E13121">
                                <w:rPr>
                                  <w:rFonts w:ascii="Arial Black" w:hAnsi="Arial Black"/>
                                  <w:color w:val="000000" w:themeColor="text1"/>
                                </w:rPr>
                                <w:t>Module:</w:t>
                              </w:r>
                              <w:r w:rsidRPr="00E13121">
                                <w:rPr>
                                  <w:rFonts w:ascii="Arial Black" w:hAnsi="Arial Black"/>
                                  <w:color w:val="000000" w:themeColor="text1"/>
                                </w:rPr>
                                <w:t xml:space="preserve"> </w:t>
                              </w:r>
                              <w:r w:rsidRPr="00E13121">
                                <w:rPr>
                                  <w:rFonts w:ascii="Arial Black" w:hAnsi="Arial Black"/>
                                  <w:color w:val="000000" w:themeColor="text1"/>
                                </w:rPr>
                                <w:t>Digital Marketing</w:t>
                              </w:r>
                            </w:sdtContent>
                          </w:sdt>
                        </w:p>
                      </w:txbxContent>
                    </v:textbox>
                    <w10:wrap anchorx="margin" anchory="page"/>
                  </v:shape>
                </w:pict>
              </mc:Fallback>
            </mc:AlternateContent>
          </w:r>
        </w:p>
        <w:p w14:paraId="3D2742A3" w14:textId="6DF7CBFD" w:rsidR="00E13121" w:rsidRDefault="00E13121">
          <w:pPr>
            <w:rPr>
              <w:rFonts w:ascii="Arial Black" w:hAnsi="Arial Black" w:cs="Arial"/>
            </w:rPr>
          </w:pPr>
          <w:r>
            <w:rPr>
              <w:rFonts w:ascii="Arial Black" w:hAnsi="Arial Black" w:cs="Arial"/>
            </w:rPr>
            <w:br w:type="page"/>
          </w:r>
        </w:p>
      </w:sdtContent>
    </w:sdt>
    <w:p w14:paraId="6403B0E3" w14:textId="61636504" w:rsidR="008F7053" w:rsidRDefault="008F7053" w:rsidP="004A315A">
      <w:pPr>
        <w:spacing w:line="480" w:lineRule="auto"/>
        <w:jc w:val="both"/>
        <w:rPr>
          <w:rFonts w:ascii="Arial Black" w:hAnsi="Arial Black" w:cs="Arial"/>
        </w:rPr>
      </w:pPr>
      <w:r>
        <w:rPr>
          <w:rFonts w:ascii="Arial Black" w:hAnsi="Arial Black" w:cs="Arial"/>
        </w:rPr>
        <w:lastRenderedPageBreak/>
        <w:t>Table of Contents</w:t>
      </w:r>
    </w:p>
    <w:p w14:paraId="7060EADA" w14:textId="2E06859D" w:rsidR="008F7053" w:rsidRDefault="008F7053" w:rsidP="004A315A">
      <w:pPr>
        <w:spacing w:line="480" w:lineRule="auto"/>
        <w:jc w:val="both"/>
        <w:rPr>
          <w:rFonts w:ascii="Arial" w:hAnsi="Arial" w:cs="Arial"/>
        </w:rPr>
      </w:pPr>
      <w:r>
        <w:rPr>
          <w:rFonts w:ascii="Arial" w:hAnsi="Arial" w:cs="Arial"/>
        </w:rPr>
        <w:t>Introduction----------------------------------------------------------------------------------------------2</w:t>
      </w:r>
    </w:p>
    <w:p w14:paraId="29A41480" w14:textId="7A1AF33C" w:rsidR="008F7053" w:rsidRDefault="008F7053" w:rsidP="004A315A">
      <w:pPr>
        <w:spacing w:line="480" w:lineRule="auto"/>
        <w:jc w:val="both"/>
        <w:rPr>
          <w:rFonts w:ascii="Arial" w:hAnsi="Arial" w:cs="Arial"/>
        </w:rPr>
      </w:pPr>
      <w:r w:rsidRPr="008F7053">
        <w:rPr>
          <w:rFonts w:ascii="Arial" w:hAnsi="Arial" w:cs="Arial"/>
        </w:rPr>
        <w:t>Targeting, Segmentation and Positioning</w:t>
      </w:r>
      <w:r>
        <w:rPr>
          <w:rFonts w:ascii="Arial" w:hAnsi="Arial" w:cs="Arial"/>
        </w:rPr>
        <w:t>--------------------------------------------------------4</w:t>
      </w:r>
    </w:p>
    <w:p w14:paraId="69AF855E" w14:textId="0BDEB6E4" w:rsidR="008F7053" w:rsidRDefault="008F7053" w:rsidP="004A315A">
      <w:pPr>
        <w:spacing w:line="480" w:lineRule="auto"/>
        <w:jc w:val="both"/>
        <w:rPr>
          <w:rFonts w:ascii="Arial" w:hAnsi="Arial" w:cs="Arial"/>
        </w:rPr>
      </w:pPr>
      <w:r w:rsidRPr="008F7053">
        <w:rPr>
          <w:rFonts w:ascii="Arial" w:hAnsi="Arial" w:cs="Arial"/>
        </w:rPr>
        <w:t>Digital Channels for the Marketing Plan</w:t>
      </w:r>
      <w:r>
        <w:rPr>
          <w:rFonts w:ascii="Arial" w:hAnsi="Arial" w:cs="Arial"/>
        </w:rPr>
        <w:t>----------------------------------------------------------6</w:t>
      </w:r>
    </w:p>
    <w:p w14:paraId="5B0C1088" w14:textId="3DD95F04" w:rsidR="008F7053" w:rsidRDefault="008F7053" w:rsidP="004A315A">
      <w:pPr>
        <w:spacing w:line="480" w:lineRule="auto"/>
        <w:jc w:val="both"/>
        <w:rPr>
          <w:rFonts w:ascii="Arial" w:hAnsi="Arial" w:cs="Arial"/>
        </w:rPr>
      </w:pPr>
      <w:r w:rsidRPr="008F7053">
        <w:rPr>
          <w:rFonts w:ascii="Arial" w:hAnsi="Arial" w:cs="Arial"/>
        </w:rPr>
        <w:t>Measuring the Effectiveness of the Marketing Plan</w:t>
      </w:r>
      <w:r>
        <w:rPr>
          <w:rFonts w:ascii="Arial" w:hAnsi="Arial" w:cs="Arial"/>
        </w:rPr>
        <w:t>--------------------------------------------8</w:t>
      </w:r>
    </w:p>
    <w:p w14:paraId="5A4E67BE" w14:textId="5443E41F" w:rsidR="008F7053" w:rsidRDefault="00E13121" w:rsidP="004A315A">
      <w:pPr>
        <w:spacing w:line="480" w:lineRule="auto"/>
        <w:jc w:val="both"/>
        <w:rPr>
          <w:rFonts w:ascii="Arial" w:hAnsi="Arial" w:cs="Arial"/>
        </w:rPr>
      </w:pPr>
      <w:r>
        <w:rPr>
          <w:rFonts w:ascii="Arial" w:hAnsi="Arial" w:cs="Arial"/>
        </w:rPr>
        <w:t>Conclusion----------------------------------------------------------------------------------------------11</w:t>
      </w:r>
    </w:p>
    <w:p w14:paraId="6CA30CBB" w14:textId="43712EE2" w:rsidR="00E13121" w:rsidRDefault="00E13121" w:rsidP="004A315A">
      <w:pPr>
        <w:spacing w:line="480" w:lineRule="auto"/>
        <w:jc w:val="both"/>
        <w:rPr>
          <w:rFonts w:ascii="Arial" w:hAnsi="Arial" w:cs="Arial"/>
        </w:rPr>
      </w:pPr>
      <w:r>
        <w:rPr>
          <w:rFonts w:ascii="Arial" w:hAnsi="Arial" w:cs="Arial"/>
        </w:rPr>
        <w:t>References----------------------------------------------------------------------------------------------12</w:t>
      </w:r>
    </w:p>
    <w:p w14:paraId="0C8FE911" w14:textId="77777777" w:rsidR="008F7053" w:rsidRPr="008F7053" w:rsidRDefault="008F7053" w:rsidP="004A315A">
      <w:pPr>
        <w:spacing w:line="480" w:lineRule="auto"/>
        <w:jc w:val="both"/>
        <w:rPr>
          <w:rFonts w:ascii="Arial" w:hAnsi="Arial" w:cs="Arial"/>
        </w:rPr>
      </w:pPr>
    </w:p>
    <w:p w14:paraId="3C189CD4" w14:textId="77777777" w:rsidR="008F7053" w:rsidRPr="008F7053" w:rsidRDefault="008F7053" w:rsidP="004A315A">
      <w:pPr>
        <w:spacing w:line="480" w:lineRule="auto"/>
        <w:jc w:val="both"/>
        <w:rPr>
          <w:rFonts w:ascii="Arial" w:hAnsi="Arial" w:cs="Arial"/>
        </w:rPr>
      </w:pPr>
    </w:p>
    <w:p w14:paraId="02525C35" w14:textId="77777777" w:rsidR="008F7053" w:rsidRDefault="008F7053">
      <w:pPr>
        <w:rPr>
          <w:rFonts w:ascii="Arial Black" w:hAnsi="Arial Black" w:cs="Arial"/>
        </w:rPr>
      </w:pPr>
      <w:r>
        <w:rPr>
          <w:rFonts w:ascii="Arial Black" w:hAnsi="Arial Black" w:cs="Arial"/>
        </w:rPr>
        <w:br w:type="page"/>
      </w:r>
    </w:p>
    <w:p w14:paraId="4AC8EB28" w14:textId="7CA5DE69" w:rsidR="000F5284" w:rsidRPr="000F5284" w:rsidRDefault="000F5284" w:rsidP="004A315A">
      <w:pPr>
        <w:spacing w:line="480" w:lineRule="auto"/>
        <w:jc w:val="both"/>
        <w:rPr>
          <w:rFonts w:ascii="Arial Black" w:hAnsi="Arial Black" w:cs="Arial"/>
        </w:rPr>
      </w:pPr>
      <w:r w:rsidRPr="000F5284">
        <w:rPr>
          <w:rFonts w:ascii="Arial Black" w:hAnsi="Arial Black" w:cs="Arial"/>
        </w:rPr>
        <w:lastRenderedPageBreak/>
        <w:t xml:space="preserve">Introduction </w:t>
      </w:r>
    </w:p>
    <w:p w14:paraId="4B52D7B3" w14:textId="5D59BCDC" w:rsidR="004A315A" w:rsidRPr="004A315A" w:rsidRDefault="004A315A" w:rsidP="004A315A">
      <w:pPr>
        <w:spacing w:line="480" w:lineRule="auto"/>
        <w:jc w:val="both"/>
        <w:rPr>
          <w:rFonts w:ascii="Arial" w:hAnsi="Arial" w:cs="Arial"/>
        </w:rPr>
      </w:pPr>
      <w:r w:rsidRPr="004A315A">
        <w:rPr>
          <w:rFonts w:ascii="Arial" w:hAnsi="Arial" w:cs="Arial"/>
        </w:rPr>
        <w:t xml:space="preserve">The UK retail banking industry is going through a radical transformation due to an influx of digital technologies and changing consumer behaviour, and increased competition from fintech and challenger banks. Although Lloyds Bank has a solid market presence and a trusted brand, traditional banks are struggling to stay relevant with younger and more globally mobile customers. Many of these potential customers place greater importance on convenience, speed, personalisation and online access versus visiting a local bank branch. Because of this, it will be important for traditional banks to rethink how they connect with new customers </w:t>
      </w:r>
      <w:r w:rsidR="000F5284" w:rsidRPr="004A315A">
        <w:rPr>
          <w:rFonts w:ascii="Arial" w:hAnsi="Arial" w:cs="Arial"/>
        </w:rPr>
        <w:t>using</w:t>
      </w:r>
      <w:r w:rsidRPr="004A315A">
        <w:rPr>
          <w:rFonts w:ascii="Arial" w:hAnsi="Arial" w:cs="Arial"/>
        </w:rPr>
        <w:t xml:space="preserve"> enhanced digital engagement (Ryan 2020).</w:t>
      </w:r>
    </w:p>
    <w:p w14:paraId="115E4767" w14:textId="77777777" w:rsidR="004A315A" w:rsidRPr="004A315A" w:rsidRDefault="004A315A" w:rsidP="004A315A">
      <w:pPr>
        <w:spacing w:line="480" w:lineRule="auto"/>
        <w:jc w:val="both"/>
        <w:rPr>
          <w:rFonts w:ascii="Arial" w:hAnsi="Arial" w:cs="Arial"/>
        </w:rPr>
      </w:pPr>
      <w:r w:rsidRPr="004A315A">
        <w:rPr>
          <w:rFonts w:ascii="Arial" w:hAnsi="Arial" w:cs="Arial"/>
        </w:rPr>
        <w:t>Lloyds Bank is creating a marketing plan to assist its existing mobile banking app in reaching out to international postgraduate students and early career migrants currently living in the UK. This is an attractive customer segment for Lloyds Bank as it has a large size, strong growth potential and significant future revenue potential. As students and skilled migrants will often require multiple financial products from Lloyds Bank over time (Current Accounts, Savings Accounts, Credit Cards, Personal Loans and Mortgages), early engagement will create opportunities for Lloyds Bank to create strong relationships with its customers that will lead to substantial lifetime value (Yang and Zhao 2023).</w:t>
      </w:r>
    </w:p>
    <w:p w14:paraId="581AD968" w14:textId="4DB89450" w:rsidR="004A315A" w:rsidRPr="004A315A" w:rsidRDefault="004A315A" w:rsidP="004A315A">
      <w:pPr>
        <w:spacing w:line="480" w:lineRule="auto"/>
        <w:jc w:val="both"/>
        <w:rPr>
          <w:rFonts w:ascii="Arial" w:hAnsi="Arial" w:cs="Arial"/>
        </w:rPr>
      </w:pPr>
      <w:r w:rsidRPr="004A315A">
        <w:rPr>
          <w:rFonts w:ascii="Arial" w:hAnsi="Arial" w:cs="Arial"/>
        </w:rPr>
        <w:t xml:space="preserve">Experiential aspects of banking services are different from those of other services, as they are intangible services </w:t>
      </w:r>
      <w:r w:rsidR="000F5284" w:rsidRPr="004A315A">
        <w:rPr>
          <w:rFonts w:ascii="Arial" w:hAnsi="Arial" w:cs="Arial"/>
        </w:rPr>
        <w:t>and</w:t>
      </w:r>
      <w:r w:rsidRPr="004A315A">
        <w:rPr>
          <w:rFonts w:ascii="Arial" w:hAnsi="Arial" w:cs="Arial"/>
        </w:rPr>
        <w:t xml:space="preserve"> are considered higher risk, which is why the customer experience is critical for customer satisfaction and loyalty. Digital touch points have increased importance regarding customer experience, especially among customers who primarily depend on mobile platforms for interacting with banks as opposed to </w:t>
      </w:r>
      <w:r w:rsidRPr="004A315A">
        <w:rPr>
          <w:rFonts w:ascii="Arial" w:hAnsi="Arial" w:cs="Arial"/>
        </w:rPr>
        <w:lastRenderedPageBreak/>
        <w:t>visiting their local branches. As a result, research indicates that by integrating factors related to customer experience, both conscious and unconscious, into the process of creating banking services, banks can develop innovative services and sustain long-term customer engagement (Liu et al. 2024).By providing a digital medium for new international customers, Lloyds Bank can minimise uncertainty around using their services and provide both emotional assurance and functional efficiency to all new international customers.</w:t>
      </w:r>
    </w:p>
    <w:p w14:paraId="12EEBCEE" w14:textId="2E5DC7D7" w:rsidR="004A315A" w:rsidRPr="004A315A" w:rsidRDefault="004A315A" w:rsidP="004A315A">
      <w:pPr>
        <w:spacing w:line="480" w:lineRule="auto"/>
        <w:jc w:val="both"/>
        <w:rPr>
          <w:rFonts w:ascii="Arial" w:hAnsi="Arial" w:cs="Arial"/>
        </w:rPr>
      </w:pPr>
      <w:r w:rsidRPr="004A315A">
        <w:rPr>
          <w:rFonts w:ascii="Arial" w:hAnsi="Arial" w:cs="Arial"/>
        </w:rPr>
        <w:t xml:space="preserve">In addition, evolving technology allows Lloyds Bank to further enhance the reasons for this campaign through predictive analytics and artificial intelligence. Because the Bank has access to so much data on customer behaviours (through social media, etc.), they now </w:t>
      </w:r>
      <w:r w:rsidR="001304B1" w:rsidRPr="004A315A">
        <w:rPr>
          <w:rFonts w:ascii="Arial" w:hAnsi="Arial" w:cs="Arial"/>
        </w:rPr>
        <w:t>can</w:t>
      </w:r>
      <w:r w:rsidRPr="004A315A">
        <w:rPr>
          <w:rFonts w:ascii="Arial" w:hAnsi="Arial" w:cs="Arial"/>
        </w:rPr>
        <w:t xml:space="preserve"> develop more targeted marketing messages and offer a wider range of services and products that correspond to their target customer types. This allows Lloyds Bank to increase their marketing effectiveness and ROI by matching content marketing and offers to each customer type's profile (Al </w:t>
      </w:r>
      <w:proofErr w:type="spellStart"/>
      <w:r w:rsidRPr="004A315A">
        <w:rPr>
          <w:rFonts w:ascii="Arial" w:hAnsi="Arial" w:cs="Arial"/>
        </w:rPr>
        <w:t>Khaldy</w:t>
      </w:r>
      <w:proofErr w:type="spellEnd"/>
      <w:r w:rsidRPr="004A315A">
        <w:rPr>
          <w:rFonts w:ascii="Arial" w:hAnsi="Arial" w:cs="Arial"/>
        </w:rPr>
        <w:t xml:space="preserve"> et al, 2023). Therefore, the proposed digital campaign for Lloyds Bank aligns with the Bank's strategic positioning regarding customer-centricity, digital leadership, and sustainable growth in a competitive marketplace (Malthouse et al, 2020).</w:t>
      </w:r>
    </w:p>
    <w:p w14:paraId="3E57B6A7" w14:textId="77777777" w:rsidR="001304B1" w:rsidRDefault="001304B1" w:rsidP="004A315A">
      <w:pPr>
        <w:spacing w:line="480" w:lineRule="auto"/>
        <w:jc w:val="both"/>
        <w:rPr>
          <w:rFonts w:ascii="Arial" w:hAnsi="Arial" w:cs="Arial"/>
        </w:rPr>
      </w:pPr>
    </w:p>
    <w:p w14:paraId="1572B1FF" w14:textId="77777777" w:rsidR="001304B1" w:rsidRDefault="001304B1" w:rsidP="004A315A">
      <w:pPr>
        <w:spacing w:line="480" w:lineRule="auto"/>
        <w:jc w:val="both"/>
        <w:rPr>
          <w:rFonts w:ascii="Arial" w:hAnsi="Arial" w:cs="Arial"/>
        </w:rPr>
      </w:pPr>
    </w:p>
    <w:p w14:paraId="1F61F590" w14:textId="77777777" w:rsidR="001304B1" w:rsidRDefault="001304B1" w:rsidP="004A315A">
      <w:pPr>
        <w:spacing w:line="480" w:lineRule="auto"/>
        <w:jc w:val="both"/>
        <w:rPr>
          <w:rFonts w:ascii="Arial" w:hAnsi="Arial" w:cs="Arial"/>
        </w:rPr>
      </w:pPr>
    </w:p>
    <w:p w14:paraId="4DE7BF92" w14:textId="77777777" w:rsidR="001304B1" w:rsidRDefault="001304B1" w:rsidP="004A315A">
      <w:pPr>
        <w:spacing w:line="480" w:lineRule="auto"/>
        <w:jc w:val="both"/>
        <w:rPr>
          <w:rFonts w:ascii="Arial" w:hAnsi="Arial" w:cs="Arial"/>
        </w:rPr>
      </w:pPr>
    </w:p>
    <w:p w14:paraId="64C736BC" w14:textId="77777777" w:rsidR="001304B1" w:rsidRDefault="001304B1" w:rsidP="004A315A">
      <w:pPr>
        <w:spacing w:line="480" w:lineRule="auto"/>
        <w:jc w:val="both"/>
        <w:rPr>
          <w:rFonts w:ascii="Arial" w:hAnsi="Arial" w:cs="Arial"/>
        </w:rPr>
      </w:pPr>
    </w:p>
    <w:p w14:paraId="0D24A464" w14:textId="77777777" w:rsidR="001304B1" w:rsidRDefault="001304B1" w:rsidP="004A315A">
      <w:pPr>
        <w:spacing w:line="480" w:lineRule="auto"/>
        <w:jc w:val="both"/>
        <w:rPr>
          <w:rFonts w:ascii="Arial" w:hAnsi="Arial" w:cs="Arial"/>
        </w:rPr>
      </w:pPr>
    </w:p>
    <w:p w14:paraId="0B2A553C" w14:textId="498BA423" w:rsidR="004A315A" w:rsidRPr="001304B1" w:rsidRDefault="004A315A" w:rsidP="004A315A">
      <w:pPr>
        <w:spacing w:line="480" w:lineRule="auto"/>
        <w:jc w:val="both"/>
        <w:rPr>
          <w:rFonts w:ascii="Arial Black" w:hAnsi="Arial Black" w:cs="Arial"/>
        </w:rPr>
      </w:pPr>
      <w:bookmarkStart w:id="0" w:name="_Hlk219132701"/>
      <w:r w:rsidRPr="001304B1">
        <w:rPr>
          <w:rFonts w:ascii="Arial Black" w:hAnsi="Arial Black" w:cs="Arial"/>
        </w:rPr>
        <w:lastRenderedPageBreak/>
        <w:t>Targeting, Segmentation and Positioning</w:t>
      </w:r>
    </w:p>
    <w:bookmarkEnd w:id="0"/>
    <w:p w14:paraId="7214969E" w14:textId="111E301A" w:rsidR="004A315A" w:rsidRPr="001304B1" w:rsidRDefault="004A315A" w:rsidP="001304B1">
      <w:pPr>
        <w:pStyle w:val="ListParagraph"/>
        <w:numPr>
          <w:ilvl w:val="0"/>
          <w:numId w:val="2"/>
        </w:numPr>
        <w:spacing w:line="480" w:lineRule="auto"/>
        <w:jc w:val="both"/>
        <w:rPr>
          <w:rFonts w:ascii="Arial Black" w:hAnsi="Arial Black" w:cs="Arial"/>
        </w:rPr>
      </w:pPr>
      <w:r w:rsidRPr="001304B1">
        <w:rPr>
          <w:rFonts w:ascii="Arial Black" w:hAnsi="Arial Black" w:cs="Arial"/>
        </w:rPr>
        <w:t>Segmentation Analysis</w:t>
      </w:r>
    </w:p>
    <w:p w14:paraId="1427117F" w14:textId="77777777" w:rsidR="004A315A" w:rsidRPr="004A315A" w:rsidRDefault="004A315A" w:rsidP="004A315A">
      <w:pPr>
        <w:spacing w:line="480" w:lineRule="auto"/>
        <w:jc w:val="both"/>
        <w:rPr>
          <w:rFonts w:ascii="Arial" w:hAnsi="Arial" w:cs="Arial"/>
        </w:rPr>
      </w:pPr>
      <w:r w:rsidRPr="004A315A">
        <w:rPr>
          <w:rFonts w:ascii="Arial" w:hAnsi="Arial" w:cs="Arial"/>
        </w:rPr>
        <w:t>Through segmentation, organisations can create products and services that best meet the requirements of specific consumer groups, rather than advertise to all potential customers (mass marketing). Because the financial decision-making process is complex and diverse among the UK population, a multi-dimensional segmentation approach will be most effective for Lloyds Bank. The proposed campaign will use demographic, geographic, psychographic, and behavioural segmentation variables to define the most applicable customer group (Camilleri, 2017).</w:t>
      </w:r>
    </w:p>
    <w:p w14:paraId="062AAF40" w14:textId="77777777" w:rsidR="004A315A" w:rsidRPr="004A315A" w:rsidRDefault="004A315A" w:rsidP="004A315A">
      <w:pPr>
        <w:spacing w:line="480" w:lineRule="auto"/>
        <w:jc w:val="both"/>
        <w:rPr>
          <w:rFonts w:ascii="Arial" w:hAnsi="Arial" w:cs="Arial"/>
        </w:rPr>
      </w:pPr>
      <w:r w:rsidRPr="004A315A">
        <w:rPr>
          <w:rFonts w:ascii="Arial" w:hAnsi="Arial" w:cs="Arial"/>
        </w:rPr>
        <w:t xml:space="preserve">Demographically speaking, the segment will be comprised of individuals aged 21 to 35, either international postgraduate students or early-career migrants with legal residence in the UK. The geographical area from which this target segment will come is metropolitan areas that have the largest international populations, such as London, Manchester, Birmingham, and Edinburgh. Psychographically, the target customers will place a high value on independence, financial security, transparency, and digital convenience. Behaviourally, the customers will be highly engaged in mobile application usage and use social media and do online research when choosing which services to use (Naim, 2023).In the case of the financial industry, understanding how consumers behave when they make purchases is especially important because the financial products they purchase have a high perceived risk and require a long-term commitment. Customers who are not from the region or country in which they are purchasing may spend time doing research so that they can find out more about the regulations and institutions in that region or country. Because of this, it is important that clear communication and reassurance from the bank, along with digitally </w:t>
      </w:r>
      <w:r w:rsidRPr="004A315A">
        <w:rPr>
          <w:rFonts w:ascii="Arial" w:hAnsi="Arial" w:cs="Arial"/>
        </w:rPr>
        <w:lastRenderedPageBreak/>
        <w:t>accessible education, are part of the marketing strategy utilized by the bank. Effective segmentation will allow the bank to create messages that are more relevant to a specific segment and to reduce the cognitive and emotional barriers to adoption (Berlian, 2022).</w:t>
      </w:r>
    </w:p>
    <w:p w14:paraId="2E91F062" w14:textId="17194746" w:rsidR="004A315A" w:rsidRPr="001304B1" w:rsidRDefault="001304B1" w:rsidP="001304B1">
      <w:pPr>
        <w:pStyle w:val="ListParagraph"/>
        <w:numPr>
          <w:ilvl w:val="0"/>
          <w:numId w:val="2"/>
        </w:numPr>
        <w:spacing w:line="480" w:lineRule="auto"/>
        <w:jc w:val="both"/>
        <w:rPr>
          <w:rFonts w:ascii="Arial Black" w:hAnsi="Arial Black" w:cs="Arial"/>
        </w:rPr>
      </w:pPr>
      <w:r w:rsidRPr="001304B1">
        <w:rPr>
          <w:rFonts w:ascii="Arial Black" w:hAnsi="Arial Black" w:cs="Arial"/>
        </w:rPr>
        <w:t>Targeting</w:t>
      </w:r>
    </w:p>
    <w:p w14:paraId="2FBFBA0B" w14:textId="77777777" w:rsidR="004A315A" w:rsidRPr="004A315A" w:rsidRDefault="004A315A" w:rsidP="004A315A">
      <w:pPr>
        <w:spacing w:line="480" w:lineRule="auto"/>
        <w:jc w:val="both"/>
        <w:rPr>
          <w:rFonts w:ascii="Arial" w:hAnsi="Arial" w:cs="Arial"/>
        </w:rPr>
      </w:pPr>
      <w:r w:rsidRPr="004A315A">
        <w:rPr>
          <w:rFonts w:ascii="Arial" w:hAnsi="Arial" w:cs="Arial"/>
        </w:rPr>
        <w:t>The targeting strategy of Lloyds Bank will be concentrated (niche) and will focus on the segment of international customers that has been determined. This allows Lloyds Bank to allocate marketing resources in a more effective manner and to design unique digital experiences that cater to the needs of that segment. Furthermore, predictive analytics can be used to refine the targeting by identifying future customers who have a greater probability of having a long-term relationship with the bank, adopting multiple products, and having a greater customer lifetime value (Kumar et al., 2024).</w:t>
      </w:r>
    </w:p>
    <w:p w14:paraId="7449F8E7" w14:textId="77777777" w:rsidR="001304B1" w:rsidRDefault="004A315A" w:rsidP="001304B1">
      <w:pPr>
        <w:spacing w:line="480" w:lineRule="auto"/>
        <w:jc w:val="both"/>
        <w:rPr>
          <w:rFonts w:ascii="Arial" w:hAnsi="Arial" w:cs="Arial"/>
        </w:rPr>
      </w:pPr>
      <w:r w:rsidRPr="004A315A">
        <w:rPr>
          <w:rFonts w:ascii="Arial" w:hAnsi="Arial" w:cs="Arial"/>
        </w:rPr>
        <w:t>Relationship marketing research suggests that trust and satisfaction are critical to maintaining long-term customer value in service industries. Initial interactions will significantly affect how a customer views the institution and how he/she behaves in the future (</w:t>
      </w:r>
      <w:proofErr w:type="spellStart"/>
      <w:r w:rsidRPr="004A315A">
        <w:rPr>
          <w:rFonts w:ascii="Arial" w:hAnsi="Arial" w:cs="Arial"/>
        </w:rPr>
        <w:t>Kojuri</w:t>
      </w:r>
      <w:proofErr w:type="spellEnd"/>
      <w:r w:rsidRPr="004A315A">
        <w:rPr>
          <w:rFonts w:ascii="Arial" w:hAnsi="Arial" w:cs="Arial"/>
        </w:rPr>
        <w:t xml:space="preserve"> &amp; Ali, 2024). By targeting the international customer at the time of entry or </w:t>
      </w:r>
      <w:r w:rsidR="001304B1" w:rsidRPr="004A315A">
        <w:rPr>
          <w:rFonts w:ascii="Arial" w:hAnsi="Arial" w:cs="Arial"/>
        </w:rPr>
        <w:t>enrolment</w:t>
      </w:r>
      <w:r w:rsidRPr="004A315A">
        <w:rPr>
          <w:rFonts w:ascii="Arial" w:hAnsi="Arial" w:cs="Arial"/>
        </w:rPr>
        <w:t>, Lloyds Bank can establish a foundation as a supportive financial partner from the beginning, which increases the likelihood of retention and opportunity to cross-sell products in the future (Yang &amp; Zhao, 2023).</w:t>
      </w:r>
    </w:p>
    <w:p w14:paraId="4C51A46E" w14:textId="054E62B6" w:rsidR="004A315A" w:rsidRPr="001304B1" w:rsidRDefault="001304B1" w:rsidP="001304B1">
      <w:pPr>
        <w:pStyle w:val="ListParagraph"/>
        <w:numPr>
          <w:ilvl w:val="0"/>
          <w:numId w:val="2"/>
        </w:numPr>
        <w:spacing w:line="480" w:lineRule="auto"/>
        <w:jc w:val="both"/>
        <w:rPr>
          <w:rFonts w:ascii="Arial Black" w:hAnsi="Arial Black" w:cs="Arial"/>
        </w:rPr>
      </w:pPr>
      <w:r w:rsidRPr="001304B1">
        <w:rPr>
          <w:rFonts w:ascii="Arial Black" w:hAnsi="Arial Black" w:cs="Arial"/>
        </w:rPr>
        <w:t>Positioning</w:t>
      </w:r>
    </w:p>
    <w:p w14:paraId="731DE5E7" w14:textId="77777777" w:rsidR="004A315A" w:rsidRPr="004A315A" w:rsidRDefault="004A315A" w:rsidP="004A315A">
      <w:pPr>
        <w:spacing w:line="480" w:lineRule="auto"/>
        <w:jc w:val="both"/>
        <w:rPr>
          <w:rFonts w:ascii="Arial" w:hAnsi="Arial" w:cs="Arial"/>
        </w:rPr>
      </w:pPr>
      <w:r w:rsidRPr="004A315A">
        <w:rPr>
          <w:rFonts w:ascii="Arial" w:hAnsi="Arial" w:cs="Arial"/>
        </w:rPr>
        <w:t xml:space="preserve">Lloyds Bank is the trusted digital partner for building customers' financial confidence in the UK. This proposed positioning strategy communicates trust, guidance, and digital convenience. Lloyds Bank is differentiated from its fintech competitors by </w:t>
      </w:r>
      <w:r w:rsidRPr="004A315A">
        <w:rPr>
          <w:rFonts w:ascii="Arial" w:hAnsi="Arial" w:cs="Arial"/>
        </w:rPr>
        <w:lastRenderedPageBreak/>
        <w:t>offering its customers a high level of customer service with digital products and services with potentially lower perceived risk and the absence of supportive services. Positioning theory indicates that brands succeed when they occupy a specific and distinctive location in a consumer's mind aligned with emotional reassurance and functional benefits (Camilleri, 2017).</w:t>
      </w:r>
    </w:p>
    <w:p w14:paraId="5892F5AA" w14:textId="77777777" w:rsidR="004A315A" w:rsidRPr="004A315A" w:rsidRDefault="004A315A" w:rsidP="004A315A">
      <w:pPr>
        <w:spacing w:line="480" w:lineRule="auto"/>
        <w:jc w:val="both"/>
        <w:rPr>
          <w:rFonts w:ascii="Arial" w:hAnsi="Arial" w:cs="Arial"/>
        </w:rPr>
      </w:pPr>
      <w:r w:rsidRPr="004A315A">
        <w:rPr>
          <w:rFonts w:ascii="Arial" w:hAnsi="Arial" w:cs="Arial"/>
        </w:rPr>
        <w:t>Emotional elements such as security, reassurance, and belonging are much more pronounced when marketing to international customers. Positioning the mobile app as a supportive resource for navigating through UK financial products enhances emotional ties between the consumer and the brand and increases loyalty to financial services provided by the bank (Panduro-Ramirez et al., 2024).</w:t>
      </w:r>
    </w:p>
    <w:p w14:paraId="00D2BEA9" w14:textId="6FA26682" w:rsidR="004A315A" w:rsidRPr="001304B1" w:rsidRDefault="004A315A" w:rsidP="004A315A">
      <w:pPr>
        <w:spacing w:line="480" w:lineRule="auto"/>
        <w:jc w:val="both"/>
        <w:rPr>
          <w:rFonts w:ascii="Arial Black" w:hAnsi="Arial Black" w:cs="Arial"/>
        </w:rPr>
      </w:pPr>
      <w:bookmarkStart w:id="1" w:name="_Hlk219132754"/>
      <w:r w:rsidRPr="001304B1">
        <w:rPr>
          <w:rFonts w:ascii="Arial Black" w:hAnsi="Arial Black" w:cs="Arial"/>
        </w:rPr>
        <w:t>Digital Channels for the Marketing Plan</w:t>
      </w:r>
    </w:p>
    <w:bookmarkEnd w:id="1"/>
    <w:p w14:paraId="184113FA" w14:textId="28B1215B" w:rsidR="004A315A" w:rsidRPr="001304B1" w:rsidRDefault="004A315A" w:rsidP="001304B1">
      <w:pPr>
        <w:pStyle w:val="ListParagraph"/>
        <w:numPr>
          <w:ilvl w:val="0"/>
          <w:numId w:val="3"/>
        </w:numPr>
        <w:spacing w:line="480" w:lineRule="auto"/>
        <w:jc w:val="both"/>
        <w:rPr>
          <w:rFonts w:ascii="Arial Black" w:hAnsi="Arial Black" w:cs="Arial"/>
        </w:rPr>
      </w:pPr>
      <w:r w:rsidRPr="001304B1">
        <w:rPr>
          <w:rFonts w:ascii="Arial Black" w:hAnsi="Arial Black" w:cs="Arial"/>
        </w:rPr>
        <w:t>Social Media Marketing</w:t>
      </w:r>
    </w:p>
    <w:p w14:paraId="3168D552" w14:textId="6D2FFBD0" w:rsidR="004A315A" w:rsidRPr="004A315A" w:rsidRDefault="004A315A" w:rsidP="004A315A">
      <w:pPr>
        <w:spacing w:line="480" w:lineRule="auto"/>
        <w:jc w:val="both"/>
        <w:rPr>
          <w:rFonts w:ascii="Arial" w:hAnsi="Arial" w:cs="Arial"/>
        </w:rPr>
      </w:pPr>
      <w:r w:rsidRPr="004A315A">
        <w:rPr>
          <w:rFonts w:ascii="Arial" w:hAnsi="Arial" w:cs="Arial"/>
        </w:rPr>
        <w:t xml:space="preserve">Social media platforms will be the most widely used media channels for the campaign to raise awareness of the campaign and engage customers. International students and young professionals frequently use social media platforms such as Instagram, TikTok, YouTube, and LinkedIn to gather information about financial products, seek referrals from their peers, and to see what other people are doing. Campaign content will consist of short videos providing explanations of UK banking topics, testimonials from international customers who have used the bank's </w:t>
      </w:r>
      <w:r w:rsidR="001304B1" w:rsidRPr="004A315A">
        <w:rPr>
          <w:rFonts w:ascii="Arial" w:hAnsi="Arial" w:cs="Arial"/>
        </w:rPr>
        <w:t>services and</w:t>
      </w:r>
      <w:r w:rsidRPr="004A315A">
        <w:rPr>
          <w:rFonts w:ascii="Arial" w:hAnsi="Arial" w:cs="Arial"/>
        </w:rPr>
        <w:t xml:space="preserve"> hosting interactive Q&amp;A sessions with Lloyds Bank personnel.</w:t>
      </w:r>
    </w:p>
    <w:p w14:paraId="4A1B9552" w14:textId="1A512ADA" w:rsidR="004A315A" w:rsidRPr="004A315A" w:rsidRDefault="004A315A" w:rsidP="004A315A">
      <w:pPr>
        <w:spacing w:line="480" w:lineRule="auto"/>
        <w:jc w:val="both"/>
        <w:rPr>
          <w:rFonts w:ascii="Arial" w:hAnsi="Arial" w:cs="Arial"/>
        </w:rPr>
      </w:pPr>
      <w:r w:rsidRPr="004A315A">
        <w:rPr>
          <w:rFonts w:ascii="Arial" w:hAnsi="Arial" w:cs="Arial"/>
        </w:rPr>
        <w:t xml:space="preserve">One of the unique features of social media is the opportunity to interact with customers in real-time, creating a community, which is critical to the development of trust in the financial services industry. Interactive content and responsive responses enhance </w:t>
      </w:r>
      <w:r w:rsidRPr="004A315A">
        <w:rPr>
          <w:rFonts w:ascii="Arial" w:hAnsi="Arial" w:cs="Arial"/>
        </w:rPr>
        <w:lastRenderedPageBreak/>
        <w:t>customers' perceptions of and credibility of brands (Kaplan &amp; Haenlein, 2020</w:t>
      </w:r>
      <w:r w:rsidR="001304B1" w:rsidRPr="004A315A">
        <w:rPr>
          <w:rFonts w:ascii="Arial" w:hAnsi="Arial" w:cs="Arial"/>
        </w:rPr>
        <w:t>). Furthermore</w:t>
      </w:r>
      <w:r w:rsidRPr="004A315A">
        <w:rPr>
          <w:rFonts w:ascii="Arial" w:hAnsi="Arial" w:cs="Arial"/>
        </w:rPr>
        <w:t>, social Customer Relationship Management (CRM) enables Lloyds Bank to provide personali</w:t>
      </w:r>
      <w:r w:rsidR="001304B1">
        <w:rPr>
          <w:rFonts w:ascii="Arial" w:hAnsi="Arial" w:cs="Arial"/>
        </w:rPr>
        <w:t>s</w:t>
      </w:r>
      <w:r w:rsidRPr="004A315A">
        <w:rPr>
          <w:rFonts w:ascii="Arial" w:hAnsi="Arial" w:cs="Arial"/>
        </w:rPr>
        <w:t xml:space="preserve">ed customer service and manage relationships cross-platform through the integration of customer and social interaction data (Malthouse </w:t>
      </w:r>
      <w:r w:rsidR="001304B1" w:rsidRPr="004A315A">
        <w:rPr>
          <w:rFonts w:ascii="Arial" w:hAnsi="Arial" w:cs="Arial"/>
        </w:rPr>
        <w:t>Et al.</w:t>
      </w:r>
      <w:r w:rsidR="001304B1">
        <w:rPr>
          <w:rFonts w:ascii="Arial" w:hAnsi="Arial" w:cs="Arial"/>
        </w:rPr>
        <w:t xml:space="preserve">, </w:t>
      </w:r>
      <w:r w:rsidRPr="004A315A">
        <w:rPr>
          <w:rFonts w:ascii="Arial" w:hAnsi="Arial" w:cs="Arial"/>
        </w:rPr>
        <w:t>2020).</w:t>
      </w:r>
    </w:p>
    <w:p w14:paraId="64ECA406" w14:textId="6866607C" w:rsidR="004A315A" w:rsidRPr="004A315A" w:rsidRDefault="004A315A" w:rsidP="004A315A">
      <w:pPr>
        <w:spacing w:line="480" w:lineRule="auto"/>
        <w:jc w:val="both"/>
        <w:rPr>
          <w:rFonts w:ascii="Arial" w:hAnsi="Arial" w:cs="Arial"/>
        </w:rPr>
      </w:pPr>
      <w:r w:rsidRPr="004A315A">
        <w:rPr>
          <w:rFonts w:ascii="Arial" w:hAnsi="Arial" w:cs="Arial"/>
        </w:rPr>
        <w:t xml:space="preserve">Content marketing is an important part of this channel because it serves to educate instead of sell, as providing a cultural understanding will help lower the perceived risk of doing business with a bank and promote positive perceptions of banking brands. Research supports the conclusion that when a digital brand effectively utilizes content marketing strategies, its website engagement and conversion rates increase (Isibor </w:t>
      </w:r>
      <w:r w:rsidR="001304B1" w:rsidRPr="004A315A">
        <w:rPr>
          <w:rFonts w:ascii="Arial" w:hAnsi="Arial" w:cs="Arial"/>
        </w:rPr>
        <w:t>Et al.</w:t>
      </w:r>
      <w:r w:rsidR="001304B1">
        <w:rPr>
          <w:rFonts w:ascii="Arial" w:hAnsi="Arial" w:cs="Arial"/>
        </w:rPr>
        <w:t xml:space="preserve">, </w:t>
      </w:r>
      <w:r w:rsidRPr="004A315A">
        <w:rPr>
          <w:rFonts w:ascii="Arial" w:hAnsi="Arial" w:cs="Arial"/>
        </w:rPr>
        <w:t>2025).</w:t>
      </w:r>
    </w:p>
    <w:p w14:paraId="4AFC7800" w14:textId="2F17A2B7" w:rsidR="004A315A" w:rsidRPr="001304B1" w:rsidRDefault="004A315A" w:rsidP="001304B1">
      <w:pPr>
        <w:pStyle w:val="ListParagraph"/>
        <w:numPr>
          <w:ilvl w:val="0"/>
          <w:numId w:val="3"/>
        </w:numPr>
        <w:spacing w:line="480" w:lineRule="auto"/>
        <w:jc w:val="both"/>
        <w:rPr>
          <w:rFonts w:ascii="Arial Black" w:hAnsi="Arial Black" w:cs="Arial"/>
        </w:rPr>
      </w:pPr>
      <w:r w:rsidRPr="001304B1">
        <w:rPr>
          <w:rFonts w:ascii="Arial Black" w:hAnsi="Arial Black" w:cs="Arial"/>
        </w:rPr>
        <w:t>Search Engine Marketing (SEM) and Programmatic Display Advertising</w:t>
      </w:r>
    </w:p>
    <w:p w14:paraId="26BA35EE" w14:textId="77777777" w:rsidR="004A315A" w:rsidRPr="004A315A" w:rsidRDefault="004A315A" w:rsidP="004A315A">
      <w:pPr>
        <w:spacing w:line="480" w:lineRule="auto"/>
        <w:jc w:val="both"/>
        <w:rPr>
          <w:rFonts w:ascii="Arial" w:hAnsi="Arial" w:cs="Arial"/>
        </w:rPr>
      </w:pPr>
      <w:r w:rsidRPr="004A315A">
        <w:rPr>
          <w:rFonts w:ascii="Arial" w:hAnsi="Arial" w:cs="Arial"/>
        </w:rPr>
        <w:t>Most online searches are made with "high intent" keywords (i.e., high potential for action), so Lloyds Bank will target these terms, such as "UK bank account for international students" or "best mobile banking app in the UK", to reach potential customers and convert them. Display and programmatic advertisements will also be used to generate awareness among users who search for education or relocation options or career-related information.</w:t>
      </w:r>
    </w:p>
    <w:p w14:paraId="19F0004E" w14:textId="6189425B" w:rsidR="004A315A" w:rsidRPr="004A315A" w:rsidRDefault="004A315A" w:rsidP="004A315A">
      <w:pPr>
        <w:spacing w:line="480" w:lineRule="auto"/>
        <w:jc w:val="both"/>
        <w:rPr>
          <w:rFonts w:ascii="Arial" w:hAnsi="Arial" w:cs="Arial"/>
        </w:rPr>
      </w:pPr>
      <w:r w:rsidRPr="004A315A">
        <w:rPr>
          <w:rFonts w:ascii="Arial" w:hAnsi="Arial" w:cs="Arial"/>
        </w:rPr>
        <w:t>Data-driven optimi</w:t>
      </w:r>
      <w:r w:rsidR="001304B1">
        <w:rPr>
          <w:rFonts w:ascii="Arial" w:hAnsi="Arial" w:cs="Arial"/>
        </w:rPr>
        <w:t>s</w:t>
      </w:r>
      <w:r w:rsidRPr="004A315A">
        <w:rPr>
          <w:rFonts w:ascii="Arial" w:hAnsi="Arial" w:cs="Arial"/>
        </w:rPr>
        <w:t>ation strategies will be used to refine all aspects of SEM and programmatic advertising, such as bidding strategies, creative formats, and audience targeting using predictive analytics. By implementing data-driven optimi</w:t>
      </w:r>
      <w:r w:rsidR="001304B1">
        <w:rPr>
          <w:rFonts w:ascii="Arial" w:hAnsi="Arial" w:cs="Arial"/>
        </w:rPr>
        <w:t>s</w:t>
      </w:r>
      <w:r w:rsidRPr="004A315A">
        <w:rPr>
          <w:rFonts w:ascii="Arial" w:hAnsi="Arial" w:cs="Arial"/>
        </w:rPr>
        <w:t xml:space="preserve">ation strategies, Lloyds Bank can achieve maximum return on marketing activities at a lower </w:t>
      </w:r>
      <w:r w:rsidRPr="004A315A">
        <w:rPr>
          <w:rFonts w:ascii="Arial" w:hAnsi="Arial" w:cs="Arial"/>
        </w:rPr>
        <w:lastRenderedPageBreak/>
        <w:t xml:space="preserve">cost (Srivastava &amp; </w:t>
      </w:r>
      <w:r w:rsidR="001304B1" w:rsidRPr="004A315A">
        <w:rPr>
          <w:rFonts w:ascii="Arial" w:hAnsi="Arial" w:cs="Arial"/>
        </w:rPr>
        <w:t>Sharma</w:t>
      </w:r>
      <w:r w:rsidR="001304B1">
        <w:rPr>
          <w:rFonts w:ascii="Arial" w:hAnsi="Arial" w:cs="Arial"/>
        </w:rPr>
        <w:t xml:space="preserve">. </w:t>
      </w:r>
      <w:r w:rsidRPr="004A315A">
        <w:rPr>
          <w:rFonts w:ascii="Arial" w:hAnsi="Arial" w:cs="Arial"/>
        </w:rPr>
        <w:t>2021). Retargeting efforts will also be in place for users who have engaged with Lloyds Bank content but have not registered for an account.</w:t>
      </w:r>
    </w:p>
    <w:p w14:paraId="20FB9F49" w14:textId="245FED36" w:rsidR="004A315A" w:rsidRPr="001304B1" w:rsidRDefault="004A315A" w:rsidP="001304B1">
      <w:pPr>
        <w:pStyle w:val="ListParagraph"/>
        <w:numPr>
          <w:ilvl w:val="0"/>
          <w:numId w:val="3"/>
        </w:numPr>
        <w:spacing w:line="480" w:lineRule="auto"/>
        <w:jc w:val="both"/>
        <w:rPr>
          <w:rFonts w:ascii="Arial Black" w:hAnsi="Arial Black" w:cs="Arial"/>
        </w:rPr>
      </w:pPr>
      <w:r w:rsidRPr="001304B1">
        <w:rPr>
          <w:rFonts w:ascii="Arial Black" w:hAnsi="Arial Black" w:cs="Arial"/>
        </w:rPr>
        <w:t>Email and In-App Marketing</w:t>
      </w:r>
    </w:p>
    <w:p w14:paraId="434C6F83" w14:textId="56C60EBE" w:rsidR="004A315A" w:rsidRPr="004A315A" w:rsidRDefault="004A315A" w:rsidP="004A315A">
      <w:pPr>
        <w:spacing w:line="480" w:lineRule="auto"/>
        <w:jc w:val="both"/>
        <w:rPr>
          <w:rFonts w:ascii="Arial" w:hAnsi="Arial" w:cs="Arial"/>
        </w:rPr>
      </w:pPr>
      <w:r w:rsidRPr="004A315A">
        <w:rPr>
          <w:rFonts w:ascii="Arial" w:hAnsi="Arial" w:cs="Arial"/>
        </w:rPr>
        <w:t xml:space="preserve">Email marketing will help the organization to onboard and develop relationships with converted prospects once they have completed </w:t>
      </w:r>
      <w:r w:rsidR="001304B1" w:rsidRPr="004A315A">
        <w:rPr>
          <w:rFonts w:ascii="Arial" w:hAnsi="Arial" w:cs="Arial"/>
        </w:rPr>
        <w:t>registration. New</w:t>
      </w:r>
      <w:r w:rsidRPr="004A315A">
        <w:rPr>
          <w:rFonts w:ascii="Arial" w:hAnsi="Arial" w:cs="Arial"/>
        </w:rPr>
        <w:t xml:space="preserve"> customers will receive automated emails guiding them through account setup, features of the app and performing critical functions related to finance (e.g., bill payments, savings</w:t>
      </w:r>
      <w:r w:rsidR="008F7053">
        <w:rPr>
          <w:rFonts w:ascii="Arial" w:hAnsi="Arial" w:cs="Arial"/>
        </w:rPr>
        <w:t xml:space="preserve">, </w:t>
      </w:r>
      <w:r w:rsidRPr="004A315A">
        <w:rPr>
          <w:rFonts w:ascii="Arial" w:hAnsi="Arial" w:cs="Arial"/>
        </w:rPr>
        <w:t>management).</w:t>
      </w:r>
    </w:p>
    <w:p w14:paraId="5CC93327" w14:textId="77777777" w:rsidR="004A315A" w:rsidRPr="004A315A" w:rsidRDefault="004A315A" w:rsidP="004A315A">
      <w:pPr>
        <w:spacing w:line="480" w:lineRule="auto"/>
        <w:jc w:val="both"/>
        <w:rPr>
          <w:rFonts w:ascii="Arial" w:hAnsi="Arial" w:cs="Arial"/>
        </w:rPr>
      </w:pPr>
      <w:r w:rsidRPr="004A315A">
        <w:rPr>
          <w:rFonts w:ascii="Arial" w:hAnsi="Arial" w:cs="Arial"/>
        </w:rPr>
        <w:t>Notifications within the app will remind customers to continue using the app and will highlight their opportunities or insights valued to each user.</w:t>
      </w:r>
    </w:p>
    <w:p w14:paraId="28319B6B" w14:textId="77777777" w:rsidR="004A315A" w:rsidRPr="004A315A" w:rsidRDefault="004A315A" w:rsidP="004A315A">
      <w:pPr>
        <w:spacing w:line="480" w:lineRule="auto"/>
        <w:jc w:val="both"/>
        <w:rPr>
          <w:rFonts w:ascii="Arial" w:hAnsi="Arial" w:cs="Arial"/>
        </w:rPr>
      </w:pPr>
      <w:r w:rsidRPr="004A315A">
        <w:rPr>
          <w:rFonts w:ascii="Arial" w:hAnsi="Arial" w:cs="Arial"/>
        </w:rPr>
        <w:t>Due to the need for consistency and integration of marketing communications across various digital platforms, integrated marketing communication (IMC) strengthens the coherence, trust, and familiarity with the Lloyds brand. Research indicates that when an organisation's digital communications are coordinated, there is a positive impact on customer satisfaction and loyalty, particularly in the banking segment (</w:t>
      </w:r>
      <w:proofErr w:type="spellStart"/>
      <w:r w:rsidRPr="004A315A">
        <w:rPr>
          <w:rFonts w:ascii="Arial" w:hAnsi="Arial" w:cs="Arial"/>
        </w:rPr>
        <w:t>Widjaya</w:t>
      </w:r>
      <w:proofErr w:type="spellEnd"/>
      <w:r w:rsidRPr="004A315A">
        <w:rPr>
          <w:rFonts w:ascii="Arial" w:hAnsi="Arial" w:cs="Arial"/>
        </w:rPr>
        <w:t>, 2024). Additionally, the ongoing and personalised communication identified in the literature regarding relationship marketing creates ties resulting in long-term customer loyalty (Zephaniah et al., 2020; Panduro-Ramirez et al., 2024).</w:t>
      </w:r>
    </w:p>
    <w:p w14:paraId="0F8E7C12" w14:textId="796AE9A8" w:rsidR="004A315A" w:rsidRPr="008F7053" w:rsidRDefault="004A315A" w:rsidP="004A315A">
      <w:pPr>
        <w:spacing w:line="480" w:lineRule="auto"/>
        <w:jc w:val="both"/>
        <w:rPr>
          <w:rFonts w:ascii="Arial Black" w:hAnsi="Arial Black" w:cs="Arial"/>
        </w:rPr>
      </w:pPr>
      <w:bookmarkStart w:id="2" w:name="_Hlk219132829"/>
      <w:r w:rsidRPr="008F7053">
        <w:rPr>
          <w:rFonts w:ascii="Arial Black" w:hAnsi="Arial Black" w:cs="Arial"/>
        </w:rPr>
        <w:t>Measuring the Effectiveness of the Marketing Plan</w:t>
      </w:r>
    </w:p>
    <w:bookmarkEnd w:id="2"/>
    <w:p w14:paraId="2711FFA9" w14:textId="77777777" w:rsidR="004A315A" w:rsidRPr="004A315A" w:rsidRDefault="004A315A" w:rsidP="004A315A">
      <w:pPr>
        <w:spacing w:line="480" w:lineRule="auto"/>
        <w:jc w:val="both"/>
        <w:rPr>
          <w:rFonts w:ascii="Arial" w:hAnsi="Arial" w:cs="Arial"/>
        </w:rPr>
      </w:pPr>
      <w:r w:rsidRPr="004A315A">
        <w:rPr>
          <w:rFonts w:ascii="Arial" w:hAnsi="Arial" w:cs="Arial"/>
        </w:rPr>
        <w:t xml:space="preserve">An effective assessment process allows for continued accountability through evaluation and improvement of digital marketing. Metrics associated with marketing provide the basis for measuring performance, optimising campaigns and allocating </w:t>
      </w:r>
      <w:r w:rsidRPr="004A315A">
        <w:rPr>
          <w:rFonts w:ascii="Arial" w:hAnsi="Arial" w:cs="Arial"/>
        </w:rPr>
        <w:lastRenderedPageBreak/>
        <w:t>resources (Kanta, 2024). A balanced set of short- and long-term metrics will be used to evaluate the success of the campaign.</w:t>
      </w:r>
    </w:p>
    <w:p w14:paraId="552C9756" w14:textId="77777777" w:rsidR="004A315A" w:rsidRPr="004A315A" w:rsidRDefault="004A315A" w:rsidP="004A315A">
      <w:pPr>
        <w:spacing w:line="480" w:lineRule="auto"/>
        <w:jc w:val="both"/>
        <w:rPr>
          <w:rFonts w:ascii="Arial" w:hAnsi="Arial" w:cs="Arial"/>
        </w:rPr>
      </w:pPr>
      <w:r w:rsidRPr="004A315A">
        <w:rPr>
          <w:rFonts w:ascii="Arial" w:hAnsi="Arial" w:cs="Arial"/>
        </w:rPr>
        <w:t>Acquisition metrics provide an indication of the immediate effectiveness of the campaign in attracting the targeted segment and include measurements such as the number of app downloads, the number of new accounts opened, the cost of acquisition (CPA) and the conversion rates associated with the different digital channels. Engagement metrics provide insight into both the behaviour changes and utilisation of services by new users and include metrics such as the number of active users of the app, the number of logins per user and the number of features each user utilises (Srivastava &amp; Sharma, 2021).</w:t>
      </w:r>
    </w:p>
    <w:p w14:paraId="3C3F94EB" w14:textId="77777777" w:rsidR="004A315A" w:rsidRPr="004A315A" w:rsidRDefault="004A315A" w:rsidP="004A315A">
      <w:pPr>
        <w:spacing w:line="480" w:lineRule="auto"/>
        <w:jc w:val="both"/>
        <w:rPr>
          <w:rFonts w:ascii="Arial" w:hAnsi="Arial" w:cs="Arial"/>
        </w:rPr>
      </w:pPr>
      <w:r w:rsidRPr="004A315A">
        <w:rPr>
          <w:rFonts w:ascii="Arial" w:hAnsi="Arial" w:cs="Arial"/>
        </w:rPr>
        <w:t>Customer Lifetime Value (CLV) will be the key strategic metric for assessing the Harper's long-term profitability derived from acquired customers. Predictive analytics tools will be used to estimate future revenue generation based on customer behavioural patterns, length of time with Harper and product(s) purchased. Research supports the CLV evaluation process as a value-enhancing tool in banking where profit is generated through extended customer relationship building (Kumar et al., 2024; Yang &amp; Zhao, 2023).</w:t>
      </w:r>
    </w:p>
    <w:p w14:paraId="48AD8560" w14:textId="57C0CD5F" w:rsidR="004A315A" w:rsidRPr="004A315A" w:rsidRDefault="004A315A" w:rsidP="004A315A">
      <w:pPr>
        <w:spacing w:line="480" w:lineRule="auto"/>
        <w:jc w:val="both"/>
        <w:rPr>
          <w:rFonts w:ascii="Arial" w:hAnsi="Arial" w:cs="Arial"/>
        </w:rPr>
      </w:pPr>
      <w:r w:rsidRPr="004A315A">
        <w:rPr>
          <w:rFonts w:ascii="Arial" w:hAnsi="Arial" w:cs="Arial"/>
        </w:rPr>
        <w:t xml:space="preserve">Relational metrics measure customer satisfaction, the degree of trust associated with the company (Trust), and customers’ inclinations to refer (i.e., Net Promoter Score [NPS] and loyalty) </w:t>
      </w:r>
      <w:r w:rsidR="008F7053" w:rsidRPr="004A315A">
        <w:rPr>
          <w:rFonts w:ascii="Arial" w:hAnsi="Arial" w:cs="Arial"/>
        </w:rPr>
        <w:t>using</w:t>
      </w:r>
      <w:r w:rsidRPr="004A315A">
        <w:rPr>
          <w:rFonts w:ascii="Arial" w:hAnsi="Arial" w:cs="Arial"/>
        </w:rPr>
        <w:t xml:space="preserve"> digital surveys and feedback mechanisms. Research indicates that marketing communication quality has a strong influence on customer loyalty through perceptions of credibility and emotional connection associated with credibility (</w:t>
      </w:r>
      <w:proofErr w:type="spellStart"/>
      <w:r w:rsidRPr="004A315A">
        <w:rPr>
          <w:rFonts w:ascii="Arial" w:hAnsi="Arial" w:cs="Arial"/>
        </w:rPr>
        <w:t>Quayson</w:t>
      </w:r>
      <w:proofErr w:type="spellEnd"/>
      <w:r w:rsidRPr="004A315A">
        <w:rPr>
          <w:rFonts w:ascii="Arial" w:hAnsi="Arial" w:cs="Arial"/>
        </w:rPr>
        <w:t xml:space="preserve"> et al., 2024; Amoako et al., 2017). Together, these measures </w:t>
      </w:r>
      <w:r w:rsidRPr="004A315A">
        <w:rPr>
          <w:rFonts w:ascii="Arial" w:hAnsi="Arial" w:cs="Arial"/>
        </w:rPr>
        <w:lastRenderedPageBreak/>
        <w:t>provide a comprehensive approach to assessing campaign effectiveness while balancing cost-efficiency and long-term relationship sustainability (</w:t>
      </w:r>
      <w:proofErr w:type="spellStart"/>
      <w:r w:rsidRPr="004A315A">
        <w:rPr>
          <w:rFonts w:ascii="Arial" w:hAnsi="Arial" w:cs="Arial"/>
        </w:rPr>
        <w:t>Kojuri</w:t>
      </w:r>
      <w:proofErr w:type="spellEnd"/>
      <w:r w:rsidRPr="004A315A">
        <w:rPr>
          <w:rFonts w:ascii="Arial" w:hAnsi="Arial" w:cs="Arial"/>
        </w:rPr>
        <w:t xml:space="preserve"> &amp; Ali, 2024).</w:t>
      </w:r>
    </w:p>
    <w:p w14:paraId="43E28A1E" w14:textId="77777777" w:rsidR="004A315A" w:rsidRPr="004A315A" w:rsidRDefault="004A315A" w:rsidP="004A315A">
      <w:pPr>
        <w:spacing w:line="480" w:lineRule="auto"/>
        <w:jc w:val="both"/>
        <w:rPr>
          <w:rFonts w:ascii="Arial" w:hAnsi="Arial" w:cs="Arial"/>
        </w:rPr>
      </w:pPr>
    </w:p>
    <w:p w14:paraId="2B289346" w14:textId="77777777" w:rsidR="008F7053" w:rsidRDefault="008F7053" w:rsidP="004A315A">
      <w:pPr>
        <w:spacing w:line="480" w:lineRule="auto"/>
        <w:jc w:val="both"/>
        <w:rPr>
          <w:rFonts w:ascii="Arial" w:hAnsi="Arial" w:cs="Arial"/>
        </w:rPr>
      </w:pPr>
    </w:p>
    <w:p w14:paraId="69B97E75" w14:textId="77777777" w:rsidR="008F7053" w:rsidRDefault="008F7053" w:rsidP="004A315A">
      <w:pPr>
        <w:spacing w:line="480" w:lineRule="auto"/>
        <w:jc w:val="both"/>
        <w:rPr>
          <w:rFonts w:ascii="Arial" w:hAnsi="Arial" w:cs="Arial"/>
        </w:rPr>
      </w:pPr>
    </w:p>
    <w:p w14:paraId="71F44020" w14:textId="77777777" w:rsidR="008F7053" w:rsidRDefault="008F7053" w:rsidP="004A315A">
      <w:pPr>
        <w:spacing w:line="480" w:lineRule="auto"/>
        <w:jc w:val="both"/>
        <w:rPr>
          <w:rFonts w:ascii="Arial" w:hAnsi="Arial" w:cs="Arial"/>
        </w:rPr>
      </w:pPr>
    </w:p>
    <w:p w14:paraId="1DF4568F" w14:textId="77777777" w:rsidR="008F7053" w:rsidRDefault="008F7053" w:rsidP="004A315A">
      <w:pPr>
        <w:spacing w:line="480" w:lineRule="auto"/>
        <w:jc w:val="both"/>
        <w:rPr>
          <w:rFonts w:ascii="Arial" w:hAnsi="Arial" w:cs="Arial"/>
        </w:rPr>
      </w:pPr>
    </w:p>
    <w:p w14:paraId="1CC9A73A" w14:textId="77777777" w:rsidR="008F7053" w:rsidRDefault="008F7053" w:rsidP="004A315A">
      <w:pPr>
        <w:spacing w:line="480" w:lineRule="auto"/>
        <w:jc w:val="both"/>
        <w:rPr>
          <w:rFonts w:ascii="Arial" w:hAnsi="Arial" w:cs="Arial"/>
        </w:rPr>
      </w:pPr>
    </w:p>
    <w:p w14:paraId="31A927AE" w14:textId="77777777" w:rsidR="008F7053" w:rsidRDefault="008F7053" w:rsidP="004A315A">
      <w:pPr>
        <w:spacing w:line="480" w:lineRule="auto"/>
        <w:jc w:val="both"/>
        <w:rPr>
          <w:rFonts w:ascii="Arial" w:hAnsi="Arial" w:cs="Arial"/>
        </w:rPr>
      </w:pPr>
    </w:p>
    <w:p w14:paraId="36970C6F" w14:textId="77777777" w:rsidR="008F7053" w:rsidRDefault="008F7053" w:rsidP="004A315A">
      <w:pPr>
        <w:spacing w:line="480" w:lineRule="auto"/>
        <w:jc w:val="both"/>
        <w:rPr>
          <w:rFonts w:ascii="Arial" w:hAnsi="Arial" w:cs="Arial"/>
        </w:rPr>
      </w:pPr>
    </w:p>
    <w:p w14:paraId="25AC02B7" w14:textId="77777777" w:rsidR="008F7053" w:rsidRDefault="008F7053" w:rsidP="004A315A">
      <w:pPr>
        <w:spacing w:line="480" w:lineRule="auto"/>
        <w:jc w:val="both"/>
        <w:rPr>
          <w:rFonts w:ascii="Arial" w:hAnsi="Arial" w:cs="Arial"/>
        </w:rPr>
      </w:pPr>
    </w:p>
    <w:p w14:paraId="7CFD5CA3" w14:textId="77777777" w:rsidR="008F7053" w:rsidRDefault="008F7053" w:rsidP="004A315A">
      <w:pPr>
        <w:spacing w:line="480" w:lineRule="auto"/>
        <w:jc w:val="both"/>
        <w:rPr>
          <w:rFonts w:ascii="Arial" w:hAnsi="Arial" w:cs="Arial"/>
        </w:rPr>
      </w:pPr>
    </w:p>
    <w:p w14:paraId="5A7A6715" w14:textId="77777777" w:rsidR="008F7053" w:rsidRDefault="008F7053" w:rsidP="004A315A">
      <w:pPr>
        <w:spacing w:line="480" w:lineRule="auto"/>
        <w:jc w:val="both"/>
        <w:rPr>
          <w:rFonts w:ascii="Arial" w:hAnsi="Arial" w:cs="Arial"/>
        </w:rPr>
      </w:pPr>
    </w:p>
    <w:p w14:paraId="116429F7" w14:textId="77777777" w:rsidR="008F7053" w:rsidRDefault="008F7053" w:rsidP="004A315A">
      <w:pPr>
        <w:spacing w:line="480" w:lineRule="auto"/>
        <w:jc w:val="both"/>
        <w:rPr>
          <w:rFonts w:ascii="Arial" w:hAnsi="Arial" w:cs="Arial"/>
        </w:rPr>
      </w:pPr>
    </w:p>
    <w:p w14:paraId="1192E843" w14:textId="77777777" w:rsidR="008F7053" w:rsidRDefault="008F7053" w:rsidP="004A315A">
      <w:pPr>
        <w:spacing w:line="480" w:lineRule="auto"/>
        <w:jc w:val="both"/>
        <w:rPr>
          <w:rFonts w:ascii="Arial" w:hAnsi="Arial" w:cs="Arial"/>
        </w:rPr>
      </w:pPr>
    </w:p>
    <w:p w14:paraId="2B5C5D44" w14:textId="77777777" w:rsidR="008F7053" w:rsidRDefault="008F7053" w:rsidP="004A315A">
      <w:pPr>
        <w:spacing w:line="480" w:lineRule="auto"/>
        <w:jc w:val="both"/>
        <w:rPr>
          <w:rFonts w:ascii="Arial" w:hAnsi="Arial" w:cs="Arial"/>
        </w:rPr>
      </w:pPr>
    </w:p>
    <w:p w14:paraId="787BA318" w14:textId="77777777" w:rsidR="008F7053" w:rsidRDefault="008F7053" w:rsidP="004A315A">
      <w:pPr>
        <w:spacing w:line="480" w:lineRule="auto"/>
        <w:jc w:val="both"/>
        <w:rPr>
          <w:rFonts w:ascii="Arial" w:hAnsi="Arial" w:cs="Arial"/>
        </w:rPr>
      </w:pPr>
    </w:p>
    <w:p w14:paraId="62F250C2" w14:textId="77777777" w:rsidR="008F7053" w:rsidRDefault="008F7053" w:rsidP="004A315A">
      <w:pPr>
        <w:spacing w:line="480" w:lineRule="auto"/>
        <w:jc w:val="both"/>
        <w:rPr>
          <w:rFonts w:ascii="Arial" w:hAnsi="Arial" w:cs="Arial"/>
        </w:rPr>
      </w:pPr>
    </w:p>
    <w:p w14:paraId="7CEAE4B3" w14:textId="77777777" w:rsidR="008F7053" w:rsidRDefault="008F7053" w:rsidP="004A315A">
      <w:pPr>
        <w:spacing w:line="480" w:lineRule="auto"/>
        <w:jc w:val="both"/>
        <w:rPr>
          <w:rFonts w:ascii="Arial" w:hAnsi="Arial" w:cs="Arial"/>
        </w:rPr>
      </w:pPr>
    </w:p>
    <w:p w14:paraId="7B9ABFDF" w14:textId="77777777" w:rsidR="008F7053" w:rsidRDefault="008F7053" w:rsidP="004A315A">
      <w:pPr>
        <w:spacing w:line="480" w:lineRule="auto"/>
        <w:jc w:val="both"/>
        <w:rPr>
          <w:rFonts w:ascii="Arial" w:hAnsi="Arial" w:cs="Arial"/>
        </w:rPr>
      </w:pPr>
    </w:p>
    <w:p w14:paraId="64D97D5C" w14:textId="5A54A069" w:rsidR="004A315A" w:rsidRPr="008F7053" w:rsidRDefault="004A315A" w:rsidP="004A315A">
      <w:pPr>
        <w:spacing w:line="480" w:lineRule="auto"/>
        <w:jc w:val="both"/>
        <w:rPr>
          <w:rFonts w:ascii="Arial Black" w:hAnsi="Arial Black" w:cs="Arial"/>
        </w:rPr>
      </w:pPr>
      <w:r w:rsidRPr="008F7053">
        <w:rPr>
          <w:rFonts w:ascii="Arial Black" w:hAnsi="Arial Black" w:cs="Arial"/>
        </w:rPr>
        <w:lastRenderedPageBreak/>
        <w:t>Conclusion</w:t>
      </w:r>
    </w:p>
    <w:p w14:paraId="7B44BD26" w14:textId="6BD6EE70" w:rsidR="004A315A" w:rsidRDefault="004A315A" w:rsidP="004A315A">
      <w:pPr>
        <w:spacing w:line="480" w:lineRule="auto"/>
        <w:jc w:val="both"/>
        <w:rPr>
          <w:rFonts w:ascii="Arial" w:hAnsi="Arial" w:cs="Arial"/>
        </w:rPr>
      </w:pPr>
      <w:r w:rsidRPr="004A315A">
        <w:rPr>
          <w:rFonts w:ascii="Arial" w:hAnsi="Arial" w:cs="Arial"/>
        </w:rPr>
        <w:t>The marketing plan for the campaign has been expanded to develop an integrated digital strategy for the Lloyds Bank Mobile Banking App. Targeting international postgraduate students and early career migrants living in the United Kingdom (UK) presents a market segment with potential growth and under-service (Ryan, 2020). By leveraging segmentation, targeting and trust-based positioning, this campaign targets a high-growth market that has been largely ignored by banking institutions. The use of social media; search engines, personalised digital communication and combining these elements to develop a customer acquisition strategy and build long-term relationships (Ryan, 2020). The framework for measuring success on both an immediate and long-term basis incorporates customer lifetime value (CLV) and relational metrics, aligning short-term results with long-term, strategic objectives. Additionally, this alignment enhances Lloyds' competitiveness in an increasingly digital banking marketplace (Ryan, 2020).</w:t>
      </w:r>
    </w:p>
    <w:p w14:paraId="420D35C0" w14:textId="77777777" w:rsidR="004A315A" w:rsidRDefault="004A315A" w:rsidP="00CA5526">
      <w:pPr>
        <w:spacing w:line="480" w:lineRule="auto"/>
        <w:jc w:val="both"/>
        <w:rPr>
          <w:rFonts w:ascii="Arial" w:hAnsi="Arial" w:cs="Arial"/>
        </w:rPr>
      </w:pPr>
    </w:p>
    <w:p w14:paraId="4E9DEF8D" w14:textId="77777777" w:rsidR="004A315A" w:rsidRDefault="004A315A" w:rsidP="00CA5526">
      <w:pPr>
        <w:spacing w:line="480" w:lineRule="auto"/>
        <w:jc w:val="both"/>
        <w:rPr>
          <w:rFonts w:ascii="Arial" w:hAnsi="Arial" w:cs="Arial"/>
        </w:rPr>
      </w:pPr>
    </w:p>
    <w:p w14:paraId="2916CB37" w14:textId="77777777" w:rsidR="004A315A" w:rsidRDefault="004A315A" w:rsidP="00CA5526">
      <w:pPr>
        <w:spacing w:line="480" w:lineRule="auto"/>
        <w:jc w:val="both"/>
        <w:rPr>
          <w:rFonts w:ascii="Arial" w:hAnsi="Arial" w:cs="Arial"/>
        </w:rPr>
      </w:pPr>
    </w:p>
    <w:p w14:paraId="1C43C7A6" w14:textId="77777777" w:rsidR="004A315A" w:rsidRDefault="004A315A" w:rsidP="00CA5526">
      <w:pPr>
        <w:spacing w:line="480" w:lineRule="auto"/>
        <w:jc w:val="both"/>
        <w:rPr>
          <w:rFonts w:ascii="Arial" w:hAnsi="Arial" w:cs="Arial"/>
        </w:rPr>
      </w:pPr>
    </w:p>
    <w:p w14:paraId="4188BC06" w14:textId="77777777" w:rsidR="004A315A" w:rsidRDefault="004A315A" w:rsidP="00CA5526">
      <w:pPr>
        <w:spacing w:line="480" w:lineRule="auto"/>
        <w:jc w:val="both"/>
        <w:rPr>
          <w:rFonts w:ascii="Arial" w:hAnsi="Arial" w:cs="Arial"/>
        </w:rPr>
      </w:pPr>
    </w:p>
    <w:p w14:paraId="256BE537" w14:textId="77777777" w:rsidR="004A315A" w:rsidRDefault="004A315A" w:rsidP="00CA5526">
      <w:pPr>
        <w:spacing w:line="480" w:lineRule="auto"/>
        <w:jc w:val="both"/>
        <w:rPr>
          <w:rFonts w:ascii="Arial" w:hAnsi="Arial" w:cs="Arial"/>
        </w:rPr>
      </w:pPr>
    </w:p>
    <w:p w14:paraId="5179D58D" w14:textId="77777777" w:rsidR="008F7053" w:rsidRDefault="008F7053" w:rsidP="00CA5526">
      <w:pPr>
        <w:spacing w:line="480" w:lineRule="auto"/>
        <w:jc w:val="both"/>
        <w:rPr>
          <w:rFonts w:ascii="Arial" w:hAnsi="Arial" w:cs="Arial"/>
        </w:rPr>
      </w:pPr>
    </w:p>
    <w:p w14:paraId="7446221C" w14:textId="77777777" w:rsidR="008F7053" w:rsidRDefault="008F7053" w:rsidP="00CA5526">
      <w:pPr>
        <w:spacing w:line="480" w:lineRule="auto"/>
        <w:jc w:val="both"/>
        <w:rPr>
          <w:rFonts w:ascii="Arial" w:hAnsi="Arial" w:cs="Arial"/>
        </w:rPr>
      </w:pPr>
    </w:p>
    <w:p w14:paraId="67B380CE" w14:textId="4B361165" w:rsidR="008F7053" w:rsidRPr="008F7053" w:rsidRDefault="008F7053" w:rsidP="00CA5526">
      <w:pPr>
        <w:spacing w:line="480" w:lineRule="auto"/>
        <w:jc w:val="both"/>
        <w:rPr>
          <w:rFonts w:ascii="Arial Black" w:hAnsi="Arial Black" w:cs="Arial"/>
        </w:rPr>
      </w:pPr>
      <w:r w:rsidRPr="008F7053">
        <w:rPr>
          <w:rFonts w:ascii="Arial Black" w:hAnsi="Arial Black" w:cs="Arial"/>
        </w:rPr>
        <w:lastRenderedPageBreak/>
        <w:t>References list</w:t>
      </w:r>
    </w:p>
    <w:p w14:paraId="0F863D23" w14:textId="00F75FEC" w:rsidR="00CA5526" w:rsidRPr="00CA5526" w:rsidRDefault="00CA5526" w:rsidP="00CA5526">
      <w:pPr>
        <w:spacing w:line="480" w:lineRule="auto"/>
        <w:jc w:val="both"/>
        <w:rPr>
          <w:rFonts w:ascii="Arial" w:hAnsi="Arial" w:cs="Arial"/>
        </w:rPr>
      </w:pPr>
      <w:r w:rsidRPr="00CA5526">
        <w:rPr>
          <w:rFonts w:ascii="Arial" w:hAnsi="Arial" w:cs="Arial"/>
        </w:rPr>
        <w:t>Al Khaldy, M. A., Al-</w:t>
      </w:r>
      <w:proofErr w:type="spellStart"/>
      <w:r w:rsidRPr="00CA5526">
        <w:rPr>
          <w:rFonts w:ascii="Arial" w:hAnsi="Arial" w:cs="Arial"/>
        </w:rPr>
        <w:t>Obaydi</w:t>
      </w:r>
      <w:proofErr w:type="spellEnd"/>
      <w:r w:rsidRPr="00CA5526">
        <w:rPr>
          <w:rFonts w:ascii="Arial" w:hAnsi="Arial" w:cs="Arial"/>
        </w:rPr>
        <w:t xml:space="preserve">, B. A. A., &amp; Al Shari, A. J. (2023). The impact of predictive analytics and AI on digital marketing strategy and ROI. In </w:t>
      </w:r>
      <w:r w:rsidRPr="008F7053">
        <w:rPr>
          <w:rFonts w:ascii="Arial" w:hAnsi="Arial" w:cs="Arial"/>
          <w:i/>
          <w:iCs/>
        </w:rPr>
        <w:t>Conference on sustainability and cutting-edge business technologies</w:t>
      </w:r>
      <w:r w:rsidRPr="00CA5526">
        <w:rPr>
          <w:rFonts w:ascii="Arial" w:hAnsi="Arial" w:cs="Arial"/>
        </w:rPr>
        <w:t xml:space="preserve"> (pp. 367–379). Springer Nature Switzerland. </w:t>
      </w:r>
    </w:p>
    <w:p w14:paraId="6A330A1D" w14:textId="2D279E1A" w:rsidR="00CA5526" w:rsidRPr="00CA5526" w:rsidRDefault="00CA5526" w:rsidP="00CA5526">
      <w:pPr>
        <w:spacing w:line="480" w:lineRule="auto"/>
        <w:jc w:val="both"/>
        <w:rPr>
          <w:rFonts w:ascii="Arial" w:hAnsi="Arial" w:cs="Arial"/>
        </w:rPr>
      </w:pPr>
      <w:r w:rsidRPr="00CA5526">
        <w:rPr>
          <w:rFonts w:ascii="Arial" w:hAnsi="Arial" w:cs="Arial"/>
        </w:rPr>
        <w:t xml:space="preserve">Amoako, G. K., </w:t>
      </w:r>
      <w:proofErr w:type="spellStart"/>
      <w:r w:rsidRPr="00CA5526">
        <w:rPr>
          <w:rFonts w:ascii="Arial" w:hAnsi="Arial" w:cs="Arial"/>
        </w:rPr>
        <w:t>Anabila</w:t>
      </w:r>
      <w:proofErr w:type="spellEnd"/>
      <w:r w:rsidRPr="00CA5526">
        <w:rPr>
          <w:rFonts w:ascii="Arial" w:hAnsi="Arial" w:cs="Arial"/>
        </w:rPr>
        <w:t xml:space="preserve">, P., Asare Effah, E., &amp; Kumi, D. K. (2017). Mediation role of brand preference on bank advertising and customer loyalty: A developing country perspective. </w:t>
      </w:r>
      <w:r w:rsidRPr="008F7053">
        <w:rPr>
          <w:rFonts w:ascii="Arial" w:hAnsi="Arial" w:cs="Arial"/>
          <w:i/>
          <w:iCs/>
        </w:rPr>
        <w:t>International Journal of Bank Marketing, 35</w:t>
      </w:r>
      <w:r w:rsidRPr="00CA5526">
        <w:rPr>
          <w:rFonts w:ascii="Arial" w:hAnsi="Arial" w:cs="Arial"/>
        </w:rPr>
        <w:t xml:space="preserve">(6), 983–996. </w:t>
      </w:r>
    </w:p>
    <w:p w14:paraId="0A59D211" w14:textId="77777777" w:rsidR="00CA5526" w:rsidRPr="00CA5526" w:rsidRDefault="00CA5526" w:rsidP="00CA5526">
      <w:pPr>
        <w:spacing w:line="480" w:lineRule="auto"/>
        <w:jc w:val="both"/>
        <w:rPr>
          <w:rFonts w:ascii="Arial" w:hAnsi="Arial" w:cs="Arial"/>
        </w:rPr>
      </w:pPr>
      <w:r w:rsidRPr="00CA5526">
        <w:rPr>
          <w:rFonts w:ascii="Arial" w:hAnsi="Arial" w:cs="Arial"/>
        </w:rPr>
        <w:t xml:space="preserve">Berlian, M. (2022). Analysis of segmenting, targeting and positioning strategies on consumer purchase decisions in the digital era. </w:t>
      </w:r>
      <w:r w:rsidRPr="008F7053">
        <w:rPr>
          <w:rFonts w:ascii="Arial" w:hAnsi="Arial" w:cs="Arial"/>
          <w:i/>
          <w:iCs/>
        </w:rPr>
        <w:t>International Journal of Economics, Business and Accounting Research (IJEBAR), 6</w:t>
      </w:r>
      <w:r w:rsidRPr="00CA5526">
        <w:rPr>
          <w:rFonts w:ascii="Arial" w:hAnsi="Arial" w:cs="Arial"/>
        </w:rPr>
        <w:t>(4), 1440–1448.</w:t>
      </w:r>
    </w:p>
    <w:p w14:paraId="54261FFB" w14:textId="63E91C38" w:rsidR="00CA5526" w:rsidRPr="00CA5526" w:rsidRDefault="00CA5526" w:rsidP="00CA5526">
      <w:pPr>
        <w:spacing w:line="480" w:lineRule="auto"/>
        <w:jc w:val="both"/>
        <w:rPr>
          <w:rFonts w:ascii="Arial" w:hAnsi="Arial" w:cs="Arial"/>
        </w:rPr>
      </w:pPr>
      <w:r w:rsidRPr="00CA5526">
        <w:rPr>
          <w:rFonts w:ascii="Arial" w:hAnsi="Arial" w:cs="Arial"/>
        </w:rPr>
        <w:t xml:space="preserve">Camilleri, M. A. (2017). Market segmentation, targeting and positioning. In </w:t>
      </w:r>
      <w:r w:rsidRPr="008F7053">
        <w:rPr>
          <w:rFonts w:ascii="Arial" w:hAnsi="Arial" w:cs="Arial"/>
          <w:i/>
          <w:iCs/>
        </w:rPr>
        <w:t>Travel marketing, tourism economics and the airline product: An introduction to theory and practice</w:t>
      </w:r>
      <w:r w:rsidRPr="00CA5526">
        <w:rPr>
          <w:rFonts w:ascii="Arial" w:hAnsi="Arial" w:cs="Arial"/>
        </w:rPr>
        <w:t xml:space="preserve"> (pp. 69–83). Springer International Publishing. </w:t>
      </w:r>
    </w:p>
    <w:p w14:paraId="555681E4" w14:textId="00EC6E58" w:rsidR="00CA5526" w:rsidRPr="00CA5526" w:rsidRDefault="00CA5526" w:rsidP="00CA5526">
      <w:pPr>
        <w:spacing w:line="480" w:lineRule="auto"/>
        <w:jc w:val="both"/>
        <w:rPr>
          <w:rFonts w:ascii="Arial" w:hAnsi="Arial" w:cs="Arial"/>
        </w:rPr>
      </w:pPr>
      <w:r w:rsidRPr="00CA5526">
        <w:rPr>
          <w:rFonts w:ascii="Arial" w:hAnsi="Arial" w:cs="Arial"/>
        </w:rPr>
        <w:t xml:space="preserve">Choubey, A., &amp; Sharma, M. (2024). Effect of green integrated marketing communication on green purchase intention in Indian banking sector. </w:t>
      </w:r>
      <w:r w:rsidRPr="008F7053">
        <w:rPr>
          <w:rFonts w:ascii="Arial" w:hAnsi="Arial" w:cs="Arial"/>
          <w:i/>
          <w:iCs/>
        </w:rPr>
        <w:t>Journal of Marketing Communications</w:t>
      </w:r>
      <w:r w:rsidRPr="00CA5526">
        <w:rPr>
          <w:rFonts w:ascii="Arial" w:hAnsi="Arial" w:cs="Arial"/>
        </w:rPr>
        <w:t xml:space="preserve">, 1–35. </w:t>
      </w:r>
    </w:p>
    <w:p w14:paraId="11CD5C60" w14:textId="77777777" w:rsidR="00CA5526" w:rsidRPr="00CA5526" w:rsidRDefault="00CA5526" w:rsidP="00CA5526">
      <w:pPr>
        <w:spacing w:line="480" w:lineRule="auto"/>
        <w:jc w:val="both"/>
        <w:rPr>
          <w:rFonts w:ascii="Arial" w:hAnsi="Arial" w:cs="Arial"/>
        </w:rPr>
      </w:pPr>
      <w:r w:rsidRPr="00CA5526">
        <w:rPr>
          <w:rFonts w:ascii="Arial" w:hAnsi="Arial" w:cs="Arial"/>
        </w:rPr>
        <w:t xml:space="preserve">Isibor, N. J., Attipoe, V., Oyeyipo, I., Ayodeji, D. C., Apiyo, B., Alonge, E., &amp; </w:t>
      </w:r>
      <w:proofErr w:type="spellStart"/>
      <w:r w:rsidRPr="00CA5526">
        <w:rPr>
          <w:rFonts w:ascii="Arial" w:hAnsi="Arial" w:cs="Arial"/>
        </w:rPr>
        <w:t>Onwuzulike</w:t>
      </w:r>
      <w:proofErr w:type="spellEnd"/>
      <w:r w:rsidRPr="00CA5526">
        <w:rPr>
          <w:rFonts w:ascii="Arial" w:hAnsi="Arial" w:cs="Arial"/>
        </w:rPr>
        <w:t xml:space="preserve">, O. C. (2025). Analysing successful content marketing strategies that enhance online engagement and sales for digital brands. International </w:t>
      </w:r>
      <w:r w:rsidRPr="008F7053">
        <w:rPr>
          <w:rFonts w:ascii="Arial" w:hAnsi="Arial" w:cs="Arial"/>
          <w:i/>
          <w:iCs/>
        </w:rPr>
        <w:t>Journal of Advanced Multidisciplinary Research and Studies, 5</w:t>
      </w:r>
      <w:r w:rsidRPr="00CA5526">
        <w:rPr>
          <w:rFonts w:ascii="Arial" w:hAnsi="Arial" w:cs="Arial"/>
        </w:rPr>
        <w:t>(2), 842–851.</w:t>
      </w:r>
    </w:p>
    <w:p w14:paraId="35EB3685" w14:textId="0951E79C" w:rsidR="00CA5526" w:rsidRPr="00CA5526" w:rsidRDefault="00CA5526" w:rsidP="00CA5526">
      <w:pPr>
        <w:spacing w:line="480" w:lineRule="auto"/>
        <w:jc w:val="both"/>
        <w:rPr>
          <w:rFonts w:ascii="Arial" w:hAnsi="Arial" w:cs="Arial"/>
        </w:rPr>
      </w:pPr>
      <w:r w:rsidRPr="00CA5526">
        <w:rPr>
          <w:rFonts w:ascii="Arial" w:hAnsi="Arial" w:cs="Arial"/>
        </w:rPr>
        <w:t xml:space="preserve">Kaplan, A. M., &amp; Haenlein, M. (2020). Users of the world, unite! The challenges and opportunities of social media. </w:t>
      </w:r>
      <w:r w:rsidRPr="008F7053">
        <w:rPr>
          <w:rFonts w:ascii="Arial" w:hAnsi="Arial" w:cs="Arial"/>
          <w:i/>
          <w:iCs/>
        </w:rPr>
        <w:t>Business Horizons, 53</w:t>
      </w:r>
      <w:r w:rsidRPr="00CA5526">
        <w:rPr>
          <w:rFonts w:ascii="Arial" w:hAnsi="Arial" w:cs="Arial"/>
        </w:rPr>
        <w:t xml:space="preserve">(1), 59–68. </w:t>
      </w:r>
    </w:p>
    <w:p w14:paraId="1B976C74" w14:textId="77777777" w:rsidR="00CA5526" w:rsidRPr="00CA5526" w:rsidRDefault="00CA5526" w:rsidP="00CA5526">
      <w:pPr>
        <w:spacing w:line="480" w:lineRule="auto"/>
        <w:jc w:val="both"/>
        <w:rPr>
          <w:rFonts w:ascii="Arial" w:hAnsi="Arial" w:cs="Arial"/>
        </w:rPr>
      </w:pPr>
    </w:p>
    <w:p w14:paraId="1B285358" w14:textId="77777777" w:rsidR="00CA5526" w:rsidRPr="00CA5526" w:rsidRDefault="00CA5526" w:rsidP="00CA5526">
      <w:pPr>
        <w:spacing w:line="480" w:lineRule="auto"/>
        <w:jc w:val="both"/>
        <w:rPr>
          <w:rFonts w:ascii="Arial" w:hAnsi="Arial" w:cs="Arial"/>
        </w:rPr>
      </w:pPr>
      <w:r w:rsidRPr="00CA5526">
        <w:rPr>
          <w:rFonts w:ascii="Arial" w:hAnsi="Arial" w:cs="Arial"/>
        </w:rPr>
        <w:lastRenderedPageBreak/>
        <w:t xml:space="preserve">Kanta, E. (2024). </w:t>
      </w:r>
      <w:r w:rsidRPr="008F7053">
        <w:rPr>
          <w:rFonts w:ascii="Arial" w:hAnsi="Arial" w:cs="Arial"/>
          <w:i/>
          <w:iCs/>
        </w:rPr>
        <w:t>The role of marketing metrics for achieving marketing accountability</w:t>
      </w:r>
      <w:r w:rsidRPr="00CA5526">
        <w:rPr>
          <w:rFonts w:ascii="Arial" w:hAnsi="Arial" w:cs="Arial"/>
        </w:rPr>
        <w:t xml:space="preserve"> (Doctoral dissertation).</w:t>
      </w:r>
    </w:p>
    <w:p w14:paraId="4FF3CB6A" w14:textId="77777777" w:rsidR="00CA5526" w:rsidRPr="00CA5526" w:rsidRDefault="00CA5526" w:rsidP="00CA5526">
      <w:pPr>
        <w:spacing w:line="480" w:lineRule="auto"/>
        <w:jc w:val="both"/>
        <w:rPr>
          <w:rFonts w:ascii="Arial" w:hAnsi="Arial" w:cs="Arial"/>
        </w:rPr>
      </w:pPr>
      <w:r w:rsidRPr="00CA5526">
        <w:rPr>
          <w:rFonts w:ascii="Arial" w:hAnsi="Arial" w:cs="Arial"/>
        </w:rPr>
        <w:t xml:space="preserve">Kojuri, S., &amp; Ali, M. (2024). Customer lifetime value in relationship marketing: The effect of satisfaction and trust on value sustainability (Case study: restaurant industry). </w:t>
      </w:r>
      <w:r w:rsidRPr="008F7053">
        <w:rPr>
          <w:rFonts w:ascii="Arial" w:hAnsi="Arial" w:cs="Arial"/>
          <w:i/>
          <w:iCs/>
        </w:rPr>
        <w:t>Strategic Value Chain Management, 1</w:t>
      </w:r>
      <w:r w:rsidRPr="00CA5526">
        <w:rPr>
          <w:rFonts w:ascii="Arial" w:hAnsi="Arial" w:cs="Arial"/>
        </w:rPr>
        <w:t>(2), 25–40.</w:t>
      </w:r>
    </w:p>
    <w:p w14:paraId="7048DC2D" w14:textId="77777777" w:rsidR="00CA5526" w:rsidRPr="00CA5526" w:rsidRDefault="00CA5526" w:rsidP="00CA5526">
      <w:pPr>
        <w:spacing w:line="480" w:lineRule="auto"/>
        <w:jc w:val="both"/>
        <w:rPr>
          <w:rFonts w:ascii="Arial" w:hAnsi="Arial" w:cs="Arial"/>
        </w:rPr>
      </w:pPr>
      <w:r w:rsidRPr="00CA5526">
        <w:rPr>
          <w:rFonts w:ascii="Arial" w:hAnsi="Arial" w:cs="Arial"/>
        </w:rPr>
        <w:t xml:space="preserve">Kumar, M. R., Ahluwalia, I. S., Hazarika, D., Kumar, K., &amp; Singh, M. (2022). Types of consumer buying behaviour. </w:t>
      </w:r>
      <w:r w:rsidRPr="008F7053">
        <w:rPr>
          <w:rFonts w:ascii="Arial" w:hAnsi="Arial" w:cs="Arial"/>
          <w:i/>
          <w:iCs/>
        </w:rPr>
        <w:t>Journal of Contemporary Issues in Business and Government, 28</w:t>
      </w:r>
      <w:r w:rsidRPr="00CA5526">
        <w:rPr>
          <w:rFonts w:ascii="Arial" w:hAnsi="Arial" w:cs="Arial"/>
        </w:rPr>
        <w:t>(4), 2024–2032.</w:t>
      </w:r>
    </w:p>
    <w:p w14:paraId="7306A44D" w14:textId="262F03A5" w:rsidR="00CA5526" w:rsidRPr="00CA5526" w:rsidRDefault="00CA5526" w:rsidP="00CA5526">
      <w:pPr>
        <w:spacing w:line="480" w:lineRule="auto"/>
        <w:jc w:val="both"/>
        <w:rPr>
          <w:rFonts w:ascii="Arial" w:hAnsi="Arial" w:cs="Arial"/>
        </w:rPr>
      </w:pPr>
      <w:r w:rsidRPr="00CA5526">
        <w:rPr>
          <w:rFonts w:ascii="Arial" w:hAnsi="Arial" w:cs="Arial"/>
        </w:rPr>
        <w:t xml:space="preserve">Kumar, S., Bajpai, V. N., Jha, A. K., &amp; Upadhyay, S. (2024). Predictive analytics for customer lifetime value (CLV) optimization: Estimating CLV to inform strategic marketing decisions for maximizing profitability. In </w:t>
      </w:r>
      <w:r w:rsidRPr="008F7053">
        <w:rPr>
          <w:rFonts w:ascii="Arial" w:hAnsi="Arial" w:cs="Arial"/>
          <w:i/>
          <w:iCs/>
        </w:rPr>
        <w:t>2024 13th International Conference on System Modelling &amp; Advancement in Research Trends</w:t>
      </w:r>
      <w:r w:rsidRPr="00CA5526">
        <w:rPr>
          <w:rFonts w:ascii="Arial" w:hAnsi="Arial" w:cs="Arial"/>
        </w:rPr>
        <w:t xml:space="preserve"> (SMART) (pp. 431–435). IEEE. </w:t>
      </w:r>
    </w:p>
    <w:p w14:paraId="0399ADF7" w14:textId="74ABAA37" w:rsidR="00CA5526" w:rsidRPr="00CA5526" w:rsidRDefault="00CA5526" w:rsidP="00CA5526">
      <w:pPr>
        <w:spacing w:line="480" w:lineRule="auto"/>
        <w:jc w:val="both"/>
        <w:rPr>
          <w:rFonts w:ascii="Arial" w:hAnsi="Arial" w:cs="Arial"/>
        </w:rPr>
      </w:pPr>
      <w:r w:rsidRPr="00CA5526">
        <w:rPr>
          <w:rFonts w:ascii="Arial" w:hAnsi="Arial" w:cs="Arial"/>
        </w:rPr>
        <w:t xml:space="preserve">Liu, H., Xiao, Q., &amp; Wang, H. (2024). Understanding customer experience for sustainable innovation: An integration of conscious and unconscious perspectives of theme hotel guests. </w:t>
      </w:r>
      <w:r w:rsidRPr="008F7053">
        <w:rPr>
          <w:rFonts w:ascii="Arial" w:hAnsi="Arial" w:cs="Arial"/>
          <w:i/>
          <w:iCs/>
        </w:rPr>
        <w:t>Sustainability, 16</w:t>
      </w:r>
      <w:r w:rsidRPr="00CA5526">
        <w:rPr>
          <w:rFonts w:ascii="Arial" w:hAnsi="Arial" w:cs="Arial"/>
        </w:rPr>
        <w:t xml:space="preserve">(13), 5274. </w:t>
      </w:r>
    </w:p>
    <w:p w14:paraId="396DCA64" w14:textId="78ADFD4B" w:rsidR="00CA5526" w:rsidRPr="00CA5526" w:rsidRDefault="00CA5526" w:rsidP="00CA5526">
      <w:pPr>
        <w:spacing w:line="480" w:lineRule="auto"/>
        <w:jc w:val="both"/>
        <w:rPr>
          <w:rFonts w:ascii="Arial" w:hAnsi="Arial" w:cs="Arial"/>
        </w:rPr>
      </w:pPr>
      <w:r w:rsidRPr="00CA5526">
        <w:rPr>
          <w:rFonts w:ascii="Arial" w:hAnsi="Arial" w:cs="Arial"/>
        </w:rPr>
        <w:t xml:space="preserve">Malthouse, E. C., Haenlein, M., Skiera, B., Wege, E., &amp; Zhang, M. (2020). Managing customer relationships in the social media era: Introducing the social CRM house. </w:t>
      </w:r>
      <w:r w:rsidRPr="008F7053">
        <w:rPr>
          <w:rFonts w:ascii="Arial" w:hAnsi="Arial" w:cs="Arial"/>
          <w:i/>
          <w:iCs/>
        </w:rPr>
        <w:t xml:space="preserve">Journal of Interactive Marketing, </w:t>
      </w:r>
      <w:r w:rsidRPr="00CA5526">
        <w:rPr>
          <w:rFonts w:ascii="Arial" w:hAnsi="Arial" w:cs="Arial"/>
        </w:rPr>
        <w:t xml:space="preserve">44, 47–65. </w:t>
      </w:r>
    </w:p>
    <w:p w14:paraId="43FA3445" w14:textId="77777777" w:rsidR="00CA5526" w:rsidRPr="00CA5526" w:rsidRDefault="00CA5526" w:rsidP="00CA5526">
      <w:pPr>
        <w:spacing w:line="480" w:lineRule="auto"/>
        <w:jc w:val="both"/>
        <w:rPr>
          <w:rFonts w:ascii="Arial" w:hAnsi="Arial" w:cs="Arial"/>
        </w:rPr>
      </w:pPr>
      <w:r w:rsidRPr="00CA5526">
        <w:rPr>
          <w:rFonts w:ascii="Arial" w:hAnsi="Arial" w:cs="Arial"/>
        </w:rPr>
        <w:t xml:space="preserve">Naim, A. (2023). Consumer behaviour in marketing patterns, types, segmentation. </w:t>
      </w:r>
      <w:r w:rsidRPr="008F7053">
        <w:rPr>
          <w:rFonts w:ascii="Arial" w:hAnsi="Arial" w:cs="Arial"/>
          <w:i/>
          <w:iCs/>
        </w:rPr>
        <w:t>European Journal of Economics, Finance and Business Development, 1</w:t>
      </w:r>
      <w:r w:rsidRPr="00CA5526">
        <w:rPr>
          <w:rFonts w:ascii="Arial" w:hAnsi="Arial" w:cs="Arial"/>
        </w:rPr>
        <w:t>(1), 1–18.</w:t>
      </w:r>
    </w:p>
    <w:p w14:paraId="4989E352" w14:textId="62E7636B" w:rsidR="00CA5526" w:rsidRPr="00CA5526" w:rsidRDefault="00CA5526" w:rsidP="00CA5526">
      <w:pPr>
        <w:spacing w:line="480" w:lineRule="auto"/>
        <w:jc w:val="both"/>
        <w:rPr>
          <w:rFonts w:ascii="Arial" w:hAnsi="Arial" w:cs="Arial"/>
        </w:rPr>
      </w:pPr>
      <w:r w:rsidRPr="00CA5526">
        <w:rPr>
          <w:rFonts w:ascii="Arial" w:hAnsi="Arial" w:cs="Arial"/>
        </w:rPr>
        <w:t>Panduro-Ramirez, J. A., Gallegos-Reyes, M. A., Villar-Guevara, M., García-Salirrosas, E. E., &amp; Fern</w:t>
      </w:r>
      <w:r w:rsidR="008F7053">
        <w:rPr>
          <w:rFonts w:ascii="Arial" w:hAnsi="Arial" w:cs="Arial"/>
        </w:rPr>
        <w:t>a</w:t>
      </w:r>
      <w:r w:rsidRPr="00CA5526">
        <w:rPr>
          <w:rFonts w:ascii="Arial" w:hAnsi="Arial" w:cs="Arial"/>
        </w:rPr>
        <w:t>ndez-</w:t>
      </w:r>
      <w:proofErr w:type="spellStart"/>
      <w:r w:rsidRPr="00CA5526">
        <w:rPr>
          <w:rFonts w:ascii="Arial" w:hAnsi="Arial" w:cs="Arial"/>
        </w:rPr>
        <w:t>Mallma</w:t>
      </w:r>
      <w:proofErr w:type="spellEnd"/>
      <w:r w:rsidRPr="00CA5526">
        <w:rPr>
          <w:rFonts w:ascii="Arial" w:hAnsi="Arial" w:cs="Arial"/>
        </w:rPr>
        <w:t xml:space="preserve">, I. (2024). The role of relationship marketing and brand </w:t>
      </w:r>
      <w:r w:rsidRPr="00CA5526">
        <w:rPr>
          <w:rFonts w:ascii="Arial" w:hAnsi="Arial" w:cs="Arial"/>
        </w:rPr>
        <w:lastRenderedPageBreak/>
        <w:t xml:space="preserve">love among banking consumers in an emerging market context. </w:t>
      </w:r>
      <w:r w:rsidRPr="008F7053">
        <w:rPr>
          <w:rFonts w:ascii="Arial" w:hAnsi="Arial" w:cs="Arial"/>
          <w:i/>
          <w:iCs/>
        </w:rPr>
        <w:t>Administrative Sciences, 14</w:t>
      </w:r>
      <w:r w:rsidRPr="00CA5526">
        <w:rPr>
          <w:rFonts w:ascii="Arial" w:hAnsi="Arial" w:cs="Arial"/>
        </w:rPr>
        <w:t xml:space="preserve">(12), 343. </w:t>
      </w:r>
    </w:p>
    <w:p w14:paraId="166C977D" w14:textId="51FD929E" w:rsidR="00CA5526" w:rsidRPr="00CA5526" w:rsidRDefault="00CA5526" w:rsidP="00CA5526">
      <w:pPr>
        <w:spacing w:line="480" w:lineRule="auto"/>
        <w:jc w:val="both"/>
        <w:rPr>
          <w:rFonts w:ascii="Arial" w:hAnsi="Arial" w:cs="Arial"/>
        </w:rPr>
      </w:pPr>
      <w:proofErr w:type="spellStart"/>
      <w:r w:rsidRPr="00CA5526">
        <w:rPr>
          <w:rFonts w:ascii="Arial" w:hAnsi="Arial" w:cs="Arial"/>
        </w:rPr>
        <w:t>Quayson</w:t>
      </w:r>
      <w:proofErr w:type="spellEnd"/>
      <w:r w:rsidRPr="00CA5526">
        <w:rPr>
          <w:rFonts w:ascii="Arial" w:hAnsi="Arial" w:cs="Arial"/>
        </w:rPr>
        <w:t xml:space="preserve">, A., </w:t>
      </w:r>
      <w:proofErr w:type="spellStart"/>
      <w:r w:rsidRPr="00CA5526">
        <w:rPr>
          <w:rFonts w:ascii="Arial" w:hAnsi="Arial" w:cs="Arial"/>
        </w:rPr>
        <w:t>Issau</w:t>
      </w:r>
      <w:proofErr w:type="spellEnd"/>
      <w:r w:rsidRPr="00CA5526">
        <w:rPr>
          <w:rFonts w:ascii="Arial" w:hAnsi="Arial" w:cs="Arial"/>
        </w:rPr>
        <w:t xml:space="preserve">, K., </w:t>
      </w:r>
      <w:proofErr w:type="spellStart"/>
      <w:r w:rsidRPr="00CA5526">
        <w:rPr>
          <w:rFonts w:ascii="Arial" w:hAnsi="Arial" w:cs="Arial"/>
        </w:rPr>
        <w:t>Gnankob</w:t>
      </w:r>
      <w:proofErr w:type="spellEnd"/>
      <w:r w:rsidRPr="00CA5526">
        <w:rPr>
          <w:rFonts w:ascii="Arial" w:hAnsi="Arial" w:cs="Arial"/>
        </w:rPr>
        <w:t xml:space="preserve">, R. I., &amp; Seidu, S. (2024). Marketing communications’ dimensions and brand loyalty in the banking sector. </w:t>
      </w:r>
      <w:r w:rsidRPr="008F7053">
        <w:rPr>
          <w:rFonts w:ascii="Arial" w:hAnsi="Arial" w:cs="Arial"/>
          <w:i/>
          <w:iCs/>
        </w:rPr>
        <w:t xml:space="preserve">Revista de </w:t>
      </w:r>
      <w:proofErr w:type="spellStart"/>
      <w:r w:rsidRPr="008F7053">
        <w:rPr>
          <w:rFonts w:ascii="Arial" w:hAnsi="Arial" w:cs="Arial"/>
          <w:i/>
          <w:iCs/>
        </w:rPr>
        <w:t>Gest</w:t>
      </w:r>
      <w:r w:rsidR="008F7053">
        <w:rPr>
          <w:rFonts w:ascii="Arial" w:hAnsi="Arial" w:cs="Arial"/>
          <w:i/>
          <w:iCs/>
        </w:rPr>
        <w:t>a</w:t>
      </w:r>
      <w:r w:rsidRPr="008F7053">
        <w:rPr>
          <w:rFonts w:ascii="Arial" w:hAnsi="Arial" w:cs="Arial"/>
          <w:i/>
          <w:iCs/>
        </w:rPr>
        <w:t>o</w:t>
      </w:r>
      <w:proofErr w:type="spellEnd"/>
      <w:r w:rsidRPr="008F7053">
        <w:rPr>
          <w:rFonts w:ascii="Arial" w:hAnsi="Arial" w:cs="Arial"/>
          <w:i/>
          <w:iCs/>
        </w:rPr>
        <w:t>, 31</w:t>
      </w:r>
      <w:r w:rsidRPr="00CA5526">
        <w:rPr>
          <w:rFonts w:ascii="Arial" w:hAnsi="Arial" w:cs="Arial"/>
        </w:rPr>
        <w:t xml:space="preserve">(1), 115–132. </w:t>
      </w:r>
    </w:p>
    <w:p w14:paraId="1251BC9E" w14:textId="77777777" w:rsidR="00CA5526" w:rsidRPr="00CA5526" w:rsidRDefault="00CA5526" w:rsidP="00CA5526">
      <w:pPr>
        <w:spacing w:line="480" w:lineRule="auto"/>
        <w:jc w:val="both"/>
        <w:rPr>
          <w:rFonts w:ascii="Arial" w:hAnsi="Arial" w:cs="Arial"/>
        </w:rPr>
      </w:pPr>
      <w:r w:rsidRPr="00CA5526">
        <w:rPr>
          <w:rFonts w:ascii="Arial" w:hAnsi="Arial" w:cs="Arial"/>
        </w:rPr>
        <w:t xml:space="preserve">Ryan, D. (2020). </w:t>
      </w:r>
      <w:r w:rsidRPr="008F7053">
        <w:rPr>
          <w:rFonts w:ascii="Arial" w:hAnsi="Arial" w:cs="Arial"/>
          <w:i/>
          <w:iCs/>
        </w:rPr>
        <w:t>Understanding digital marketing: Marketing strategies for engaging the digital generation</w:t>
      </w:r>
      <w:r w:rsidRPr="00CA5526">
        <w:rPr>
          <w:rFonts w:ascii="Arial" w:hAnsi="Arial" w:cs="Arial"/>
        </w:rPr>
        <w:t xml:space="preserve"> (4th ed.). Kogan Page.</w:t>
      </w:r>
    </w:p>
    <w:p w14:paraId="5F46F4E3" w14:textId="77777777" w:rsidR="00CA5526" w:rsidRPr="00CA5526" w:rsidRDefault="00CA5526" w:rsidP="00CA5526">
      <w:pPr>
        <w:spacing w:line="480" w:lineRule="auto"/>
        <w:jc w:val="both"/>
        <w:rPr>
          <w:rFonts w:ascii="Arial" w:hAnsi="Arial" w:cs="Arial"/>
        </w:rPr>
      </w:pPr>
      <w:r w:rsidRPr="00CA5526">
        <w:rPr>
          <w:rFonts w:ascii="Arial" w:hAnsi="Arial" w:cs="Arial"/>
        </w:rPr>
        <w:t xml:space="preserve">Srivastava, M., &amp; Sharma, R. (2021). Evaluating the ROI of digital marketing campaigns: A framework for data-driven decision making. </w:t>
      </w:r>
      <w:r w:rsidRPr="008F7053">
        <w:rPr>
          <w:rFonts w:ascii="Arial" w:hAnsi="Arial" w:cs="Arial"/>
          <w:i/>
          <w:iCs/>
        </w:rPr>
        <w:t>Journal of Digital Marketing, 22</w:t>
      </w:r>
      <w:r w:rsidRPr="00CA5526">
        <w:rPr>
          <w:rFonts w:ascii="Arial" w:hAnsi="Arial" w:cs="Arial"/>
        </w:rPr>
        <w:t>(4), 415–428.</w:t>
      </w:r>
    </w:p>
    <w:p w14:paraId="2CBEBE14" w14:textId="77777777" w:rsidR="00CA5526" w:rsidRPr="00CA5526" w:rsidRDefault="00CA5526" w:rsidP="00CA5526">
      <w:pPr>
        <w:spacing w:line="480" w:lineRule="auto"/>
        <w:jc w:val="both"/>
        <w:rPr>
          <w:rFonts w:ascii="Arial" w:hAnsi="Arial" w:cs="Arial"/>
        </w:rPr>
      </w:pPr>
      <w:proofErr w:type="spellStart"/>
      <w:r w:rsidRPr="00CA5526">
        <w:rPr>
          <w:rFonts w:ascii="Arial" w:hAnsi="Arial" w:cs="Arial"/>
        </w:rPr>
        <w:t>Widjaya</w:t>
      </w:r>
      <w:proofErr w:type="spellEnd"/>
      <w:r w:rsidRPr="00CA5526">
        <w:rPr>
          <w:rFonts w:ascii="Arial" w:hAnsi="Arial" w:cs="Arial"/>
        </w:rPr>
        <w:t xml:space="preserve">, D. (2024). Analysis of the impact of integrated marketing communication on market performance in the banking industry. </w:t>
      </w:r>
      <w:r w:rsidRPr="008F7053">
        <w:rPr>
          <w:rFonts w:ascii="Arial" w:hAnsi="Arial" w:cs="Arial"/>
          <w:i/>
          <w:iCs/>
        </w:rPr>
        <w:t>Asian Journal of Engineering, Social and Health, 3</w:t>
      </w:r>
      <w:r w:rsidRPr="00CA5526">
        <w:rPr>
          <w:rFonts w:ascii="Arial" w:hAnsi="Arial" w:cs="Arial"/>
        </w:rPr>
        <w:t>(6), 1223–1238.</w:t>
      </w:r>
    </w:p>
    <w:p w14:paraId="7E62B3E0" w14:textId="07EE93DD" w:rsidR="00CA5526" w:rsidRPr="00CA5526" w:rsidRDefault="00CA5526" w:rsidP="00CA5526">
      <w:pPr>
        <w:spacing w:line="480" w:lineRule="auto"/>
        <w:jc w:val="both"/>
        <w:rPr>
          <w:rFonts w:ascii="Arial" w:hAnsi="Arial" w:cs="Arial"/>
        </w:rPr>
      </w:pPr>
      <w:r w:rsidRPr="00CA5526">
        <w:rPr>
          <w:rFonts w:ascii="Arial" w:hAnsi="Arial" w:cs="Arial"/>
        </w:rPr>
        <w:t xml:space="preserve">Yang, S., &amp; Zhao, X. (2023). Measuring customer lifetime value in subscription-based models: A framework for the digital age. </w:t>
      </w:r>
      <w:r w:rsidRPr="008F7053">
        <w:rPr>
          <w:rFonts w:ascii="Arial" w:hAnsi="Arial" w:cs="Arial"/>
          <w:i/>
          <w:iCs/>
        </w:rPr>
        <w:t>Journal of Marketing Analytics, 11</w:t>
      </w:r>
      <w:r w:rsidRPr="00CA5526">
        <w:rPr>
          <w:rFonts w:ascii="Arial" w:hAnsi="Arial" w:cs="Arial"/>
        </w:rPr>
        <w:t xml:space="preserve">(2), 130–142. </w:t>
      </w:r>
    </w:p>
    <w:p w14:paraId="0958A688" w14:textId="66AB3E4E" w:rsidR="00CA5526" w:rsidRPr="00CA5526" w:rsidRDefault="00CA5526" w:rsidP="00CA5526">
      <w:pPr>
        <w:spacing w:line="480" w:lineRule="auto"/>
        <w:jc w:val="both"/>
        <w:rPr>
          <w:rFonts w:ascii="Arial" w:hAnsi="Arial" w:cs="Arial"/>
        </w:rPr>
      </w:pPr>
      <w:r w:rsidRPr="00CA5526">
        <w:rPr>
          <w:rFonts w:ascii="Arial" w:hAnsi="Arial" w:cs="Arial"/>
        </w:rPr>
        <w:t xml:space="preserve">Zephaniah, C. O., Ogba, I. E., &amp; </w:t>
      </w:r>
      <w:proofErr w:type="spellStart"/>
      <w:r w:rsidRPr="00CA5526">
        <w:rPr>
          <w:rFonts w:ascii="Arial" w:hAnsi="Arial" w:cs="Arial"/>
        </w:rPr>
        <w:t>Izogo</w:t>
      </w:r>
      <w:proofErr w:type="spellEnd"/>
      <w:r w:rsidRPr="00CA5526">
        <w:rPr>
          <w:rFonts w:ascii="Arial" w:hAnsi="Arial" w:cs="Arial"/>
        </w:rPr>
        <w:t xml:space="preserve">, E. E. (2020). </w:t>
      </w:r>
      <w:r w:rsidRPr="008F7053">
        <w:rPr>
          <w:rFonts w:ascii="Arial" w:hAnsi="Arial" w:cs="Arial"/>
          <w:i/>
          <w:iCs/>
        </w:rPr>
        <w:t>Examining the effect of customers’ perception of bank marketing communication on customer loyalty.</w:t>
      </w:r>
      <w:r w:rsidRPr="00CA5526">
        <w:rPr>
          <w:rFonts w:ascii="Arial" w:hAnsi="Arial" w:cs="Arial"/>
        </w:rPr>
        <w:t xml:space="preserve"> Scientific African, 8, e00383. </w:t>
      </w:r>
    </w:p>
    <w:sectPr w:rsidR="00CA5526" w:rsidRPr="00CA5526" w:rsidSect="00E13121">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A089B4" w14:textId="77777777" w:rsidR="00F560C9" w:rsidRDefault="00F560C9" w:rsidP="000F5284">
      <w:pPr>
        <w:spacing w:after="0" w:line="240" w:lineRule="auto"/>
      </w:pPr>
      <w:r>
        <w:separator/>
      </w:r>
    </w:p>
  </w:endnote>
  <w:endnote w:type="continuationSeparator" w:id="0">
    <w:p w14:paraId="2471F3BB" w14:textId="77777777" w:rsidR="00F560C9" w:rsidRDefault="00F560C9" w:rsidP="000F5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3420873"/>
      <w:docPartObj>
        <w:docPartGallery w:val="Page Numbers (Bottom of Page)"/>
        <w:docPartUnique/>
      </w:docPartObj>
    </w:sdtPr>
    <w:sdtEndPr>
      <w:rPr>
        <w:noProof/>
      </w:rPr>
    </w:sdtEndPr>
    <w:sdtContent>
      <w:p w14:paraId="428CC65B" w14:textId="49EED69B" w:rsidR="000F5284" w:rsidRDefault="000F52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530E31" w14:textId="77777777" w:rsidR="000F5284" w:rsidRDefault="000F52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59DE88" w14:textId="77777777" w:rsidR="00F560C9" w:rsidRDefault="00F560C9" w:rsidP="000F5284">
      <w:pPr>
        <w:spacing w:after="0" w:line="240" w:lineRule="auto"/>
      </w:pPr>
      <w:r>
        <w:separator/>
      </w:r>
    </w:p>
  </w:footnote>
  <w:footnote w:type="continuationSeparator" w:id="0">
    <w:p w14:paraId="1EE976D3" w14:textId="77777777" w:rsidR="00F560C9" w:rsidRDefault="00F560C9" w:rsidP="000F52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00F79"/>
    <w:multiLevelType w:val="hybridMultilevel"/>
    <w:tmpl w:val="E3E8DD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B5D5D"/>
    <w:multiLevelType w:val="hybridMultilevel"/>
    <w:tmpl w:val="C7D269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35980"/>
    <w:multiLevelType w:val="hybridMultilevel"/>
    <w:tmpl w:val="87924C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4717449">
    <w:abstractNumId w:val="1"/>
  </w:num>
  <w:num w:numId="2" w16cid:durableId="525408128">
    <w:abstractNumId w:val="2"/>
  </w:num>
  <w:num w:numId="3" w16cid:durableId="828132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526"/>
    <w:rsid w:val="000F5284"/>
    <w:rsid w:val="001304B1"/>
    <w:rsid w:val="004A315A"/>
    <w:rsid w:val="008F7053"/>
    <w:rsid w:val="00CA5526"/>
    <w:rsid w:val="00CF00A0"/>
    <w:rsid w:val="00E13121"/>
    <w:rsid w:val="00F56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2BA05"/>
  <w15:chartTrackingRefBased/>
  <w15:docId w15:val="{742C7C3E-4AA7-41A8-8782-065D0CB8B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55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55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55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55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55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55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55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55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55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55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55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55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55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55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55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55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55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5526"/>
    <w:rPr>
      <w:rFonts w:eastAsiaTheme="majorEastAsia" w:cstheme="majorBidi"/>
      <w:color w:val="272727" w:themeColor="text1" w:themeTint="D8"/>
    </w:rPr>
  </w:style>
  <w:style w:type="paragraph" w:styleId="Title">
    <w:name w:val="Title"/>
    <w:basedOn w:val="Normal"/>
    <w:next w:val="Normal"/>
    <w:link w:val="TitleChar"/>
    <w:uiPriority w:val="10"/>
    <w:qFormat/>
    <w:rsid w:val="00CA55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55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55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55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5526"/>
    <w:pPr>
      <w:spacing w:before="160"/>
      <w:jc w:val="center"/>
    </w:pPr>
    <w:rPr>
      <w:i/>
      <w:iCs/>
      <w:color w:val="404040" w:themeColor="text1" w:themeTint="BF"/>
    </w:rPr>
  </w:style>
  <w:style w:type="character" w:customStyle="1" w:styleId="QuoteChar">
    <w:name w:val="Quote Char"/>
    <w:basedOn w:val="DefaultParagraphFont"/>
    <w:link w:val="Quote"/>
    <w:uiPriority w:val="29"/>
    <w:rsid w:val="00CA5526"/>
    <w:rPr>
      <w:i/>
      <w:iCs/>
      <w:color w:val="404040" w:themeColor="text1" w:themeTint="BF"/>
    </w:rPr>
  </w:style>
  <w:style w:type="paragraph" w:styleId="ListParagraph">
    <w:name w:val="List Paragraph"/>
    <w:basedOn w:val="Normal"/>
    <w:uiPriority w:val="34"/>
    <w:qFormat/>
    <w:rsid w:val="00CA5526"/>
    <w:pPr>
      <w:ind w:left="720"/>
      <w:contextualSpacing/>
    </w:pPr>
  </w:style>
  <w:style w:type="character" w:styleId="IntenseEmphasis">
    <w:name w:val="Intense Emphasis"/>
    <w:basedOn w:val="DefaultParagraphFont"/>
    <w:uiPriority w:val="21"/>
    <w:qFormat/>
    <w:rsid w:val="00CA5526"/>
    <w:rPr>
      <w:i/>
      <w:iCs/>
      <w:color w:val="0F4761" w:themeColor="accent1" w:themeShade="BF"/>
    </w:rPr>
  </w:style>
  <w:style w:type="paragraph" w:styleId="IntenseQuote">
    <w:name w:val="Intense Quote"/>
    <w:basedOn w:val="Normal"/>
    <w:next w:val="Normal"/>
    <w:link w:val="IntenseQuoteChar"/>
    <w:uiPriority w:val="30"/>
    <w:qFormat/>
    <w:rsid w:val="00CA55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5526"/>
    <w:rPr>
      <w:i/>
      <w:iCs/>
      <w:color w:val="0F4761" w:themeColor="accent1" w:themeShade="BF"/>
    </w:rPr>
  </w:style>
  <w:style w:type="character" w:styleId="IntenseReference">
    <w:name w:val="Intense Reference"/>
    <w:basedOn w:val="DefaultParagraphFont"/>
    <w:uiPriority w:val="32"/>
    <w:qFormat/>
    <w:rsid w:val="00CA5526"/>
    <w:rPr>
      <w:b/>
      <w:bCs/>
      <w:smallCaps/>
      <w:color w:val="0F4761" w:themeColor="accent1" w:themeShade="BF"/>
      <w:spacing w:val="5"/>
    </w:rPr>
  </w:style>
  <w:style w:type="paragraph" w:styleId="Header">
    <w:name w:val="header"/>
    <w:basedOn w:val="Normal"/>
    <w:link w:val="HeaderChar"/>
    <w:uiPriority w:val="99"/>
    <w:unhideWhenUsed/>
    <w:rsid w:val="000F52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284"/>
  </w:style>
  <w:style w:type="paragraph" w:styleId="Footer">
    <w:name w:val="footer"/>
    <w:basedOn w:val="Normal"/>
    <w:link w:val="FooterChar"/>
    <w:uiPriority w:val="99"/>
    <w:unhideWhenUsed/>
    <w:rsid w:val="000F52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284"/>
  </w:style>
  <w:style w:type="paragraph" w:styleId="NoSpacing">
    <w:name w:val="No Spacing"/>
    <w:link w:val="NoSpacingChar"/>
    <w:uiPriority w:val="1"/>
    <w:qFormat/>
    <w:rsid w:val="00E1312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13121"/>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B3F4A07728948B5A74654CCCD274AB3"/>
        <w:category>
          <w:name w:val="General"/>
          <w:gallery w:val="placeholder"/>
        </w:category>
        <w:types>
          <w:type w:val="bbPlcHdr"/>
        </w:types>
        <w:behaviors>
          <w:behavior w:val="content"/>
        </w:behaviors>
        <w:guid w:val="{BF0D3F9E-FB00-4CAD-8A91-ABB7D34BA5C1}"/>
      </w:docPartPr>
      <w:docPartBody>
        <w:p w:rsidR="00000000" w:rsidRDefault="009F6D11" w:rsidP="009F6D11">
          <w:pPr>
            <w:pStyle w:val="1B3F4A07728948B5A74654CCCD274AB3"/>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D11"/>
    <w:rsid w:val="009F6D11"/>
    <w:rsid w:val="00C329A6"/>
    <w:rsid w:val="00CF0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3F4A07728948B5A74654CCCD274AB3">
    <w:name w:val="1B3F4A07728948B5A74654CCCD274AB3"/>
    <w:rsid w:val="009F6D11"/>
  </w:style>
  <w:style w:type="paragraph" w:customStyle="1" w:styleId="57EC7B7FA815444A8497A81AE5A5C7CF">
    <w:name w:val="57EC7B7FA815444A8497A81AE5A5C7CF"/>
    <w:rsid w:val="009F6D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2025-12-12T00:00:00</PublishDate>
  <Abstract/>
  <CompanyAddress>Module: Digital Marketing</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2929</Words>
  <Characters>16701</Characters>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cp:keywords/>
  <dc:description/>
  <dcterms:created xsi:type="dcterms:W3CDTF">2026-01-12T17:59:00Z</dcterms:created>
  <dcterms:modified xsi:type="dcterms:W3CDTF">2026-01-12T17:59:00Z</dcterms:modified>
</cp:coreProperties>
</file>