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F464D" w:rsidRDefault="007F464D">
      <w:pPr>
        <w:jc w:val="center"/>
        <w:rPr>
          <w:b/>
          <w:color w:val="434343"/>
          <w:sz w:val="32"/>
          <w:szCs w:val="32"/>
          <w:highlight w:val="white"/>
        </w:rPr>
      </w:pPr>
    </w:p>
    <w:p w14:paraId="00000002" w14:textId="77777777" w:rsidR="007F464D" w:rsidRDefault="007F464D">
      <w:pPr>
        <w:jc w:val="center"/>
        <w:rPr>
          <w:b/>
          <w:color w:val="434343"/>
          <w:sz w:val="32"/>
          <w:szCs w:val="32"/>
          <w:highlight w:val="white"/>
        </w:rPr>
      </w:pPr>
    </w:p>
    <w:p w14:paraId="00000003" w14:textId="77777777" w:rsidR="007F464D" w:rsidRDefault="007F464D">
      <w:pPr>
        <w:jc w:val="center"/>
        <w:rPr>
          <w:b/>
          <w:color w:val="434343"/>
          <w:sz w:val="32"/>
          <w:szCs w:val="32"/>
          <w:highlight w:val="white"/>
        </w:rPr>
      </w:pPr>
    </w:p>
    <w:p w14:paraId="00000004" w14:textId="77777777" w:rsidR="007F464D" w:rsidRDefault="007F464D">
      <w:pPr>
        <w:jc w:val="center"/>
        <w:rPr>
          <w:b/>
          <w:color w:val="434343"/>
          <w:sz w:val="32"/>
          <w:szCs w:val="32"/>
          <w:highlight w:val="white"/>
        </w:rPr>
      </w:pPr>
    </w:p>
    <w:p w14:paraId="00000005" w14:textId="77777777" w:rsidR="007F464D" w:rsidRDefault="007F464D">
      <w:pPr>
        <w:jc w:val="center"/>
        <w:rPr>
          <w:b/>
          <w:color w:val="434343"/>
          <w:sz w:val="32"/>
          <w:szCs w:val="32"/>
          <w:highlight w:val="white"/>
        </w:rPr>
      </w:pPr>
    </w:p>
    <w:p w14:paraId="00000006" w14:textId="77777777" w:rsidR="007F464D" w:rsidRDefault="007F464D">
      <w:pPr>
        <w:jc w:val="center"/>
        <w:rPr>
          <w:b/>
          <w:color w:val="434343"/>
          <w:sz w:val="32"/>
          <w:szCs w:val="32"/>
          <w:highlight w:val="white"/>
        </w:rPr>
      </w:pPr>
    </w:p>
    <w:p w14:paraId="00000007" w14:textId="77777777" w:rsidR="007F464D" w:rsidRPr="00CF33F6" w:rsidRDefault="005B53E2">
      <w:pPr>
        <w:jc w:val="center"/>
        <w:rPr>
          <w:b/>
          <w:color w:val="000000" w:themeColor="text1"/>
          <w:sz w:val="32"/>
          <w:szCs w:val="32"/>
          <w:highlight w:val="white"/>
        </w:rPr>
      </w:pPr>
      <w:r w:rsidRPr="00CF33F6">
        <w:rPr>
          <w:b/>
          <w:color w:val="000000" w:themeColor="text1"/>
          <w:sz w:val="32"/>
          <w:szCs w:val="32"/>
          <w:highlight w:val="white"/>
        </w:rPr>
        <w:t>Legal Process</w:t>
      </w:r>
    </w:p>
    <w:p w14:paraId="00000008" w14:textId="77777777" w:rsidR="007F464D" w:rsidRDefault="005B53E2">
      <w:pPr>
        <w:rPr>
          <w:b/>
          <w:color w:val="434343"/>
          <w:sz w:val="32"/>
          <w:szCs w:val="32"/>
          <w:highlight w:val="white"/>
        </w:rPr>
      </w:pPr>
      <w:r>
        <w:br w:type="page"/>
      </w:r>
    </w:p>
    <w:p w14:paraId="00000009" w14:textId="77777777" w:rsidR="007F464D" w:rsidRDefault="005B53E2">
      <w:pPr>
        <w:keepNext/>
        <w:keepLines/>
        <w:pBdr>
          <w:top w:val="nil"/>
          <w:left w:val="nil"/>
          <w:bottom w:val="nil"/>
          <w:right w:val="nil"/>
          <w:between w:val="nil"/>
        </w:pBdr>
        <w:spacing w:after="0"/>
        <w:jc w:val="center"/>
        <w:rPr>
          <w:b/>
          <w:color w:val="000000"/>
        </w:rPr>
      </w:pPr>
      <w:r>
        <w:rPr>
          <w:b/>
          <w:color w:val="000000"/>
        </w:rPr>
        <w:lastRenderedPageBreak/>
        <w:t>Table of Contents</w:t>
      </w:r>
    </w:p>
    <w:sdt>
      <w:sdtPr>
        <w:id w:val="163655853"/>
        <w:docPartObj>
          <w:docPartGallery w:val="Table of Contents"/>
          <w:docPartUnique/>
        </w:docPartObj>
      </w:sdtPr>
      <w:sdtEndPr/>
      <w:sdtContent>
        <w:p w14:paraId="67D9AE3C" w14:textId="7D0C51B4" w:rsidR="00B003B3" w:rsidRDefault="005B53E2">
          <w:pPr>
            <w:pStyle w:val="TOC1"/>
            <w:tabs>
              <w:tab w:val="right" w:pos="9019"/>
            </w:tabs>
            <w:rPr>
              <w:rFonts w:asciiTheme="minorHAnsi" w:eastAsiaTheme="minorEastAsia" w:hAnsiTheme="minorHAnsi" w:cstheme="minorBidi"/>
              <w:noProof/>
              <w:sz w:val="22"/>
              <w:szCs w:val="22"/>
              <w:lang w:val="en-IN" w:eastAsia="en-IN"/>
            </w:rPr>
          </w:pPr>
          <w:r>
            <w:fldChar w:fldCharType="begin"/>
          </w:r>
          <w:r>
            <w:instrText xml:space="preserve"> TOC \h \u \z </w:instrText>
          </w:r>
          <w:r>
            <w:fldChar w:fldCharType="separate"/>
          </w:r>
          <w:hyperlink w:anchor="_Toc108437755" w:history="1">
            <w:r w:rsidR="00B003B3" w:rsidRPr="005C53C3">
              <w:rPr>
                <w:rStyle w:val="Hyperlink"/>
                <w:noProof/>
              </w:rPr>
              <w:t>Introduction</w:t>
            </w:r>
            <w:r w:rsidR="00B003B3">
              <w:rPr>
                <w:noProof/>
                <w:webHidden/>
              </w:rPr>
              <w:tab/>
            </w:r>
            <w:r w:rsidR="00B003B3">
              <w:rPr>
                <w:noProof/>
                <w:webHidden/>
              </w:rPr>
              <w:fldChar w:fldCharType="begin"/>
            </w:r>
            <w:r w:rsidR="00B003B3">
              <w:rPr>
                <w:noProof/>
                <w:webHidden/>
              </w:rPr>
              <w:instrText xml:space="preserve"> PAGEREF _Toc108437755 \h </w:instrText>
            </w:r>
            <w:r w:rsidR="00B003B3">
              <w:rPr>
                <w:noProof/>
                <w:webHidden/>
              </w:rPr>
            </w:r>
            <w:r w:rsidR="00B003B3">
              <w:rPr>
                <w:noProof/>
                <w:webHidden/>
              </w:rPr>
              <w:fldChar w:fldCharType="separate"/>
            </w:r>
            <w:r w:rsidR="00B003B3">
              <w:rPr>
                <w:noProof/>
                <w:webHidden/>
              </w:rPr>
              <w:t>3</w:t>
            </w:r>
            <w:r w:rsidR="00B003B3">
              <w:rPr>
                <w:noProof/>
                <w:webHidden/>
              </w:rPr>
              <w:fldChar w:fldCharType="end"/>
            </w:r>
          </w:hyperlink>
        </w:p>
        <w:p w14:paraId="24FE326D" w14:textId="444BBE29" w:rsidR="00B003B3" w:rsidRDefault="003D5E24">
          <w:pPr>
            <w:pStyle w:val="TOC1"/>
            <w:tabs>
              <w:tab w:val="right" w:pos="9019"/>
            </w:tabs>
            <w:rPr>
              <w:rFonts w:asciiTheme="minorHAnsi" w:eastAsiaTheme="minorEastAsia" w:hAnsiTheme="minorHAnsi" w:cstheme="minorBidi"/>
              <w:noProof/>
              <w:sz w:val="22"/>
              <w:szCs w:val="22"/>
              <w:lang w:val="en-IN" w:eastAsia="en-IN"/>
            </w:rPr>
          </w:pPr>
          <w:hyperlink w:anchor="_Toc108437756" w:history="1">
            <w:r w:rsidR="00B003B3" w:rsidRPr="005C53C3">
              <w:rPr>
                <w:rStyle w:val="Hyperlink"/>
                <w:noProof/>
              </w:rPr>
              <w:t>Discussion</w:t>
            </w:r>
            <w:r w:rsidR="00B003B3">
              <w:rPr>
                <w:noProof/>
                <w:webHidden/>
              </w:rPr>
              <w:tab/>
            </w:r>
            <w:r w:rsidR="00B003B3">
              <w:rPr>
                <w:noProof/>
                <w:webHidden/>
              </w:rPr>
              <w:fldChar w:fldCharType="begin"/>
            </w:r>
            <w:r w:rsidR="00B003B3">
              <w:rPr>
                <w:noProof/>
                <w:webHidden/>
              </w:rPr>
              <w:instrText xml:space="preserve"> PAGEREF _Toc108437756 \h </w:instrText>
            </w:r>
            <w:r w:rsidR="00B003B3">
              <w:rPr>
                <w:noProof/>
                <w:webHidden/>
              </w:rPr>
            </w:r>
            <w:r w:rsidR="00B003B3">
              <w:rPr>
                <w:noProof/>
                <w:webHidden/>
              </w:rPr>
              <w:fldChar w:fldCharType="separate"/>
            </w:r>
            <w:r w:rsidR="00B003B3">
              <w:rPr>
                <w:noProof/>
                <w:webHidden/>
              </w:rPr>
              <w:t>3</w:t>
            </w:r>
            <w:r w:rsidR="00B003B3">
              <w:rPr>
                <w:noProof/>
                <w:webHidden/>
              </w:rPr>
              <w:fldChar w:fldCharType="end"/>
            </w:r>
          </w:hyperlink>
        </w:p>
        <w:p w14:paraId="46E15863" w14:textId="7113FD4B" w:rsidR="00B003B3" w:rsidRDefault="003D5E24">
          <w:pPr>
            <w:pStyle w:val="TOC1"/>
            <w:tabs>
              <w:tab w:val="right" w:pos="9019"/>
            </w:tabs>
            <w:rPr>
              <w:rFonts w:asciiTheme="minorHAnsi" w:eastAsiaTheme="minorEastAsia" w:hAnsiTheme="minorHAnsi" w:cstheme="minorBidi"/>
              <w:noProof/>
              <w:sz w:val="22"/>
              <w:szCs w:val="22"/>
              <w:lang w:val="en-IN" w:eastAsia="en-IN"/>
            </w:rPr>
          </w:pPr>
          <w:hyperlink w:anchor="_Toc108437757" w:history="1">
            <w:r w:rsidR="00B003B3" w:rsidRPr="005C53C3">
              <w:rPr>
                <w:rStyle w:val="Hyperlink"/>
                <w:noProof/>
              </w:rPr>
              <w:t>Concussion</w:t>
            </w:r>
            <w:r w:rsidR="00B003B3">
              <w:rPr>
                <w:noProof/>
                <w:webHidden/>
              </w:rPr>
              <w:tab/>
            </w:r>
            <w:r w:rsidR="00B003B3">
              <w:rPr>
                <w:noProof/>
                <w:webHidden/>
              </w:rPr>
              <w:fldChar w:fldCharType="begin"/>
            </w:r>
            <w:r w:rsidR="00B003B3">
              <w:rPr>
                <w:noProof/>
                <w:webHidden/>
              </w:rPr>
              <w:instrText xml:space="preserve"> PAGEREF _Toc108437757 \h </w:instrText>
            </w:r>
            <w:r w:rsidR="00B003B3">
              <w:rPr>
                <w:noProof/>
                <w:webHidden/>
              </w:rPr>
            </w:r>
            <w:r w:rsidR="00B003B3">
              <w:rPr>
                <w:noProof/>
                <w:webHidden/>
              </w:rPr>
              <w:fldChar w:fldCharType="separate"/>
            </w:r>
            <w:r w:rsidR="00B003B3">
              <w:rPr>
                <w:noProof/>
                <w:webHidden/>
              </w:rPr>
              <w:t>6</w:t>
            </w:r>
            <w:r w:rsidR="00B003B3">
              <w:rPr>
                <w:noProof/>
                <w:webHidden/>
              </w:rPr>
              <w:fldChar w:fldCharType="end"/>
            </w:r>
          </w:hyperlink>
        </w:p>
        <w:p w14:paraId="4E08B12B" w14:textId="1A25EEDE" w:rsidR="00B003B3" w:rsidRDefault="003D5E24">
          <w:pPr>
            <w:pStyle w:val="TOC1"/>
            <w:tabs>
              <w:tab w:val="right" w:pos="9019"/>
            </w:tabs>
            <w:rPr>
              <w:rFonts w:asciiTheme="minorHAnsi" w:eastAsiaTheme="minorEastAsia" w:hAnsiTheme="minorHAnsi" w:cstheme="minorBidi"/>
              <w:noProof/>
              <w:sz w:val="22"/>
              <w:szCs w:val="22"/>
              <w:lang w:val="en-IN" w:eastAsia="en-IN"/>
            </w:rPr>
          </w:pPr>
          <w:hyperlink w:anchor="_Toc108437758" w:history="1">
            <w:r w:rsidR="00B003B3" w:rsidRPr="005C53C3">
              <w:rPr>
                <w:rStyle w:val="Hyperlink"/>
                <w:noProof/>
              </w:rPr>
              <w:t>Reference list</w:t>
            </w:r>
            <w:r w:rsidR="00B003B3">
              <w:rPr>
                <w:noProof/>
                <w:webHidden/>
              </w:rPr>
              <w:tab/>
            </w:r>
            <w:r w:rsidR="00B003B3">
              <w:rPr>
                <w:noProof/>
                <w:webHidden/>
              </w:rPr>
              <w:fldChar w:fldCharType="begin"/>
            </w:r>
            <w:r w:rsidR="00B003B3">
              <w:rPr>
                <w:noProof/>
                <w:webHidden/>
              </w:rPr>
              <w:instrText xml:space="preserve"> PAGEREF _Toc108437758 \h </w:instrText>
            </w:r>
            <w:r w:rsidR="00B003B3">
              <w:rPr>
                <w:noProof/>
                <w:webHidden/>
              </w:rPr>
            </w:r>
            <w:r w:rsidR="00B003B3">
              <w:rPr>
                <w:noProof/>
                <w:webHidden/>
              </w:rPr>
              <w:fldChar w:fldCharType="separate"/>
            </w:r>
            <w:r w:rsidR="00B003B3">
              <w:rPr>
                <w:noProof/>
                <w:webHidden/>
              </w:rPr>
              <w:t>7</w:t>
            </w:r>
            <w:r w:rsidR="00B003B3">
              <w:rPr>
                <w:noProof/>
                <w:webHidden/>
              </w:rPr>
              <w:fldChar w:fldCharType="end"/>
            </w:r>
          </w:hyperlink>
        </w:p>
        <w:p w14:paraId="0000000D" w14:textId="3E81AB58" w:rsidR="007F464D" w:rsidRDefault="005B53E2">
          <w:r>
            <w:fldChar w:fldCharType="end"/>
          </w:r>
        </w:p>
      </w:sdtContent>
    </w:sdt>
    <w:p w14:paraId="0000000E" w14:textId="77777777" w:rsidR="007F464D" w:rsidRDefault="007F464D">
      <w:pPr>
        <w:rPr>
          <w:b/>
          <w:sz w:val="32"/>
          <w:szCs w:val="32"/>
        </w:rPr>
      </w:pPr>
    </w:p>
    <w:p w14:paraId="0000000F" w14:textId="77777777" w:rsidR="007F464D" w:rsidRDefault="005B53E2">
      <w:pPr>
        <w:rPr>
          <w:b/>
        </w:rPr>
      </w:pPr>
      <w:bookmarkStart w:id="0" w:name="_heading=h.gjdgxs" w:colFirst="0" w:colLast="0"/>
      <w:bookmarkEnd w:id="0"/>
      <w:r>
        <w:br w:type="page"/>
      </w:r>
    </w:p>
    <w:p w14:paraId="00000010" w14:textId="77777777" w:rsidR="007F464D" w:rsidRDefault="005B53E2">
      <w:pPr>
        <w:pStyle w:val="Heading10"/>
      </w:pPr>
      <w:bookmarkStart w:id="1" w:name="_heading=h.ctfridyiwur" w:colFirst="0" w:colLast="0"/>
      <w:bookmarkStart w:id="2" w:name="_Toc108437755"/>
      <w:bookmarkEnd w:id="1"/>
      <w:r>
        <w:lastRenderedPageBreak/>
        <w:t>Introduction</w:t>
      </w:r>
      <w:bookmarkEnd w:id="2"/>
    </w:p>
    <w:p w14:paraId="00000011" w14:textId="77777777" w:rsidR="007F464D" w:rsidRDefault="005B53E2">
      <w:r>
        <w:t>Juries are one of the notable parts of the judicial system of the UK. A body, occupied by a group of people who are sworn to assess and hear the arguments of both sides in a particular case without any bias and provide judgement accordingly, is known as juries. Notable citizens in each of the districts whose age is between 18 to 70 years with a valid voter identification and driving licence can be appointed as a jury (</w:t>
      </w:r>
      <w:r>
        <w:rPr>
          <w:color w:val="222222"/>
          <w:highlight w:val="white"/>
        </w:rPr>
        <w:t>Anderson, 2020)</w:t>
      </w:r>
      <w:r>
        <w:t>. Juries are appointed and summoned in “</w:t>
      </w:r>
      <w:r>
        <w:rPr>
          <w:b/>
          <w:i/>
        </w:rPr>
        <w:t>Crown Court</w:t>
      </w:r>
      <w:r>
        <w:t>”, “</w:t>
      </w:r>
      <w:r>
        <w:rPr>
          <w:b/>
          <w:i/>
        </w:rPr>
        <w:t>High Court</w:t>
      </w:r>
      <w:r>
        <w:t>”, “</w:t>
      </w:r>
      <w:r>
        <w:rPr>
          <w:b/>
          <w:i/>
        </w:rPr>
        <w:t>County Court</w:t>
      </w:r>
      <w:r>
        <w:t>” and “</w:t>
      </w:r>
      <w:r>
        <w:rPr>
          <w:b/>
          <w:i/>
        </w:rPr>
        <w:t>Coroner’s Court</w:t>
      </w:r>
      <w:r>
        <w:t>”. The study is going to be discussed and assess whether the jury system in the judicial services in England and Wales should be eliminated.</w:t>
      </w:r>
    </w:p>
    <w:p w14:paraId="00000012" w14:textId="77777777" w:rsidR="007F464D" w:rsidRDefault="005B53E2">
      <w:pPr>
        <w:pStyle w:val="Heading10"/>
      </w:pPr>
      <w:bookmarkStart w:id="3" w:name="_heading=h.q0m6f37ekzto" w:colFirst="0" w:colLast="0"/>
      <w:bookmarkStart w:id="4" w:name="_Toc108437756"/>
      <w:bookmarkEnd w:id="3"/>
      <w:r>
        <w:t>Discussion</w:t>
      </w:r>
      <w:bookmarkEnd w:id="4"/>
      <w:r>
        <w:t xml:space="preserve"> </w:t>
      </w:r>
    </w:p>
    <w:p w14:paraId="00000013" w14:textId="48A23E15" w:rsidR="007F464D" w:rsidRDefault="005B53E2">
      <w:r>
        <w:t xml:space="preserve">All crown Courts are officially responsible for summoning the jurors in order to hear the case. The responsible people of the Crown Court arrange for the name of jurors to be selected from the electoral register. This process is automated and randomly done by the computer at the central office. In doing so jurors face some problems with the selection process. In the UK every district court randomly selects the name of a citizen from the registered voters. The people selected for the jury selection process complete a questionnaire to help the court determine if they are qualified to serve on a jury. For instance, prosecution or defence lawyers often can be a challenge to a juror if he thinks that he should not serve as a juror. The selected people must give a good reason during the prosecution. However, the reason must be acceptable to the judge if the judge does not accept the </w:t>
      </w:r>
      <w:r w:rsidR="00B003B3">
        <w:t>reason,</w:t>
      </w:r>
      <w:r>
        <w:t xml:space="preserve"> then the selected person would not be allowed to serve as a juror on that trial in particular (</w:t>
      </w:r>
      <w:proofErr w:type="spellStart"/>
      <w:r>
        <w:rPr>
          <w:highlight w:val="white"/>
        </w:rPr>
        <w:t>nidirect</w:t>
      </w:r>
      <w:proofErr w:type="spellEnd"/>
      <w:r>
        <w:rPr>
          <w:highlight w:val="white"/>
        </w:rPr>
        <w:t>, 2022</w:t>
      </w:r>
      <w:r>
        <w:t xml:space="preserve">). However, the person can be called to act on their jury in another case. </w:t>
      </w:r>
    </w:p>
    <w:p w14:paraId="00000014" w14:textId="77777777" w:rsidR="007F464D" w:rsidRDefault="005B53E2">
      <w:pPr>
        <w:rPr>
          <w:highlight w:val="white"/>
        </w:rPr>
      </w:pPr>
      <w:r>
        <w:t xml:space="preserve">Another problem with the jury selection process is that the failure to return a jury summons turn up for jury service leads to a fine of </w:t>
      </w:r>
      <w:r>
        <w:rPr>
          <w:b/>
          <w:highlight w:val="white"/>
        </w:rPr>
        <w:t xml:space="preserve">£1,000 </w:t>
      </w:r>
      <w:r>
        <w:rPr>
          <w:highlight w:val="white"/>
        </w:rPr>
        <w:t xml:space="preserve">(GOV, 2022). Also, the jurors who have agreed to serve on a jury must have to attend for ten working days. Jurors are also expected to stay beyond their service if the case should be extended up to two weeks. Therefore, the long time period required for the jury selection process is one of the challenging factors. The criteria for jury selection is also a problem associated with the selection process. If a person served a prison sentence or received a suspended sentence, he or she would not be allowed to serve as a juror for ten years. As well as if there had been a community order or community sentence imposed on an individual, he or she will not be considered for the jury selection process. </w:t>
      </w:r>
    </w:p>
    <w:p w14:paraId="00000015" w14:textId="77777777" w:rsidR="007F464D" w:rsidRDefault="005B53E2">
      <w:r>
        <w:rPr>
          <w:highlight w:val="white"/>
        </w:rPr>
        <w:lastRenderedPageBreak/>
        <w:t xml:space="preserve">On the other hand, if a court clerk has selected the final twelve jurors, then they will be allowed to enter the jury box to be sworn in as jurors. For instance, once the juror enters the court, the defence counsel and prosecution can be challenging factors for one or more jurors. The right to the array can challenge the jury depending on the way (unrepresentative or biased) </w:t>
      </w:r>
      <w:r>
        <w:t>(</w:t>
      </w:r>
      <w:r>
        <w:rPr>
          <w:highlight w:val="white"/>
        </w:rPr>
        <w:t>GOV, 2022</w:t>
      </w:r>
      <w:r>
        <w:t>)</w:t>
      </w:r>
      <w:r>
        <w:rPr>
          <w:highlight w:val="white"/>
        </w:rPr>
        <w:t xml:space="preserve">. Likewise, the challenge “for cause” often challenges a juror’s right to sit on the jury. Furthermore, if the jury counters any issues during the discussion of a case amongst themselves, the jury selection process is disrupted where the audience of a judge is required.    </w:t>
      </w:r>
      <w:r>
        <w:rPr>
          <w:color w:val="444444"/>
          <w:highlight w:val="white"/>
        </w:rPr>
        <w:t xml:space="preserve">               </w:t>
      </w:r>
      <w:r>
        <w:rPr>
          <w:color w:val="444444"/>
        </w:rPr>
        <w:t xml:space="preserve">         </w:t>
      </w:r>
      <w:r>
        <w:t xml:space="preserve">      </w:t>
      </w:r>
    </w:p>
    <w:p w14:paraId="00000016" w14:textId="77777777" w:rsidR="007F464D" w:rsidRDefault="005B53E2">
      <w:r>
        <w:t>Some people are not qualified for jury service because of their job. There is no automatic exemption from jersey service for older people. Under the</w:t>
      </w:r>
      <w:r>
        <w:rPr>
          <w:b/>
        </w:rPr>
        <w:t xml:space="preserve"> Juries Act 1974</w:t>
      </w:r>
      <w:r>
        <w:t xml:space="preserve"> England, an individual must have some specific characteristics to qualify for jury service, those are listed below</w:t>
      </w:r>
    </w:p>
    <w:p w14:paraId="00000017" w14:textId="77777777" w:rsidR="007F464D" w:rsidRDefault="005B53E2">
      <w:pPr>
        <w:numPr>
          <w:ilvl w:val="0"/>
          <w:numId w:val="1"/>
        </w:numPr>
        <w:spacing w:after="0"/>
      </w:pPr>
      <w:r>
        <w:t xml:space="preserve">Individuals aged below </w:t>
      </w:r>
      <w:r>
        <w:rPr>
          <w:b/>
        </w:rPr>
        <w:t>18</w:t>
      </w:r>
      <w:r>
        <w:t xml:space="preserve"> and above </w:t>
      </w:r>
      <w:r>
        <w:rPr>
          <w:b/>
        </w:rPr>
        <w:t>70</w:t>
      </w:r>
      <w:r>
        <w:t xml:space="preserve"> are disqualified from jury service (</w:t>
      </w:r>
      <w:r>
        <w:rPr>
          <w:highlight w:val="white"/>
        </w:rPr>
        <w:t>GOV, 2022</w:t>
      </w:r>
      <w:r>
        <w:t>).</w:t>
      </w:r>
    </w:p>
    <w:p w14:paraId="00000018" w14:textId="77777777" w:rsidR="007F464D" w:rsidRDefault="005B53E2">
      <w:pPr>
        <w:numPr>
          <w:ilvl w:val="0"/>
          <w:numId w:val="1"/>
        </w:numPr>
        <w:spacing w:before="0" w:after="0"/>
      </w:pPr>
      <w:r>
        <w:t>Individuals with life imprisonment or detention for public protection are permanently disqualified from jury service.</w:t>
      </w:r>
    </w:p>
    <w:p w14:paraId="00000019" w14:textId="77777777" w:rsidR="007F464D" w:rsidRDefault="005B53E2">
      <w:pPr>
        <w:numPr>
          <w:ilvl w:val="0"/>
          <w:numId w:val="1"/>
        </w:numPr>
        <w:spacing w:before="0" w:after="0"/>
      </w:pPr>
      <w:r>
        <w:t>Individuals are also disqualified from setting as a juror if they are currently on bail in criminal proceedings</w:t>
      </w:r>
    </w:p>
    <w:p w14:paraId="0000001A" w14:textId="77777777" w:rsidR="007F464D" w:rsidRDefault="005B53E2">
      <w:pPr>
        <w:numPr>
          <w:ilvl w:val="0"/>
          <w:numId w:val="1"/>
        </w:numPr>
        <w:spacing w:before="0" w:after="0"/>
      </w:pPr>
      <w:r>
        <w:t xml:space="preserve">If an individual is convicted by a court in the UK, the Channel Islands and the Isle of Man and sentenced to </w:t>
      </w:r>
      <w:r>
        <w:rPr>
          <w:b/>
        </w:rPr>
        <w:t xml:space="preserve">5 years or more in prison </w:t>
      </w:r>
      <w:r>
        <w:t>(</w:t>
      </w:r>
      <w:proofErr w:type="spellStart"/>
      <w:r>
        <w:rPr>
          <w:highlight w:val="white"/>
        </w:rPr>
        <w:t>nidirect</w:t>
      </w:r>
      <w:proofErr w:type="spellEnd"/>
      <w:r>
        <w:rPr>
          <w:highlight w:val="white"/>
        </w:rPr>
        <w:t>, 2022</w:t>
      </w:r>
      <w:r>
        <w:t>)</w:t>
      </w:r>
      <w:r>
        <w:rPr>
          <w:b/>
        </w:rPr>
        <w:t>,</w:t>
      </w:r>
    </w:p>
    <w:p w14:paraId="0000001B" w14:textId="77777777" w:rsidR="007F464D" w:rsidRDefault="005B53E2">
      <w:pPr>
        <w:numPr>
          <w:ilvl w:val="0"/>
          <w:numId w:val="1"/>
        </w:numPr>
        <w:spacing w:before="0"/>
      </w:pPr>
      <w:r>
        <w:t>An individual has an indeterminate custodial sentence under</w:t>
      </w:r>
      <w:r>
        <w:rPr>
          <w:b/>
        </w:rPr>
        <w:t xml:space="preserve"> “Article 13 of the Criminal Justice order 2008”.            </w:t>
      </w:r>
    </w:p>
    <w:p w14:paraId="0000001C" w14:textId="77777777" w:rsidR="007F464D" w:rsidRDefault="005B53E2">
      <w:r>
        <w:t xml:space="preserve">The principal idea in the case of the introduction of the jury system is to democratise the judiciary of the country. It further helps the justices in explaining and assessing the arguments of both sides in a given case. The system further acts as the check and balance system of justice. It further helps the justice system by indicating the sentences with a majority view. It can be noted that in the case of a trial where the jurors are present both sides of the case try to argue with a sharp blend of emotional arguments. As pointed out by </w:t>
      </w:r>
      <w:proofErr w:type="spellStart"/>
      <w:r>
        <w:rPr>
          <w:color w:val="222222"/>
          <w:highlight w:val="white"/>
        </w:rPr>
        <w:t>Herriott</w:t>
      </w:r>
      <w:proofErr w:type="spellEnd"/>
      <w:r>
        <w:t xml:space="preserve"> (2022), the trial by jurors and the use of the emotional side may further influence the pathway of justice. It may also lead to a miscarriage of justice and the jury may favour the party that makes better arguments blended with a pure emotional touch. It may resist the path of justice and reduce the reputation of the judiciary in the country.</w:t>
      </w:r>
    </w:p>
    <w:p w14:paraId="0000001D" w14:textId="77777777" w:rsidR="007F464D" w:rsidRDefault="005B53E2">
      <w:r>
        <w:lastRenderedPageBreak/>
        <w:t xml:space="preserve">However, the jury system, on the other hand, apparel a more easier audience of the argument presented than the judges. </w:t>
      </w:r>
      <w:proofErr w:type="spellStart"/>
      <w:r>
        <w:rPr>
          <w:color w:val="222222"/>
          <w:highlight w:val="white"/>
        </w:rPr>
        <w:t>Lettow</w:t>
      </w:r>
      <w:proofErr w:type="spellEnd"/>
      <w:r>
        <w:rPr>
          <w:color w:val="222222"/>
          <w:highlight w:val="white"/>
        </w:rPr>
        <w:t xml:space="preserve"> Lerner</w:t>
      </w:r>
      <w:r>
        <w:t xml:space="preserve"> (2022), argued that pressure from presenting the case to the jurors is more appellate and this further improves the quality of argumentation. The easier access also ensures better judgement and eases the path of justice. The jury system also offers society to make a statement in criminal cases  Additionally, </w:t>
      </w:r>
      <w:r>
        <w:rPr>
          <w:color w:val="222222"/>
          <w:highlight w:val="white"/>
        </w:rPr>
        <w:t xml:space="preserve">Bornstein </w:t>
      </w:r>
      <w:r>
        <w:rPr>
          <w:i/>
          <w:color w:val="222222"/>
          <w:highlight w:val="white"/>
        </w:rPr>
        <w:t>et al.</w:t>
      </w:r>
      <w:r>
        <w:t xml:space="preserve"> (2020), presented another view by stating that the system further reduces the chance of judicial bias which also improves the justice system and its workings. Several times it can also be noted that the jury was misled by other stakeholders of the justice system and resulting in a faulty judgement. </w:t>
      </w:r>
    </w:p>
    <w:p w14:paraId="0000001E" w14:textId="77777777" w:rsidR="007F464D" w:rsidRDefault="005B53E2">
      <w:r>
        <w:t>In the case of Derek Bentley who was convicted to murder a police constable named “Sidney Miles” in 1953. He was convicted by the court of law and after a long campaign of his family arguing the accused had severe mental disabilities, in 1998 the case reopened (</w:t>
      </w:r>
      <w:r>
        <w:rPr>
          <w:highlight w:val="white"/>
        </w:rPr>
        <w:t>Jones, 2022)</w:t>
      </w:r>
      <w:r>
        <w:t>. In this case, the trial judge misdirected the jury which leads to the end of his conviction. Another incident can be found in the case of Judith Ward, who are convicted to be part of the IRA, killing more than 12 people (</w:t>
      </w:r>
      <w:r>
        <w:rPr>
          <w:highlight w:val="white"/>
        </w:rPr>
        <w:t>Jones, 2022)</w:t>
      </w:r>
      <w:r>
        <w:t>. In 1992, her conviction was also gets dismissed when the defence lawyers argued before the trial jury that the convicted had a history of mental illness.</w:t>
      </w:r>
    </w:p>
    <w:p w14:paraId="0000001F" w14:textId="77777777" w:rsidR="007F464D" w:rsidRDefault="005B53E2">
      <w:r>
        <w:t>The backlog of cases in the judicial system is known as the situation where the court of law is overburdened with the workloads so much that the proper flow of justice gets restricted. The application of a jury in a particular case further reduces the speed of trials and both sides try to palace their arguments in an elaborative manner. It further destroys the limited time assigned for each case. The judges on the other hand are the professionals to hear understand the scenario better that further guaranteeing an unbiased trial system. Additionally, the application of the jury further spends a lot of time understanding the legal structure of the case on the other hand the judges are experts in this scenario (</w:t>
      </w:r>
      <w:r>
        <w:rPr>
          <w:color w:val="222222"/>
          <w:highlight w:val="white"/>
        </w:rPr>
        <w:t>Bhagwat, 2021)</w:t>
      </w:r>
      <w:r>
        <w:t>. Suspension of all the jury trials further provides a boost in the velocity of justice delivery (</w:t>
      </w:r>
      <w:r>
        <w:rPr>
          <w:highlight w:val="white"/>
        </w:rPr>
        <w:t>parliament, 2022)</w:t>
      </w:r>
      <w:r>
        <w:t>. The case of Stephen Downing was convicted and jailed for 27 years for the murder of Wendy Sewell. The particular case was long pending after the sign of the confession by the convicted (</w:t>
      </w:r>
      <w:r>
        <w:rPr>
          <w:highlight w:val="white"/>
        </w:rPr>
        <w:t>Jones, 2022)</w:t>
      </w:r>
      <w:r>
        <w:t>. The case was mainly restricted by raising questions about the medium of signing the confession and the role of the police in this matter (</w:t>
      </w:r>
      <w:r>
        <w:rPr>
          <w:highlight w:val="white"/>
        </w:rPr>
        <w:t>Jones, 2022)</w:t>
      </w:r>
      <w:r>
        <w:t>.</w:t>
      </w:r>
    </w:p>
    <w:p w14:paraId="00000020" w14:textId="77777777" w:rsidR="007F464D" w:rsidRDefault="005B53E2">
      <w:r>
        <w:t xml:space="preserve">From the above discussion, some significant factors have been identified that are affecting the jury selection process. Concerning those areas, the court of England is suggested to reform their structure and policies for the jury selection process. Some recommendations can be radical </w:t>
      </w:r>
      <w:r>
        <w:lastRenderedPageBreak/>
        <w:t xml:space="preserve">such as </w:t>
      </w:r>
      <w:r>
        <w:rPr>
          <w:b/>
        </w:rPr>
        <w:t xml:space="preserve">“allowing non-unanimous jury verdicts, reopening the case when the jury is hung and eliminating peremptory strikes” </w:t>
      </w:r>
      <w:r>
        <w:t>(</w:t>
      </w:r>
      <w:r>
        <w:rPr>
          <w:highlight w:val="white"/>
        </w:rPr>
        <w:t>kingston, 2022</w:t>
      </w:r>
      <w:r>
        <w:t>)</w:t>
      </w:r>
      <w:r>
        <w:rPr>
          <w:b/>
        </w:rPr>
        <w:t xml:space="preserve">.  </w:t>
      </w:r>
      <w:r>
        <w:t>The most important of all is to simplify the jurisdiction procedure ad simplification of the legal direction. The process further helps to fast-track the process of delivering justice (</w:t>
      </w:r>
      <w:r>
        <w:rPr>
          <w:highlight w:val="white"/>
        </w:rPr>
        <w:t>kingston, 2022)</w:t>
      </w:r>
      <w:r>
        <w:t xml:space="preserve">. It can also be noted that the judiciary of the nation should make a proper distinction between the cases that can reduce the time complexity of delivering justice. </w:t>
      </w:r>
      <w:r>
        <w:rPr>
          <w:b/>
        </w:rPr>
        <w:t xml:space="preserve">        </w:t>
      </w:r>
    </w:p>
    <w:p w14:paraId="00000021" w14:textId="77777777" w:rsidR="007F464D" w:rsidRDefault="005B53E2">
      <w:pPr>
        <w:pStyle w:val="Heading10"/>
      </w:pPr>
      <w:bookmarkStart w:id="5" w:name="_Toc108437757"/>
      <w:r>
        <w:t>Concussion</w:t>
      </w:r>
      <w:bookmarkEnd w:id="5"/>
      <w:r>
        <w:t xml:space="preserve"> </w:t>
      </w:r>
    </w:p>
    <w:p w14:paraId="00000022" w14:textId="77777777" w:rsidR="007F464D" w:rsidRDefault="005B53E2">
      <w:r>
        <w:t xml:space="preserve">The jury selection process is time-consuming and complex as there are many external and internal factors associated with it. In general, people are randomly chosen from a list of registered voters and people who live in that district with a driver's licence. There are some eligibility criteria for jury service. People older than 70 years and younger than 18 years are disqualified from this process. Also, people convicted by the court of the UK with a sentence of five years or more in prison are not allowed to register their names for jury service. However, at the end of this paper, some reform suggestions are given to make amendments to the process and policies of jury service.        </w:t>
      </w:r>
    </w:p>
    <w:p w14:paraId="00000023" w14:textId="77777777" w:rsidR="007F464D" w:rsidRDefault="007F464D"/>
    <w:p w14:paraId="00000024" w14:textId="77777777" w:rsidR="007F464D" w:rsidRDefault="005B53E2">
      <w:pPr>
        <w:pStyle w:val="Heading10"/>
      </w:pPr>
      <w:r>
        <w:br w:type="page"/>
      </w:r>
    </w:p>
    <w:p w14:paraId="00000025" w14:textId="77777777" w:rsidR="007F464D" w:rsidRDefault="005B53E2">
      <w:pPr>
        <w:pStyle w:val="Heading10"/>
      </w:pPr>
      <w:bookmarkStart w:id="6" w:name="_heading=h.g9y0nvjq4rhe" w:colFirst="0" w:colLast="0"/>
      <w:bookmarkStart w:id="7" w:name="_Toc108437758"/>
      <w:bookmarkEnd w:id="6"/>
      <w:r>
        <w:lastRenderedPageBreak/>
        <w:t>Reference list</w:t>
      </w:r>
      <w:bookmarkEnd w:id="7"/>
      <w:r>
        <w:t xml:space="preserve"> </w:t>
      </w:r>
    </w:p>
    <w:p w14:paraId="0717229F" w14:textId="77777777" w:rsidR="00B003B3" w:rsidRDefault="00B003B3">
      <w:pPr>
        <w:spacing w:before="0" w:after="0"/>
      </w:pPr>
      <w:r>
        <w:rPr>
          <w:color w:val="222222"/>
          <w:highlight w:val="white"/>
        </w:rPr>
        <w:t xml:space="preserve">Anderson, A.J., 2020. Peremptory Challenges at the Turn of the Nineteenth Century: Development of Modern Jury Selection Strategies as Seen in Practitioners' Trial Manuals. </w:t>
      </w:r>
      <w:r>
        <w:rPr>
          <w:i/>
          <w:color w:val="222222"/>
          <w:highlight w:val="white"/>
        </w:rPr>
        <w:t>Stan. JCR &amp; CL</w:t>
      </w:r>
      <w:r>
        <w:rPr>
          <w:color w:val="222222"/>
          <w:highlight w:val="white"/>
        </w:rPr>
        <w:t xml:space="preserve">, </w:t>
      </w:r>
      <w:r>
        <w:rPr>
          <w:i/>
          <w:color w:val="222222"/>
          <w:highlight w:val="white"/>
        </w:rPr>
        <w:t>16</w:t>
      </w:r>
      <w:r>
        <w:rPr>
          <w:color w:val="222222"/>
          <w:highlight w:val="white"/>
        </w:rPr>
        <w:t>, p.1.</w:t>
      </w:r>
    </w:p>
    <w:p w14:paraId="1D97E1FD" w14:textId="77777777" w:rsidR="00B003B3" w:rsidRDefault="00B003B3">
      <w:pPr>
        <w:spacing w:before="0" w:after="0"/>
        <w:rPr>
          <w:color w:val="222222"/>
          <w:highlight w:val="white"/>
        </w:rPr>
      </w:pPr>
      <w:r>
        <w:rPr>
          <w:color w:val="222222"/>
          <w:highlight w:val="white"/>
        </w:rPr>
        <w:t xml:space="preserve">Bhagwat, E., 2021. Jury System Abolishment. </w:t>
      </w:r>
      <w:r>
        <w:rPr>
          <w:i/>
          <w:color w:val="222222"/>
          <w:highlight w:val="white"/>
        </w:rPr>
        <w:t>Jus Corpus LJ</w:t>
      </w:r>
      <w:r>
        <w:rPr>
          <w:color w:val="222222"/>
          <w:highlight w:val="white"/>
        </w:rPr>
        <w:t xml:space="preserve">, </w:t>
      </w:r>
      <w:r>
        <w:rPr>
          <w:i/>
          <w:color w:val="222222"/>
          <w:highlight w:val="white"/>
        </w:rPr>
        <w:t>2</w:t>
      </w:r>
      <w:r>
        <w:rPr>
          <w:color w:val="222222"/>
          <w:highlight w:val="white"/>
        </w:rPr>
        <w:t>, p.268.</w:t>
      </w:r>
    </w:p>
    <w:p w14:paraId="66C57189" w14:textId="77777777" w:rsidR="00B003B3" w:rsidRDefault="00B003B3">
      <w:pPr>
        <w:spacing w:before="0" w:after="0"/>
        <w:rPr>
          <w:color w:val="222222"/>
          <w:highlight w:val="white"/>
        </w:rPr>
      </w:pPr>
      <w:bookmarkStart w:id="8" w:name="_heading=h.tyjcwt" w:colFirst="0" w:colLast="0"/>
      <w:bookmarkEnd w:id="8"/>
      <w:r>
        <w:rPr>
          <w:color w:val="222222"/>
          <w:highlight w:val="white"/>
        </w:rPr>
        <w:t xml:space="preserve">Bornstein, B.H., Hamm, J.A., </w:t>
      </w:r>
      <w:proofErr w:type="spellStart"/>
      <w:r>
        <w:rPr>
          <w:color w:val="222222"/>
          <w:highlight w:val="white"/>
        </w:rPr>
        <w:t>Dellapaolera</w:t>
      </w:r>
      <w:proofErr w:type="spellEnd"/>
      <w:r>
        <w:rPr>
          <w:color w:val="222222"/>
          <w:highlight w:val="white"/>
        </w:rPr>
        <w:t xml:space="preserve">, K.S., </w:t>
      </w:r>
      <w:proofErr w:type="spellStart"/>
      <w:r>
        <w:rPr>
          <w:color w:val="222222"/>
          <w:highlight w:val="white"/>
        </w:rPr>
        <w:t>Kleynhans</w:t>
      </w:r>
      <w:proofErr w:type="spellEnd"/>
      <w:r>
        <w:rPr>
          <w:color w:val="222222"/>
          <w:highlight w:val="white"/>
        </w:rPr>
        <w:t xml:space="preserve">, A. and Miller, M.K., 2020. JUST: a measure of jury system trustworthiness. </w:t>
      </w:r>
      <w:r>
        <w:rPr>
          <w:i/>
          <w:color w:val="222222"/>
          <w:highlight w:val="white"/>
        </w:rPr>
        <w:t>Psychology, Crime &amp; Law</w:t>
      </w:r>
      <w:r>
        <w:rPr>
          <w:color w:val="222222"/>
          <w:highlight w:val="white"/>
        </w:rPr>
        <w:t xml:space="preserve">, </w:t>
      </w:r>
      <w:r>
        <w:rPr>
          <w:i/>
          <w:color w:val="222222"/>
          <w:highlight w:val="white"/>
        </w:rPr>
        <w:t>26</w:t>
      </w:r>
      <w:r>
        <w:rPr>
          <w:color w:val="222222"/>
          <w:highlight w:val="white"/>
        </w:rPr>
        <w:t>(8), pp.797-822.</w:t>
      </w:r>
    </w:p>
    <w:p w14:paraId="3FA191AD" w14:textId="77777777" w:rsidR="00B003B3" w:rsidRDefault="00B003B3">
      <w:pPr>
        <w:rPr>
          <w:highlight w:val="white"/>
        </w:rPr>
      </w:pPr>
      <w:r>
        <w:rPr>
          <w:highlight w:val="white"/>
        </w:rPr>
        <w:t xml:space="preserve">GOV, 2022. </w:t>
      </w:r>
      <w:r>
        <w:rPr>
          <w:i/>
          <w:highlight w:val="white"/>
        </w:rPr>
        <w:t>Jury service</w:t>
      </w:r>
      <w:r>
        <w:rPr>
          <w:highlight w:val="white"/>
        </w:rPr>
        <w:t>. [online] GOV.UK. Available at: &lt;https://www.gov.uk/jury-service&gt; [Accessed 11 July 2022].</w:t>
      </w:r>
    </w:p>
    <w:p w14:paraId="345E6BD2" w14:textId="77777777" w:rsidR="00B003B3" w:rsidRDefault="00B003B3">
      <w:pPr>
        <w:rPr>
          <w:highlight w:val="white"/>
        </w:rPr>
      </w:pPr>
      <w:r>
        <w:rPr>
          <w:highlight w:val="white"/>
        </w:rPr>
        <w:t xml:space="preserve">GOV, 2022. </w:t>
      </w:r>
      <w:r>
        <w:rPr>
          <w:i/>
          <w:highlight w:val="white"/>
        </w:rPr>
        <w:t>Jury vetting: right of stand by guidelines</w:t>
      </w:r>
      <w:r>
        <w:rPr>
          <w:highlight w:val="white"/>
        </w:rPr>
        <w:t>. [online] GOV.UK. Available at: &lt;https://www.gov.uk/guidance/jury-vetting-right-of-stand-by-guidelines--2&gt; [Accessed 11 July 2022].</w:t>
      </w:r>
    </w:p>
    <w:p w14:paraId="255B2631" w14:textId="77777777" w:rsidR="00B003B3" w:rsidRDefault="00B003B3">
      <w:pPr>
        <w:spacing w:before="0" w:after="0"/>
        <w:rPr>
          <w:color w:val="222222"/>
          <w:highlight w:val="white"/>
        </w:rPr>
      </w:pPr>
      <w:proofErr w:type="spellStart"/>
      <w:r>
        <w:rPr>
          <w:color w:val="222222"/>
          <w:highlight w:val="white"/>
        </w:rPr>
        <w:t>Herriott</w:t>
      </w:r>
      <w:proofErr w:type="spellEnd"/>
      <w:r>
        <w:rPr>
          <w:color w:val="222222"/>
          <w:highlight w:val="white"/>
        </w:rPr>
        <w:t xml:space="preserve">, C., 2022. Mock Jury Simulations: Adapting to Online Methodologies. </w:t>
      </w:r>
      <w:r>
        <w:rPr>
          <w:i/>
          <w:color w:val="222222"/>
          <w:highlight w:val="white"/>
        </w:rPr>
        <w:t>SAGE Research Methods: Doing Research Online</w:t>
      </w:r>
      <w:r>
        <w:rPr>
          <w:color w:val="222222"/>
          <w:highlight w:val="white"/>
        </w:rPr>
        <w:t>.</w:t>
      </w:r>
    </w:p>
    <w:p w14:paraId="34D4E38B" w14:textId="77777777" w:rsidR="00B003B3" w:rsidRDefault="00B003B3">
      <w:pPr>
        <w:spacing w:before="0" w:after="0"/>
        <w:rPr>
          <w:highlight w:val="white"/>
        </w:rPr>
      </w:pPr>
      <w:r>
        <w:rPr>
          <w:highlight w:val="white"/>
        </w:rPr>
        <w:t xml:space="preserve">Jones, S., 2022. </w:t>
      </w:r>
      <w:r>
        <w:rPr>
          <w:i/>
          <w:highlight w:val="white"/>
        </w:rPr>
        <w:t>Long-standing UK miscarriages of justice</w:t>
      </w:r>
      <w:r>
        <w:rPr>
          <w:highlight w:val="white"/>
        </w:rPr>
        <w:t>. [online] the Guardian. Available at: &lt;https://www.theguardian.com/uk/2009/mar/18/miscarriages-justice-history&gt; [Accessed 11 July 2022].</w:t>
      </w:r>
    </w:p>
    <w:p w14:paraId="662A18BF" w14:textId="77777777" w:rsidR="00B003B3" w:rsidRDefault="00B003B3">
      <w:pPr>
        <w:spacing w:before="0" w:after="0"/>
        <w:rPr>
          <w:highlight w:val="white"/>
        </w:rPr>
      </w:pPr>
      <w:r>
        <w:rPr>
          <w:highlight w:val="white"/>
        </w:rPr>
        <w:t xml:space="preserve">kingston, 2022. </w:t>
      </w:r>
      <w:r>
        <w:rPr>
          <w:i/>
          <w:highlight w:val="white"/>
        </w:rPr>
        <w:t>Jury Reform in England &amp; Wales – Unfinished Business</w:t>
      </w:r>
      <w:r>
        <w:rPr>
          <w:highlight w:val="white"/>
        </w:rPr>
        <w:t>. [online] Eprints.kingston.ac.uk. Available at: &lt;https://eprints.kingston.ac.uk/id/eprint/33455/3/Darbyshire-P-33455.pdf&gt; [Accessed 11 July 2022].</w:t>
      </w:r>
    </w:p>
    <w:p w14:paraId="78043BA3" w14:textId="77777777" w:rsidR="00B003B3" w:rsidRDefault="00B003B3">
      <w:pPr>
        <w:spacing w:before="0" w:after="0"/>
        <w:rPr>
          <w:color w:val="222222"/>
          <w:highlight w:val="white"/>
        </w:rPr>
      </w:pPr>
      <w:proofErr w:type="spellStart"/>
      <w:r>
        <w:rPr>
          <w:color w:val="222222"/>
          <w:highlight w:val="white"/>
        </w:rPr>
        <w:t>Lettow</w:t>
      </w:r>
      <w:proofErr w:type="spellEnd"/>
      <w:r>
        <w:rPr>
          <w:color w:val="222222"/>
          <w:highlight w:val="white"/>
        </w:rPr>
        <w:t xml:space="preserve"> Lerner, R., 2020. The Surprising Views of Montesquieu and Tocqueville about Juries: Juries Empower Judges. </w:t>
      </w:r>
      <w:r>
        <w:rPr>
          <w:i/>
          <w:color w:val="222222"/>
          <w:highlight w:val="white"/>
        </w:rPr>
        <w:t>La. L. Rev.</w:t>
      </w:r>
      <w:r>
        <w:rPr>
          <w:color w:val="222222"/>
          <w:highlight w:val="white"/>
        </w:rPr>
        <w:t xml:space="preserve">, </w:t>
      </w:r>
      <w:r>
        <w:rPr>
          <w:i/>
          <w:color w:val="222222"/>
          <w:highlight w:val="white"/>
        </w:rPr>
        <w:t>81</w:t>
      </w:r>
      <w:r>
        <w:rPr>
          <w:color w:val="222222"/>
          <w:highlight w:val="white"/>
        </w:rPr>
        <w:t>, p.1.</w:t>
      </w:r>
    </w:p>
    <w:p w14:paraId="5570DDC4" w14:textId="77777777" w:rsidR="00B003B3" w:rsidRDefault="00B003B3">
      <w:pPr>
        <w:rPr>
          <w:highlight w:val="white"/>
        </w:rPr>
      </w:pPr>
      <w:proofErr w:type="spellStart"/>
      <w:r>
        <w:rPr>
          <w:highlight w:val="white"/>
        </w:rPr>
        <w:t>nidirect</w:t>
      </w:r>
      <w:proofErr w:type="spellEnd"/>
      <w:r>
        <w:rPr>
          <w:highlight w:val="white"/>
        </w:rPr>
        <w:t xml:space="preserve">, 2022. </w:t>
      </w:r>
      <w:r>
        <w:rPr>
          <w:i/>
          <w:highlight w:val="white"/>
        </w:rPr>
        <w:t>Exemptions from jury service</w:t>
      </w:r>
      <w:r>
        <w:rPr>
          <w:highlight w:val="white"/>
        </w:rPr>
        <w:t xml:space="preserve">. [online] </w:t>
      </w:r>
      <w:proofErr w:type="spellStart"/>
      <w:r>
        <w:rPr>
          <w:highlight w:val="white"/>
        </w:rPr>
        <w:t>nidirect</w:t>
      </w:r>
      <w:proofErr w:type="spellEnd"/>
      <w:r>
        <w:rPr>
          <w:highlight w:val="white"/>
        </w:rPr>
        <w:t>. Available at: &lt;https://www.nidirect.gov.uk/articles/exemptions-jury-service&gt; [Accessed 11 July 2022].</w:t>
      </w:r>
    </w:p>
    <w:p w14:paraId="65F8844A" w14:textId="77777777" w:rsidR="00B003B3" w:rsidRDefault="00B003B3">
      <w:pPr>
        <w:rPr>
          <w:highlight w:val="white"/>
        </w:rPr>
      </w:pPr>
      <w:proofErr w:type="spellStart"/>
      <w:r>
        <w:rPr>
          <w:highlight w:val="white"/>
        </w:rPr>
        <w:t>nidirect</w:t>
      </w:r>
      <w:proofErr w:type="spellEnd"/>
      <w:r>
        <w:rPr>
          <w:highlight w:val="white"/>
        </w:rPr>
        <w:t xml:space="preserve">, 2022. </w:t>
      </w:r>
      <w:r>
        <w:rPr>
          <w:i/>
          <w:highlight w:val="white"/>
        </w:rPr>
        <w:t>What happens at a jury trial</w:t>
      </w:r>
      <w:r>
        <w:rPr>
          <w:highlight w:val="white"/>
        </w:rPr>
        <w:t xml:space="preserve">. [online] </w:t>
      </w:r>
      <w:proofErr w:type="spellStart"/>
      <w:r>
        <w:rPr>
          <w:highlight w:val="white"/>
        </w:rPr>
        <w:t>nidirect</w:t>
      </w:r>
      <w:proofErr w:type="spellEnd"/>
      <w:r>
        <w:rPr>
          <w:highlight w:val="white"/>
        </w:rPr>
        <w:t>. Available at: &lt;https://www.nidirect.gov.uk/articles/what-happens-jury-trial&gt; [Accessed 11 July 2022].</w:t>
      </w:r>
    </w:p>
    <w:p w14:paraId="09F7EDCB" w14:textId="77777777" w:rsidR="00B003B3" w:rsidRDefault="00B003B3">
      <w:pPr>
        <w:spacing w:before="0" w:after="0"/>
        <w:rPr>
          <w:highlight w:val="white"/>
        </w:rPr>
      </w:pPr>
      <w:r>
        <w:rPr>
          <w:highlight w:val="white"/>
        </w:rPr>
        <w:lastRenderedPageBreak/>
        <w:t xml:space="preserve">parliament, 2022. </w:t>
      </w:r>
      <w:r>
        <w:rPr>
          <w:i/>
          <w:highlight w:val="white"/>
        </w:rPr>
        <w:t>Reducing the backlog in criminal courts</w:t>
      </w:r>
      <w:r>
        <w:rPr>
          <w:highlight w:val="white"/>
        </w:rPr>
        <w:t>. [online] Available at: &lt;https://committees.parliament.uk/work/1521/reducing-the-backlog-in-criminal-courts/&gt; [Accessed 11 July 2022].</w:t>
      </w:r>
    </w:p>
    <w:sectPr w:rsidR="00B003B3">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64D59" w14:textId="77777777" w:rsidR="005B53E2" w:rsidRDefault="005B53E2">
      <w:pPr>
        <w:spacing w:before="0" w:after="0" w:line="240" w:lineRule="auto"/>
      </w:pPr>
      <w:r>
        <w:separator/>
      </w:r>
    </w:p>
  </w:endnote>
  <w:endnote w:type="continuationSeparator" w:id="0">
    <w:p w14:paraId="4C18BC70" w14:textId="77777777" w:rsidR="005B53E2" w:rsidRDefault="005B53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2" w14:textId="0A6BB6AE" w:rsidR="007F464D" w:rsidRDefault="005B53E2">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B003B3">
      <w:rPr>
        <w:noProof/>
        <w:color w:val="000000"/>
      </w:rPr>
      <w:t>1</w:t>
    </w:r>
    <w:r>
      <w:rPr>
        <w:color w:val="000000"/>
      </w:rPr>
      <w:fldChar w:fldCharType="end"/>
    </w:r>
  </w:p>
  <w:p w14:paraId="00000033" w14:textId="77777777" w:rsidR="007F464D" w:rsidRDefault="007F464D">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4ACA1" w14:textId="77777777" w:rsidR="005B53E2" w:rsidRDefault="005B53E2">
      <w:pPr>
        <w:spacing w:before="0" w:after="0" w:line="240" w:lineRule="auto"/>
      </w:pPr>
      <w:r>
        <w:separator/>
      </w:r>
    </w:p>
  </w:footnote>
  <w:footnote w:type="continuationSeparator" w:id="0">
    <w:p w14:paraId="02A45C08" w14:textId="77777777" w:rsidR="005B53E2" w:rsidRDefault="005B53E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525B29"/>
    <w:multiLevelType w:val="hybridMultilevel"/>
    <w:tmpl w:val="00000000"/>
    <w:lvl w:ilvl="0" w:tplc="EDBE5520">
      <w:start w:val="1"/>
      <w:numFmt w:val="bullet"/>
      <w:lvlText w:val="●"/>
      <w:lvlJc w:val="left"/>
      <w:pPr>
        <w:ind w:left="720" w:hanging="360"/>
      </w:pPr>
      <w:rPr>
        <w:u w:val="none"/>
      </w:rPr>
    </w:lvl>
    <w:lvl w:ilvl="1" w:tplc="12FE1E28">
      <w:start w:val="1"/>
      <w:numFmt w:val="bullet"/>
      <w:lvlText w:val="○"/>
      <w:lvlJc w:val="left"/>
      <w:pPr>
        <w:ind w:left="1440" w:hanging="360"/>
      </w:pPr>
      <w:rPr>
        <w:u w:val="none"/>
      </w:rPr>
    </w:lvl>
    <w:lvl w:ilvl="2" w:tplc="3A66A566">
      <w:start w:val="1"/>
      <w:numFmt w:val="bullet"/>
      <w:lvlText w:val="■"/>
      <w:lvlJc w:val="left"/>
      <w:pPr>
        <w:ind w:left="2160" w:hanging="360"/>
      </w:pPr>
      <w:rPr>
        <w:u w:val="none"/>
      </w:rPr>
    </w:lvl>
    <w:lvl w:ilvl="3" w:tplc="AA7E431A">
      <w:start w:val="1"/>
      <w:numFmt w:val="bullet"/>
      <w:lvlText w:val="●"/>
      <w:lvlJc w:val="left"/>
      <w:pPr>
        <w:ind w:left="2880" w:hanging="360"/>
      </w:pPr>
      <w:rPr>
        <w:u w:val="none"/>
      </w:rPr>
    </w:lvl>
    <w:lvl w:ilvl="4" w:tplc="9808FE1C">
      <w:start w:val="1"/>
      <w:numFmt w:val="bullet"/>
      <w:lvlText w:val="○"/>
      <w:lvlJc w:val="left"/>
      <w:pPr>
        <w:ind w:left="3600" w:hanging="360"/>
      </w:pPr>
      <w:rPr>
        <w:u w:val="none"/>
      </w:rPr>
    </w:lvl>
    <w:lvl w:ilvl="5" w:tplc="09CAE64C">
      <w:start w:val="1"/>
      <w:numFmt w:val="bullet"/>
      <w:lvlText w:val="■"/>
      <w:lvlJc w:val="left"/>
      <w:pPr>
        <w:ind w:left="4320" w:hanging="360"/>
      </w:pPr>
      <w:rPr>
        <w:u w:val="none"/>
      </w:rPr>
    </w:lvl>
    <w:lvl w:ilvl="6" w:tplc="84065A9C">
      <w:start w:val="1"/>
      <w:numFmt w:val="bullet"/>
      <w:lvlText w:val="●"/>
      <w:lvlJc w:val="left"/>
      <w:pPr>
        <w:ind w:left="5040" w:hanging="360"/>
      </w:pPr>
      <w:rPr>
        <w:u w:val="none"/>
      </w:rPr>
    </w:lvl>
    <w:lvl w:ilvl="7" w:tplc="6BB0AB58">
      <w:start w:val="1"/>
      <w:numFmt w:val="bullet"/>
      <w:lvlText w:val="○"/>
      <w:lvlJc w:val="left"/>
      <w:pPr>
        <w:ind w:left="5760" w:hanging="360"/>
      </w:pPr>
      <w:rPr>
        <w:u w:val="none"/>
      </w:rPr>
    </w:lvl>
    <w:lvl w:ilvl="8" w:tplc="FB72DEBC">
      <w:start w:val="1"/>
      <w:numFmt w:val="bullet"/>
      <w:lvlText w:val="■"/>
      <w:lvlJc w:val="left"/>
      <w:pPr>
        <w:ind w:left="6480" w:hanging="360"/>
      </w:pPr>
      <w:rPr>
        <w:u w:val="none"/>
      </w:rPr>
    </w:lvl>
  </w:abstractNum>
  <w:num w:numId="1" w16cid:durableId="1116288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64D"/>
    <w:rsid w:val="002E35FF"/>
    <w:rsid w:val="005B53E2"/>
    <w:rsid w:val="006A7BD2"/>
    <w:rsid w:val="007F464D"/>
    <w:rsid w:val="00B003B3"/>
    <w:rsid w:val="00CF33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6CA6"/>
  <w15:docId w15:val="{D67B64F3-E875-440F-BA31-87A8C860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outlineLvl w:val="0"/>
    </w:pPr>
    <w:rPr>
      <w:b/>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after="80"/>
      <w:outlineLvl w:val="4"/>
    </w:pPr>
    <w:rPr>
      <w:color w:val="666666"/>
      <w:sz w:val="22"/>
      <w:szCs w:val="22"/>
    </w:rPr>
  </w:style>
  <w:style w:type="paragraph" w:styleId="Heading6">
    <w:name w:val="heading 6"/>
    <w:basedOn w:val="Normal0"/>
    <w:next w:val="Normal0"/>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before="0" w:after="60"/>
    </w:pPr>
    <w:rPr>
      <w:sz w:val="52"/>
      <w:szCs w:val="52"/>
    </w:rPr>
  </w:style>
  <w:style w:type="paragraph" w:customStyle="1" w:styleId="Normal0">
    <w:name w:val="Normal_0"/>
  </w:style>
  <w:style w:type="paragraph" w:customStyle="1" w:styleId="Heading10">
    <w:name w:val="Heading 1_0"/>
    <w:basedOn w:val="Normal0"/>
    <w:next w:val="Normal0"/>
    <w:pPr>
      <w:keepNext/>
      <w:keepLines/>
      <w:outlineLvl w:val="0"/>
    </w:pPr>
    <w:rPr>
      <w:b/>
    </w:rPr>
  </w:style>
  <w:style w:type="paragraph" w:customStyle="1" w:styleId="Heading20">
    <w:name w:val="Heading 2_0"/>
    <w:basedOn w:val="Normal0"/>
    <w:next w:val="Normal0"/>
    <w:pPr>
      <w:keepNext/>
      <w:keepLines/>
      <w:spacing w:before="360" w:after="120"/>
      <w:outlineLvl w:val="1"/>
    </w:pPr>
    <w:rPr>
      <w:sz w:val="32"/>
      <w:szCs w:val="32"/>
    </w:rPr>
  </w:style>
  <w:style w:type="paragraph" w:customStyle="1" w:styleId="Heading30">
    <w:name w:val="Heading 3_0"/>
    <w:basedOn w:val="Normal0"/>
    <w:next w:val="Normal0"/>
    <w:pPr>
      <w:keepNext/>
      <w:keepLines/>
      <w:spacing w:before="320" w:after="80"/>
      <w:outlineLvl w:val="2"/>
    </w:pPr>
    <w:rPr>
      <w:color w:val="434343"/>
      <w:sz w:val="28"/>
      <w:szCs w:val="28"/>
    </w:rPr>
  </w:style>
  <w:style w:type="paragraph" w:customStyle="1" w:styleId="Heading40">
    <w:name w:val="Heading 4_0"/>
    <w:basedOn w:val="Normal0"/>
    <w:next w:val="Normal0"/>
    <w:pPr>
      <w:keepNext/>
      <w:keepLines/>
      <w:spacing w:before="280" w:after="80"/>
      <w:outlineLvl w:val="3"/>
    </w:pPr>
    <w:rPr>
      <w:color w:val="666666"/>
    </w:rPr>
  </w:style>
  <w:style w:type="paragraph" w:customStyle="1" w:styleId="Heading50">
    <w:name w:val="Heading 5_0"/>
    <w:basedOn w:val="Normal0"/>
    <w:next w:val="Normal0"/>
    <w:pPr>
      <w:keepNext/>
      <w:keepLines/>
      <w:spacing w:after="80"/>
      <w:outlineLvl w:val="4"/>
    </w:pPr>
    <w:rPr>
      <w:color w:val="666666"/>
      <w:sz w:val="22"/>
      <w:szCs w:val="22"/>
    </w:rPr>
  </w:style>
  <w:style w:type="paragraph" w:customStyle="1" w:styleId="Heading60">
    <w:name w:val="Heading 6_0"/>
    <w:basedOn w:val="Normal0"/>
    <w:next w:val="Normal0"/>
    <w:pPr>
      <w:keepNext/>
      <w:keepLines/>
      <w:spacing w:after="80"/>
      <w:outlineLvl w:val="5"/>
    </w:pPr>
    <w:rPr>
      <w:i/>
      <w:color w:val="666666"/>
      <w:sz w:val="22"/>
      <w:szCs w:val="22"/>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before="0" w:after="60"/>
    </w:pPr>
    <w:rPr>
      <w:sz w:val="52"/>
      <w:szCs w:val="52"/>
    </w:rPr>
  </w:style>
  <w:style w:type="paragraph" w:styleId="Subtitle">
    <w:name w:val="Subtitle"/>
    <w:basedOn w:val="Normal0"/>
    <w:next w:val="Normal0"/>
    <w:pPr>
      <w:keepNext/>
      <w:keepLines/>
      <w:spacing w:before="0" w:after="320"/>
    </w:pPr>
    <w:rPr>
      <w:rFonts w:ascii="Arial" w:eastAsia="Arial" w:hAnsi="Arial" w:cs="Arial"/>
      <w:color w:val="666666"/>
      <w:sz w:val="30"/>
      <w:szCs w:val="30"/>
    </w:rPr>
  </w:style>
  <w:style w:type="paragraph" w:styleId="CommentText">
    <w:name w:val="annotation text"/>
    <w:basedOn w:val="Normal0"/>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0"/>
    <w:next w:val="Normal0"/>
    <w:uiPriority w:val="39"/>
    <w:unhideWhenUsed/>
    <w:qFormat/>
    <w:rsid w:val="009E724C"/>
    <w:pPr>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0"/>
    <w:next w:val="Normal0"/>
    <w:autoRedefine/>
    <w:uiPriority w:val="39"/>
    <w:unhideWhenUsed/>
    <w:rsid w:val="009E724C"/>
    <w:pPr>
      <w:spacing w:after="100"/>
    </w:pPr>
  </w:style>
  <w:style w:type="character" w:styleId="Hyperlink">
    <w:name w:val="Hyperlink"/>
    <w:basedOn w:val="DefaultParagraphFont"/>
    <w:uiPriority w:val="99"/>
    <w:unhideWhenUsed/>
    <w:rsid w:val="009E724C"/>
    <w:rPr>
      <w:color w:val="0000FF" w:themeColor="hyperlink"/>
      <w:u w:val="single"/>
    </w:rPr>
  </w:style>
  <w:style w:type="paragraph" w:styleId="Header">
    <w:name w:val="header"/>
    <w:basedOn w:val="Normal0"/>
    <w:link w:val="HeaderChar"/>
    <w:uiPriority w:val="99"/>
    <w:unhideWhenUsed/>
    <w:rsid w:val="001E6BF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E6BF5"/>
  </w:style>
  <w:style w:type="paragraph" w:styleId="Footer">
    <w:name w:val="footer"/>
    <w:basedOn w:val="Normal0"/>
    <w:link w:val="FooterChar"/>
    <w:uiPriority w:val="99"/>
    <w:unhideWhenUsed/>
    <w:rsid w:val="001E6BF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E6BF5"/>
  </w:style>
  <w:style w:type="paragraph" w:customStyle="1" w:styleId="Subtitle0">
    <w:name w:val="Subtitle_0"/>
    <w:basedOn w:val="Normal0"/>
    <w:next w:val="Normal0"/>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XlzPHQlpIs6Bw9ZYuybkIxQ1Tg==">AMUW2mW2jnXkoU3W8So3lnp8xPIi4M5ZmNpIXg/CgqjpfjSeXwZFmvaoqd7xmvJ2IY2Q0HRqz6rWu6XJEHVRR/2FqGvgEPL1XaSKje+EDP+0ays+/AGagD4K5VG+YukiiPcYcmilh1NZSjHe49iBx/AXuijGRc5mctsuctFjHj4orjVU24H4qinui7zkB/gwWOpAilSm22L4u/ID+eggjhJMPEGXAG1yW22A4QwBIsbfTljiTQtcoiU=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1726</Words>
  <Characters>9842</Characters>
  <Application>Microsoft Office Word</Application>
  <DocSecurity>0</DocSecurity>
  <Lines>82</Lines>
  <Paragraphs>23</Paragraphs>
  <ScaleCrop>false</ScaleCrop>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2129345@student.uwtsd.ac.uk carmen</cp:lastModifiedBy>
  <cp:revision>2</cp:revision>
  <dcterms:created xsi:type="dcterms:W3CDTF">2022-07-17T06:56:00Z</dcterms:created>
  <dcterms:modified xsi:type="dcterms:W3CDTF">2022-07-17T06:56:00Z</dcterms:modified>
</cp:coreProperties>
</file>