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BD6DD1" w:rsidR="00AC6965" w:rsidP="00BD6DD1" w:rsidRDefault="00AC6965" w14:paraId="225FB18C" w14:textId="77777777">
      <w:pPr>
        <w:jc w:val="center"/>
        <w:rPr>
          <w:rFonts w:cs="Arial"/>
          <w:b/>
          <w:bCs/>
        </w:rPr>
      </w:pPr>
      <w:r w:rsidRPr="00BD6DD1">
        <w:rPr>
          <w:rFonts w:cs="Arial"/>
          <w:b/>
          <w:bCs/>
          <w:noProof/>
          <w:lang w:val="en-US"/>
        </w:rPr>
        <w:drawing>
          <wp:inline distT="0" distB="0" distL="0" distR="0" wp14:anchorId="48E69D39" wp14:editId="522A6DEB">
            <wp:extent cx="2857500" cy="1143000"/>
            <wp:effectExtent l="0" t="0" r="0" b="0"/>
            <wp:docPr id="2" name="Picture 2" descr="C:\Users\Asus\Desktop\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rsidRPr="00BD6DD1" w:rsidR="00AC6965" w:rsidP="00BD6DD1" w:rsidRDefault="00AC6965" w14:paraId="4C2B151C" w14:textId="77777777">
      <w:pPr>
        <w:jc w:val="center"/>
        <w:rPr>
          <w:rFonts w:cs="Arial"/>
          <w:b/>
          <w:bCs/>
        </w:rPr>
      </w:pPr>
    </w:p>
    <w:p w:rsidRPr="00BD6DD1" w:rsidR="00AC6965" w:rsidP="00BD6DD1" w:rsidRDefault="00AC6965" w14:paraId="2BD5B76D" w14:textId="77777777">
      <w:pPr>
        <w:jc w:val="center"/>
        <w:rPr>
          <w:rFonts w:cs="Arial"/>
          <w:b/>
          <w:bCs/>
        </w:rPr>
      </w:pPr>
    </w:p>
    <w:p w:rsidRPr="00BD6DD1" w:rsidR="00AC6965" w:rsidP="00BD6DD1" w:rsidRDefault="00AC6965" w14:paraId="40EAABC9" w14:textId="77777777">
      <w:pPr>
        <w:jc w:val="center"/>
        <w:rPr>
          <w:rFonts w:cs="Arial"/>
          <w:b/>
          <w:bCs/>
          <w:sz w:val="32"/>
          <w:szCs w:val="44"/>
        </w:rPr>
      </w:pPr>
      <w:r w:rsidRPr="00BD6DD1">
        <w:rPr>
          <w:rFonts w:cs="Arial"/>
          <w:b/>
          <w:bCs/>
          <w:sz w:val="32"/>
          <w:szCs w:val="44"/>
        </w:rPr>
        <w:t>BA Business Management</w:t>
      </w:r>
    </w:p>
    <w:p w:rsidRPr="00BD6DD1" w:rsidR="00AC6965" w:rsidP="00BD6DD1" w:rsidRDefault="00AC6965" w14:paraId="05CD1A09" w14:textId="77777777">
      <w:pPr>
        <w:jc w:val="center"/>
        <w:rPr>
          <w:rFonts w:cs="Arial"/>
          <w:b/>
          <w:bCs/>
          <w:sz w:val="32"/>
          <w:szCs w:val="44"/>
        </w:rPr>
      </w:pPr>
    </w:p>
    <w:p w:rsidRPr="00BD6DD1" w:rsidR="00AC6965" w:rsidP="00BD6DD1" w:rsidRDefault="00AC6965" w14:paraId="286C80D8" w14:textId="77777777">
      <w:pPr>
        <w:jc w:val="center"/>
        <w:rPr>
          <w:rFonts w:cs="Arial"/>
          <w:b/>
          <w:bCs/>
          <w:sz w:val="44"/>
          <w:szCs w:val="44"/>
        </w:rPr>
      </w:pPr>
      <w:r w:rsidRPr="00BD6DD1">
        <w:rPr>
          <w:rFonts w:cs="Arial"/>
          <w:b/>
          <w:bCs/>
          <w:sz w:val="44"/>
          <w:szCs w:val="44"/>
        </w:rPr>
        <w:t>LCBB5004: Managing People</w:t>
      </w:r>
    </w:p>
    <w:p w:rsidRPr="00BD6DD1" w:rsidR="00AC6965" w:rsidP="00BD6DD1" w:rsidRDefault="00AC6965" w14:paraId="6597B36F" w14:textId="7AFF8017">
      <w:pPr>
        <w:jc w:val="center"/>
        <w:rPr>
          <w:rFonts w:cs="Arial"/>
          <w:b/>
          <w:bCs/>
          <w:sz w:val="36"/>
          <w:szCs w:val="36"/>
        </w:rPr>
      </w:pPr>
      <w:r w:rsidRPr="00BD6DD1">
        <w:rPr>
          <w:rFonts w:cs="Arial"/>
          <w:b/>
          <w:bCs/>
          <w:sz w:val="36"/>
          <w:szCs w:val="36"/>
        </w:rPr>
        <w:t>(Assessment 2)</w:t>
      </w:r>
    </w:p>
    <w:p w:rsidRPr="00BD6DD1" w:rsidR="00AC6965" w:rsidP="00BD6DD1" w:rsidRDefault="00AC6965" w14:paraId="07CBA8C8" w14:textId="77777777">
      <w:pPr>
        <w:jc w:val="center"/>
        <w:rPr>
          <w:rFonts w:cs="Arial"/>
          <w:b/>
          <w:bCs/>
          <w:sz w:val="36"/>
          <w:szCs w:val="36"/>
        </w:rPr>
      </w:pPr>
    </w:p>
    <w:p w:rsidRPr="00BD6DD1" w:rsidR="00AC6965" w:rsidP="00BD6DD1" w:rsidRDefault="00AC6965" w14:paraId="2B16B302" w14:textId="77777777">
      <w:pPr>
        <w:jc w:val="center"/>
        <w:rPr>
          <w:rFonts w:cs="Arial"/>
          <w:b/>
          <w:bCs/>
          <w:sz w:val="28"/>
          <w:szCs w:val="36"/>
        </w:rPr>
      </w:pPr>
      <w:r w:rsidRPr="00BD6DD1">
        <w:rPr>
          <w:rFonts w:cs="Arial"/>
          <w:b/>
          <w:bCs/>
          <w:sz w:val="28"/>
          <w:szCs w:val="36"/>
        </w:rPr>
        <w:t>Tutor: Olusoyi Ashaye</w:t>
      </w:r>
    </w:p>
    <w:p w:rsidRPr="00BD6DD1" w:rsidR="00AC6965" w:rsidP="00BD6DD1" w:rsidRDefault="00AC6965" w14:paraId="20DE2FF7" w14:textId="77777777">
      <w:pPr>
        <w:jc w:val="center"/>
        <w:rPr>
          <w:rFonts w:cs="Arial"/>
          <w:b/>
          <w:bCs/>
          <w:sz w:val="28"/>
          <w:szCs w:val="36"/>
        </w:rPr>
      </w:pPr>
      <w:r w:rsidRPr="00BD6DD1">
        <w:rPr>
          <w:rFonts w:cs="Arial"/>
          <w:b/>
          <w:bCs/>
          <w:sz w:val="28"/>
          <w:szCs w:val="36"/>
        </w:rPr>
        <w:t>Student Name: Bogdan Hodor</w:t>
      </w:r>
    </w:p>
    <w:p w:rsidRPr="00BD6DD1" w:rsidR="00AC6965" w:rsidP="4F7DBC23" w:rsidRDefault="00AC6965" w14:paraId="06E2E137" w14:textId="48139E1E">
      <w:pPr>
        <w:jc w:val="center"/>
        <w:rPr>
          <w:rFonts w:eastAsia="" w:cs="Arial" w:eastAsiaTheme="majorEastAsia"/>
          <w:b w:val="1"/>
          <w:bCs w:val="1"/>
        </w:rPr>
      </w:pPr>
      <w:r w:rsidRPr="4F7DBC23" w:rsidR="00AC6965">
        <w:rPr>
          <w:rFonts w:cs="Arial"/>
          <w:b w:val="1"/>
          <w:bCs w:val="1"/>
          <w:sz w:val="28"/>
          <w:szCs w:val="28"/>
        </w:rPr>
        <w:t xml:space="preserve">Student ID:1917709 </w:t>
      </w:r>
      <w:r w:rsidRPr="4F7DBC23">
        <w:rPr>
          <w:rFonts w:cs="Arial"/>
          <w:b w:val="1"/>
          <w:bCs w:val="1"/>
        </w:rPr>
        <w:br w:type="page"/>
      </w:r>
    </w:p>
    <w:sdt>
      <w:sdtPr>
        <w:rPr>
          <w:rFonts w:ascii="Arial" w:hAnsi="Arial" w:cs="Arial" w:eastAsiaTheme="minorHAnsi"/>
          <w:color w:val="auto"/>
          <w:sz w:val="24"/>
          <w:szCs w:val="22"/>
          <w:lang w:val="en-GB"/>
        </w:rPr>
        <w:id w:val="-795987859"/>
        <w:docPartObj>
          <w:docPartGallery w:val="Table of Contents"/>
          <w:docPartUnique/>
        </w:docPartObj>
      </w:sdtPr>
      <w:sdtEndPr>
        <w:rPr>
          <w:b/>
          <w:bCs/>
          <w:noProof/>
          <w:sz w:val="22"/>
        </w:rPr>
      </w:sdtEndPr>
      <w:sdtContent>
        <w:p w:rsidRPr="00BD6DD1" w:rsidR="00AC6965" w:rsidP="00BD6DD1" w:rsidRDefault="00AC6965" w14:paraId="5D75BEF7" w14:textId="0A90B6E1">
          <w:pPr>
            <w:pStyle w:val="TOCHeading"/>
            <w:spacing w:line="360" w:lineRule="auto"/>
            <w:rPr>
              <w:rFonts w:ascii="Arial" w:hAnsi="Arial" w:cs="Arial"/>
              <w:b/>
              <w:color w:val="auto"/>
            </w:rPr>
          </w:pPr>
          <w:r w:rsidRPr="00BD6DD1">
            <w:rPr>
              <w:rFonts w:ascii="Arial" w:hAnsi="Arial" w:cs="Arial"/>
              <w:b/>
              <w:color w:val="auto"/>
            </w:rPr>
            <w:t>Table of C</w:t>
          </w:r>
          <w:bookmarkStart w:name="_GoBack" w:id="0"/>
          <w:r w:rsidRPr="00BD6DD1">
            <w:rPr>
              <w:rFonts w:ascii="Arial" w:hAnsi="Arial" w:cs="Arial"/>
              <w:b/>
              <w:color w:val="auto"/>
            </w:rPr>
            <w:t>o</w:t>
          </w:r>
          <w:bookmarkEnd w:id="0"/>
          <w:r w:rsidRPr="00BD6DD1">
            <w:rPr>
              <w:rFonts w:ascii="Arial" w:hAnsi="Arial" w:cs="Arial"/>
              <w:b/>
              <w:color w:val="auto"/>
            </w:rPr>
            <w:t>ntents</w:t>
          </w:r>
        </w:p>
        <w:p w:rsidR="00D82003" w:rsidRDefault="00AC6965" w14:paraId="7FB44181" w14:textId="77777777">
          <w:pPr>
            <w:pStyle w:val="TOC1"/>
            <w:tabs>
              <w:tab w:val="right" w:leader="dot" w:pos="8630"/>
            </w:tabs>
            <w:rPr>
              <w:rFonts w:asciiTheme="minorHAnsi" w:hAnsiTheme="minorHAnsi" w:eastAsiaTheme="minorEastAsia"/>
              <w:noProof/>
              <w:lang w:val="en-US"/>
            </w:rPr>
          </w:pPr>
          <w:r w:rsidRPr="00BD6DD1">
            <w:rPr>
              <w:rFonts w:cs="Arial"/>
            </w:rPr>
            <w:fldChar w:fldCharType="begin"/>
          </w:r>
          <w:r w:rsidRPr="00BD6DD1">
            <w:rPr>
              <w:rFonts w:cs="Arial"/>
            </w:rPr>
            <w:instrText xml:space="preserve"> TOC \o "1-3" \h \z \u </w:instrText>
          </w:r>
          <w:r w:rsidRPr="00BD6DD1">
            <w:rPr>
              <w:rFonts w:cs="Arial"/>
            </w:rPr>
            <w:fldChar w:fldCharType="separate"/>
          </w:r>
          <w:hyperlink w:history="1" w:anchor="_Toc101735573">
            <w:r w:rsidRPr="00472CA5" w:rsidR="00D82003">
              <w:rPr>
                <w:rStyle w:val="Hyperlink"/>
                <w:noProof/>
              </w:rPr>
              <w:t>Introduction</w:t>
            </w:r>
            <w:r w:rsidR="00D82003">
              <w:rPr>
                <w:noProof/>
                <w:webHidden/>
              </w:rPr>
              <w:tab/>
            </w:r>
            <w:r w:rsidR="00D82003">
              <w:rPr>
                <w:noProof/>
                <w:webHidden/>
              </w:rPr>
              <w:fldChar w:fldCharType="begin"/>
            </w:r>
            <w:r w:rsidR="00D82003">
              <w:rPr>
                <w:noProof/>
                <w:webHidden/>
              </w:rPr>
              <w:instrText xml:space="preserve"> PAGEREF _Toc101735573 \h </w:instrText>
            </w:r>
            <w:r w:rsidR="00D82003">
              <w:rPr>
                <w:noProof/>
                <w:webHidden/>
              </w:rPr>
            </w:r>
            <w:r w:rsidR="00D82003">
              <w:rPr>
                <w:noProof/>
                <w:webHidden/>
              </w:rPr>
              <w:fldChar w:fldCharType="separate"/>
            </w:r>
            <w:r w:rsidR="00D82003">
              <w:rPr>
                <w:noProof/>
                <w:webHidden/>
              </w:rPr>
              <w:t>1</w:t>
            </w:r>
            <w:r w:rsidR="00D82003">
              <w:rPr>
                <w:noProof/>
                <w:webHidden/>
              </w:rPr>
              <w:fldChar w:fldCharType="end"/>
            </w:r>
          </w:hyperlink>
        </w:p>
        <w:p w:rsidR="00D82003" w:rsidRDefault="00D82003" w14:paraId="4141F3F0" w14:textId="77777777">
          <w:pPr>
            <w:pStyle w:val="TOC1"/>
            <w:tabs>
              <w:tab w:val="right" w:leader="dot" w:pos="8630"/>
            </w:tabs>
            <w:rPr>
              <w:rFonts w:asciiTheme="minorHAnsi" w:hAnsiTheme="minorHAnsi" w:eastAsiaTheme="minorEastAsia"/>
              <w:noProof/>
              <w:lang w:val="en-US"/>
            </w:rPr>
          </w:pPr>
          <w:hyperlink w:history="1" w:anchor="_Toc101735574">
            <w:r w:rsidRPr="00472CA5">
              <w:rPr>
                <w:rStyle w:val="Hyperlink"/>
                <w:noProof/>
              </w:rPr>
              <w:t>Employee engagement and its’ drivers</w:t>
            </w:r>
            <w:r>
              <w:rPr>
                <w:noProof/>
                <w:webHidden/>
              </w:rPr>
              <w:tab/>
            </w:r>
            <w:r>
              <w:rPr>
                <w:noProof/>
                <w:webHidden/>
              </w:rPr>
              <w:fldChar w:fldCharType="begin"/>
            </w:r>
            <w:r>
              <w:rPr>
                <w:noProof/>
                <w:webHidden/>
              </w:rPr>
              <w:instrText xml:space="preserve"> PAGEREF _Toc101735574 \h </w:instrText>
            </w:r>
            <w:r>
              <w:rPr>
                <w:noProof/>
                <w:webHidden/>
              </w:rPr>
            </w:r>
            <w:r>
              <w:rPr>
                <w:noProof/>
                <w:webHidden/>
              </w:rPr>
              <w:fldChar w:fldCharType="separate"/>
            </w:r>
            <w:r>
              <w:rPr>
                <w:noProof/>
                <w:webHidden/>
              </w:rPr>
              <w:t>1</w:t>
            </w:r>
            <w:r>
              <w:rPr>
                <w:noProof/>
                <w:webHidden/>
              </w:rPr>
              <w:fldChar w:fldCharType="end"/>
            </w:r>
          </w:hyperlink>
        </w:p>
        <w:p w:rsidR="00D82003" w:rsidRDefault="00D82003" w14:paraId="1A38249E" w14:textId="77777777">
          <w:pPr>
            <w:pStyle w:val="TOC1"/>
            <w:tabs>
              <w:tab w:val="right" w:leader="dot" w:pos="8630"/>
            </w:tabs>
            <w:rPr>
              <w:rFonts w:asciiTheme="minorHAnsi" w:hAnsiTheme="minorHAnsi" w:eastAsiaTheme="minorEastAsia"/>
              <w:noProof/>
              <w:lang w:val="en-US"/>
            </w:rPr>
          </w:pPr>
          <w:hyperlink w:history="1" w:anchor="_Toc101735575">
            <w:r w:rsidRPr="00472CA5">
              <w:rPr>
                <w:rStyle w:val="Hyperlink"/>
                <w:noProof/>
              </w:rPr>
              <w:t>Diagnostic Instruments for Measuring Employee Engagement</w:t>
            </w:r>
            <w:r>
              <w:rPr>
                <w:noProof/>
                <w:webHidden/>
              </w:rPr>
              <w:tab/>
            </w:r>
            <w:r>
              <w:rPr>
                <w:noProof/>
                <w:webHidden/>
              </w:rPr>
              <w:fldChar w:fldCharType="begin"/>
            </w:r>
            <w:r>
              <w:rPr>
                <w:noProof/>
                <w:webHidden/>
              </w:rPr>
              <w:instrText xml:space="preserve"> PAGEREF _Toc101735575 \h </w:instrText>
            </w:r>
            <w:r>
              <w:rPr>
                <w:noProof/>
                <w:webHidden/>
              </w:rPr>
            </w:r>
            <w:r>
              <w:rPr>
                <w:noProof/>
                <w:webHidden/>
              </w:rPr>
              <w:fldChar w:fldCharType="separate"/>
            </w:r>
            <w:r>
              <w:rPr>
                <w:noProof/>
                <w:webHidden/>
              </w:rPr>
              <w:t>3</w:t>
            </w:r>
            <w:r>
              <w:rPr>
                <w:noProof/>
                <w:webHidden/>
              </w:rPr>
              <w:fldChar w:fldCharType="end"/>
            </w:r>
          </w:hyperlink>
        </w:p>
        <w:p w:rsidR="00D82003" w:rsidRDefault="00D82003" w14:paraId="76E1807C" w14:textId="77777777">
          <w:pPr>
            <w:pStyle w:val="TOC1"/>
            <w:tabs>
              <w:tab w:val="right" w:leader="dot" w:pos="8630"/>
            </w:tabs>
            <w:rPr>
              <w:rFonts w:asciiTheme="minorHAnsi" w:hAnsiTheme="minorHAnsi" w:eastAsiaTheme="minorEastAsia"/>
              <w:noProof/>
              <w:lang w:val="en-US"/>
            </w:rPr>
          </w:pPr>
          <w:hyperlink w:history="1" w:anchor="_Toc101735576">
            <w:r w:rsidRPr="00472CA5">
              <w:rPr>
                <w:rStyle w:val="Hyperlink"/>
                <w:noProof/>
              </w:rPr>
              <w:t>Employee Value Proposition and strategies to increase employee engagement</w:t>
            </w:r>
            <w:r>
              <w:rPr>
                <w:noProof/>
                <w:webHidden/>
              </w:rPr>
              <w:tab/>
            </w:r>
            <w:r>
              <w:rPr>
                <w:noProof/>
                <w:webHidden/>
              </w:rPr>
              <w:fldChar w:fldCharType="begin"/>
            </w:r>
            <w:r>
              <w:rPr>
                <w:noProof/>
                <w:webHidden/>
              </w:rPr>
              <w:instrText xml:space="preserve"> PAGEREF _Toc101735576 \h </w:instrText>
            </w:r>
            <w:r>
              <w:rPr>
                <w:noProof/>
                <w:webHidden/>
              </w:rPr>
            </w:r>
            <w:r>
              <w:rPr>
                <w:noProof/>
                <w:webHidden/>
              </w:rPr>
              <w:fldChar w:fldCharType="separate"/>
            </w:r>
            <w:r>
              <w:rPr>
                <w:noProof/>
                <w:webHidden/>
              </w:rPr>
              <w:t>5</w:t>
            </w:r>
            <w:r>
              <w:rPr>
                <w:noProof/>
                <w:webHidden/>
              </w:rPr>
              <w:fldChar w:fldCharType="end"/>
            </w:r>
          </w:hyperlink>
        </w:p>
        <w:p w:rsidR="00D82003" w:rsidRDefault="00D82003" w14:paraId="440B1300" w14:textId="77777777">
          <w:pPr>
            <w:pStyle w:val="TOC1"/>
            <w:tabs>
              <w:tab w:val="right" w:leader="dot" w:pos="8630"/>
            </w:tabs>
            <w:rPr>
              <w:rFonts w:asciiTheme="minorHAnsi" w:hAnsiTheme="minorHAnsi" w:eastAsiaTheme="minorEastAsia"/>
              <w:noProof/>
              <w:lang w:val="en-US"/>
            </w:rPr>
          </w:pPr>
          <w:hyperlink w:history="1" w:anchor="_Toc101735577">
            <w:r w:rsidRPr="00472CA5">
              <w:rPr>
                <w:rStyle w:val="Hyperlink"/>
                <w:noProof/>
              </w:rPr>
              <w:t>Conclusion</w:t>
            </w:r>
            <w:r>
              <w:rPr>
                <w:noProof/>
                <w:webHidden/>
              </w:rPr>
              <w:tab/>
            </w:r>
            <w:r>
              <w:rPr>
                <w:noProof/>
                <w:webHidden/>
              </w:rPr>
              <w:fldChar w:fldCharType="begin"/>
            </w:r>
            <w:r>
              <w:rPr>
                <w:noProof/>
                <w:webHidden/>
              </w:rPr>
              <w:instrText xml:space="preserve"> PAGEREF _Toc101735577 \h </w:instrText>
            </w:r>
            <w:r>
              <w:rPr>
                <w:noProof/>
                <w:webHidden/>
              </w:rPr>
            </w:r>
            <w:r>
              <w:rPr>
                <w:noProof/>
                <w:webHidden/>
              </w:rPr>
              <w:fldChar w:fldCharType="separate"/>
            </w:r>
            <w:r>
              <w:rPr>
                <w:noProof/>
                <w:webHidden/>
              </w:rPr>
              <w:t>7</w:t>
            </w:r>
            <w:r>
              <w:rPr>
                <w:noProof/>
                <w:webHidden/>
              </w:rPr>
              <w:fldChar w:fldCharType="end"/>
            </w:r>
          </w:hyperlink>
        </w:p>
        <w:p w:rsidR="00D82003" w:rsidRDefault="00D82003" w14:paraId="77E4CDE0" w14:textId="77777777">
          <w:pPr>
            <w:pStyle w:val="TOC1"/>
            <w:tabs>
              <w:tab w:val="right" w:leader="dot" w:pos="8630"/>
            </w:tabs>
            <w:rPr>
              <w:rFonts w:asciiTheme="minorHAnsi" w:hAnsiTheme="minorHAnsi" w:eastAsiaTheme="minorEastAsia"/>
              <w:noProof/>
              <w:lang w:val="en-US"/>
            </w:rPr>
          </w:pPr>
          <w:hyperlink w:history="1" w:anchor="_Toc101735578">
            <w:r w:rsidRPr="00472CA5">
              <w:rPr>
                <w:rStyle w:val="Hyperlink"/>
                <w:noProof/>
              </w:rPr>
              <w:t>Reference</w:t>
            </w:r>
            <w:r>
              <w:rPr>
                <w:noProof/>
                <w:webHidden/>
              </w:rPr>
              <w:tab/>
            </w:r>
            <w:r>
              <w:rPr>
                <w:noProof/>
                <w:webHidden/>
              </w:rPr>
              <w:fldChar w:fldCharType="begin"/>
            </w:r>
            <w:r>
              <w:rPr>
                <w:noProof/>
                <w:webHidden/>
              </w:rPr>
              <w:instrText xml:space="preserve"> PAGEREF _Toc101735578 \h </w:instrText>
            </w:r>
            <w:r>
              <w:rPr>
                <w:noProof/>
                <w:webHidden/>
              </w:rPr>
            </w:r>
            <w:r>
              <w:rPr>
                <w:noProof/>
                <w:webHidden/>
              </w:rPr>
              <w:fldChar w:fldCharType="separate"/>
            </w:r>
            <w:r>
              <w:rPr>
                <w:noProof/>
                <w:webHidden/>
              </w:rPr>
              <w:t>8</w:t>
            </w:r>
            <w:r>
              <w:rPr>
                <w:noProof/>
                <w:webHidden/>
              </w:rPr>
              <w:fldChar w:fldCharType="end"/>
            </w:r>
          </w:hyperlink>
        </w:p>
        <w:p w:rsidRPr="00BD6DD1" w:rsidR="00AC6965" w:rsidP="00BD6DD1" w:rsidRDefault="00AC6965" w14:paraId="092BF0C3" w14:textId="70305DF0">
          <w:pPr>
            <w:rPr>
              <w:rFonts w:cs="Arial"/>
            </w:rPr>
          </w:pPr>
          <w:r w:rsidRPr="00BD6DD1">
            <w:rPr>
              <w:rFonts w:cs="Arial"/>
              <w:b/>
              <w:bCs/>
              <w:noProof/>
            </w:rPr>
            <w:fldChar w:fldCharType="end"/>
          </w:r>
        </w:p>
      </w:sdtContent>
    </w:sdt>
    <w:p w:rsidRPr="00BD6DD1" w:rsidR="00056E52" w:rsidP="00BD6DD1" w:rsidRDefault="00056E52" w14:paraId="43C7FBDE" w14:textId="77777777">
      <w:pPr>
        <w:rPr>
          <w:rFonts w:cs="Arial" w:eastAsiaTheme="majorEastAsia"/>
          <w:b/>
          <w:bCs/>
          <w:sz w:val="32"/>
          <w:szCs w:val="32"/>
        </w:rPr>
      </w:pPr>
      <w:r w:rsidRPr="00BD6DD1">
        <w:rPr>
          <w:rFonts w:cs="Arial"/>
        </w:rPr>
        <w:br w:type="page"/>
      </w:r>
    </w:p>
    <w:p w:rsidRPr="00BD6DD1" w:rsidR="00AC6965" w:rsidP="00BD6DD1" w:rsidRDefault="00AC6965" w14:paraId="4379AC3C" w14:textId="77777777">
      <w:pPr>
        <w:pStyle w:val="Heading1"/>
        <w:sectPr w:rsidRPr="00BD6DD1" w:rsidR="00AC6965" w:rsidSect="00E259DD">
          <w:footerReference w:type="default" r:id="rId9"/>
          <w:pgSz w:w="12240" w:h="15840" w:orient="portrait" w:code="1"/>
          <w:pgMar w:top="1440" w:right="1800" w:bottom="1440" w:left="1800" w:header="720" w:footer="720" w:gutter="0"/>
          <w:pgNumType w:fmt="lowerRoman"/>
          <w:cols w:space="720"/>
          <w:docGrid w:linePitch="360"/>
        </w:sectPr>
      </w:pPr>
    </w:p>
    <w:p w:rsidRPr="00BD6DD1" w:rsidR="000F789D" w:rsidP="00BD6DD1" w:rsidRDefault="000F789D" w14:paraId="28012A32" w14:textId="67911258">
      <w:pPr>
        <w:pStyle w:val="Heading1"/>
      </w:pPr>
      <w:bookmarkStart w:name="_Toc101735573" w:id="1"/>
      <w:r w:rsidRPr="00BD6DD1">
        <w:t>Introduction</w:t>
      </w:r>
      <w:bookmarkEnd w:id="1"/>
      <w:r w:rsidRPr="00BD6DD1">
        <w:t xml:space="preserve"> </w:t>
      </w:r>
    </w:p>
    <w:p w:rsidRPr="00BD6DD1" w:rsidR="00B61AFD" w:rsidP="00BD6DD1" w:rsidRDefault="002E1BE1" w14:paraId="72445E83" w14:textId="0E9CF7F6">
      <w:pPr>
        <w:rPr>
          <w:rFonts w:cs="Arial"/>
        </w:rPr>
      </w:pPr>
      <w:r w:rsidRPr="00BD6DD1">
        <w:rPr>
          <w:rFonts w:cs="Arial"/>
        </w:rPr>
        <w:t>In recent years, employee engagement approaches have become more popular. Employee engagement is described as a worker's intellectual, emotional, and psychosocial energy focused on achieving good job results</w:t>
      </w:r>
      <w:r w:rsidRPr="00BD6DD1" w:rsidR="003F6E3F">
        <w:rPr>
          <w:rFonts w:cs="Arial"/>
        </w:rPr>
        <w:t xml:space="preserve"> </w:t>
      </w:r>
      <w:r w:rsidRPr="00BD6DD1" w:rsidR="003F6E3F">
        <w:rPr>
          <w:rFonts w:cs="Arial"/>
        </w:rPr>
        <w:t>(</w:t>
      </w:r>
      <w:r w:rsidRPr="00BD6DD1" w:rsidR="003F6E3F">
        <w:rPr>
          <w:rFonts w:cs="Arial"/>
          <w:szCs w:val="24"/>
        </w:rPr>
        <w:t>Armstrong and Taylor, 2020)</w:t>
      </w:r>
      <w:r w:rsidRPr="00BD6DD1">
        <w:rPr>
          <w:rFonts w:cs="Arial"/>
        </w:rPr>
        <w:t xml:space="preserve">. Committed employees, according to research, are more likely to be productive, remain with their current company, and collaborate with clients. </w:t>
      </w:r>
      <w:r w:rsidRPr="00BD6DD1" w:rsidR="007E120A">
        <w:rPr>
          <w:rFonts w:cs="Arial"/>
        </w:rPr>
        <w:t>R</w:t>
      </w:r>
      <w:r w:rsidRPr="00BD6DD1">
        <w:rPr>
          <w:rFonts w:cs="Arial"/>
        </w:rPr>
        <w:t>esearch shows that fostering positive workplace culture may be beneficial to businesses. Engagement looks to be self-evidently helpful to the company. While the justification for interaction research and wide application areas like effort and turnover continues to grow, more patient-</w:t>
      </w:r>
      <w:r w:rsidRPr="00BD6DD1" w:rsidR="00794203">
        <w:rPr>
          <w:rFonts w:cs="Arial"/>
        </w:rPr>
        <w:t>centred</w:t>
      </w:r>
      <w:r w:rsidRPr="00BD6DD1">
        <w:rPr>
          <w:rFonts w:cs="Arial"/>
        </w:rPr>
        <w:t xml:space="preserve"> research results in the domains of health and welfare have emerged, with implications for </w:t>
      </w:r>
      <w:r w:rsidRPr="00BD6DD1" w:rsidR="002D7F37">
        <w:rPr>
          <w:rFonts w:cs="Arial"/>
        </w:rPr>
        <w:t>organisation</w:t>
      </w:r>
      <w:r w:rsidRPr="00BD6DD1">
        <w:rPr>
          <w:rFonts w:cs="Arial"/>
        </w:rPr>
        <w:t>al settings.</w:t>
      </w:r>
      <w:r w:rsidRPr="00BD6DD1" w:rsidR="00D35A41">
        <w:rPr>
          <w:rFonts w:cs="Arial"/>
        </w:rPr>
        <w:t xml:space="preserve"> </w:t>
      </w:r>
    </w:p>
    <w:p w:rsidRPr="00BD6DD1" w:rsidR="002E1BE1" w:rsidP="00BD6DD1" w:rsidRDefault="00D35A41" w14:paraId="69DE8B48" w14:textId="45A551EA">
      <w:pPr>
        <w:rPr>
          <w:rFonts w:cs="Arial"/>
        </w:rPr>
      </w:pPr>
      <w:r w:rsidRPr="00BD6DD1">
        <w:rPr>
          <w:rFonts w:cs="Arial"/>
        </w:rPr>
        <w:t>Currently</w:t>
      </w:r>
      <w:r w:rsidRPr="00BD6DD1" w:rsidR="002D7F37">
        <w:rPr>
          <w:rFonts w:cs="Arial"/>
        </w:rPr>
        <w:t>,</w:t>
      </w:r>
      <w:r w:rsidRPr="00BD6DD1">
        <w:rPr>
          <w:rFonts w:cs="Arial"/>
        </w:rPr>
        <w:t xml:space="preserve"> I am working at </w:t>
      </w:r>
      <w:r w:rsidRPr="00BD6DD1" w:rsidR="00EA2139">
        <w:rPr>
          <w:rFonts w:cs="Arial"/>
        </w:rPr>
        <w:t xml:space="preserve">Next Plc </w:t>
      </w:r>
      <w:r w:rsidRPr="00BD6DD1">
        <w:rPr>
          <w:rFonts w:cs="Arial"/>
        </w:rPr>
        <w:t xml:space="preserve">and the measures taken by my </w:t>
      </w:r>
      <w:r w:rsidRPr="00BD6DD1" w:rsidR="002D7F37">
        <w:rPr>
          <w:rFonts w:cs="Arial"/>
        </w:rPr>
        <w:t>organisations such as Next Plc</w:t>
      </w:r>
      <w:r w:rsidRPr="00BD6DD1">
        <w:rPr>
          <w:rFonts w:cs="Arial"/>
        </w:rPr>
        <w:t xml:space="preserve"> are flexible working time, work from home, job design, and</w:t>
      </w:r>
      <w:r w:rsidRPr="00BD6DD1" w:rsidR="002519EE">
        <w:rPr>
          <w:rFonts w:cs="Arial"/>
        </w:rPr>
        <w:t xml:space="preserve"> improving workplace hygiene.</w:t>
      </w:r>
    </w:p>
    <w:p w:rsidRPr="00BD6DD1" w:rsidR="002E1BE1" w:rsidP="00BD6DD1" w:rsidRDefault="00836A8F" w14:paraId="0D6860B5" w14:textId="7457499F">
      <w:pPr>
        <w:pStyle w:val="Heading1"/>
      </w:pPr>
      <w:bookmarkStart w:name="_Toc101735574" w:id="2"/>
      <w:r w:rsidRPr="00BD6DD1">
        <w:t>E</w:t>
      </w:r>
      <w:r w:rsidRPr="00BD6DD1" w:rsidR="002E1BE1">
        <w:t>mployee engagement and it</w:t>
      </w:r>
      <w:r w:rsidRPr="00BD6DD1" w:rsidR="007C6FF0">
        <w:t>s</w:t>
      </w:r>
      <w:r w:rsidRPr="00BD6DD1" w:rsidR="002D7F37">
        <w:t>’</w:t>
      </w:r>
      <w:r w:rsidRPr="00BD6DD1" w:rsidR="007C6FF0">
        <w:t xml:space="preserve"> drivers</w:t>
      </w:r>
      <w:bookmarkEnd w:id="2"/>
    </w:p>
    <w:p w:rsidRPr="00BD6DD1" w:rsidR="0034517A" w:rsidP="00BD6DD1" w:rsidRDefault="00A7052F" w14:paraId="62684332" w14:textId="6F2650A4">
      <w:pPr>
        <w:rPr>
          <w:rFonts w:cs="Arial"/>
        </w:rPr>
      </w:pPr>
      <w:r w:rsidRPr="00BD6DD1">
        <w:rPr>
          <w:rFonts w:cs="Arial"/>
        </w:rPr>
        <w:t>Sound</w:t>
      </w:r>
      <w:r w:rsidRPr="00BD6DD1" w:rsidR="002E1BE1">
        <w:rPr>
          <w:rFonts w:cs="Arial"/>
        </w:rPr>
        <w:t xml:space="preserve"> businesses are supposed to establish workplace measures and practi</w:t>
      </w:r>
      <w:r w:rsidRPr="00BD6DD1" w:rsidR="002D7F37">
        <w:rPr>
          <w:rFonts w:cs="Arial"/>
        </w:rPr>
        <w:t>c</w:t>
      </w:r>
      <w:r w:rsidRPr="00BD6DD1" w:rsidR="002E1BE1">
        <w:rPr>
          <w:rFonts w:cs="Arial"/>
        </w:rPr>
        <w:t>es that encourage and improve a sense of well-being among their compan</w:t>
      </w:r>
      <w:r w:rsidRPr="00BD6DD1" w:rsidR="00D22C74">
        <w:rPr>
          <w:rFonts w:cs="Arial"/>
        </w:rPr>
        <w:t>y</w:t>
      </w:r>
      <w:r w:rsidRPr="00BD6DD1" w:rsidR="00794203">
        <w:rPr>
          <w:rFonts w:cs="Arial"/>
        </w:rPr>
        <w:t>’</w:t>
      </w:r>
      <w:r w:rsidRPr="00BD6DD1" w:rsidR="002E1BE1">
        <w:rPr>
          <w:rFonts w:cs="Arial"/>
        </w:rPr>
        <w:t>s workers, resulting in increased productivity</w:t>
      </w:r>
      <w:r w:rsidRPr="00BD6DD1" w:rsidR="00B61AFD">
        <w:rPr>
          <w:rFonts w:cs="Arial"/>
        </w:rPr>
        <w:t xml:space="preserve"> (Dessler, 2020)</w:t>
      </w:r>
      <w:r w:rsidRPr="00BD6DD1" w:rsidR="002E1BE1">
        <w:rPr>
          <w:rFonts w:cs="Arial"/>
        </w:rPr>
        <w:t xml:space="preserve">. </w:t>
      </w:r>
      <w:r w:rsidRPr="00BD6DD1" w:rsidR="00485D5A">
        <w:rPr>
          <w:rFonts w:cs="Arial"/>
        </w:rPr>
        <w:t>U</w:t>
      </w:r>
      <w:r w:rsidRPr="00BD6DD1" w:rsidR="002E1BE1">
        <w:rPr>
          <w:rFonts w:cs="Arial"/>
        </w:rPr>
        <w:t xml:space="preserve">nhealthy </w:t>
      </w:r>
      <w:r w:rsidRPr="00BD6DD1" w:rsidR="002D7F37">
        <w:rPr>
          <w:rFonts w:cs="Arial"/>
        </w:rPr>
        <w:t xml:space="preserve">organisations </w:t>
      </w:r>
      <w:r w:rsidRPr="00BD6DD1" w:rsidR="002E1BE1">
        <w:rPr>
          <w:rFonts w:cs="Arial"/>
        </w:rPr>
        <w:t xml:space="preserve">refer to the opposite model, which is marked by bad working conditions, high absenteeism, and high staff turnover. </w:t>
      </w:r>
    </w:p>
    <w:p w:rsidRPr="00BD6DD1" w:rsidR="002E1BE1" w:rsidP="00BD6DD1" w:rsidRDefault="0034517A" w14:paraId="65E315A1" w14:textId="5612B276">
      <w:pPr>
        <w:rPr>
          <w:rFonts w:cs="Arial"/>
        </w:rPr>
      </w:pPr>
      <w:r w:rsidRPr="00BD6DD1">
        <w:rPr>
          <w:rFonts w:cs="Arial"/>
          <w:b/>
          <w:bCs/>
        </w:rPr>
        <w:t xml:space="preserve">Better </w:t>
      </w:r>
      <w:r w:rsidRPr="00BD6DD1" w:rsidR="00B61AFD">
        <w:rPr>
          <w:rFonts w:cs="Arial"/>
          <w:b/>
          <w:bCs/>
        </w:rPr>
        <w:t>organisational</w:t>
      </w:r>
      <w:r w:rsidRPr="00BD6DD1">
        <w:rPr>
          <w:rFonts w:cs="Arial"/>
          <w:b/>
          <w:bCs/>
        </w:rPr>
        <w:t xml:space="preserve"> performance:</w:t>
      </w:r>
      <w:r w:rsidRPr="00BD6DD1">
        <w:rPr>
          <w:rFonts w:cs="Arial"/>
        </w:rPr>
        <w:t xml:space="preserve"> </w:t>
      </w:r>
      <w:r w:rsidRPr="00BD6DD1" w:rsidR="002D7F37">
        <w:rPr>
          <w:rFonts w:cs="Arial"/>
        </w:rPr>
        <w:t>Organisations such as Next Plc generally</w:t>
      </w:r>
      <w:r w:rsidRPr="00BD6DD1" w:rsidR="002E1BE1">
        <w:rPr>
          <w:rFonts w:cs="Arial"/>
        </w:rPr>
        <w:t xml:space="preserve"> have a staff that performs well and has a high coefficient of performance, which leads to improved economic conditions. As a result, job engagement and the environment in which people work have a mental and emotional influence on pleasant work performance and behaviour</w:t>
      </w:r>
      <w:r w:rsidRPr="00BD6DD1" w:rsidR="00B61AFD">
        <w:rPr>
          <w:rFonts w:cs="Arial"/>
        </w:rPr>
        <w:t xml:space="preserve"> </w:t>
      </w:r>
      <w:r w:rsidRPr="00BD6DD1" w:rsidR="00E259DD">
        <w:rPr>
          <w:rFonts w:cs="Arial"/>
        </w:rPr>
        <w:t>(Abdullahi et al.</w:t>
      </w:r>
      <w:r w:rsidRPr="00BD6DD1" w:rsidR="00B61AFD">
        <w:rPr>
          <w:rFonts w:cs="Arial"/>
        </w:rPr>
        <w:t>, 2021)</w:t>
      </w:r>
      <w:r w:rsidRPr="00BD6DD1" w:rsidR="002E1BE1">
        <w:rPr>
          <w:rFonts w:cs="Arial"/>
        </w:rPr>
        <w:t xml:space="preserve">. As a consequence, </w:t>
      </w:r>
      <w:r w:rsidRPr="00BD6DD1" w:rsidR="002D7F37">
        <w:rPr>
          <w:rFonts w:cs="Arial"/>
        </w:rPr>
        <w:t>organisation</w:t>
      </w:r>
      <w:r w:rsidRPr="00BD6DD1" w:rsidR="002E1BE1">
        <w:rPr>
          <w:rFonts w:cs="Arial"/>
        </w:rPr>
        <w:t xml:space="preserve">al performance and employee satisfaction are linked. </w:t>
      </w:r>
    </w:p>
    <w:p w:rsidRPr="00BD6DD1" w:rsidR="002E1BE1" w:rsidP="00BD6DD1" w:rsidRDefault="00C2683B" w14:paraId="4A617E49" w14:textId="090AC8B7">
      <w:pPr>
        <w:rPr>
          <w:rFonts w:cs="Arial"/>
        </w:rPr>
      </w:pPr>
      <w:r w:rsidRPr="00BD6DD1">
        <w:rPr>
          <w:rFonts w:cs="Arial"/>
          <w:b/>
          <w:bCs/>
        </w:rPr>
        <w:t>Improved</w:t>
      </w:r>
      <w:r w:rsidRPr="00BD6DD1" w:rsidR="0034517A">
        <w:rPr>
          <w:rFonts w:cs="Arial"/>
          <w:b/>
          <w:bCs/>
        </w:rPr>
        <w:t xml:space="preserve"> work environment:</w:t>
      </w:r>
      <w:r w:rsidRPr="00BD6DD1" w:rsidR="0034517A">
        <w:rPr>
          <w:rFonts w:cs="Arial"/>
        </w:rPr>
        <w:t xml:space="preserve"> </w:t>
      </w:r>
      <w:r w:rsidRPr="00BD6DD1" w:rsidR="002D7F37">
        <w:rPr>
          <w:rFonts w:cs="Arial"/>
        </w:rPr>
        <w:t>A w</w:t>
      </w:r>
      <w:r w:rsidRPr="00BD6DD1" w:rsidR="00D657B8">
        <w:rPr>
          <w:rFonts w:cs="Arial"/>
        </w:rPr>
        <w:t xml:space="preserve">ork </w:t>
      </w:r>
      <w:r w:rsidRPr="00BD6DD1" w:rsidR="002E1BE1">
        <w:rPr>
          <w:rFonts w:cs="Arial"/>
        </w:rPr>
        <w:t>environment that promotes employee contentment, involvement, and effectiveness would increase staff members' well-being and economic production</w:t>
      </w:r>
      <w:r w:rsidRPr="00BD6DD1" w:rsidR="003F6E3F">
        <w:rPr>
          <w:rFonts w:cs="Arial"/>
        </w:rPr>
        <w:t xml:space="preserve"> (</w:t>
      </w:r>
      <w:r w:rsidRPr="00BD6DD1" w:rsidR="003F6E3F">
        <w:rPr>
          <w:rFonts w:cs="Arial"/>
          <w:szCs w:val="24"/>
        </w:rPr>
        <w:t>Armstrong and Taylor</w:t>
      </w:r>
      <w:r w:rsidRPr="00BD6DD1" w:rsidR="003F6E3F">
        <w:rPr>
          <w:rFonts w:cs="Arial"/>
          <w:szCs w:val="24"/>
        </w:rPr>
        <w:t>, 2020</w:t>
      </w:r>
      <w:r w:rsidRPr="00BD6DD1" w:rsidR="003F6E3F">
        <w:rPr>
          <w:rFonts w:cs="Arial"/>
          <w:szCs w:val="24"/>
        </w:rPr>
        <w:t>)</w:t>
      </w:r>
      <w:r w:rsidRPr="00BD6DD1" w:rsidR="002E1BE1">
        <w:rPr>
          <w:rFonts w:cs="Arial"/>
        </w:rPr>
        <w:t xml:space="preserve">. From a bi-directional viewpoint, wellness is crucial for building long-term work satisfaction and </w:t>
      </w:r>
      <w:r w:rsidRPr="00BD6DD1" w:rsidR="002D7F37">
        <w:rPr>
          <w:rFonts w:cs="Arial"/>
        </w:rPr>
        <w:t xml:space="preserve">organisations such as Next Plc </w:t>
      </w:r>
      <w:r w:rsidRPr="00BD6DD1" w:rsidR="002E1BE1">
        <w:rPr>
          <w:rFonts w:cs="Arial"/>
        </w:rPr>
        <w:t xml:space="preserve">al commitment. There is currently no one, widely acknowledged definition of employee satisfaction. </w:t>
      </w:r>
    </w:p>
    <w:p w:rsidRPr="00BD6DD1" w:rsidR="002E1BE1" w:rsidP="00BD6DD1" w:rsidRDefault="008B570F" w14:paraId="6C85709A" w14:textId="2D4EF5AE">
      <w:pPr>
        <w:rPr>
          <w:rFonts w:cs="Arial"/>
        </w:rPr>
      </w:pPr>
      <w:r w:rsidRPr="00BD6DD1">
        <w:rPr>
          <w:rFonts w:cs="Arial"/>
          <w:b/>
          <w:bCs/>
        </w:rPr>
        <w:t>Emotional connection and commitment of the employees:</w:t>
      </w:r>
      <w:r w:rsidRPr="00BD6DD1">
        <w:rPr>
          <w:rFonts w:cs="Arial"/>
        </w:rPr>
        <w:t xml:space="preserve"> </w:t>
      </w:r>
      <w:r w:rsidRPr="00BD6DD1" w:rsidR="002D7F37">
        <w:rPr>
          <w:rFonts w:cs="Arial"/>
        </w:rPr>
        <w:t>Even though</w:t>
      </w:r>
      <w:r w:rsidRPr="00BD6DD1" w:rsidR="002E1BE1">
        <w:rPr>
          <w:rFonts w:cs="Arial"/>
        </w:rPr>
        <w:t xml:space="preserve"> it has been a popular topic for many periodicals and consulting </w:t>
      </w:r>
      <w:r w:rsidRPr="00BD6DD1" w:rsidR="002D7F37">
        <w:rPr>
          <w:rFonts w:cs="Arial"/>
        </w:rPr>
        <w:t>organisations such as Next Plc</w:t>
      </w:r>
      <w:r w:rsidRPr="00BD6DD1" w:rsidR="002E1BE1">
        <w:rPr>
          <w:rFonts w:cs="Arial"/>
        </w:rPr>
        <w:t>, just a few scientific literature studies have addressed it. Employee engagement</w:t>
      </w:r>
      <w:r w:rsidRPr="00BD6DD1" w:rsidR="00D22C74">
        <w:rPr>
          <w:rFonts w:cs="Arial"/>
        </w:rPr>
        <w:t xml:space="preserve"> </w:t>
      </w:r>
      <w:r w:rsidRPr="00BD6DD1" w:rsidR="002E1BE1">
        <w:rPr>
          <w:rFonts w:cs="Arial"/>
        </w:rPr>
        <w:t xml:space="preserve">is the workforce's </w:t>
      </w:r>
      <w:r w:rsidRPr="00BD6DD1">
        <w:rPr>
          <w:rFonts w:cs="Arial"/>
        </w:rPr>
        <w:t>positive</w:t>
      </w:r>
      <w:r w:rsidRPr="00BD6DD1" w:rsidR="002E1BE1">
        <w:rPr>
          <w:rFonts w:cs="Arial"/>
        </w:rPr>
        <w:t xml:space="preserve"> emotional connection and devotion, which involves commitment and involvement in one's job</w:t>
      </w:r>
      <w:r w:rsidRPr="00BD6DD1" w:rsidR="00B61AFD">
        <w:rPr>
          <w:rFonts w:cs="Arial"/>
        </w:rPr>
        <w:t xml:space="preserve"> </w:t>
      </w:r>
      <w:r w:rsidRPr="00BD6DD1" w:rsidR="00E259DD">
        <w:rPr>
          <w:rFonts w:cs="Arial"/>
        </w:rPr>
        <w:t>(Obrenovic et al., 2020)</w:t>
      </w:r>
      <w:r w:rsidRPr="00BD6DD1" w:rsidR="002E1BE1">
        <w:rPr>
          <w:rFonts w:cs="Arial"/>
        </w:rPr>
        <w:t xml:space="preserve">. The method utilised, depending on whether it's a characteristic (optimistic view on life and function correctly), state (sentiments of power creation, uptake), or behaviour patterns, is a crucial factor in contextualising participation. </w:t>
      </w:r>
    </w:p>
    <w:p w:rsidRPr="00BD6DD1" w:rsidR="00C2683B" w:rsidP="00BD6DD1" w:rsidRDefault="005F3126" w14:paraId="162BE1E2" w14:textId="600E71F4">
      <w:pPr>
        <w:rPr>
          <w:rFonts w:cs="Arial"/>
        </w:rPr>
      </w:pPr>
      <w:r w:rsidRPr="00BD6DD1">
        <w:rPr>
          <w:rFonts w:cs="Arial"/>
          <w:b/>
          <w:bCs/>
        </w:rPr>
        <w:t>Effective communication</w:t>
      </w:r>
      <w:r w:rsidRPr="00BD6DD1">
        <w:rPr>
          <w:rFonts w:cs="Arial"/>
        </w:rPr>
        <w:t xml:space="preserve">: </w:t>
      </w:r>
      <w:r w:rsidRPr="00BD6DD1" w:rsidR="002E1BE1">
        <w:rPr>
          <w:rFonts w:cs="Arial"/>
        </w:rPr>
        <w:t xml:space="preserve">Effective communication is critical in this management. </w:t>
      </w:r>
      <w:r w:rsidRPr="00BD6DD1" w:rsidR="00BD6DD1">
        <w:rPr>
          <w:rFonts w:cs="Arial"/>
        </w:rPr>
        <w:t>Dessler</w:t>
      </w:r>
      <w:r w:rsidRPr="00BD6DD1" w:rsidR="00B61AFD">
        <w:rPr>
          <w:rFonts w:cs="Arial"/>
        </w:rPr>
        <w:t xml:space="preserve"> </w:t>
      </w:r>
      <w:r w:rsidRPr="00BD6DD1" w:rsidR="00BD6DD1">
        <w:rPr>
          <w:rFonts w:cs="Arial"/>
        </w:rPr>
        <w:t>(</w:t>
      </w:r>
      <w:r w:rsidRPr="00BD6DD1" w:rsidR="00B61AFD">
        <w:rPr>
          <w:rFonts w:cs="Arial"/>
        </w:rPr>
        <w:t>2020)</w:t>
      </w:r>
      <w:r w:rsidRPr="00BD6DD1" w:rsidR="002E1BE1">
        <w:rPr>
          <w:rFonts w:cs="Arial"/>
        </w:rPr>
        <w:t xml:space="preserve"> defined employee engagement as employees' pos</w:t>
      </w:r>
      <w:r w:rsidR="00BD6DD1">
        <w:rPr>
          <w:rFonts w:cs="Arial"/>
        </w:rPr>
        <w:t>itive attitude about the organis</w:t>
      </w:r>
      <w:r w:rsidRPr="00BD6DD1" w:rsidR="002E1BE1">
        <w:rPr>
          <w:rFonts w:cs="Arial"/>
        </w:rPr>
        <w:t>ation's commitment. With these initiatives, an effort was made to focus on the employee engagement theoretical model.</w:t>
      </w:r>
      <w:r w:rsidRPr="00BD6DD1" w:rsidR="00081B86">
        <w:rPr>
          <w:rFonts w:cs="Arial"/>
        </w:rPr>
        <w:t xml:space="preserve"> </w:t>
      </w:r>
      <w:r w:rsidRPr="00BD6DD1" w:rsidR="00A7052F">
        <w:rPr>
          <w:rFonts w:cs="Arial"/>
        </w:rPr>
        <w:t>Employee engagement necessitates a two-way dialogue between a corporation and its workforce. Work engagement is connected to individual involvement and enjoyment, according to the sense of fulfilment concept.</w:t>
      </w:r>
      <w:r w:rsidRPr="00BD6DD1">
        <w:rPr>
          <w:rFonts w:cs="Arial"/>
        </w:rPr>
        <w:t xml:space="preserve"> An early model of employee satisfaction as intellectual, emotional, and material assets implies that direct interaction, consciousness, and emotional closeness guarantee that people reveal their true selves</w:t>
      </w:r>
      <w:r w:rsidRPr="00BD6DD1" w:rsidR="00BD6DD1">
        <w:rPr>
          <w:rFonts w:cs="Arial"/>
        </w:rPr>
        <w:t xml:space="preserve"> </w:t>
      </w:r>
      <w:r w:rsidRPr="00BD6DD1" w:rsidR="00BD6DD1">
        <w:rPr>
          <w:rFonts w:cs="Arial"/>
        </w:rPr>
        <w:t>(Obrenovic et al., 2020)</w:t>
      </w:r>
      <w:r w:rsidRPr="00BD6DD1" w:rsidR="00BD6DD1">
        <w:rPr>
          <w:rFonts w:cs="Arial"/>
        </w:rPr>
        <w:t>.</w:t>
      </w:r>
    </w:p>
    <w:p w:rsidRPr="00BD6DD1" w:rsidR="002E1BE1" w:rsidP="00BD6DD1" w:rsidRDefault="00C2683B" w14:paraId="746FD6C3" w14:textId="186FB571">
      <w:pPr>
        <w:rPr>
          <w:rFonts w:cs="Arial"/>
        </w:rPr>
      </w:pPr>
      <w:r w:rsidRPr="00BD6DD1">
        <w:rPr>
          <w:rFonts w:cs="Arial"/>
          <w:b/>
          <w:bCs/>
        </w:rPr>
        <w:t>Remote work facilities:</w:t>
      </w:r>
      <w:r w:rsidRPr="00BD6DD1">
        <w:rPr>
          <w:rFonts w:cs="Arial"/>
        </w:rPr>
        <w:t xml:space="preserve"> </w:t>
      </w:r>
      <w:r w:rsidRPr="00BD6DD1" w:rsidR="002E1BE1">
        <w:rPr>
          <w:rFonts w:cs="Arial"/>
        </w:rPr>
        <w:t xml:space="preserve">One of the most significant kinds of labour market adaptation during the COVID-19 illness epidemic was the broad move to remote work, which averted future major layoffs. Regardless, produced a preliminary categorization that identifies </w:t>
      </w:r>
      <w:r w:rsidRPr="00BD6DD1" w:rsidR="00BD6DD1">
        <w:rPr>
          <w:rFonts w:cs="Arial"/>
        </w:rPr>
        <w:t>several</w:t>
      </w:r>
      <w:r w:rsidRPr="00BD6DD1" w:rsidR="002E1BE1">
        <w:rPr>
          <w:rFonts w:cs="Arial"/>
        </w:rPr>
        <w:t xml:space="preserve"> elements for distingui</w:t>
      </w:r>
      <w:r w:rsidRPr="00BD6DD1" w:rsidR="00BD6DD1">
        <w:rPr>
          <w:rFonts w:cs="Arial"/>
        </w:rPr>
        <w:t xml:space="preserve">shing the nature of remote work and these are </w:t>
      </w:r>
      <w:r w:rsidRPr="00BD6DD1" w:rsidR="002E1BE1">
        <w:rPr>
          <w:rFonts w:cs="Arial"/>
        </w:rPr>
        <w:t>location, temporality, technical, value chain, legal structure, and monetary remuneration</w:t>
      </w:r>
      <w:r w:rsidRPr="00BD6DD1" w:rsidR="00E259DD">
        <w:rPr>
          <w:rFonts w:cs="Arial"/>
        </w:rPr>
        <w:t xml:space="preserve"> </w:t>
      </w:r>
      <w:r w:rsidRPr="00BD6DD1" w:rsidR="00E259DD">
        <w:rPr>
          <w:rFonts w:cs="Arial"/>
        </w:rPr>
        <w:t>(Abdullahi et al., 2021)</w:t>
      </w:r>
      <w:r w:rsidRPr="00BD6DD1" w:rsidR="002E1BE1">
        <w:rPr>
          <w:rFonts w:cs="Arial"/>
        </w:rPr>
        <w:t xml:space="preserve">. As a consequence, the location characteristic corresponded to the geographic location where the individual works, </w:t>
      </w:r>
      <w:r w:rsidRPr="00BD6DD1" w:rsidR="002D7F37">
        <w:rPr>
          <w:rFonts w:cs="Arial"/>
        </w:rPr>
        <w:t>even though</w:t>
      </w:r>
      <w:r w:rsidRPr="00BD6DD1" w:rsidR="002E1BE1">
        <w:rPr>
          <w:rFonts w:cs="Arial"/>
        </w:rPr>
        <w:t xml:space="preserve"> working remotely does not necessarily entail working from home. Working remotely has different characteristics based on the day of the week, month, and so on. It might be full-time or part-time, exactly like any other job, in terms of working circumstances</w:t>
      </w:r>
      <w:r w:rsidRPr="00BD6DD1" w:rsidR="00BD6DD1">
        <w:rPr>
          <w:rFonts w:cs="Arial"/>
        </w:rPr>
        <w:t xml:space="preserve"> </w:t>
      </w:r>
      <w:r w:rsidRPr="00BD6DD1" w:rsidR="00BD6DD1">
        <w:rPr>
          <w:rFonts w:cs="Arial"/>
        </w:rPr>
        <w:t>(Beardwell and Thompson, 2017)</w:t>
      </w:r>
      <w:r w:rsidRPr="00BD6DD1" w:rsidR="002E1BE1">
        <w:rPr>
          <w:rFonts w:cs="Arial"/>
        </w:rPr>
        <w:t>.</w:t>
      </w:r>
    </w:p>
    <w:p w:rsidRPr="00BD6DD1" w:rsidR="002E1BE1" w:rsidP="00BD6DD1" w:rsidRDefault="002370D4" w14:paraId="2BEF0FEC" w14:textId="45C9E82F">
      <w:pPr>
        <w:rPr>
          <w:rFonts w:cs="Arial"/>
        </w:rPr>
      </w:pPr>
      <w:bookmarkStart w:name="_Hlk101710193" w:id="3"/>
      <w:r w:rsidRPr="00BD6DD1">
        <w:rPr>
          <w:rFonts w:cs="Arial"/>
          <w:b/>
          <w:bCs/>
        </w:rPr>
        <w:t>A more diverse workplace</w:t>
      </w:r>
      <w:r w:rsidRPr="00BD6DD1">
        <w:rPr>
          <w:rFonts w:cs="Arial"/>
        </w:rPr>
        <w:t xml:space="preserve">: </w:t>
      </w:r>
      <w:r w:rsidRPr="00BD6DD1" w:rsidR="002E1BE1">
        <w:rPr>
          <w:rFonts w:cs="Arial"/>
        </w:rPr>
        <w:t xml:space="preserve">A more diverse workplace </w:t>
      </w:r>
      <w:bookmarkEnd w:id="3"/>
      <w:r w:rsidRPr="00BD6DD1" w:rsidR="002E1BE1">
        <w:rPr>
          <w:rFonts w:cs="Arial"/>
        </w:rPr>
        <w:t xml:space="preserve">that utilises less space, electricity, and other resources helps a firm to be more productive. As more individuals work remotely, pollution levels will drop dramatically, and sustainable development has become a valued asset for enterprises. Companies </w:t>
      </w:r>
      <w:r w:rsidRPr="00BD6DD1" w:rsidR="002D7F37">
        <w:rPr>
          <w:rFonts w:cs="Arial"/>
        </w:rPr>
        <w:t>that</w:t>
      </w:r>
      <w:r w:rsidRPr="00BD6DD1" w:rsidR="002E1BE1">
        <w:rPr>
          <w:rFonts w:cs="Arial"/>
        </w:rPr>
        <w:t xml:space="preserve"> are the first to capitalise on its importance will have a competitive edge</w:t>
      </w:r>
      <w:r w:rsidRPr="00BD6DD1" w:rsidR="00B61AFD">
        <w:rPr>
          <w:rFonts w:cs="Arial"/>
        </w:rPr>
        <w:t xml:space="preserve"> </w:t>
      </w:r>
      <w:r w:rsidRPr="00BD6DD1" w:rsidR="003F6E3F">
        <w:rPr>
          <w:rFonts w:cs="Arial"/>
        </w:rPr>
        <w:t>(Saengchai et al.</w:t>
      </w:r>
      <w:r w:rsidRPr="00BD6DD1" w:rsidR="00B61AFD">
        <w:rPr>
          <w:rFonts w:cs="Arial"/>
        </w:rPr>
        <w:t>, 2019)</w:t>
      </w:r>
      <w:r w:rsidRPr="00BD6DD1" w:rsidR="002E1BE1">
        <w:rPr>
          <w:rFonts w:cs="Arial"/>
        </w:rPr>
        <w:t xml:space="preserve">. Additionally, businesses have learned that </w:t>
      </w:r>
      <w:r w:rsidRPr="00BD6DD1" w:rsidR="00E251D5">
        <w:rPr>
          <w:rFonts w:cs="Arial"/>
        </w:rPr>
        <w:t>t</w:t>
      </w:r>
      <w:r w:rsidRPr="00BD6DD1" w:rsidR="002E1BE1">
        <w:rPr>
          <w:rFonts w:cs="Arial"/>
        </w:rPr>
        <w:t>he coverage area for potential recruits has grown, since "living in the vicinity of the open post" is no longer a requirement for employment. Employees benefit from working remotely because they have a better work-life balance, which boosts job satisfaction.</w:t>
      </w:r>
    </w:p>
    <w:p w:rsidRPr="00BD6DD1" w:rsidR="002370D4" w:rsidP="00BD6DD1" w:rsidRDefault="00420846" w14:paraId="129770BF" w14:textId="01D3FA07">
      <w:pPr>
        <w:rPr>
          <w:rFonts w:cs="Arial"/>
        </w:rPr>
      </w:pPr>
      <w:r w:rsidRPr="00BD6DD1">
        <w:rPr>
          <w:rFonts w:cs="Arial"/>
          <w:b/>
          <w:bCs/>
        </w:rPr>
        <w:t>Work-life balance:</w:t>
      </w:r>
      <w:r w:rsidRPr="00BD6DD1">
        <w:rPr>
          <w:rFonts w:cs="Arial"/>
        </w:rPr>
        <w:t xml:space="preserve"> </w:t>
      </w:r>
      <w:r w:rsidRPr="00BD6DD1" w:rsidR="002E1BE1">
        <w:rPr>
          <w:rFonts w:cs="Arial"/>
        </w:rPr>
        <w:t>Remote working is largely a technique for balancing roles based on the targeted use of technical improvements, enabling employees to work from areas other than the company's office buildings or facilities</w:t>
      </w:r>
      <w:r w:rsidRPr="00BD6DD1" w:rsidR="003F6E3F">
        <w:rPr>
          <w:rFonts w:cs="Arial"/>
        </w:rPr>
        <w:t xml:space="preserve"> </w:t>
      </w:r>
      <w:r w:rsidRPr="00BD6DD1" w:rsidR="003F6E3F">
        <w:rPr>
          <w:rFonts w:cs="Arial"/>
        </w:rPr>
        <w:t>(</w:t>
      </w:r>
      <w:r w:rsidRPr="00BD6DD1" w:rsidR="003F6E3F">
        <w:rPr>
          <w:rFonts w:cs="Arial"/>
          <w:szCs w:val="24"/>
        </w:rPr>
        <w:t>Torrington et al., 20</w:t>
      </w:r>
      <w:r w:rsidRPr="00BD6DD1" w:rsidR="003F6E3F">
        <w:rPr>
          <w:rFonts w:cs="Arial"/>
          <w:szCs w:val="24"/>
        </w:rPr>
        <w:t>20</w:t>
      </w:r>
      <w:r w:rsidRPr="00BD6DD1" w:rsidR="003F6E3F">
        <w:rPr>
          <w:rFonts w:cs="Arial"/>
          <w:szCs w:val="24"/>
        </w:rPr>
        <w:t>)</w:t>
      </w:r>
      <w:r w:rsidRPr="00BD6DD1" w:rsidR="002E1BE1">
        <w:rPr>
          <w:rFonts w:cs="Arial"/>
        </w:rPr>
        <w:t>. They are balancing work and family life, which requires happiness and a solid work-life balance, with the least role stress. The objective is to establish equitable job possibilities, modify conventional roles and stereotypes, and take into account the need to respect and care for family members. Aside from this 'win–win' situation, which benefits both workers and management, speculations highlight the flaws in this concept</w:t>
      </w:r>
      <w:r w:rsidRPr="00BD6DD1" w:rsidR="00B61AFD">
        <w:rPr>
          <w:rFonts w:cs="Arial"/>
        </w:rPr>
        <w:t xml:space="preserve"> (Beardwell and Thompson, 2017)</w:t>
      </w:r>
      <w:r w:rsidRPr="00BD6DD1" w:rsidR="002E1BE1">
        <w:rPr>
          <w:rFonts w:cs="Arial"/>
        </w:rPr>
        <w:t xml:space="preserve">. As a consequence, it seems that when the lines between office and personal are intentionally blurred, job pressures flow over into non-work or family life. </w:t>
      </w:r>
    </w:p>
    <w:p w:rsidRPr="00BD6DD1" w:rsidR="002E1BE1" w:rsidP="00BD6DD1" w:rsidRDefault="004072BA" w14:paraId="51E157B6" w14:textId="2BA38ACE">
      <w:pPr>
        <w:rPr>
          <w:rFonts w:cs="Arial"/>
        </w:rPr>
      </w:pPr>
      <w:r w:rsidRPr="00BD6DD1">
        <w:rPr>
          <w:rFonts w:cs="Arial"/>
          <w:b/>
          <w:bCs/>
        </w:rPr>
        <w:t xml:space="preserve">Employee Reward </w:t>
      </w:r>
      <w:r w:rsidRPr="00BD6DD1" w:rsidR="005B39CD">
        <w:rPr>
          <w:rFonts w:cs="Arial"/>
          <w:b/>
          <w:bCs/>
        </w:rPr>
        <w:t>and</w:t>
      </w:r>
      <w:r w:rsidRPr="00BD6DD1">
        <w:rPr>
          <w:rFonts w:cs="Arial"/>
          <w:b/>
          <w:bCs/>
        </w:rPr>
        <w:t xml:space="preserve"> Recognition Programs</w:t>
      </w:r>
      <w:r w:rsidRPr="00BD6DD1" w:rsidR="005B39CD">
        <w:rPr>
          <w:rFonts w:cs="Arial"/>
          <w:b/>
          <w:bCs/>
        </w:rPr>
        <w:t xml:space="preserve">: </w:t>
      </w:r>
      <w:r w:rsidRPr="00BD6DD1" w:rsidR="002E1BE1">
        <w:rPr>
          <w:rFonts w:cs="Arial"/>
        </w:rPr>
        <w:t xml:space="preserve">Working remotely necessitates a higher level of regularity than has previously been required in many </w:t>
      </w:r>
      <w:r w:rsidRPr="00BD6DD1" w:rsidR="002D7F37">
        <w:rPr>
          <w:rFonts w:cs="Arial"/>
        </w:rPr>
        <w:t xml:space="preserve">organisations such as Next Plc </w:t>
      </w:r>
      <w:r w:rsidRPr="00BD6DD1" w:rsidR="002E1BE1">
        <w:rPr>
          <w:rFonts w:cs="Arial"/>
        </w:rPr>
        <w:t>al contexts. There are fewer applications for an acceptable course of action, social norms for specific qualities, and trends for life-long careers than there are for a specific decision, social rules for specific traits, and trends for life-long professions than there are for a specific course of action</w:t>
      </w:r>
      <w:r w:rsidRPr="00BD6DD1" w:rsidR="00B61AFD">
        <w:rPr>
          <w:rFonts w:cs="Arial"/>
        </w:rPr>
        <w:t xml:space="preserve"> (Dessler, 2020)</w:t>
      </w:r>
      <w:r w:rsidRPr="00BD6DD1" w:rsidR="002E1BE1">
        <w:rPr>
          <w:rFonts w:cs="Arial"/>
        </w:rPr>
        <w:t>. They must provide an incr</w:t>
      </w:r>
      <w:r w:rsidR="00BD6DD1">
        <w:rPr>
          <w:rFonts w:cs="Arial"/>
        </w:rPr>
        <w:t>ease when they depart an organis</w:t>
      </w:r>
      <w:r w:rsidRPr="00BD6DD1" w:rsidR="002E1BE1">
        <w:rPr>
          <w:rFonts w:cs="Arial"/>
        </w:rPr>
        <w:t xml:space="preserve">ation's safety net, but they also lose a sense of community, stability, and predictability. Economic instability, increased unemployment, prospective career insecurity, job ephemerality, and physical and emotional estrangement are all major contributors </w:t>
      </w:r>
      <w:r w:rsidRPr="00BD6DD1" w:rsidR="002D7F37">
        <w:rPr>
          <w:rFonts w:cs="Arial"/>
        </w:rPr>
        <w:t>to</w:t>
      </w:r>
      <w:r w:rsidRPr="00BD6DD1" w:rsidR="002E1BE1">
        <w:rPr>
          <w:rFonts w:cs="Arial"/>
        </w:rPr>
        <w:t xml:space="preserve"> the COVID-19 disease breakout issue.</w:t>
      </w:r>
    </w:p>
    <w:p w:rsidRPr="00BD6DD1" w:rsidR="002E1BE1" w:rsidP="00BD6DD1" w:rsidRDefault="002E1BE1" w14:paraId="7EA68DBD" w14:textId="476B7D2C">
      <w:pPr>
        <w:pStyle w:val="Heading1"/>
      </w:pPr>
      <w:bookmarkStart w:name="_Toc101735575" w:id="4"/>
      <w:r w:rsidRPr="00BD6DD1">
        <w:t xml:space="preserve">Diagnostic Instruments for Measuring </w:t>
      </w:r>
      <w:r w:rsidRPr="00BD6DD1" w:rsidR="00773CC5">
        <w:t xml:space="preserve">Employee </w:t>
      </w:r>
      <w:r w:rsidRPr="00BD6DD1">
        <w:t>Engagement</w:t>
      </w:r>
      <w:bookmarkEnd w:id="4"/>
    </w:p>
    <w:p w:rsidRPr="00BD6DD1" w:rsidR="00167925" w:rsidP="00BD6DD1" w:rsidRDefault="00167925" w14:paraId="1681E98B" w14:textId="4FABE0E8">
      <w:pPr>
        <w:rPr>
          <w:rFonts w:cs="Arial"/>
        </w:rPr>
      </w:pPr>
      <w:r w:rsidRPr="00BD6DD1">
        <w:rPr>
          <w:rFonts w:cs="Arial"/>
        </w:rPr>
        <w:t xml:space="preserve">The current illness epidemic has made things tough for institutions, particularly those in control of human resources. </w:t>
      </w:r>
      <w:r w:rsidRPr="00BD6DD1" w:rsidR="00285733">
        <w:rPr>
          <w:rFonts w:cs="Arial"/>
        </w:rPr>
        <w:t>F</w:t>
      </w:r>
      <w:r w:rsidRPr="00BD6DD1">
        <w:rPr>
          <w:rFonts w:cs="Arial"/>
        </w:rPr>
        <w:t xml:space="preserve">undamental changes are taking place in the workplace and socio-cultural setting, such as the shift to remote working and the introduction of new </w:t>
      </w:r>
      <w:r w:rsidRPr="00BD6DD1" w:rsidR="002D7F37">
        <w:rPr>
          <w:rFonts w:cs="Arial"/>
        </w:rPr>
        <w:t>organisation</w:t>
      </w:r>
      <w:r w:rsidRPr="00BD6DD1">
        <w:rPr>
          <w:rFonts w:cs="Arial"/>
        </w:rPr>
        <w:t>al rules and procedures to limit interaction</w:t>
      </w:r>
      <w:r w:rsidRPr="00BD6DD1" w:rsidR="003F6E3F">
        <w:rPr>
          <w:rFonts w:cs="Arial"/>
        </w:rPr>
        <w:t xml:space="preserve"> </w:t>
      </w:r>
      <w:r w:rsidRPr="00BD6DD1" w:rsidR="003F6E3F">
        <w:rPr>
          <w:rFonts w:cs="Arial"/>
        </w:rPr>
        <w:t>(Abdullahi et al., 2021)</w:t>
      </w:r>
      <w:r w:rsidRPr="00BD6DD1">
        <w:rPr>
          <w:rFonts w:cs="Arial"/>
        </w:rPr>
        <w:t>. Finally, job cutbacks, salary cuts, and layoffs have exacerbated high unemployment and financial harm, putting workers in an unpredictable position. Workplace well-being is jeopardised by all of this job stress. In this regard, businesses must focus on new health policies, processes, and safeguards to avoid general health. As a consequence, dealing with workforce difficulties has proved to be more challenging than it was before the breakout of the illness.</w:t>
      </w:r>
    </w:p>
    <w:p w:rsidRPr="00BD6DD1" w:rsidR="002E1BE1" w:rsidP="00BD6DD1" w:rsidRDefault="002E1BE1" w14:paraId="47E8B600" w14:textId="59C95F5D">
      <w:pPr>
        <w:spacing w:before="240"/>
        <w:rPr>
          <w:rFonts w:cs="Arial"/>
        </w:rPr>
      </w:pPr>
      <w:r w:rsidRPr="00BD6DD1">
        <w:rPr>
          <w:rFonts w:cs="Arial"/>
          <w:b/>
          <w:bCs/>
        </w:rPr>
        <w:t>Confidence</w:t>
      </w:r>
      <w:r w:rsidRPr="00BD6DD1" w:rsidR="004E4975">
        <w:rPr>
          <w:rFonts w:cs="Arial"/>
          <w:b/>
          <w:bCs/>
        </w:rPr>
        <w:t>:</w:t>
      </w:r>
      <w:r w:rsidRPr="00BD6DD1" w:rsidR="004E4975">
        <w:rPr>
          <w:rFonts w:cs="Arial"/>
        </w:rPr>
        <w:t xml:space="preserve"> </w:t>
      </w:r>
      <w:r w:rsidRPr="00BD6DD1">
        <w:rPr>
          <w:rFonts w:cs="Arial"/>
        </w:rPr>
        <w:t xml:space="preserve">Workplace conditions have a substantial influence on employee health. </w:t>
      </w:r>
      <w:r w:rsidRPr="00BD6DD1" w:rsidR="002D7F37">
        <w:rPr>
          <w:rFonts w:cs="Arial"/>
        </w:rPr>
        <w:t>Even though</w:t>
      </w:r>
      <w:r w:rsidRPr="00BD6DD1">
        <w:rPr>
          <w:rFonts w:cs="Arial"/>
        </w:rPr>
        <w:t xml:space="preserve"> "health" is a wid</w:t>
      </w:r>
      <w:r w:rsidR="00BD6DD1">
        <w:rPr>
          <w:rFonts w:cs="Arial"/>
        </w:rPr>
        <w:t>e word, the World Health Organis</w:t>
      </w:r>
      <w:r w:rsidRPr="00BD6DD1">
        <w:rPr>
          <w:rFonts w:cs="Arial"/>
        </w:rPr>
        <w:t xml:space="preserve">ation defines it as a comprehensive state of well-being rather than just the absence of sickness. Overall </w:t>
      </w:r>
      <w:r w:rsidRPr="00BD6DD1" w:rsidR="002D7F37">
        <w:rPr>
          <w:rFonts w:cs="Arial"/>
        </w:rPr>
        <w:t>organisation</w:t>
      </w:r>
      <w:r w:rsidRPr="00BD6DD1">
        <w:rPr>
          <w:rFonts w:cs="Arial"/>
        </w:rPr>
        <w:t xml:space="preserve">al unfairness might result in emotional reactions such as anxiety or heart disease </w:t>
      </w:r>
      <w:r w:rsidRPr="00BD6DD1" w:rsidR="00BD6DD1">
        <w:rPr>
          <w:rFonts w:cs="Arial"/>
        </w:rPr>
        <w:t xml:space="preserve">in </w:t>
      </w:r>
      <w:r w:rsidRPr="00BD6DD1">
        <w:rPr>
          <w:rFonts w:cs="Arial"/>
        </w:rPr>
        <w:t>this regard</w:t>
      </w:r>
      <w:r w:rsidRPr="00BD6DD1" w:rsidR="00B61AFD">
        <w:rPr>
          <w:rFonts w:cs="Arial"/>
        </w:rPr>
        <w:t xml:space="preserve"> </w:t>
      </w:r>
      <w:r w:rsidRPr="00BD6DD1" w:rsidR="003F6E3F">
        <w:rPr>
          <w:rFonts w:cs="Arial"/>
        </w:rPr>
        <w:t>(Hamilton Skurak et al.</w:t>
      </w:r>
      <w:r w:rsidRPr="00BD6DD1" w:rsidR="00B61AFD">
        <w:rPr>
          <w:rFonts w:cs="Arial"/>
        </w:rPr>
        <w:t>, 2018)</w:t>
      </w:r>
      <w:r w:rsidRPr="00BD6DD1">
        <w:rPr>
          <w:rFonts w:cs="Arial"/>
        </w:rPr>
        <w:t xml:space="preserve">. Long-term exposure to general </w:t>
      </w:r>
      <w:r w:rsidRPr="00BD6DD1" w:rsidR="002D7F37">
        <w:rPr>
          <w:rFonts w:cs="Arial"/>
        </w:rPr>
        <w:t xml:space="preserve">organisations such as Next Plc </w:t>
      </w:r>
      <w:r w:rsidRPr="00BD6DD1">
        <w:rPr>
          <w:rFonts w:cs="Arial"/>
        </w:rPr>
        <w:t>al unfairness may also result in longer-term concerns impacting an employee's quality of life, such as sleep disorders and poor rest, inflammatory responses, and a long number of other problems.</w:t>
      </w:r>
    </w:p>
    <w:p w:rsidRPr="00BD6DD1" w:rsidR="002E1BE1" w:rsidP="00BD6DD1" w:rsidRDefault="002E1BE1" w14:paraId="49C059AC" w14:textId="453591D6">
      <w:pPr>
        <w:rPr>
          <w:rFonts w:cs="Arial"/>
        </w:rPr>
      </w:pPr>
      <w:r w:rsidRPr="00BD6DD1">
        <w:rPr>
          <w:rFonts w:cs="Arial"/>
          <w:b/>
          <w:bCs/>
        </w:rPr>
        <w:t>Compensation</w:t>
      </w:r>
      <w:r w:rsidRPr="00BD6DD1" w:rsidR="001530B0">
        <w:rPr>
          <w:rFonts w:cs="Arial"/>
          <w:b/>
          <w:bCs/>
        </w:rPr>
        <w:t>:</w:t>
      </w:r>
      <w:r w:rsidRPr="00BD6DD1" w:rsidR="001530B0">
        <w:rPr>
          <w:rFonts w:cs="Arial"/>
        </w:rPr>
        <w:t xml:space="preserve"> </w:t>
      </w:r>
      <w:r w:rsidRPr="00BD6DD1">
        <w:rPr>
          <w:rFonts w:cs="Arial"/>
        </w:rPr>
        <w:t xml:space="preserve">Wages and salaries, often known as payment, are a monetary technique of rewarding service or a profession, as well as the person who completes it </w:t>
      </w:r>
      <w:r w:rsidRPr="00BD6DD1" w:rsidR="003F6E3F">
        <w:rPr>
          <w:rFonts w:cs="Arial"/>
        </w:rPr>
        <w:t>(Hamilton Skurak et al., 2018)</w:t>
      </w:r>
      <w:r w:rsidRPr="00BD6DD1">
        <w:rPr>
          <w:rFonts w:cs="Arial"/>
        </w:rPr>
        <w:t xml:space="preserve">. Eliminating individuals and </w:t>
      </w:r>
      <w:r w:rsidRPr="00BD6DD1" w:rsidR="001530B0">
        <w:rPr>
          <w:rFonts w:cs="Arial"/>
        </w:rPr>
        <w:t>teams’</w:t>
      </w:r>
      <w:r w:rsidRPr="00BD6DD1">
        <w:rPr>
          <w:rFonts w:cs="Arial"/>
        </w:rPr>
        <w:t xml:space="preserve"> economic production incentives or altering income in these times of crisis would be a huge error, discouraging employees. Wage honesty is a complicated concept that does not need a </w:t>
      </w:r>
      <w:r w:rsidRPr="00BD6DD1" w:rsidR="001530B0">
        <w:rPr>
          <w:rFonts w:cs="Arial"/>
        </w:rPr>
        <w:t>huge expense</w:t>
      </w:r>
      <w:r w:rsidRPr="00BD6DD1">
        <w:rPr>
          <w:rFonts w:cs="Arial"/>
        </w:rPr>
        <w:t>. Based on talent, competence, and risk tolerance, each employee selects what they perceive to be a decent compensation. Because it is directly tied to job fulfilment, participation, and wellbeing at work, it may vary from the remuneration paid by the company, causing a feeling of injustice</w:t>
      </w:r>
      <w:r w:rsidRPr="00BD6DD1" w:rsidR="003F6E3F">
        <w:rPr>
          <w:rFonts w:cs="Arial"/>
        </w:rPr>
        <w:t xml:space="preserve"> </w:t>
      </w:r>
      <w:r w:rsidRPr="00BD6DD1" w:rsidR="003F6E3F">
        <w:rPr>
          <w:rFonts w:cs="Arial"/>
        </w:rPr>
        <w:t>(</w:t>
      </w:r>
      <w:r w:rsidRPr="00BD6DD1" w:rsidR="003F6E3F">
        <w:rPr>
          <w:rFonts w:cs="Arial"/>
          <w:szCs w:val="24"/>
        </w:rPr>
        <w:t>Torrington et al., 20</w:t>
      </w:r>
      <w:r w:rsidRPr="00BD6DD1" w:rsidR="003F6E3F">
        <w:rPr>
          <w:rFonts w:cs="Arial"/>
          <w:szCs w:val="24"/>
        </w:rPr>
        <w:t>20</w:t>
      </w:r>
      <w:r w:rsidRPr="00BD6DD1" w:rsidR="003F6E3F">
        <w:rPr>
          <w:rFonts w:cs="Arial"/>
          <w:szCs w:val="24"/>
        </w:rPr>
        <w:t>)</w:t>
      </w:r>
      <w:r w:rsidRPr="00BD6DD1">
        <w:rPr>
          <w:rFonts w:cs="Arial"/>
        </w:rPr>
        <w:t>.</w:t>
      </w:r>
    </w:p>
    <w:p w:rsidRPr="00BD6DD1" w:rsidR="002E1BE1" w:rsidP="00BD6DD1" w:rsidRDefault="002E1BE1" w14:paraId="4FC696BA" w14:textId="4F239A82">
      <w:pPr>
        <w:rPr>
          <w:rFonts w:cs="Arial"/>
        </w:rPr>
      </w:pPr>
      <w:r w:rsidRPr="00BD6DD1">
        <w:rPr>
          <w:rFonts w:cs="Arial"/>
          <w:b/>
          <w:bCs/>
        </w:rPr>
        <w:t>Communication</w:t>
      </w:r>
      <w:r w:rsidRPr="00BD6DD1" w:rsidR="001530B0">
        <w:rPr>
          <w:rFonts w:cs="Arial"/>
          <w:b/>
          <w:bCs/>
        </w:rPr>
        <w:t>:</w:t>
      </w:r>
      <w:r w:rsidRPr="00BD6DD1" w:rsidR="001530B0">
        <w:rPr>
          <w:rFonts w:cs="Arial"/>
        </w:rPr>
        <w:t xml:space="preserve"> </w:t>
      </w:r>
      <w:r w:rsidRPr="00BD6DD1" w:rsidR="002D7F37">
        <w:rPr>
          <w:rFonts w:cs="Arial"/>
        </w:rPr>
        <w:t>T</w:t>
      </w:r>
      <w:r w:rsidRPr="00BD6DD1">
        <w:rPr>
          <w:rFonts w:cs="Arial"/>
        </w:rPr>
        <w:t xml:space="preserve">o cope with today's difficulties, communication is essential. In these trying times, </w:t>
      </w:r>
      <w:r w:rsidRPr="00BD6DD1" w:rsidR="002D7F37">
        <w:rPr>
          <w:rFonts w:cs="Arial"/>
        </w:rPr>
        <w:t xml:space="preserve">the </w:t>
      </w:r>
      <w:r w:rsidRPr="00BD6DD1">
        <w:rPr>
          <w:rFonts w:cs="Arial"/>
        </w:rPr>
        <w:t>conversation must be founded on a vibrant two-way dialogue. Personal interactions with colleagues, superintendents, and news articles are crucial, and they</w:t>
      </w:r>
      <w:r w:rsidRPr="00BD6DD1" w:rsidR="00673DFF">
        <w:rPr>
          <w:rFonts w:cs="Arial"/>
        </w:rPr>
        <w:t xml:space="preserve"> are</w:t>
      </w:r>
      <w:r w:rsidRPr="00BD6DD1">
        <w:rPr>
          <w:rFonts w:cs="Arial"/>
        </w:rPr>
        <w:t xml:space="preserve"> a big element of the everyday work weather and environment. The impact is one of the factors revealed via research and study of inter-worker interactions. Messages should, indeed, be sent</w:t>
      </w:r>
      <w:r w:rsidRPr="00BD6DD1" w:rsidR="00BC4874">
        <w:rPr>
          <w:rFonts w:cs="Arial"/>
        </w:rPr>
        <w:t xml:space="preserve"> and </w:t>
      </w:r>
      <w:r w:rsidRPr="00BD6DD1">
        <w:rPr>
          <w:rFonts w:cs="Arial"/>
        </w:rPr>
        <w:t>get developed with empathy and understanding for the issues of the employees in mind</w:t>
      </w:r>
      <w:r w:rsidRPr="00BD6DD1" w:rsidR="00B61AFD">
        <w:rPr>
          <w:rFonts w:cs="Arial"/>
        </w:rPr>
        <w:t xml:space="preserve"> </w:t>
      </w:r>
      <w:r w:rsidRPr="00BD6DD1" w:rsidR="003F6E3F">
        <w:rPr>
          <w:rFonts w:cs="Arial"/>
        </w:rPr>
        <w:t>(Saengchai et al.</w:t>
      </w:r>
      <w:r w:rsidRPr="00BD6DD1" w:rsidR="00B61AFD">
        <w:rPr>
          <w:rFonts w:cs="Arial"/>
        </w:rPr>
        <w:t>, 2019).</w:t>
      </w:r>
      <w:r w:rsidRPr="00BD6DD1">
        <w:rPr>
          <w:rFonts w:cs="Arial"/>
        </w:rPr>
        <w:t xml:space="preserve"> Acknowledgement is a component that improves employee engagement as a management style focused on mentoring with frequent communication, coaching, and history of appreciation.</w:t>
      </w:r>
    </w:p>
    <w:p w:rsidRPr="00BD6DD1" w:rsidR="00167925" w:rsidP="00BD6DD1" w:rsidRDefault="00167925" w14:paraId="5E29CA36" w14:textId="204FAF7C">
      <w:pPr>
        <w:rPr>
          <w:rFonts w:cs="Arial"/>
          <w:b/>
          <w:bCs/>
        </w:rPr>
      </w:pPr>
      <w:r w:rsidRPr="00BD6DD1">
        <w:rPr>
          <w:rFonts w:cs="Arial"/>
          <w:b/>
          <w:bCs/>
        </w:rPr>
        <w:t xml:space="preserve">Leadership: </w:t>
      </w:r>
      <w:r w:rsidRPr="00BD6DD1" w:rsidR="00A70C3E">
        <w:rPr>
          <w:rFonts w:cs="Arial"/>
        </w:rPr>
        <w:t xml:space="preserve">A </w:t>
      </w:r>
      <w:r w:rsidRPr="00BD6DD1" w:rsidR="007D188B">
        <w:rPr>
          <w:rFonts w:cs="Arial"/>
        </w:rPr>
        <w:t xml:space="preserve">strong and effective leadership can improve the employee engagement of </w:t>
      </w:r>
      <w:r w:rsidRPr="00BD6DD1" w:rsidR="002D7F37">
        <w:rPr>
          <w:rFonts w:cs="Arial"/>
        </w:rPr>
        <w:t xml:space="preserve">organisations such as Next Plc </w:t>
      </w:r>
      <w:r w:rsidRPr="00BD6DD1" w:rsidR="007D188B">
        <w:rPr>
          <w:rFonts w:cs="Arial"/>
        </w:rPr>
        <w:t>to a great extent. Employees have faced issues unplugging from work responsibilities, distinguishing work life and personal life, and even additional risk tolerance, such as exclusion, as a result of this</w:t>
      </w:r>
      <w:r w:rsidRPr="00BD6DD1" w:rsidR="003F6E3F">
        <w:rPr>
          <w:rFonts w:cs="Arial"/>
        </w:rPr>
        <w:t xml:space="preserve"> </w:t>
      </w:r>
      <w:r w:rsidRPr="00BD6DD1" w:rsidR="003F6E3F">
        <w:rPr>
          <w:rFonts w:cs="Arial"/>
        </w:rPr>
        <w:t>(Abdullahi et al., 2021)</w:t>
      </w:r>
      <w:r w:rsidRPr="00BD6DD1" w:rsidR="007D188B">
        <w:rPr>
          <w:rFonts w:cs="Arial"/>
        </w:rPr>
        <w:t>. Stressful circumstances, such as an excessive workload, lengthy hours, and fewer rest periods, have been imposed on essential staff. In addition, contracting illnesses at work and transmitting the virus to relatives and others is a serious issue.</w:t>
      </w:r>
      <w:r w:rsidRPr="00BD6DD1" w:rsidR="00A70C3E">
        <w:rPr>
          <w:rFonts w:cs="Arial"/>
        </w:rPr>
        <w:t xml:space="preserve"> A good leader can provide a solution to each of the problems to make personnel provide their best effort and improve their engagement level</w:t>
      </w:r>
      <w:r w:rsidRPr="00BD6DD1" w:rsidR="00B61AFD">
        <w:rPr>
          <w:rFonts w:cs="Arial"/>
        </w:rPr>
        <w:t xml:space="preserve"> (Ivancevich and Konopaske, 2013)</w:t>
      </w:r>
      <w:r w:rsidRPr="00BD6DD1" w:rsidR="00A70C3E">
        <w:rPr>
          <w:rFonts w:cs="Arial"/>
        </w:rPr>
        <w:t>.</w:t>
      </w:r>
    </w:p>
    <w:p w:rsidRPr="00BD6DD1" w:rsidR="005A1623" w:rsidP="00BD6DD1" w:rsidRDefault="002E1BE1" w14:paraId="549B661A" w14:textId="5050768E">
      <w:pPr>
        <w:pStyle w:val="Heading1"/>
      </w:pPr>
      <w:bookmarkStart w:name="_Hlk101708717" w:id="5"/>
      <w:bookmarkStart w:name="_Toc101735576" w:id="6"/>
      <w:r w:rsidRPr="00BD6DD1">
        <w:t xml:space="preserve">Employee Value Proposition </w:t>
      </w:r>
      <w:bookmarkEnd w:id="5"/>
      <w:r w:rsidRPr="00BD6DD1" w:rsidR="005C6DD3">
        <w:t xml:space="preserve">and </w:t>
      </w:r>
      <w:r w:rsidRPr="00BD6DD1">
        <w:t>strategies to increase employee engagement</w:t>
      </w:r>
      <w:bookmarkEnd w:id="6"/>
      <w:r w:rsidRPr="00BD6DD1" w:rsidR="001530B0">
        <w:t xml:space="preserve"> </w:t>
      </w:r>
    </w:p>
    <w:p w:rsidRPr="00BD6DD1" w:rsidR="00AD1BAE" w:rsidP="00BD6DD1" w:rsidRDefault="0065163C" w14:paraId="26C208B9" w14:textId="47D09FC7">
      <w:pPr>
        <w:rPr>
          <w:rFonts w:cs="Arial"/>
        </w:rPr>
      </w:pPr>
      <w:r w:rsidRPr="00BD6DD1">
        <w:rPr>
          <w:rFonts w:cs="Arial"/>
        </w:rPr>
        <w:t xml:space="preserve">The value that an </w:t>
      </w:r>
      <w:r w:rsidRPr="00BD6DD1" w:rsidR="002D7F37">
        <w:rPr>
          <w:rFonts w:cs="Arial"/>
        </w:rPr>
        <w:t>organisation such as Next Plc delivers</w:t>
      </w:r>
      <w:r w:rsidRPr="00BD6DD1">
        <w:rPr>
          <w:rFonts w:cs="Arial"/>
        </w:rPr>
        <w:t xml:space="preserve"> to its employees in return for the worth that they provide to the company is referred to as the employee value proposition. The compensation is determined by an employee's capabilities, aptitude, skills, and expertise, which are used to assess the workforce planning integrative methodologies and the specific goal. Its uniqueness drives the recruitment, development, and retention of vital competencies for the company's success</w:t>
      </w:r>
      <w:r w:rsidRPr="00BD6DD1" w:rsidR="00B61AFD">
        <w:rPr>
          <w:rFonts w:cs="Arial"/>
        </w:rPr>
        <w:t xml:space="preserve"> </w:t>
      </w:r>
      <w:r w:rsidRPr="00BD6DD1" w:rsidR="003F6E3F">
        <w:rPr>
          <w:rFonts w:cs="Arial"/>
        </w:rPr>
        <w:t>(Hamilton Skurak et al., 2018)</w:t>
      </w:r>
      <w:r w:rsidRPr="00BD6DD1">
        <w:rPr>
          <w:rFonts w:cs="Arial"/>
        </w:rPr>
        <w:t xml:space="preserve">. The core talent that a company requires to improve and sustain its company value proposition is the employee value proposition. It is a decisive factor in what employees gain from working for the </w:t>
      </w:r>
      <w:r w:rsidRPr="00BD6DD1" w:rsidR="002D7F37">
        <w:rPr>
          <w:rFonts w:cs="Arial"/>
        </w:rPr>
        <w:t>organisations such as Next Plc.</w:t>
      </w:r>
      <w:r w:rsidRPr="00BD6DD1">
        <w:rPr>
          <w:rFonts w:cs="Arial"/>
        </w:rPr>
        <w:t xml:space="preserve"> For methods to grow and strengthen </w:t>
      </w:r>
      <w:r w:rsidRPr="00BD6DD1" w:rsidR="002D7F37">
        <w:rPr>
          <w:rFonts w:cs="Arial"/>
        </w:rPr>
        <w:t xml:space="preserve">the </w:t>
      </w:r>
      <w:r w:rsidRPr="00BD6DD1">
        <w:rPr>
          <w:rFonts w:cs="Arial"/>
        </w:rPr>
        <w:t xml:space="preserve">hiring process while facilitating recruiting, effective elements that make up the </w:t>
      </w:r>
      <w:r w:rsidRPr="00BD6DD1" w:rsidR="00D70884">
        <w:rPr>
          <w:rFonts w:cs="Arial"/>
        </w:rPr>
        <w:t>employee value proposition</w:t>
      </w:r>
      <w:r w:rsidRPr="00BD6DD1">
        <w:rPr>
          <w:rFonts w:cs="Arial"/>
        </w:rPr>
        <w:t xml:space="preserve"> are</w:t>
      </w:r>
      <w:r w:rsidRPr="00BD6DD1" w:rsidR="00D70884">
        <w:rPr>
          <w:rFonts w:cs="Arial"/>
        </w:rPr>
        <w:t xml:space="preserve"> </w:t>
      </w:r>
      <w:r w:rsidRPr="00BD6DD1">
        <w:rPr>
          <w:rFonts w:cs="Arial"/>
        </w:rPr>
        <w:t>required</w:t>
      </w:r>
      <w:r w:rsidRPr="00BD6DD1" w:rsidR="003F6E3F">
        <w:rPr>
          <w:rFonts w:cs="Arial"/>
        </w:rPr>
        <w:t xml:space="preserve"> </w:t>
      </w:r>
      <w:r w:rsidRPr="00BD6DD1" w:rsidR="003F6E3F">
        <w:rPr>
          <w:rFonts w:cs="Arial"/>
        </w:rPr>
        <w:t>(</w:t>
      </w:r>
      <w:r w:rsidRPr="00BD6DD1" w:rsidR="003F6E3F">
        <w:rPr>
          <w:rFonts w:cs="Arial"/>
          <w:szCs w:val="24"/>
        </w:rPr>
        <w:t>Torrington et al., 2017)</w:t>
      </w:r>
      <w:r w:rsidRPr="00BD6DD1">
        <w:rPr>
          <w:rFonts w:cs="Arial"/>
        </w:rPr>
        <w:t>.</w:t>
      </w:r>
    </w:p>
    <w:p w:rsidRPr="00BD6DD1" w:rsidR="005C6DD3" w:rsidP="00BD6DD1" w:rsidRDefault="005C6DD3" w14:paraId="4816D1A6" w14:textId="45B0F001">
      <w:pPr>
        <w:jc w:val="center"/>
        <w:rPr>
          <w:rFonts w:cs="Arial"/>
        </w:rPr>
      </w:pPr>
      <w:r w:rsidRPr="00BD6DD1">
        <w:rPr>
          <w:rFonts w:cs="Arial"/>
          <w:noProof/>
          <w:lang w:val="en-US"/>
        </w:rPr>
        <w:drawing>
          <wp:inline distT="0" distB="0" distL="0" distR="0" wp14:anchorId="41F8B29B" wp14:editId="7816314B">
            <wp:extent cx="4447309" cy="207541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3180" r="-1410" b="12720"/>
                    <a:stretch/>
                  </pic:blipFill>
                  <pic:spPr bwMode="auto">
                    <a:xfrm>
                      <a:off x="0" y="0"/>
                      <a:ext cx="4469814" cy="2085913"/>
                    </a:xfrm>
                    <a:prstGeom prst="rect">
                      <a:avLst/>
                    </a:prstGeom>
                    <a:noFill/>
                    <a:ln>
                      <a:noFill/>
                    </a:ln>
                    <a:extLst>
                      <a:ext uri="{53640926-AAD7-44D8-BBD7-CCE9431645EC}">
                        <a14:shadowObscured xmlns:a14="http://schemas.microsoft.com/office/drawing/2010/main"/>
                      </a:ext>
                    </a:extLst>
                  </pic:spPr>
                </pic:pic>
              </a:graphicData>
            </a:graphic>
          </wp:inline>
        </w:drawing>
      </w:r>
    </w:p>
    <w:p w:rsidRPr="00BD6DD1" w:rsidR="002D7F37" w:rsidP="00BD6DD1" w:rsidRDefault="002D7F37" w14:paraId="2FF42ABC" w14:textId="0DB2B7C4">
      <w:pPr>
        <w:jc w:val="center"/>
        <w:rPr>
          <w:rFonts w:cs="Arial"/>
          <w:sz w:val="20"/>
          <w:szCs w:val="20"/>
        </w:rPr>
      </w:pPr>
      <w:r w:rsidRPr="00BD6DD1">
        <w:rPr>
          <w:rFonts w:cs="Arial"/>
          <w:sz w:val="20"/>
          <w:szCs w:val="20"/>
        </w:rPr>
        <w:t xml:space="preserve">Figure 1: Constituent of </w:t>
      </w:r>
      <w:r w:rsidRPr="00BD6DD1" w:rsidR="00485D5A">
        <w:rPr>
          <w:rFonts w:cs="Arial"/>
          <w:sz w:val="20"/>
          <w:szCs w:val="20"/>
        </w:rPr>
        <w:t xml:space="preserve">the </w:t>
      </w:r>
      <w:r w:rsidRPr="00BD6DD1">
        <w:rPr>
          <w:rFonts w:cs="Arial"/>
          <w:sz w:val="20"/>
          <w:szCs w:val="20"/>
        </w:rPr>
        <w:t xml:space="preserve">employee value proposition </w:t>
      </w:r>
      <w:r w:rsidRPr="00BD6DD1" w:rsidR="00B61AFD">
        <w:rPr>
          <w:rFonts w:cs="Arial"/>
          <w:sz w:val="20"/>
          <w:szCs w:val="20"/>
        </w:rPr>
        <w:t>(Ivancevich and Konopaske, 2013)</w:t>
      </w:r>
    </w:p>
    <w:p w:rsidRPr="00BD6DD1" w:rsidR="002E1BE1" w:rsidP="00BD6DD1" w:rsidRDefault="008E37AC" w14:paraId="65C60AEF" w14:textId="67C316C1">
      <w:pPr>
        <w:rPr>
          <w:rFonts w:cs="Arial"/>
        </w:rPr>
      </w:pPr>
      <w:r w:rsidRPr="00BD6DD1">
        <w:rPr>
          <w:rFonts w:cs="Arial"/>
        </w:rPr>
        <w:t xml:space="preserve">To construct a proper employee value proposition, Next plc need to design its compensation package including salaries, bonuses, and pay raise, </w:t>
      </w:r>
      <w:r w:rsidRPr="00BD6DD1" w:rsidR="007D033A">
        <w:rPr>
          <w:rFonts w:cs="Arial"/>
        </w:rPr>
        <w:t xml:space="preserve">outline the employee benefits including healthcare, remote work facilities, and time off, developing the career prospect of the employees including </w:t>
      </w:r>
      <w:r w:rsidRPr="00BD6DD1" w:rsidR="00683F79">
        <w:rPr>
          <w:rFonts w:cs="Arial"/>
        </w:rPr>
        <w:t xml:space="preserve">training, education, promotion, and coaching, and finally improve its culture that will have a </w:t>
      </w:r>
      <w:r w:rsidRPr="00BD6DD1" w:rsidR="00E60951">
        <w:rPr>
          <w:rFonts w:cs="Arial"/>
        </w:rPr>
        <w:t>clear</w:t>
      </w:r>
      <w:r w:rsidRPr="00BD6DD1" w:rsidR="00683F79">
        <w:rPr>
          <w:rFonts w:cs="Arial"/>
        </w:rPr>
        <w:t xml:space="preserve"> mission, values</w:t>
      </w:r>
      <w:r w:rsidRPr="00BD6DD1" w:rsidR="00E60951">
        <w:rPr>
          <w:rFonts w:cs="Arial"/>
        </w:rPr>
        <w:t>,</w:t>
      </w:r>
      <w:r w:rsidRPr="00BD6DD1" w:rsidR="00683F79">
        <w:rPr>
          <w:rFonts w:cs="Arial"/>
        </w:rPr>
        <w:t xml:space="preserve"> </w:t>
      </w:r>
      <w:r w:rsidRPr="00BD6DD1" w:rsidR="00E60951">
        <w:rPr>
          <w:rFonts w:cs="Arial"/>
        </w:rPr>
        <w:t>atmosphere</w:t>
      </w:r>
      <w:r w:rsidRPr="00BD6DD1" w:rsidR="00683F79">
        <w:rPr>
          <w:rFonts w:cs="Arial"/>
        </w:rPr>
        <w:t xml:space="preserve">, and teamwork </w:t>
      </w:r>
      <w:r w:rsidRPr="00BD6DD1" w:rsidR="00E60951">
        <w:rPr>
          <w:rFonts w:cs="Arial"/>
        </w:rPr>
        <w:t>facility so that they will feel valued and can upgrade their skills and talents</w:t>
      </w:r>
      <w:r w:rsidRPr="00BD6DD1" w:rsidR="00B61AFD">
        <w:rPr>
          <w:rFonts w:cs="Arial"/>
        </w:rPr>
        <w:t xml:space="preserve"> (NOE, 2022)</w:t>
      </w:r>
      <w:r w:rsidRPr="00BD6DD1" w:rsidR="00E60951">
        <w:rPr>
          <w:rFonts w:cs="Arial"/>
        </w:rPr>
        <w:t xml:space="preserve">.  </w:t>
      </w:r>
      <w:r w:rsidRPr="00BD6DD1" w:rsidR="002E1BE1">
        <w:rPr>
          <w:rFonts w:cs="Arial"/>
        </w:rPr>
        <w:t xml:space="preserve">Peacebuilding, Cultivation, </w:t>
      </w:r>
      <w:r w:rsidRPr="00BD6DD1" w:rsidR="00BC4874">
        <w:rPr>
          <w:rFonts w:cs="Arial"/>
        </w:rPr>
        <w:t>Self-worth</w:t>
      </w:r>
      <w:r w:rsidRPr="00BD6DD1" w:rsidR="002E1BE1">
        <w:rPr>
          <w:rFonts w:cs="Arial"/>
        </w:rPr>
        <w:t xml:space="preserve">, Remuneration, and Interaction are variables that favour overall </w:t>
      </w:r>
      <w:r w:rsidRPr="00BD6DD1" w:rsidR="002D7F37">
        <w:rPr>
          <w:rFonts w:cs="Arial"/>
        </w:rPr>
        <w:t xml:space="preserve">organisations such as Next Plc </w:t>
      </w:r>
      <w:r w:rsidRPr="00BD6DD1" w:rsidR="002E1BE1">
        <w:rPr>
          <w:rFonts w:cs="Arial"/>
        </w:rPr>
        <w:t>al health and quality of life in the current crisis, according to the suggested employee engagement framework, and metrics are provided to measure each one's accomplishment, according to the proposed employee satisfaction framework</w:t>
      </w:r>
      <w:r w:rsidRPr="00BD6DD1" w:rsidR="00B61AFD">
        <w:rPr>
          <w:rFonts w:cs="Arial"/>
        </w:rPr>
        <w:t xml:space="preserve"> </w:t>
      </w:r>
      <w:r w:rsidRPr="00BD6DD1" w:rsidR="00E259DD">
        <w:rPr>
          <w:rFonts w:cs="Arial"/>
        </w:rPr>
        <w:t>(Obrenovic et al., 2020)</w:t>
      </w:r>
      <w:r w:rsidRPr="00BD6DD1" w:rsidR="002E1BE1">
        <w:rPr>
          <w:rFonts w:cs="Arial"/>
        </w:rPr>
        <w:t xml:space="preserve">. </w:t>
      </w:r>
    </w:p>
    <w:p w:rsidRPr="00BD6DD1" w:rsidR="002E1BE1" w:rsidP="00BD6DD1" w:rsidRDefault="002E1BE1" w14:paraId="12BC30FF" w14:textId="5247DB5D">
      <w:pPr>
        <w:rPr>
          <w:rFonts w:cs="Arial"/>
        </w:rPr>
      </w:pPr>
      <w:r w:rsidRPr="00BD6DD1">
        <w:rPr>
          <w:rFonts w:cs="Arial"/>
        </w:rPr>
        <w:t xml:space="preserve">As a consequence, the conclusions of the research present a complete and thorough framework that contains the most important </w:t>
      </w:r>
      <w:r w:rsidRPr="00BD6DD1" w:rsidR="002D7F37">
        <w:rPr>
          <w:rFonts w:cs="Arial"/>
        </w:rPr>
        <w:t>organisation</w:t>
      </w:r>
      <w:r w:rsidRPr="00BD6DD1">
        <w:rPr>
          <w:rFonts w:cs="Arial"/>
        </w:rPr>
        <w:t xml:space="preserve">al health and wellness standards, as well as the direct, beneficial impact that the COVID-19 global pandemic problem is expected to have. This might serve as a starting point for further study into the numerous external and internal elements that may support or change the consequences of these policy efforts. Furthermore, the research has </w:t>
      </w:r>
      <w:r w:rsidRPr="00BD6DD1" w:rsidR="002D7F37">
        <w:rPr>
          <w:rFonts w:cs="Arial"/>
        </w:rPr>
        <w:t>several</w:t>
      </w:r>
      <w:r w:rsidRPr="00BD6DD1">
        <w:rPr>
          <w:rFonts w:cs="Arial"/>
        </w:rPr>
        <w:t xml:space="preserve"> practical implications</w:t>
      </w:r>
      <w:r w:rsidRPr="00BD6DD1" w:rsidR="003F6E3F">
        <w:rPr>
          <w:rFonts w:cs="Arial"/>
        </w:rPr>
        <w:t xml:space="preserve"> </w:t>
      </w:r>
      <w:r w:rsidRPr="00BD6DD1" w:rsidR="003F6E3F">
        <w:rPr>
          <w:rFonts w:cs="Arial"/>
        </w:rPr>
        <w:t>(Abdullahi et al., 2021)</w:t>
      </w:r>
      <w:r w:rsidRPr="00BD6DD1">
        <w:rPr>
          <w:rFonts w:cs="Arial"/>
        </w:rPr>
        <w:t>. COVID-19 is a medical condition that is causing</w:t>
      </w:r>
      <w:r w:rsidRPr="00BD6DD1" w:rsidR="00E625E8">
        <w:rPr>
          <w:rFonts w:cs="Arial"/>
        </w:rPr>
        <w:t xml:space="preserve"> e</w:t>
      </w:r>
      <w:r w:rsidRPr="00BD6DD1">
        <w:rPr>
          <w:rFonts w:cs="Arial"/>
        </w:rPr>
        <w:t xml:space="preserve">mployees' interactions and well-being </w:t>
      </w:r>
      <w:r w:rsidRPr="00BD6DD1" w:rsidR="002D7F37">
        <w:rPr>
          <w:rFonts w:cs="Arial"/>
        </w:rPr>
        <w:t>to b</w:t>
      </w:r>
      <w:r w:rsidRPr="00BD6DD1">
        <w:rPr>
          <w:rFonts w:cs="Arial"/>
        </w:rPr>
        <w:t xml:space="preserve">e jeopardised by substantial unpredictability. Management should address these elements to preserve the competitive advantage in the industry, based on the beneficial impacts of employee contact and its well on efficiency, economic production, and </w:t>
      </w:r>
      <w:r w:rsidRPr="00BD6DD1" w:rsidR="002D7F37">
        <w:rPr>
          <w:rFonts w:cs="Arial"/>
        </w:rPr>
        <w:t>organisations effectiveness</w:t>
      </w:r>
      <w:r w:rsidRPr="00BD6DD1">
        <w:rPr>
          <w:rFonts w:cs="Arial"/>
        </w:rPr>
        <w:t xml:space="preserve">, including </w:t>
      </w:r>
      <w:r w:rsidRPr="00BD6DD1" w:rsidR="002D7F37">
        <w:rPr>
          <w:rFonts w:cs="Arial"/>
        </w:rPr>
        <w:t xml:space="preserve">in </w:t>
      </w:r>
      <w:r w:rsidRPr="00BD6DD1">
        <w:rPr>
          <w:rFonts w:cs="Arial"/>
        </w:rPr>
        <w:t>the current pandemic context. As a consequence, a model has been established that the different managers involved may use as a reference.</w:t>
      </w:r>
    </w:p>
    <w:p w:rsidRPr="00BD6DD1" w:rsidR="00466646" w:rsidP="00BD6DD1" w:rsidRDefault="00506700" w14:paraId="170D893C" w14:textId="475060D5">
      <w:pPr>
        <w:rPr>
          <w:rFonts w:cs="Arial"/>
        </w:rPr>
      </w:pPr>
      <w:r w:rsidRPr="00BD6DD1">
        <w:rPr>
          <w:rFonts w:cs="Arial"/>
        </w:rPr>
        <w:t>To increase employee engagement, m</w:t>
      </w:r>
      <w:r w:rsidRPr="00BD6DD1" w:rsidR="00466646">
        <w:rPr>
          <w:rFonts w:cs="Arial"/>
        </w:rPr>
        <w:t>anagers must recognise that creating and implementing a compensation package that responds to the new job situation, with non-monetary benefits that are far more fiscally viable due to the firm's economic implications as a result of the communicable disease, is an effective way to enhance engagement</w:t>
      </w:r>
      <w:r w:rsidRPr="00BD6DD1" w:rsidR="00B61AFD">
        <w:rPr>
          <w:rFonts w:cs="Arial"/>
        </w:rPr>
        <w:t xml:space="preserve"> (NOE, 2022)</w:t>
      </w:r>
      <w:r w:rsidRPr="00BD6DD1" w:rsidR="00466646">
        <w:rPr>
          <w:rFonts w:cs="Arial"/>
        </w:rPr>
        <w:t xml:space="preserve">. Moreover, </w:t>
      </w:r>
      <w:r w:rsidRPr="00BD6DD1" w:rsidR="002D7F37">
        <w:rPr>
          <w:rFonts w:cs="Arial"/>
        </w:rPr>
        <w:t>organisations such as Next Plc should</w:t>
      </w:r>
      <w:r w:rsidRPr="00BD6DD1" w:rsidR="00466646">
        <w:rPr>
          <w:rFonts w:cs="Arial"/>
        </w:rPr>
        <w:t xml:space="preserve"> foster colleague and supervisor dialogue, information exchange, and informal connections.</w:t>
      </w:r>
    </w:p>
    <w:p w:rsidRPr="00BD6DD1" w:rsidR="002E1BE1" w:rsidP="00BD6DD1" w:rsidRDefault="00B66E4E" w14:paraId="58B06BF2" w14:textId="2C53AE03">
      <w:pPr>
        <w:pStyle w:val="Heading1"/>
      </w:pPr>
      <w:bookmarkStart w:name="_Toc101735577" w:id="7"/>
      <w:r w:rsidRPr="00BD6DD1">
        <w:t>Conclusion</w:t>
      </w:r>
      <w:bookmarkEnd w:id="7"/>
      <w:r w:rsidRPr="00BD6DD1">
        <w:t xml:space="preserve"> </w:t>
      </w:r>
    </w:p>
    <w:p w:rsidRPr="00BD6DD1" w:rsidR="005B6185" w:rsidP="00BD6DD1" w:rsidRDefault="00CB2468" w14:paraId="7BDF4B5C" w14:textId="2DAF0A99">
      <w:pPr>
        <w:rPr>
          <w:rFonts w:cs="Arial"/>
        </w:rPr>
      </w:pPr>
      <w:r w:rsidRPr="00BD6DD1">
        <w:rPr>
          <w:rFonts w:cs="Arial"/>
        </w:rPr>
        <w:t>M</w:t>
      </w:r>
      <w:r w:rsidRPr="00BD6DD1" w:rsidR="002E1BE1">
        <w:rPr>
          <w:rFonts w:cs="Arial"/>
        </w:rPr>
        <w:t>anagers should concentrate on providing remote working settings that allow employees to balance work and family life in this fictional scenario to improve employee engagement</w:t>
      </w:r>
      <w:r w:rsidRPr="00BD6DD1" w:rsidR="003F6E3F">
        <w:rPr>
          <w:rFonts w:cs="Arial"/>
        </w:rPr>
        <w:t xml:space="preserve"> (</w:t>
      </w:r>
      <w:r w:rsidRPr="00BD6DD1" w:rsidR="003F6E3F">
        <w:rPr>
          <w:rFonts w:cs="Arial"/>
          <w:szCs w:val="24"/>
        </w:rPr>
        <w:t>Torrington</w:t>
      </w:r>
      <w:r w:rsidRPr="00BD6DD1" w:rsidR="003F6E3F">
        <w:rPr>
          <w:rFonts w:cs="Arial"/>
          <w:szCs w:val="24"/>
        </w:rPr>
        <w:t xml:space="preserve"> et al., 2017)</w:t>
      </w:r>
      <w:r w:rsidRPr="00BD6DD1" w:rsidR="002E1BE1">
        <w:rPr>
          <w:rFonts w:cs="Arial"/>
        </w:rPr>
        <w:t xml:space="preserve">. Other challenges to address include addressing workers' assumptions and future objectives, as well as participation in decision-making and </w:t>
      </w:r>
      <w:r w:rsidRPr="00BD6DD1" w:rsidR="002D7F37">
        <w:rPr>
          <w:rFonts w:cs="Arial"/>
        </w:rPr>
        <w:t>organisation</w:t>
      </w:r>
      <w:r w:rsidRPr="00BD6DD1" w:rsidR="002E1BE1">
        <w:rPr>
          <w:rFonts w:cs="Arial"/>
        </w:rPr>
        <w:t xml:space="preserve">al procedures, as well as enfranchisement. Employee impressions, assumptions, and motivation may all be enhanced via in-house coaching. Furthermore, if employees perceive </w:t>
      </w:r>
      <w:r w:rsidRPr="00BD6DD1" w:rsidR="00E625E8">
        <w:rPr>
          <w:rFonts w:cs="Arial"/>
        </w:rPr>
        <w:t>those measures</w:t>
      </w:r>
      <w:r w:rsidRPr="00BD6DD1" w:rsidR="002E1BE1">
        <w:rPr>
          <w:rFonts w:cs="Arial"/>
        </w:rPr>
        <w:t xml:space="preserve"> are being done to preserve their health, they will be more engaged</w:t>
      </w:r>
      <w:r w:rsidRPr="00BD6DD1" w:rsidR="003F6E3F">
        <w:rPr>
          <w:rFonts w:cs="Arial"/>
        </w:rPr>
        <w:t xml:space="preserve"> </w:t>
      </w:r>
      <w:r w:rsidRPr="00BD6DD1" w:rsidR="0084266C">
        <w:rPr>
          <w:rFonts w:cs="Arial"/>
        </w:rPr>
        <w:t>(Dessler, 2020)</w:t>
      </w:r>
      <w:r w:rsidRPr="00BD6DD1" w:rsidR="002E1BE1">
        <w:rPr>
          <w:rFonts w:cs="Arial"/>
        </w:rPr>
        <w:t xml:space="preserve">. Businesses must ensure that all fundamental hygiene efforts are implemented in the workplace, take into consideration task reallocation and working at home, and pay special attention to their employees' mental health. </w:t>
      </w:r>
    </w:p>
    <w:p w:rsidRPr="00BD6DD1" w:rsidR="00E259DD" w:rsidP="00BD6DD1" w:rsidRDefault="00E259DD" w14:paraId="6DD5A33F" w14:textId="77777777">
      <w:pPr>
        <w:jc w:val="left"/>
        <w:rPr>
          <w:rFonts w:cs="Arial" w:eastAsiaTheme="majorEastAsia"/>
          <w:b/>
          <w:bCs/>
          <w:sz w:val="32"/>
          <w:szCs w:val="32"/>
        </w:rPr>
      </w:pPr>
      <w:r w:rsidRPr="00BD6DD1">
        <w:rPr>
          <w:rFonts w:cs="Arial"/>
        </w:rPr>
        <w:br w:type="page"/>
      </w:r>
    </w:p>
    <w:p w:rsidRPr="00BD6DD1" w:rsidR="00F96378" w:rsidP="00BD6DD1" w:rsidRDefault="00F96378" w14:paraId="78DE1819" w14:textId="0CB3EE9D">
      <w:pPr>
        <w:pStyle w:val="Heading1"/>
      </w:pPr>
      <w:bookmarkStart w:name="_Toc101735578" w:id="8"/>
      <w:r w:rsidRPr="00BD6DD1">
        <w:t>Reference</w:t>
      </w:r>
      <w:bookmarkEnd w:id="8"/>
      <w:r w:rsidRPr="00BD6DD1">
        <w:t xml:space="preserve"> </w:t>
      </w:r>
    </w:p>
    <w:p w:rsidRPr="00BD6DD1" w:rsidR="009C3D45" w:rsidP="00BD6DD1" w:rsidRDefault="009C3D45" w14:paraId="5E7CD6B0" w14:textId="7242C5CC">
      <w:pPr>
        <w:spacing w:after="180"/>
        <w:rPr>
          <w:rFonts w:eastAsia="Times New Roman" w:cs="Arial"/>
          <w:lang w:eastAsia="en-GB"/>
        </w:rPr>
      </w:pPr>
      <w:r w:rsidRPr="00BD6DD1">
        <w:rPr>
          <w:rFonts w:eastAsia="Times New Roman" w:cs="Arial"/>
          <w:lang w:eastAsia="en-GB"/>
        </w:rPr>
        <w:t>Abdullahi, M., Raman,</w:t>
      </w:r>
      <w:r w:rsidRPr="00BD6DD1" w:rsidR="003F6E3F">
        <w:rPr>
          <w:rFonts w:eastAsia="Times New Roman" w:cs="Arial"/>
          <w:lang w:eastAsia="en-GB"/>
        </w:rPr>
        <w:t xml:space="preserve"> K., Solarin, S. and Adeiza, A.</w:t>
      </w:r>
      <w:r w:rsidRPr="00BD6DD1">
        <w:rPr>
          <w:rFonts w:eastAsia="Times New Roman" w:cs="Arial"/>
          <w:lang w:eastAsia="en-GB"/>
        </w:rPr>
        <w:t xml:space="preserve"> </w:t>
      </w:r>
      <w:r w:rsidRPr="00BD6DD1" w:rsidR="003F6E3F">
        <w:rPr>
          <w:rFonts w:eastAsia="Times New Roman" w:cs="Arial"/>
          <w:lang w:eastAsia="en-GB"/>
        </w:rPr>
        <w:t>(2021)</w:t>
      </w:r>
      <w:r w:rsidRPr="00BD6DD1">
        <w:rPr>
          <w:rFonts w:eastAsia="Times New Roman" w:cs="Arial"/>
          <w:lang w:eastAsia="en-GB"/>
        </w:rPr>
        <w:t xml:space="preserve"> Employee engagement as a mediating variable on the relationship between employee relation practice and employee performance in a developing economy. </w:t>
      </w:r>
      <w:r w:rsidRPr="00BD6DD1">
        <w:rPr>
          <w:rFonts w:eastAsia="Times New Roman" w:cs="Arial"/>
          <w:i/>
          <w:iCs/>
          <w:lang w:eastAsia="en-GB"/>
        </w:rPr>
        <w:t>Journal of Applied Research in Higher Education</w:t>
      </w:r>
      <w:r w:rsidRPr="00BD6DD1">
        <w:rPr>
          <w:rFonts w:eastAsia="Times New Roman" w:cs="Arial"/>
          <w:lang w:eastAsia="en-GB"/>
        </w:rPr>
        <w:t>,.</w:t>
      </w:r>
    </w:p>
    <w:p w:rsidRPr="00BD6DD1" w:rsidR="003F6E3F" w:rsidP="00BD6DD1" w:rsidRDefault="003F6E3F" w14:paraId="159D5160" w14:textId="25EBF1C1">
      <w:pPr>
        <w:rPr>
          <w:rFonts w:cs="Arial"/>
          <w:szCs w:val="24"/>
        </w:rPr>
      </w:pPr>
      <w:r w:rsidRPr="00BD6DD1">
        <w:rPr>
          <w:rFonts w:cs="Arial"/>
          <w:szCs w:val="24"/>
        </w:rPr>
        <w:t>Armstrong, M. and Taylor, S.</w:t>
      </w:r>
      <w:r w:rsidRPr="00BD6DD1">
        <w:rPr>
          <w:rFonts w:cs="Arial"/>
          <w:szCs w:val="24"/>
        </w:rPr>
        <w:t xml:space="preserve"> </w:t>
      </w:r>
      <w:r w:rsidRPr="00BD6DD1">
        <w:rPr>
          <w:rFonts w:cs="Arial"/>
          <w:szCs w:val="24"/>
        </w:rPr>
        <w:t>(2020)</w:t>
      </w:r>
      <w:r w:rsidRPr="00BD6DD1">
        <w:rPr>
          <w:rFonts w:cs="Arial"/>
          <w:szCs w:val="24"/>
        </w:rPr>
        <w:t xml:space="preserve"> </w:t>
      </w:r>
      <w:r w:rsidRPr="00BD6DD1">
        <w:rPr>
          <w:rFonts w:cs="Arial"/>
          <w:i/>
          <w:szCs w:val="24"/>
        </w:rPr>
        <w:t>Armstrong's handbook of human resource management practice.</w:t>
      </w:r>
      <w:r w:rsidRPr="00BD6DD1">
        <w:rPr>
          <w:rFonts w:cs="Arial"/>
          <w:szCs w:val="24"/>
        </w:rPr>
        <w:t xml:space="preserve"> Kogan Page Publishers.</w:t>
      </w:r>
    </w:p>
    <w:p w:rsidRPr="00BD6DD1" w:rsidR="009C3D45" w:rsidP="00BD6DD1" w:rsidRDefault="009C3D45" w14:paraId="7644FF57" w14:textId="4AB7FB5F">
      <w:pPr>
        <w:spacing w:after="180"/>
        <w:rPr>
          <w:rFonts w:eastAsia="Times New Roman" w:cs="Arial"/>
          <w:lang w:eastAsia="en-GB"/>
        </w:rPr>
      </w:pPr>
      <w:r w:rsidRPr="00BD6DD1">
        <w:rPr>
          <w:rFonts w:eastAsia="Times New Roman" w:cs="Arial"/>
          <w:lang w:eastAsia="en-GB"/>
        </w:rPr>
        <w:t>Beard</w:t>
      </w:r>
      <w:r w:rsidRPr="00BD6DD1" w:rsidR="003F6E3F">
        <w:rPr>
          <w:rFonts w:eastAsia="Times New Roman" w:cs="Arial"/>
          <w:lang w:eastAsia="en-GB"/>
        </w:rPr>
        <w:t>well, J. and Thompson, A. (2017)</w:t>
      </w:r>
      <w:r w:rsidRPr="00BD6DD1">
        <w:rPr>
          <w:rFonts w:eastAsia="Times New Roman" w:cs="Arial"/>
          <w:lang w:eastAsia="en-GB"/>
        </w:rPr>
        <w:t> </w:t>
      </w:r>
      <w:r w:rsidRPr="00BD6DD1">
        <w:rPr>
          <w:rFonts w:eastAsia="Times New Roman" w:cs="Arial"/>
          <w:i/>
          <w:iCs/>
          <w:lang w:eastAsia="en-GB"/>
        </w:rPr>
        <w:t>Human resource management</w:t>
      </w:r>
      <w:r w:rsidRPr="00BD6DD1">
        <w:rPr>
          <w:rFonts w:eastAsia="Times New Roman" w:cs="Arial"/>
          <w:lang w:eastAsia="en-GB"/>
        </w:rPr>
        <w:t>. Harlow: Pearson Education.</w:t>
      </w:r>
    </w:p>
    <w:p w:rsidRPr="00BD6DD1" w:rsidR="009C3D45" w:rsidP="00BD6DD1" w:rsidRDefault="003F6E3F" w14:paraId="5004B1E7" w14:textId="6833A0B6">
      <w:pPr>
        <w:spacing w:after="180"/>
        <w:rPr>
          <w:rFonts w:eastAsia="Times New Roman" w:cs="Arial"/>
          <w:lang w:eastAsia="en-GB"/>
        </w:rPr>
      </w:pPr>
      <w:r w:rsidRPr="00BD6DD1">
        <w:rPr>
          <w:rFonts w:eastAsia="Times New Roman" w:cs="Arial"/>
          <w:lang w:eastAsia="en-GB"/>
        </w:rPr>
        <w:t>Dessler, G. (2020)</w:t>
      </w:r>
      <w:r w:rsidRPr="00BD6DD1" w:rsidR="009C3D45">
        <w:rPr>
          <w:rFonts w:eastAsia="Times New Roman" w:cs="Arial"/>
          <w:lang w:eastAsia="en-GB"/>
        </w:rPr>
        <w:t> </w:t>
      </w:r>
      <w:r w:rsidRPr="00BD6DD1" w:rsidR="009C3D45">
        <w:rPr>
          <w:rFonts w:eastAsia="Times New Roman" w:cs="Arial"/>
          <w:i/>
          <w:iCs/>
          <w:lang w:eastAsia="en-GB"/>
        </w:rPr>
        <w:t>Human resource management</w:t>
      </w:r>
      <w:r w:rsidRPr="00BD6DD1" w:rsidR="009C3D45">
        <w:rPr>
          <w:rFonts w:eastAsia="Times New Roman" w:cs="Arial"/>
          <w:lang w:eastAsia="en-GB"/>
        </w:rPr>
        <w:t>. Harlow, England [etc.]: Pearson.</w:t>
      </w:r>
    </w:p>
    <w:p w:rsidRPr="00BD6DD1" w:rsidR="009C3D45" w:rsidP="00BD6DD1" w:rsidRDefault="009C3D45" w14:paraId="5F29CA26" w14:textId="65F6063C">
      <w:pPr>
        <w:spacing w:after="180"/>
        <w:rPr>
          <w:rFonts w:eastAsia="Times New Roman" w:cs="Arial"/>
          <w:lang w:eastAsia="en-GB"/>
        </w:rPr>
      </w:pPr>
      <w:r w:rsidRPr="00BD6DD1">
        <w:rPr>
          <w:rFonts w:eastAsia="Times New Roman" w:cs="Arial"/>
          <w:lang w:eastAsia="en-GB"/>
        </w:rPr>
        <w:t xml:space="preserve">Hamilton Skurak, H., Malinen, S., </w:t>
      </w:r>
      <w:r w:rsidRPr="00BD6DD1" w:rsidR="0084266C">
        <w:rPr>
          <w:rFonts w:eastAsia="Times New Roman" w:cs="Arial"/>
          <w:lang w:eastAsia="en-GB"/>
        </w:rPr>
        <w:t>Näswall, K. and Kuntz, J. (2018)</w:t>
      </w:r>
      <w:r w:rsidRPr="00BD6DD1">
        <w:rPr>
          <w:rFonts w:eastAsia="Times New Roman" w:cs="Arial"/>
          <w:lang w:eastAsia="en-GB"/>
        </w:rPr>
        <w:t xml:space="preserve"> Employee wellbeing: The role of psychological detachment on the relationship between engagement and work–life conflict. </w:t>
      </w:r>
      <w:r w:rsidRPr="00BD6DD1">
        <w:rPr>
          <w:rFonts w:eastAsia="Times New Roman" w:cs="Arial"/>
          <w:i/>
          <w:iCs/>
          <w:lang w:eastAsia="en-GB"/>
        </w:rPr>
        <w:t>Economic and Industrial Democracy</w:t>
      </w:r>
      <w:r w:rsidRPr="00BD6DD1">
        <w:rPr>
          <w:rFonts w:eastAsia="Times New Roman" w:cs="Arial"/>
          <w:lang w:eastAsia="en-GB"/>
        </w:rPr>
        <w:t>, 42(1), pp.116-141.</w:t>
      </w:r>
    </w:p>
    <w:p w:rsidRPr="00BD6DD1" w:rsidR="009C3D45" w:rsidP="00BD6DD1" w:rsidRDefault="009C3D45" w14:paraId="613D0ED6" w14:textId="1BE465B7">
      <w:pPr>
        <w:spacing w:after="180"/>
        <w:rPr>
          <w:rFonts w:eastAsia="Times New Roman" w:cs="Arial"/>
          <w:lang w:eastAsia="en-GB"/>
        </w:rPr>
      </w:pPr>
      <w:r w:rsidRPr="00BD6DD1">
        <w:rPr>
          <w:rFonts w:eastAsia="Times New Roman" w:cs="Arial"/>
          <w:lang w:eastAsia="en-GB"/>
        </w:rPr>
        <w:t>Ivancev</w:t>
      </w:r>
      <w:r w:rsidRPr="00BD6DD1" w:rsidR="0084266C">
        <w:rPr>
          <w:rFonts w:eastAsia="Times New Roman" w:cs="Arial"/>
          <w:lang w:eastAsia="en-GB"/>
        </w:rPr>
        <w:t>ich, J. and Konopaske, R. (2013)</w:t>
      </w:r>
      <w:r w:rsidRPr="00BD6DD1">
        <w:rPr>
          <w:rFonts w:eastAsia="Times New Roman" w:cs="Arial"/>
          <w:lang w:eastAsia="en-GB"/>
        </w:rPr>
        <w:t> </w:t>
      </w:r>
      <w:r w:rsidRPr="00BD6DD1">
        <w:rPr>
          <w:rFonts w:eastAsia="Times New Roman" w:cs="Arial"/>
          <w:i/>
          <w:iCs/>
          <w:lang w:eastAsia="en-GB"/>
        </w:rPr>
        <w:t>Human resource management</w:t>
      </w:r>
      <w:r w:rsidRPr="00BD6DD1">
        <w:rPr>
          <w:rFonts w:eastAsia="Times New Roman" w:cs="Arial"/>
          <w:lang w:eastAsia="en-GB"/>
        </w:rPr>
        <w:t>. New York, NY: McGraw-Hill Irwin.</w:t>
      </w:r>
    </w:p>
    <w:p w:rsidRPr="00BD6DD1" w:rsidR="009C3D45" w:rsidP="00BD6DD1" w:rsidRDefault="0084266C" w14:paraId="7E6F0B52" w14:textId="5D4D207B">
      <w:pPr>
        <w:spacing w:after="180"/>
        <w:rPr>
          <w:rFonts w:eastAsia="Times New Roman" w:cs="Arial"/>
          <w:lang w:eastAsia="en-GB"/>
        </w:rPr>
      </w:pPr>
      <w:r w:rsidRPr="00BD6DD1">
        <w:rPr>
          <w:rFonts w:eastAsia="Times New Roman" w:cs="Arial"/>
          <w:lang w:eastAsia="en-GB"/>
        </w:rPr>
        <w:t>NOE, R. (2022)</w:t>
      </w:r>
      <w:r w:rsidRPr="00BD6DD1" w:rsidR="009C3D45">
        <w:rPr>
          <w:rFonts w:eastAsia="Times New Roman" w:cs="Arial"/>
          <w:lang w:eastAsia="en-GB"/>
        </w:rPr>
        <w:t> </w:t>
      </w:r>
      <w:r w:rsidRPr="00BD6DD1" w:rsidR="009C3D45">
        <w:rPr>
          <w:rFonts w:eastAsia="Times New Roman" w:cs="Arial"/>
          <w:i/>
          <w:iCs/>
          <w:lang w:eastAsia="en-GB"/>
        </w:rPr>
        <w:t>Human Resource Management</w:t>
      </w:r>
      <w:r w:rsidRPr="00BD6DD1" w:rsidR="009C3D45">
        <w:rPr>
          <w:rFonts w:eastAsia="Times New Roman" w:cs="Arial"/>
          <w:lang w:eastAsia="en-GB"/>
        </w:rPr>
        <w:t>. Columbus: McGraw-Hill US Higher Ed USE.</w:t>
      </w:r>
    </w:p>
    <w:p w:rsidRPr="00BD6DD1" w:rsidR="009C3D45" w:rsidP="00BD6DD1" w:rsidRDefault="009C3D45" w14:paraId="051231FE" w14:textId="6F52A7CD">
      <w:pPr>
        <w:spacing w:after="180"/>
        <w:rPr>
          <w:rFonts w:eastAsia="Times New Roman" w:cs="Arial"/>
          <w:lang w:eastAsia="en-GB"/>
        </w:rPr>
      </w:pPr>
      <w:r w:rsidRPr="00BD6DD1">
        <w:rPr>
          <w:rFonts w:eastAsia="Times New Roman" w:cs="Arial"/>
          <w:lang w:eastAsia="en-GB"/>
        </w:rPr>
        <w:t>Obrenovic, B., Jianguo, D., Khu</w:t>
      </w:r>
      <w:r w:rsidRPr="00BD6DD1" w:rsidR="0084266C">
        <w:rPr>
          <w:rFonts w:eastAsia="Times New Roman" w:cs="Arial"/>
          <w:lang w:eastAsia="en-GB"/>
        </w:rPr>
        <w:t>daykulov, A. and Khan, M. (2020)</w:t>
      </w:r>
      <w:r w:rsidRPr="00BD6DD1">
        <w:rPr>
          <w:rFonts w:eastAsia="Times New Roman" w:cs="Arial"/>
          <w:lang w:eastAsia="en-GB"/>
        </w:rPr>
        <w:t xml:space="preserve"> Work-Family Conflict Impact on Psychological Safety and Psychological Well-Being: A Job Performance Model. </w:t>
      </w:r>
      <w:r w:rsidRPr="00BD6DD1">
        <w:rPr>
          <w:rFonts w:eastAsia="Times New Roman" w:cs="Arial"/>
          <w:i/>
          <w:iCs/>
          <w:lang w:eastAsia="en-GB"/>
        </w:rPr>
        <w:t>Frontiers in Psychology</w:t>
      </w:r>
      <w:r w:rsidRPr="00BD6DD1">
        <w:rPr>
          <w:rFonts w:eastAsia="Times New Roman" w:cs="Arial"/>
          <w:lang w:eastAsia="en-GB"/>
        </w:rPr>
        <w:t>, 11.</w:t>
      </w:r>
    </w:p>
    <w:p w:rsidRPr="00BD6DD1" w:rsidR="009C3D45" w:rsidP="00BD6DD1" w:rsidRDefault="009C3D45" w14:paraId="261491A6" w14:textId="1A3BAF1E">
      <w:pPr>
        <w:spacing w:after="180"/>
        <w:rPr>
          <w:rFonts w:eastAsia="Times New Roman" w:cs="Arial"/>
          <w:lang w:eastAsia="en-GB"/>
        </w:rPr>
      </w:pPr>
      <w:r w:rsidRPr="00BD6DD1">
        <w:rPr>
          <w:rFonts w:eastAsia="Times New Roman" w:cs="Arial"/>
          <w:lang w:eastAsia="en-GB"/>
        </w:rPr>
        <w:t>Saengchai, S., Siriattakul, P.</w:t>
      </w:r>
      <w:r w:rsidRPr="00BD6DD1" w:rsidR="0084266C">
        <w:rPr>
          <w:rFonts w:eastAsia="Times New Roman" w:cs="Arial"/>
          <w:lang w:eastAsia="en-GB"/>
        </w:rPr>
        <w:t xml:space="preserve"> and Jermsittiparsert, K. (2019)</w:t>
      </w:r>
      <w:r w:rsidRPr="00BD6DD1">
        <w:rPr>
          <w:rFonts w:eastAsia="Times New Roman" w:cs="Arial"/>
          <w:lang w:eastAsia="en-GB"/>
        </w:rPr>
        <w:t xml:space="preserve"> The Mediating Role of Employee Engagement between Team and Co-worker Relation, Work Environment, Training and Development and Employee Performance. </w:t>
      </w:r>
      <w:r w:rsidRPr="00BD6DD1">
        <w:rPr>
          <w:rFonts w:eastAsia="Times New Roman" w:cs="Arial"/>
          <w:i/>
          <w:iCs/>
          <w:lang w:eastAsia="en-GB"/>
        </w:rPr>
        <w:t>International Journal of Psychosocial Rehabilitation</w:t>
      </w:r>
      <w:r w:rsidRPr="00BD6DD1">
        <w:rPr>
          <w:rFonts w:eastAsia="Times New Roman" w:cs="Arial"/>
          <w:lang w:eastAsia="en-GB"/>
        </w:rPr>
        <w:t>, 23(4), pp.853-864.</w:t>
      </w:r>
    </w:p>
    <w:p w:rsidRPr="00BD6DD1" w:rsidR="003F6E3F" w:rsidP="00BD6DD1" w:rsidRDefault="003F6E3F" w14:paraId="4F296D18" w14:textId="03253016">
      <w:pPr>
        <w:rPr>
          <w:rFonts w:cs="Arial"/>
          <w:szCs w:val="24"/>
        </w:rPr>
      </w:pPr>
      <w:r w:rsidRPr="00BD6DD1">
        <w:rPr>
          <w:rFonts w:cs="Arial"/>
          <w:szCs w:val="24"/>
        </w:rPr>
        <w:t>Torrington, D., Hall, L., At</w:t>
      </w:r>
      <w:r w:rsidRPr="00BD6DD1" w:rsidR="0084266C">
        <w:rPr>
          <w:rFonts w:cs="Arial"/>
          <w:szCs w:val="24"/>
        </w:rPr>
        <w:t>kinson, C. and Taylor, S. (2020)</w:t>
      </w:r>
      <w:r w:rsidRPr="00BD6DD1">
        <w:rPr>
          <w:rFonts w:cs="Arial"/>
          <w:szCs w:val="24"/>
        </w:rPr>
        <w:t xml:space="preserve"> </w:t>
      </w:r>
      <w:r w:rsidRPr="00BD6DD1">
        <w:rPr>
          <w:rFonts w:cs="Arial"/>
          <w:i/>
          <w:szCs w:val="24"/>
        </w:rPr>
        <w:t>Human resource management</w:t>
      </w:r>
      <w:r w:rsidRPr="00BD6DD1">
        <w:rPr>
          <w:rFonts w:cs="Arial"/>
          <w:szCs w:val="24"/>
        </w:rPr>
        <w:t>. Pearson UK.</w:t>
      </w:r>
    </w:p>
    <w:p w:rsidRPr="00BD6DD1" w:rsidR="003F6E3F" w:rsidP="00BD6DD1" w:rsidRDefault="003F6E3F" w14:paraId="034B105B" w14:textId="1AC48635">
      <w:pPr>
        <w:rPr>
          <w:rFonts w:cs="Arial"/>
          <w:szCs w:val="24"/>
        </w:rPr>
      </w:pPr>
      <w:r w:rsidRPr="00BD6DD1">
        <w:rPr>
          <w:rFonts w:cs="Arial"/>
          <w:szCs w:val="24"/>
        </w:rPr>
        <w:t>Torrington, D., Hall, L., Ta</w:t>
      </w:r>
      <w:r w:rsidRPr="00BD6DD1" w:rsidR="0084266C">
        <w:rPr>
          <w:rFonts w:cs="Arial"/>
          <w:szCs w:val="24"/>
        </w:rPr>
        <w:t>ylor, S. and Atkinson, C. (2017)</w:t>
      </w:r>
      <w:r w:rsidRPr="00BD6DD1">
        <w:rPr>
          <w:rFonts w:cs="Arial"/>
          <w:szCs w:val="24"/>
        </w:rPr>
        <w:t xml:space="preserve"> </w:t>
      </w:r>
      <w:r w:rsidRPr="00BD6DD1">
        <w:rPr>
          <w:rFonts w:cs="Arial"/>
          <w:i/>
          <w:szCs w:val="24"/>
        </w:rPr>
        <w:t xml:space="preserve">Human Resource Management. </w:t>
      </w:r>
      <w:r w:rsidRPr="00BD6DD1">
        <w:rPr>
          <w:rFonts w:cs="Arial"/>
          <w:szCs w:val="24"/>
        </w:rPr>
        <w:t>10th ed. Pearson UK.</w:t>
      </w:r>
    </w:p>
    <w:p w:rsidRPr="00BD6DD1" w:rsidR="009C3D45" w:rsidP="00BD6DD1" w:rsidRDefault="009C3D45" w14:paraId="25CDCD28" w14:textId="77777777">
      <w:pPr>
        <w:rPr>
          <w:rFonts w:cs="Arial"/>
          <w:sz w:val="20"/>
          <w:szCs w:val="18"/>
        </w:rPr>
      </w:pPr>
    </w:p>
    <w:sectPr w:rsidRPr="00BD6DD1" w:rsidR="009C3D45" w:rsidSect="00E259DD">
      <w:footerReference w:type="default" r:id="rId11"/>
      <w:pgSz w:w="12240" w:h="15840" w:orient="portrait" w:code="1"/>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69A5" w:rsidP="00E0058C" w:rsidRDefault="006369A5" w14:paraId="5FE3FCA1" w14:textId="77777777">
      <w:pPr>
        <w:spacing w:after="0" w:line="240" w:lineRule="auto"/>
      </w:pPr>
      <w:r>
        <w:separator/>
      </w:r>
    </w:p>
  </w:endnote>
  <w:endnote w:type="continuationSeparator" w:id="0">
    <w:p w:rsidR="006369A5" w:rsidP="00E0058C" w:rsidRDefault="006369A5" w14:paraId="14B3E18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8099205"/>
      <w:docPartObj>
        <w:docPartGallery w:val="Page Numbers (Bottom of Page)"/>
        <w:docPartUnique/>
      </w:docPartObj>
    </w:sdtPr>
    <w:sdtEndPr>
      <w:rPr>
        <w:noProof/>
      </w:rPr>
    </w:sdtEndPr>
    <w:sdtContent>
      <w:p w:rsidR="00AC6965" w:rsidRDefault="00AC6965" w14:paraId="101ED863" w14:textId="22A24104">
        <w:pPr>
          <w:pStyle w:val="Footer"/>
          <w:jc w:val="center"/>
        </w:pPr>
        <w:r>
          <w:fldChar w:fldCharType="begin"/>
        </w:r>
        <w:r>
          <w:instrText xml:space="preserve"> PAGE   \* MERGEFORMAT </w:instrText>
        </w:r>
        <w:r>
          <w:fldChar w:fldCharType="separate"/>
        </w:r>
        <w:r w:rsidR="006369A5">
          <w:rPr>
            <w:noProof/>
          </w:rPr>
          <w:t>i</w:t>
        </w:r>
        <w:r>
          <w:rPr>
            <w:noProof/>
          </w:rPr>
          <w:fldChar w:fldCharType="end"/>
        </w:r>
      </w:p>
    </w:sdtContent>
  </w:sdt>
  <w:p w:rsidR="00E0058C" w:rsidRDefault="00E0058C" w14:paraId="5727C265"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2477210"/>
      <w:docPartObj>
        <w:docPartGallery w:val="Page Numbers (Bottom of Page)"/>
        <w:docPartUnique/>
      </w:docPartObj>
    </w:sdtPr>
    <w:sdtEndPr>
      <w:rPr>
        <w:noProof/>
      </w:rPr>
    </w:sdtEndPr>
    <w:sdtContent>
      <w:p w:rsidR="00AC6965" w:rsidRDefault="00AC6965" w14:paraId="34B6377C" w14:textId="77777777">
        <w:pPr>
          <w:pStyle w:val="Footer"/>
          <w:jc w:val="center"/>
        </w:pPr>
        <w:r>
          <w:fldChar w:fldCharType="begin"/>
        </w:r>
        <w:r>
          <w:instrText xml:space="preserve"> PAGE   \* MERGEFORMAT </w:instrText>
        </w:r>
        <w:r>
          <w:fldChar w:fldCharType="separate"/>
        </w:r>
        <w:r w:rsidR="00D82003">
          <w:rPr>
            <w:noProof/>
          </w:rPr>
          <w:t>8</w:t>
        </w:r>
        <w:r>
          <w:rPr>
            <w:noProof/>
          </w:rPr>
          <w:fldChar w:fldCharType="end"/>
        </w:r>
      </w:p>
    </w:sdtContent>
  </w:sdt>
  <w:p w:rsidR="00AC6965" w:rsidRDefault="00AC6965" w14:paraId="4D7B72CD"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69A5" w:rsidP="00E0058C" w:rsidRDefault="006369A5" w14:paraId="265DE0AA" w14:textId="77777777">
      <w:pPr>
        <w:spacing w:after="0" w:line="240" w:lineRule="auto"/>
      </w:pPr>
      <w:r>
        <w:separator/>
      </w:r>
    </w:p>
  </w:footnote>
  <w:footnote w:type="continuationSeparator" w:id="0">
    <w:p w:rsidR="006369A5" w:rsidP="00E0058C" w:rsidRDefault="006369A5" w14:paraId="34322061"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4"/>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W0NDC0MDc3NzAyNjJR0lEKTi0uzszPAykwrgUAjE551CwAAAA="/>
  </w:docVars>
  <w:rsids>
    <w:rsidRoot w:val="002E1BE1"/>
    <w:rsid w:val="00000B29"/>
    <w:rsid w:val="00056E52"/>
    <w:rsid w:val="00081B86"/>
    <w:rsid w:val="000D5262"/>
    <w:rsid w:val="000D6F4A"/>
    <w:rsid w:val="000F789D"/>
    <w:rsid w:val="00114BBF"/>
    <w:rsid w:val="00130D8F"/>
    <w:rsid w:val="001530B0"/>
    <w:rsid w:val="00167925"/>
    <w:rsid w:val="002370D4"/>
    <w:rsid w:val="002519EE"/>
    <w:rsid w:val="00285733"/>
    <w:rsid w:val="002D7F37"/>
    <w:rsid w:val="002E1BE1"/>
    <w:rsid w:val="0034517A"/>
    <w:rsid w:val="003F3C14"/>
    <w:rsid w:val="003F6E3F"/>
    <w:rsid w:val="00401874"/>
    <w:rsid w:val="004072BA"/>
    <w:rsid w:val="00420846"/>
    <w:rsid w:val="00466646"/>
    <w:rsid w:val="00485D5A"/>
    <w:rsid w:val="004E4975"/>
    <w:rsid w:val="00506700"/>
    <w:rsid w:val="005227FF"/>
    <w:rsid w:val="005231D2"/>
    <w:rsid w:val="005A1623"/>
    <w:rsid w:val="005B39CD"/>
    <w:rsid w:val="005B6185"/>
    <w:rsid w:val="005C6DD3"/>
    <w:rsid w:val="005F3126"/>
    <w:rsid w:val="006369A5"/>
    <w:rsid w:val="0065163C"/>
    <w:rsid w:val="00673DFF"/>
    <w:rsid w:val="00683F79"/>
    <w:rsid w:val="006A6877"/>
    <w:rsid w:val="0073777A"/>
    <w:rsid w:val="00773CC5"/>
    <w:rsid w:val="0077409C"/>
    <w:rsid w:val="00794203"/>
    <w:rsid w:val="007A3A01"/>
    <w:rsid w:val="007C6FF0"/>
    <w:rsid w:val="007D033A"/>
    <w:rsid w:val="007D188B"/>
    <w:rsid w:val="007E120A"/>
    <w:rsid w:val="008004BE"/>
    <w:rsid w:val="00836A8F"/>
    <w:rsid w:val="0084266C"/>
    <w:rsid w:val="008A64F6"/>
    <w:rsid w:val="008B570F"/>
    <w:rsid w:val="008D59D6"/>
    <w:rsid w:val="008E2AC1"/>
    <w:rsid w:val="008E37AC"/>
    <w:rsid w:val="0090587C"/>
    <w:rsid w:val="00992C21"/>
    <w:rsid w:val="009C3D45"/>
    <w:rsid w:val="00A458E5"/>
    <w:rsid w:val="00A7052F"/>
    <w:rsid w:val="00A70C3E"/>
    <w:rsid w:val="00A94BB4"/>
    <w:rsid w:val="00AC6965"/>
    <w:rsid w:val="00AD1BAE"/>
    <w:rsid w:val="00B61AFD"/>
    <w:rsid w:val="00B66E4E"/>
    <w:rsid w:val="00BC4874"/>
    <w:rsid w:val="00BD6DD1"/>
    <w:rsid w:val="00C04BAD"/>
    <w:rsid w:val="00C2683B"/>
    <w:rsid w:val="00CA536B"/>
    <w:rsid w:val="00CA62B7"/>
    <w:rsid w:val="00CB2468"/>
    <w:rsid w:val="00CE4437"/>
    <w:rsid w:val="00CF0FE7"/>
    <w:rsid w:val="00D22C74"/>
    <w:rsid w:val="00D35A41"/>
    <w:rsid w:val="00D657B8"/>
    <w:rsid w:val="00D67554"/>
    <w:rsid w:val="00D70884"/>
    <w:rsid w:val="00D82003"/>
    <w:rsid w:val="00DF08E0"/>
    <w:rsid w:val="00E0058C"/>
    <w:rsid w:val="00E251D5"/>
    <w:rsid w:val="00E259DD"/>
    <w:rsid w:val="00E449BB"/>
    <w:rsid w:val="00E6022D"/>
    <w:rsid w:val="00E60951"/>
    <w:rsid w:val="00E625E8"/>
    <w:rsid w:val="00EA2139"/>
    <w:rsid w:val="00F85F05"/>
    <w:rsid w:val="00F96378"/>
    <w:rsid w:val="00FB44B7"/>
    <w:rsid w:val="4F7DBC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8E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259DD"/>
    <w:pPr>
      <w:spacing w:line="360" w:lineRule="auto"/>
      <w:jc w:val="both"/>
    </w:pPr>
    <w:rPr>
      <w:rFonts w:ascii="Arial" w:hAnsi="Arial"/>
      <w:sz w:val="22"/>
    </w:rPr>
  </w:style>
  <w:style w:type="paragraph" w:styleId="Heading1">
    <w:name w:val="heading 1"/>
    <w:basedOn w:val="Normal"/>
    <w:next w:val="Normal"/>
    <w:link w:val="Heading1Char"/>
    <w:uiPriority w:val="9"/>
    <w:qFormat/>
    <w:rsid w:val="00BD6DD1"/>
    <w:pPr>
      <w:keepNext/>
      <w:keepLines/>
      <w:spacing w:before="240" w:after="0"/>
      <w:outlineLvl w:val="0"/>
    </w:pPr>
    <w:rPr>
      <w:rFonts w:cs="Arial" w:eastAsiaTheme="majorEastAsia"/>
      <w:b/>
      <w:bCs/>
      <w:sz w:val="28"/>
      <w:szCs w:val="32"/>
    </w:rPr>
  </w:style>
  <w:style w:type="paragraph" w:styleId="Heading2">
    <w:name w:val="heading 2"/>
    <w:basedOn w:val="Normal"/>
    <w:next w:val="Normal"/>
    <w:link w:val="Heading2Char"/>
    <w:uiPriority w:val="9"/>
    <w:semiHidden/>
    <w:unhideWhenUsed/>
    <w:qFormat/>
    <w:rsid w:val="009C3D4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D6DD1"/>
    <w:rPr>
      <w:rFonts w:ascii="Arial" w:hAnsi="Arial" w:cs="Arial" w:eastAsiaTheme="majorEastAsia"/>
      <w:b/>
      <w:bCs/>
      <w:sz w:val="28"/>
      <w:szCs w:val="32"/>
    </w:rPr>
  </w:style>
  <w:style w:type="paragraph" w:styleId="Header">
    <w:name w:val="header"/>
    <w:basedOn w:val="Normal"/>
    <w:link w:val="HeaderChar"/>
    <w:uiPriority w:val="99"/>
    <w:unhideWhenUsed/>
    <w:rsid w:val="00E0058C"/>
    <w:pPr>
      <w:tabs>
        <w:tab w:val="center" w:pos="4513"/>
        <w:tab w:val="right" w:pos="9026"/>
      </w:tabs>
      <w:spacing w:after="0" w:line="240" w:lineRule="auto"/>
    </w:pPr>
  </w:style>
  <w:style w:type="character" w:styleId="HeaderChar" w:customStyle="1">
    <w:name w:val="Header Char"/>
    <w:basedOn w:val="DefaultParagraphFont"/>
    <w:link w:val="Header"/>
    <w:uiPriority w:val="99"/>
    <w:rsid w:val="00E0058C"/>
  </w:style>
  <w:style w:type="paragraph" w:styleId="Footer">
    <w:name w:val="footer"/>
    <w:basedOn w:val="Normal"/>
    <w:link w:val="FooterChar"/>
    <w:uiPriority w:val="99"/>
    <w:unhideWhenUsed/>
    <w:rsid w:val="00E0058C"/>
    <w:pPr>
      <w:tabs>
        <w:tab w:val="center" w:pos="4513"/>
        <w:tab w:val="right" w:pos="9026"/>
      </w:tabs>
      <w:spacing w:after="0" w:line="240" w:lineRule="auto"/>
    </w:pPr>
  </w:style>
  <w:style w:type="character" w:styleId="FooterChar" w:customStyle="1">
    <w:name w:val="Footer Char"/>
    <w:basedOn w:val="DefaultParagraphFont"/>
    <w:link w:val="Footer"/>
    <w:uiPriority w:val="99"/>
    <w:rsid w:val="00E0058C"/>
  </w:style>
  <w:style w:type="paragraph" w:styleId="TOCHeading">
    <w:name w:val="TOC Heading"/>
    <w:basedOn w:val="Heading1"/>
    <w:next w:val="Normal"/>
    <w:uiPriority w:val="39"/>
    <w:unhideWhenUsed/>
    <w:qFormat/>
    <w:rsid w:val="00992C21"/>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92C21"/>
    <w:pPr>
      <w:spacing w:after="100"/>
    </w:pPr>
  </w:style>
  <w:style w:type="character" w:styleId="Hyperlink">
    <w:name w:val="Hyperlink"/>
    <w:basedOn w:val="DefaultParagraphFont"/>
    <w:uiPriority w:val="99"/>
    <w:unhideWhenUsed/>
    <w:rsid w:val="00992C21"/>
    <w:rPr>
      <w:color w:val="0563C1" w:themeColor="hyperlink"/>
      <w:u w:val="single"/>
    </w:rPr>
  </w:style>
  <w:style w:type="character" w:styleId="Heading2Char" w:customStyle="1">
    <w:name w:val="Heading 2 Char"/>
    <w:basedOn w:val="DefaultParagraphFont"/>
    <w:link w:val="Heading2"/>
    <w:uiPriority w:val="9"/>
    <w:semiHidden/>
    <w:rsid w:val="009C3D45"/>
    <w:rPr>
      <w:rFonts w:asciiTheme="majorHAnsi" w:hAnsiTheme="majorHAnsi" w:eastAsiaTheme="majorEastAsia" w:cstheme="majorBidi"/>
      <w:color w:val="2F5496" w:themeColor="accent1" w:themeShade="BF"/>
      <w:sz w:val="26"/>
      <w:szCs w:val="26"/>
    </w:rPr>
  </w:style>
  <w:style w:type="paragraph" w:styleId="BalloonText">
    <w:name w:val="Balloon Text"/>
    <w:basedOn w:val="Normal"/>
    <w:link w:val="BalloonTextChar"/>
    <w:uiPriority w:val="99"/>
    <w:semiHidden/>
    <w:unhideWhenUsed/>
    <w:rsid w:val="00AC696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C696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59DD"/>
    <w:pPr>
      <w:spacing w:line="360" w:lineRule="auto"/>
      <w:jc w:val="both"/>
    </w:pPr>
    <w:rPr>
      <w:rFonts w:ascii="Arial" w:hAnsi="Arial"/>
      <w:sz w:val="22"/>
    </w:rPr>
  </w:style>
  <w:style w:type="paragraph" w:styleId="Heading1">
    <w:name w:val="heading 1"/>
    <w:basedOn w:val="Normal"/>
    <w:next w:val="Normal"/>
    <w:link w:val="Heading1Char"/>
    <w:uiPriority w:val="9"/>
    <w:qFormat/>
    <w:rsid w:val="00BD6DD1"/>
    <w:pPr>
      <w:keepNext/>
      <w:keepLines/>
      <w:spacing w:before="240" w:after="0"/>
      <w:outlineLvl w:val="0"/>
    </w:pPr>
    <w:rPr>
      <w:rFonts w:eastAsiaTheme="majorEastAsia" w:cs="Arial"/>
      <w:b/>
      <w:bCs/>
      <w:sz w:val="28"/>
      <w:szCs w:val="32"/>
    </w:rPr>
  </w:style>
  <w:style w:type="paragraph" w:styleId="Heading2">
    <w:name w:val="heading 2"/>
    <w:basedOn w:val="Normal"/>
    <w:next w:val="Normal"/>
    <w:link w:val="Heading2Char"/>
    <w:uiPriority w:val="9"/>
    <w:semiHidden/>
    <w:unhideWhenUsed/>
    <w:qFormat/>
    <w:rsid w:val="009C3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DD1"/>
    <w:rPr>
      <w:rFonts w:ascii="Arial" w:eastAsiaTheme="majorEastAsia" w:hAnsi="Arial" w:cs="Arial"/>
      <w:b/>
      <w:bCs/>
      <w:sz w:val="28"/>
      <w:szCs w:val="32"/>
    </w:rPr>
  </w:style>
  <w:style w:type="paragraph" w:styleId="Header">
    <w:name w:val="header"/>
    <w:basedOn w:val="Normal"/>
    <w:link w:val="HeaderChar"/>
    <w:uiPriority w:val="99"/>
    <w:unhideWhenUsed/>
    <w:rsid w:val="00E00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58C"/>
  </w:style>
  <w:style w:type="paragraph" w:styleId="Footer">
    <w:name w:val="footer"/>
    <w:basedOn w:val="Normal"/>
    <w:link w:val="FooterChar"/>
    <w:uiPriority w:val="99"/>
    <w:unhideWhenUsed/>
    <w:rsid w:val="00E00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58C"/>
  </w:style>
  <w:style w:type="paragraph" w:styleId="TOCHeading">
    <w:name w:val="TOC Heading"/>
    <w:basedOn w:val="Heading1"/>
    <w:next w:val="Normal"/>
    <w:uiPriority w:val="39"/>
    <w:unhideWhenUsed/>
    <w:qFormat/>
    <w:rsid w:val="00992C21"/>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92C21"/>
    <w:pPr>
      <w:spacing w:after="100"/>
    </w:pPr>
  </w:style>
  <w:style w:type="character" w:styleId="Hyperlink">
    <w:name w:val="Hyperlink"/>
    <w:basedOn w:val="DefaultParagraphFont"/>
    <w:uiPriority w:val="99"/>
    <w:unhideWhenUsed/>
    <w:rsid w:val="00992C21"/>
    <w:rPr>
      <w:color w:val="0563C1" w:themeColor="hyperlink"/>
      <w:u w:val="single"/>
    </w:rPr>
  </w:style>
  <w:style w:type="character" w:customStyle="1" w:styleId="Heading2Char">
    <w:name w:val="Heading 2 Char"/>
    <w:basedOn w:val="DefaultParagraphFont"/>
    <w:link w:val="Heading2"/>
    <w:uiPriority w:val="9"/>
    <w:semiHidden/>
    <w:rsid w:val="009C3D45"/>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AC69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96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4704848">
      <w:bodyDiv w:val="1"/>
      <w:marLeft w:val="0"/>
      <w:marRight w:val="0"/>
      <w:marTop w:val="0"/>
      <w:marBottom w:val="0"/>
      <w:divBdr>
        <w:top w:val="none" w:sz="0" w:space="0" w:color="auto"/>
        <w:left w:val="none" w:sz="0" w:space="0" w:color="auto"/>
        <w:bottom w:val="none" w:sz="0" w:space="0" w:color="auto"/>
        <w:right w:val="none" w:sz="0" w:space="0" w:color="auto"/>
      </w:divBdr>
    </w:div>
    <w:div w:id="108988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c7cc4a2b68754a7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29a99b9-63ed-4781-bd38-5a2023e0d2cf}"/>
      </w:docPartPr>
      <w:docPartBody>
        <w:p w14:paraId="4F7DBC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C51038-B0B3-4BD4-B083-40A7F93E46C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STEPHANIE BORDA?</lastModifiedBy>
  <revision>6</revision>
  <dcterms:created xsi:type="dcterms:W3CDTF">2022-04-24T17:32:00.0000000Z</dcterms:created>
  <dcterms:modified xsi:type="dcterms:W3CDTF">2022-05-05T20:25:43.5600247Z</dcterms:modified>
</coreProperties>
</file>