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4817AF" w14:textId="77777777" w:rsidR="00184B45" w:rsidRPr="00397B49" w:rsidRDefault="00184B45" w:rsidP="00184B45">
      <w:pPr>
        <w:jc w:val="center"/>
        <w:rPr>
          <w:rFonts w:ascii="Arial" w:hAnsi="Arial" w:cs="Arial"/>
          <w:b/>
          <w:bCs/>
          <w:sz w:val="52"/>
          <w:szCs w:val="52"/>
          <w:lang w:val="en-US"/>
        </w:rPr>
      </w:pPr>
    </w:p>
    <w:p w14:paraId="3E5B90EC" w14:textId="3A9AF224" w:rsidR="00254ECC" w:rsidRPr="00397B49" w:rsidRDefault="00254ECC" w:rsidP="00184B45">
      <w:pPr>
        <w:jc w:val="center"/>
        <w:rPr>
          <w:rStyle w:val="Strong"/>
          <w:rFonts w:ascii="Arial" w:hAnsi="Arial" w:cs="Arial"/>
          <w:sz w:val="52"/>
          <w:szCs w:val="52"/>
        </w:rPr>
      </w:pPr>
      <w:r w:rsidRPr="00397B49">
        <w:rPr>
          <w:rStyle w:val="Strong"/>
          <w:rFonts w:ascii="Arial" w:hAnsi="Arial" w:cs="Arial"/>
          <w:sz w:val="52"/>
          <w:szCs w:val="52"/>
          <w:lang w:val="en-US"/>
        </w:rPr>
        <w:t>Promoting Neurodiversity in the Hospitality Industry</w:t>
      </w:r>
    </w:p>
    <w:p w14:paraId="4A597554" w14:textId="77777777" w:rsidR="00184B45" w:rsidRDefault="00184B45" w:rsidP="00184B45">
      <w:pPr>
        <w:jc w:val="center"/>
        <w:rPr>
          <w:rFonts w:ascii="Arial" w:hAnsi="Arial" w:cs="Arial"/>
          <w:b/>
          <w:bCs/>
          <w:sz w:val="56"/>
          <w:szCs w:val="56"/>
          <w:lang w:val="en-US"/>
        </w:rPr>
      </w:pPr>
    </w:p>
    <w:p w14:paraId="6E76BA2C" w14:textId="77777777" w:rsidR="00184B45" w:rsidRDefault="00184B45" w:rsidP="00184B45">
      <w:pPr>
        <w:jc w:val="center"/>
        <w:rPr>
          <w:rFonts w:ascii="Arial" w:hAnsi="Arial" w:cs="Arial"/>
          <w:b/>
          <w:bCs/>
          <w:sz w:val="56"/>
          <w:szCs w:val="56"/>
          <w:lang w:val="en-US"/>
        </w:rPr>
      </w:pPr>
    </w:p>
    <w:p w14:paraId="7E38D40D" w14:textId="77777777" w:rsidR="00184B45" w:rsidRDefault="00184B45" w:rsidP="00184B45">
      <w:pPr>
        <w:jc w:val="center"/>
        <w:rPr>
          <w:rFonts w:ascii="Arial" w:hAnsi="Arial" w:cs="Arial"/>
          <w:b/>
          <w:bCs/>
          <w:sz w:val="56"/>
          <w:szCs w:val="56"/>
          <w:lang w:val="en-US"/>
        </w:rPr>
      </w:pPr>
    </w:p>
    <w:p w14:paraId="6292D515" w14:textId="77777777" w:rsidR="00184B45" w:rsidRDefault="00184B45" w:rsidP="00184B45">
      <w:pPr>
        <w:jc w:val="center"/>
        <w:rPr>
          <w:rFonts w:ascii="Arial" w:hAnsi="Arial" w:cs="Arial"/>
          <w:b/>
          <w:bCs/>
          <w:sz w:val="56"/>
          <w:szCs w:val="56"/>
          <w:lang w:val="en-US"/>
        </w:rPr>
      </w:pPr>
    </w:p>
    <w:p w14:paraId="09273830" w14:textId="77777777" w:rsidR="00184B45" w:rsidRDefault="00184B45" w:rsidP="00184B45">
      <w:pPr>
        <w:jc w:val="center"/>
        <w:rPr>
          <w:rFonts w:ascii="Arial" w:hAnsi="Arial" w:cs="Arial"/>
          <w:b/>
          <w:bCs/>
          <w:sz w:val="56"/>
          <w:szCs w:val="56"/>
          <w:lang w:val="en-US"/>
        </w:rPr>
      </w:pPr>
    </w:p>
    <w:p w14:paraId="2CC40989" w14:textId="77777777" w:rsidR="00184B45" w:rsidRDefault="00184B45" w:rsidP="00184B45">
      <w:pPr>
        <w:jc w:val="center"/>
        <w:rPr>
          <w:rFonts w:ascii="Arial" w:hAnsi="Arial" w:cs="Arial"/>
          <w:b/>
          <w:bCs/>
          <w:sz w:val="56"/>
          <w:szCs w:val="56"/>
          <w:lang w:val="en-US"/>
        </w:rPr>
      </w:pPr>
    </w:p>
    <w:p w14:paraId="7F12C4AE" w14:textId="77777777" w:rsidR="00184B45" w:rsidRDefault="00184B45" w:rsidP="00184B45">
      <w:pPr>
        <w:jc w:val="center"/>
        <w:rPr>
          <w:rFonts w:ascii="Arial" w:hAnsi="Arial" w:cs="Arial"/>
          <w:b/>
          <w:bCs/>
          <w:sz w:val="56"/>
          <w:szCs w:val="56"/>
          <w:lang w:val="en-US"/>
        </w:rPr>
      </w:pPr>
    </w:p>
    <w:p w14:paraId="2293339E" w14:textId="77777777" w:rsidR="00184B45" w:rsidRDefault="00184B45" w:rsidP="00184B45">
      <w:pPr>
        <w:jc w:val="center"/>
        <w:rPr>
          <w:rFonts w:ascii="Arial" w:hAnsi="Arial" w:cs="Arial"/>
          <w:b/>
          <w:bCs/>
          <w:sz w:val="56"/>
          <w:szCs w:val="56"/>
          <w:lang w:val="en-US"/>
        </w:rPr>
      </w:pPr>
    </w:p>
    <w:p w14:paraId="3FC20CCF" w14:textId="77777777" w:rsidR="00184B45" w:rsidRPr="00254ECC" w:rsidRDefault="00184B45" w:rsidP="00184B45">
      <w:pPr>
        <w:jc w:val="center"/>
        <w:rPr>
          <w:rFonts w:ascii="Arial" w:hAnsi="Arial" w:cs="Arial"/>
          <w:b/>
          <w:bCs/>
          <w:sz w:val="56"/>
          <w:szCs w:val="56"/>
          <w:lang w:val="en-US"/>
        </w:rPr>
      </w:pPr>
    </w:p>
    <w:p w14:paraId="42B631A6" w14:textId="655A62D5" w:rsidR="00B81A63" w:rsidRDefault="00254ECC" w:rsidP="00397B49">
      <w:pPr>
        <w:spacing w:after="0" w:line="360" w:lineRule="auto"/>
        <w:rPr>
          <w:rFonts w:ascii="Arial" w:hAnsi="Arial" w:cs="Arial"/>
          <w:b/>
          <w:bCs/>
          <w:sz w:val="36"/>
          <w:szCs w:val="36"/>
          <w:lang w:val="en-US"/>
        </w:rPr>
      </w:pPr>
      <w:r w:rsidRPr="00397B49">
        <w:rPr>
          <w:rFonts w:ascii="Arial" w:hAnsi="Arial" w:cs="Arial"/>
          <w:b/>
          <w:bCs/>
          <w:sz w:val="36"/>
          <w:szCs w:val="36"/>
          <w:lang w:val="en-US"/>
        </w:rPr>
        <w:t xml:space="preserve">Student Name: </w:t>
      </w:r>
      <w:r w:rsidR="003929DE">
        <w:rPr>
          <w:rFonts w:ascii="Arial" w:hAnsi="Arial" w:cs="Arial"/>
          <w:b/>
          <w:bCs/>
          <w:sz w:val="36"/>
          <w:szCs w:val="36"/>
          <w:lang w:val="en-US"/>
        </w:rPr>
        <w:t>Alexandra Andreea Anghel</w:t>
      </w:r>
      <w:r w:rsidRPr="00397B49">
        <w:rPr>
          <w:rFonts w:ascii="Arial" w:hAnsi="Arial" w:cs="Arial"/>
          <w:b/>
          <w:bCs/>
          <w:sz w:val="36"/>
          <w:szCs w:val="36"/>
          <w:lang w:val="en-US"/>
        </w:rPr>
        <w:br/>
        <w:t xml:space="preserve">Student Number: </w:t>
      </w:r>
      <w:r w:rsidR="003929DE">
        <w:rPr>
          <w:rFonts w:ascii="Arial" w:hAnsi="Arial" w:cs="Arial"/>
          <w:b/>
          <w:bCs/>
          <w:sz w:val="36"/>
          <w:szCs w:val="36"/>
          <w:lang w:val="en-US"/>
        </w:rPr>
        <w:t>2226451</w:t>
      </w:r>
      <w:r w:rsidRPr="00397B49">
        <w:rPr>
          <w:rFonts w:ascii="Arial" w:hAnsi="Arial" w:cs="Arial"/>
          <w:b/>
          <w:bCs/>
          <w:sz w:val="36"/>
          <w:szCs w:val="36"/>
          <w:lang w:val="en-US"/>
        </w:rPr>
        <w:br/>
        <w:t xml:space="preserve">Module Title: </w:t>
      </w:r>
      <w:r w:rsidR="003929DE" w:rsidRPr="003929DE">
        <w:rPr>
          <w:rFonts w:ascii="Arial" w:hAnsi="Arial" w:cs="Arial"/>
          <w:b/>
          <w:bCs/>
          <w:sz w:val="36"/>
          <w:szCs w:val="36"/>
        </w:rPr>
        <w:t>International Meetings Management for the Hotel Industry</w:t>
      </w:r>
      <w:r w:rsidR="003929DE">
        <w:rPr>
          <w:rFonts w:ascii="Arial" w:hAnsi="Arial" w:cs="Arial"/>
          <w:b/>
          <w:bCs/>
          <w:sz w:val="36"/>
          <w:szCs w:val="36"/>
        </w:rPr>
        <w:t xml:space="preserve"> (BMIH6007)</w:t>
      </w:r>
      <w:r w:rsidRPr="00397B49">
        <w:rPr>
          <w:rFonts w:ascii="Arial" w:hAnsi="Arial" w:cs="Arial"/>
          <w:b/>
          <w:bCs/>
          <w:sz w:val="36"/>
          <w:szCs w:val="36"/>
          <w:lang w:val="en-US"/>
        </w:rPr>
        <w:br/>
        <w:t>Lecturer’s Name</w:t>
      </w:r>
      <w:r w:rsidR="00397B49">
        <w:rPr>
          <w:rFonts w:ascii="Arial" w:hAnsi="Arial" w:cs="Arial"/>
          <w:b/>
          <w:bCs/>
          <w:sz w:val="36"/>
          <w:szCs w:val="36"/>
          <w:lang w:val="en-US"/>
        </w:rPr>
        <w:t>:</w:t>
      </w:r>
      <w:r w:rsidR="003929DE">
        <w:rPr>
          <w:rFonts w:ascii="Arial" w:hAnsi="Arial" w:cs="Arial"/>
          <w:b/>
          <w:bCs/>
          <w:sz w:val="36"/>
          <w:szCs w:val="36"/>
          <w:lang w:val="en-US"/>
        </w:rPr>
        <w:t xml:space="preserve"> Chris Wilkin</w:t>
      </w:r>
    </w:p>
    <w:p w14:paraId="6828AE03" w14:textId="42C75D0C" w:rsidR="00397B49" w:rsidRPr="00397B49" w:rsidRDefault="00397B49" w:rsidP="00397B49">
      <w:pPr>
        <w:spacing w:after="0" w:line="360" w:lineRule="auto"/>
        <w:rPr>
          <w:rFonts w:ascii="Arial" w:hAnsi="Arial" w:cs="Arial"/>
          <w:b/>
          <w:bCs/>
          <w:sz w:val="36"/>
          <w:szCs w:val="36"/>
          <w:lang w:val="en-US"/>
        </w:rPr>
      </w:pPr>
      <w:r>
        <w:rPr>
          <w:rFonts w:ascii="Arial" w:hAnsi="Arial" w:cs="Arial"/>
          <w:b/>
          <w:bCs/>
          <w:sz w:val="36"/>
          <w:szCs w:val="36"/>
          <w:lang w:val="en-US"/>
        </w:rPr>
        <w:t>Word count:</w:t>
      </w:r>
      <w:r w:rsidR="003929DE">
        <w:rPr>
          <w:rFonts w:ascii="Arial" w:hAnsi="Arial" w:cs="Arial"/>
          <w:b/>
          <w:bCs/>
          <w:sz w:val="36"/>
          <w:szCs w:val="36"/>
          <w:lang w:val="en-US"/>
        </w:rPr>
        <w:t xml:space="preserve"> 246</w:t>
      </w:r>
      <w:r w:rsidR="00147FB1">
        <w:rPr>
          <w:rFonts w:ascii="Arial" w:hAnsi="Arial" w:cs="Arial"/>
          <w:b/>
          <w:bCs/>
          <w:sz w:val="36"/>
          <w:szCs w:val="36"/>
          <w:lang w:val="en-US"/>
        </w:rPr>
        <w:t>7</w:t>
      </w:r>
      <w:r w:rsidR="003929DE">
        <w:rPr>
          <w:rFonts w:ascii="Arial" w:hAnsi="Arial" w:cs="Arial"/>
          <w:b/>
          <w:bCs/>
          <w:sz w:val="36"/>
          <w:szCs w:val="36"/>
          <w:lang w:val="en-US"/>
        </w:rPr>
        <w:t xml:space="preserve"> words</w:t>
      </w:r>
    </w:p>
    <w:p w14:paraId="7F4A6B49" w14:textId="77777777" w:rsidR="00254ECC" w:rsidRDefault="00254ECC" w:rsidP="00254ECC">
      <w:pPr>
        <w:rPr>
          <w:lang w:val="en-US"/>
        </w:rPr>
      </w:pPr>
    </w:p>
    <w:p w14:paraId="0C0B98C5" w14:textId="77777777" w:rsidR="00FE362C" w:rsidRPr="00954387" w:rsidRDefault="00FE362C" w:rsidP="00FE362C">
      <w:pPr>
        <w:rPr>
          <w:rFonts w:ascii="Arial" w:hAnsi="Arial" w:cs="Arial"/>
          <w:b/>
          <w:bCs/>
          <w:sz w:val="24"/>
          <w:szCs w:val="24"/>
        </w:rPr>
      </w:pPr>
      <w:r w:rsidRPr="00954387">
        <w:rPr>
          <w:rFonts w:ascii="Arial" w:hAnsi="Arial" w:cs="Arial"/>
          <w:b/>
          <w:bCs/>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8064E81" w14:textId="77777777" w:rsidR="00254ECC" w:rsidRPr="00254ECC" w:rsidRDefault="00254ECC" w:rsidP="00254ECC"/>
    <w:p w14:paraId="22B7B24C" w14:textId="77777777" w:rsidR="00077950" w:rsidRPr="00954387" w:rsidRDefault="00077950" w:rsidP="00254ECC">
      <w:pPr>
        <w:spacing w:line="360" w:lineRule="auto"/>
        <w:rPr>
          <w:rFonts w:ascii="Arial" w:hAnsi="Arial" w:cs="Arial"/>
          <w:b/>
          <w:sz w:val="32"/>
          <w:szCs w:val="32"/>
          <w:lang w:val="en-US"/>
        </w:rPr>
      </w:pPr>
      <w:r w:rsidRPr="00954387">
        <w:rPr>
          <w:rFonts w:ascii="Arial" w:hAnsi="Arial" w:cs="Arial"/>
          <w:b/>
          <w:sz w:val="32"/>
          <w:szCs w:val="32"/>
          <w:lang w:val="en-US"/>
        </w:rPr>
        <w:t>Executive Summary</w:t>
      </w:r>
    </w:p>
    <w:p w14:paraId="6D081FE0" w14:textId="5B9B31E9" w:rsidR="00523DF5" w:rsidRDefault="00760CA1" w:rsidP="00760CA1">
      <w:pPr>
        <w:spacing w:line="360" w:lineRule="auto"/>
        <w:rPr>
          <w:rFonts w:ascii="Arial" w:hAnsi="Arial" w:cs="Arial"/>
          <w:sz w:val="24"/>
          <w:szCs w:val="24"/>
        </w:rPr>
      </w:pPr>
      <w:r w:rsidRPr="00760CA1">
        <w:rPr>
          <w:rFonts w:ascii="Arial" w:hAnsi="Arial" w:cs="Arial"/>
          <w:sz w:val="24"/>
          <w:szCs w:val="24"/>
        </w:rPr>
        <w:t xml:space="preserve">This report outlines the planning and delivery of an international event focused on promoting neurodiversity in the hospitality industry. </w:t>
      </w:r>
      <w:r w:rsidRPr="00760CA1">
        <w:rPr>
          <w:rFonts w:ascii="Arial" w:hAnsi="Arial" w:cs="Arial"/>
          <w:sz w:val="24"/>
          <w:szCs w:val="24"/>
          <w:lang w:val="en-US"/>
        </w:rPr>
        <w:t xml:space="preserve">The major goal of this event is to highlight a significant issue that has been noticed in the hospitality industry, </w:t>
      </w:r>
      <w:r w:rsidRPr="00760CA1">
        <w:rPr>
          <w:rFonts w:ascii="Arial" w:hAnsi="Arial" w:cs="Arial"/>
          <w:sz w:val="24"/>
          <w:szCs w:val="24"/>
        </w:rPr>
        <w:t>which is the discrimination</w:t>
      </w:r>
      <w:r w:rsidRPr="00760CA1">
        <w:rPr>
          <w:rFonts w:ascii="Arial" w:hAnsi="Arial" w:cs="Arial"/>
          <w:sz w:val="24"/>
          <w:szCs w:val="24"/>
          <w:lang w:val="en-US"/>
        </w:rPr>
        <w:t xml:space="preserve"> of </w:t>
      </w:r>
      <w:proofErr w:type="gramStart"/>
      <w:r w:rsidRPr="00760CA1">
        <w:rPr>
          <w:rFonts w:ascii="Arial" w:hAnsi="Arial" w:cs="Arial"/>
          <w:sz w:val="24"/>
          <w:szCs w:val="24"/>
          <w:lang w:val="en-US"/>
        </w:rPr>
        <w:t>the neurodivergent</w:t>
      </w:r>
      <w:proofErr w:type="gramEnd"/>
      <w:r w:rsidRPr="00760CA1">
        <w:rPr>
          <w:rFonts w:ascii="Arial" w:hAnsi="Arial" w:cs="Arial"/>
          <w:sz w:val="24"/>
          <w:szCs w:val="24"/>
          <w:lang w:val="en-US"/>
        </w:rPr>
        <w:t xml:space="preserve"> individuals, raising a major impact to the progress. </w:t>
      </w:r>
      <w:r w:rsidRPr="00760CA1">
        <w:rPr>
          <w:rFonts w:ascii="Arial" w:hAnsi="Arial" w:cs="Arial"/>
          <w:sz w:val="24"/>
          <w:szCs w:val="24"/>
        </w:rPr>
        <w:t>Recognizing the untapped potential of neurodivergent individuals, including those with autism, ADHD, dyslexia</w:t>
      </w:r>
      <w:r>
        <w:rPr>
          <w:rFonts w:ascii="Arial" w:hAnsi="Arial" w:cs="Arial"/>
          <w:sz w:val="24"/>
          <w:szCs w:val="24"/>
        </w:rPr>
        <w:t xml:space="preserve"> and others</w:t>
      </w:r>
      <w:r w:rsidRPr="00760CA1">
        <w:rPr>
          <w:rFonts w:ascii="Arial" w:hAnsi="Arial" w:cs="Arial"/>
          <w:sz w:val="24"/>
          <w:szCs w:val="24"/>
        </w:rPr>
        <w:t>, the event seeks to foster inclusion and innovation within the sector. Set at The Queen Elizabeth II Centre in London</w:t>
      </w:r>
      <w:r>
        <w:rPr>
          <w:rFonts w:ascii="Arial" w:hAnsi="Arial" w:cs="Arial"/>
          <w:sz w:val="24"/>
          <w:szCs w:val="24"/>
        </w:rPr>
        <w:t>, in May 2025</w:t>
      </w:r>
      <w:r w:rsidRPr="00760CA1">
        <w:rPr>
          <w:rFonts w:ascii="Arial" w:hAnsi="Arial" w:cs="Arial"/>
          <w:sz w:val="24"/>
          <w:szCs w:val="24"/>
        </w:rPr>
        <w:t>, the conference aligns with the UK’s Equality Act 2010, ensuring accessibility and inclusivity. The event will feature keynote speeches, panel discussions, and workshops aimed at raising awareness and equipping attendees with practical strategies for inclusive recruitment and workplace accommodation. A dedicated networking session will foster long-term partnerships and industry collaboration. Marketing efforts will utilize social media and targeted campaigns to engage a diverse audience, particularly small and medium-sized enterprises (SMEs). Financially, the event is projected to generate £25,000 through ticket sales and sponsorship, with £22,000 allocated to venue costs, accessibility enhancements, and marketing, ensuring a surplus for future initiatives. The operational strategy follows the EMBOK model, incorporating risk assessments, contingency planning, and resource management to ensure seamless execution. In line with industry trends emphasizing inclusivity, sustainability, and technological innovation, the event aims to address systemic barriers and promote equitable opportunities for neurodivergent individuals. Through expert insights, practical resources, and meaningful networking opportunities, the event seeks to drive cultural change, fostering a more diverse, equitable, and successful hospitality sector.</w:t>
      </w:r>
    </w:p>
    <w:p w14:paraId="44CD78D1" w14:textId="77777777" w:rsidR="00760CA1" w:rsidRDefault="00760CA1" w:rsidP="00760CA1">
      <w:pPr>
        <w:spacing w:line="360" w:lineRule="auto"/>
        <w:rPr>
          <w:rFonts w:ascii="Arial" w:hAnsi="Arial" w:cs="Arial"/>
          <w:sz w:val="24"/>
          <w:szCs w:val="24"/>
        </w:rPr>
      </w:pPr>
    </w:p>
    <w:p w14:paraId="45AB9D16" w14:textId="77777777" w:rsidR="00760CA1" w:rsidRDefault="00760CA1" w:rsidP="00760CA1">
      <w:pPr>
        <w:spacing w:line="360" w:lineRule="auto"/>
        <w:rPr>
          <w:rFonts w:ascii="Arial" w:hAnsi="Arial" w:cs="Arial"/>
          <w:sz w:val="24"/>
          <w:szCs w:val="24"/>
        </w:rPr>
      </w:pPr>
    </w:p>
    <w:p w14:paraId="5CEACD2C" w14:textId="77777777" w:rsidR="00760CA1" w:rsidRPr="00760CA1" w:rsidRDefault="00760CA1" w:rsidP="00760CA1">
      <w:pPr>
        <w:spacing w:line="360" w:lineRule="auto"/>
        <w:rPr>
          <w:rFonts w:ascii="Arial" w:hAnsi="Arial" w:cs="Arial"/>
          <w:sz w:val="24"/>
          <w:szCs w:val="24"/>
        </w:rPr>
      </w:pPr>
    </w:p>
    <w:p w14:paraId="382C72AE" w14:textId="77777777" w:rsidR="00F5079C" w:rsidRDefault="00F5079C" w:rsidP="00F5079C">
      <w:pPr>
        <w:rPr>
          <w:lang w:val="en-US"/>
        </w:rPr>
      </w:pPr>
    </w:p>
    <w:p w14:paraId="35DE1D03" w14:textId="0FC9FBC4" w:rsidR="00F5079C" w:rsidRPr="00760CA1" w:rsidRDefault="00F5079C" w:rsidP="00F5079C">
      <w:pPr>
        <w:rPr>
          <w:rFonts w:ascii="Arial" w:hAnsi="Arial" w:cs="Arial"/>
          <w:b/>
          <w:bCs/>
          <w:sz w:val="32"/>
          <w:szCs w:val="32"/>
          <w:lang w:val="en-US"/>
        </w:rPr>
      </w:pPr>
      <w:r w:rsidRPr="00760CA1">
        <w:rPr>
          <w:rFonts w:ascii="Arial" w:hAnsi="Arial" w:cs="Arial"/>
          <w:b/>
          <w:bCs/>
          <w:sz w:val="32"/>
          <w:szCs w:val="32"/>
          <w:lang w:val="en-US"/>
        </w:rPr>
        <w:t>Table of content:</w:t>
      </w:r>
    </w:p>
    <w:p w14:paraId="76B9F105" w14:textId="636FA81D" w:rsidR="00F5079C" w:rsidRDefault="00F5079C" w:rsidP="00F5079C">
      <w:pPr>
        <w:rPr>
          <w:rFonts w:ascii="Arial" w:hAnsi="Arial" w:cs="Arial"/>
          <w:sz w:val="32"/>
          <w:szCs w:val="32"/>
          <w:lang w:val="en-US"/>
        </w:rPr>
      </w:pPr>
      <w:r>
        <w:rPr>
          <w:rFonts w:ascii="Arial" w:hAnsi="Arial" w:cs="Arial"/>
          <w:sz w:val="32"/>
          <w:szCs w:val="32"/>
          <w:lang w:val="en-US"/>
        </w:rPr>
        <w:t>Introduction……………………………………………………4</w:t>
      </w:r>
    </w:p>
    <w:p w14:paraId="5A9582B9" w14:textId="412DF56D" w:rsidR="00F5079C" w:rsidRDefault="00F5079C" w:rsidP="00F5079C">
      <w:pPr>
        <w:rPr>
          <w:rFonts w:ascii="Arial" w:hAnsi="Arial" w:cs="Arial"/>
          <w:sz w:val="32"/>
          <w:szCs w:val="32"/>
          <w:lang w:val="en-US"/>
        </w:rPr>
      </w:pPr>
      <w:r>
        <w:rPr>
          <w:rFonts w:ascii="Arial" w:hAnsi="Arial" w:cs="Arial"/>
          <w:sz w:val="32"/>
          <w:szCs w:val="32"/>
          <w:lang w:val="en-US"/>
        </w:rPr>
        <w:t>The Event Cycle………………………………………………5</w:t>
      </w:r>
    </w:p>
    <w:p w14:paraId="31AAAA37" w14:textId="1F87EAB5" w:rsidR="00F5079C" w:rsidRDefault="00F5079C" w:rsidP="00F5079C">
      <w:pPr>
        <w:rPr>
          <w:rFonts w:ascii="Arial" w:hAnsi="Arial" w:cs="Arial"/>
          <w:sz w:val="32"/>
          <w:szCs w:val="32"/>
          <w:lang w:val="en-US"/>
        </w:rPr>
      </w:pPr>
      <w:r>
        <w:rPr>
          <w:rFonts w:ascii="Arial" w:hAnsi="Arial" w:cs="Arial"/>
          <w:sz w:val="32"/>
          <w:szCs w:val="32"/>
          <w:lang w:val="en-US"/>
        </w:rPr>
        <w:t>Event Concept………………………………………………...</w:t>
      </w:r>
      <w:r w:rsidR="00F94D55">
        <w:rPr>
          <w:rFonts w:ascii="Arial" w:hAnsi="Arial" w:cs="Arial"/>
          <w:sz w:val="32"/>
          <w:szCs w:val="32"/>
          <w:lang w:val="en-US"/>
        </w:rPr>
        <w:t>7</w:t>
      </w:r>
    </w:p>
    <w:p w14:paraId="186DD90B" w14:textId="16196357" w:rsidR="00F5079C" w:rsidRDefault="00F5079C" w:rsidP="00F5079C">
      <w:pPr>
        <w:rPr>
          <w:rFonts w:ascii="Arial" w:hAnsi="Arial" w:cs="Arial"/>
          <w:sz w:val="32"/>
          <w:szCs w:val="32"/>
          <w:lang w:val="en-US"/>
        </w:rPr>
      </w:pPr>
      <w:r>
        <w:rPr>
          <w:rFonts w:ascii="Arial" w:hAnsi="Arial" w:cs="Arial"/>
          <w:sz w:val="32"/>
          <w:szCs w:val="32"/>
          <w:lang w:val="en-US"/>
        </w:rPr>
        <w:t>Aim and Objectives…………………………………………...</w:t>
      </w:r>
      <w:r w:rsidR="00F94D55">
        <w:rPr>
          <w:rFonts w:ascii="Arial" w:hAnsi="Arial" w:cs="Arial"/>
          <w:sz w:val="32"/>
          <w:szCs w:val="32"/>
          <w:lang w:val="en-US"/>
        </w:rPr>
        <w:t>8</w:t>
      </w:r>
    </w:p>
    <w:p w14:paraId="378905B5" w14:textId="6444D5A0" w:rsidR="00F5079C" w:rsidRDefault="00F5079C" w:rsidP="00F5079C">
      <w:pPr>
        <w:rPr>
          <w:rFonts w:ascii="Arial" w:hAnsi="Arial" w:cs="Arial"/>
          <w:sz w:val="32"/>
          <w:szCs w:val="32"/>
          <w:lang w:val="en-US"/>
        </w:rPr>
      </w:pPr>
      <w:r>
        <w:rPr>
          <w:rFonts w:ascii="Arial" w:hAnsi="Arial" w:cs="Arial"/>
          <w:sz w:val="32"/>
          <w:szCs w:val="32"/>
          <w:lang w:val="en-US"/>
        </w:rPr>
        <w:t>Event Management…………………………………………...8</w:t>
      </w:r>
    </w:p>
    <w:p w14:paraId="5EC6C6C9" w14:textId="3A74BBB0" w:rsidR="00F5079C" w:rsidRDefault="00F5079C" w:rsidP="00F5079C">
      <w:pPr>
        <w:rPr>
          <w:rFonts w:ascii="Arial" w:hAnsi="Arial" w:cs="Arial"/>
          <w:sz w:val="32"/>
          <w:szCs w:val="32"/>
          <w:lang w:val="en-US"/>
        </w:rPr>
      </w:pPr>
      <w:r>
        <w:rPr>
          <w:rFonts w:ascii="Arial" w:hAnsi="Arial" w:cs="Arial"/>
          <w:sz w:val="32"/>
          <w:szCs w:val="32"/>
          <w:lang w:val="en-US"/>
        </w:rPr>
        <w:t>Event Budget…………………………………………………1</w:t>
      </w:r>
      <w:r w:rsidR="00F94D55">
        <w:rPr>
          <w:rFonts w:ascii="Arial" w:hAnsi="Arial" w:cs="Arial"/>
          <w:sz w:val="32"/>
          <w:szCs w:val="32"/>
          <w:lang w:val="en-US"/>
        </w:rPr>
        <w:t>1</w:t>
      </w:r>
    </w:p>
    <w:p w14:paraId="78F19E6A" w14:textId="25C3DF2A" w:rsidR="00F5079C" w:rsidRDefault="00F5079C" w:rsidP="00F5079C">
      <w:pPr>
        <w:rPr>
          <w:rFonts w:ascii="Arial" w:hAnsi="Arial" w:cs="Arial"/>
          <w:sz w:val="32"/>
          <w:szCs w:val="32"/>
          <w:lang w:val="en-US"/>
        </w:rPr>
      </w:pPr>
      <w:r>
        <w:rPr>
          <w:rFonts w:ascii="Arial" w:hAnsi="Arial" w:cs="Arial"/>
          <w:sz w:val="32"/>
          <w:szCs w:val="32"/>
          <w:lang w:val="en-US"/>
        </w:rPr>
        <w:t xml:space="preserve">   Marketing Strategy………………………………………...11</w:t>
      </w:r>
    </w:p>
    <w:p w14:paraId="641B8654" w14:textId="3618FFD1" w:rsidR="00F5079C" w:rsidRDefault="00F5079C" w:rsidP="00F5079C">
      <w:pPr>
        <w:rPr>
          <w:rFonts w:ascii="Arial" w:hAnsi="Arial" w:cs="Arial"/>
          <w:sz w:val="32"/>
          <w:szCs w:val="32"/>
          <w:lang w:val="en-US"/>
        </w:rPr>
      </w:pPr>
      <w:r>
        <w:rPr>
          <w:rFonts w:ascii="Arial" w:hAnsi="Arial" w:cs="Arial"/>
          <w:sz w:val="32"/>
          <w:szCs w:val="32"/>
          <w:lang w:val="en-US"/>
        </w:rPr>
        <w:t xml:space="preserve">   Operations Plan……………………………………………1</w:t>
      </w:r>
      <w:r w:rsidR="0050347D">
        <w:rPr>
          <w:rFonts w:ascii="Arial" w:hAnsi="Arial" w:cs="Arial"/>
          <w:sz w:val="32"/>
          <w:szCs w:val="32"/>
          <w:lang w:val="en-US"/>
        </w:rPr>
        <w:t>2</w:t>
      </w:r>
    </w:p>
    <w:p w14:paraId="1313336D" w14:textId="0B0747EE" w:rsidR="00523DF5" w:rsidRDefault="00F5079C" w:rsidP="00F5079C">
      <w:pPr>
        <w:rPr>
          <w:rFonts w:ascii="Arial" w:hAnsi="Arial" w:cs="Arial"/>
          <w:sz w:val="32"/>
          <w:szCs w:val="32"/>
          <w:lang w:val="en-US"/>
        </w:rPr>
      </w:pPr>
      <w:r>
        <w:rPr>
          <w:rFonts w:ascii="Arial" w:hAnsi="Arial" w:cs="Arial"/>
          <w:sz w:val="32"/>
          <w:szCs w:val="32"/>
          <w:lang w:val="en-US"/>
        </w:rPr>
        <w:t>Industry Trends, Issues and Impacts………………………12</w:t>
      </w:r>
    </w:p>
    <w:p w14:paraId="2B81478D" w14:textId="337E94C9" w:rsidR="00F5079C" w:rsidRDefault="00F5079C" w:rsidP="00F5079C">
      <w:pPr>
        <w:rPr>
          <w:rFonts w:ascii="Arial" w:hAnsi="Arial" w:cs="Arial"/>
          <w:sz w:val="32"/>
          <w:szCs w:val="32"/>
          <w:lang w:val="en-US"/>
        </w:rPr>
      </w:pPr>
      <w:r>
        <w:rPr>
          <w:rFonts w:ascii="Arial" w:hAnsi="Arial" w:cs="Arial"/>
          <w:sz w:val="32"/>
          <w:szCs w:val="32"/>
          <w:lang w:val="en-US"/>
        </w:rPr>
        <w:t>Situational and Cultural Considerations………………...…1</w:t>
      </w:r>
      <w:r w:rsidR="0050347D">
        <w:rPr>
          <w:rFonts w:ascii="Arial" w:hAnsi="Arial" w:cs="Arial"/>
          <w:sz w:val="32"/>
          <w:szCs w:val="32"/>
          <w:lang w:val="en-US"/>
        </w:rPr>
        <w:t>3</w:t>
      </w:r>
    </w:p>
    <w:p w14:paraId="15D10FE3" w14:textId="28F80D52" w:rsidR="00F5079C" w:rsidRDefault="00F5079C" w:rsidP="00F5079C">
      <w:pPr>
        <w:rPr>
          <w:rFonts w:ascii="Arial" w:hAnsi="Arial" w:cs="Arial"/>
          <w:sz w:val="32"/>
          <w:szCs w:val="32"/>
          <w:lang w:val="en-US"/>
        </w:rPr>
      </w:pPr>
      <w:r>
        <w:rPr>
          <w:rFonts w:ascii="Arial" w:hAnsi="Arial" w:cs="Arial"/>
          <w:sz w:val="32"/>
          <w:szCs w:val="32"/>
          <w:lang w:val="en-US"/>
        </w:rPr>
        <w:t xml:space="preserve">    PESTEL Analysis………………………………………….1</w:t>
      </w:r>
      <w:r w:rsidR="0050347D">
        <w:rPr>
          <w:rFonts w:ascii="Arial" w:hAnsi="Arial" w:cs="Arial"/>
          <w:sz w:val="32"/>
          <w:szCs w:val="32"/>
          <w:lang w:val="en-US"/>
        </w:rPr>
        <w:t>3</w:t>
      </w:r>
    </w:p>
    <w:p w14:paraId="43C649D2" w14:textId="68A8CA9B" w:rsidR="00F5079C" w:rsidRDefault="00F5079C" w:rsidP="00F5079C">
      <w:pPr>
        <w:rPr>
          <w:rFonts w:ascii="Arial" w:hAnsi="Arial" w:cs="Arial"/>
          <w:sz w:val="32"/>
          <w:szCs w:val="32"/>
          <w:lang w:val="en-US"/>
        </w:rPr>
      </w:pPr>
      <w:r>
        <w:rPr>
          <w:rFonts w:ascii="Arial" w:hAnsi="Arial" w:cs="Arial"/>
          <w:sz w:val="32"/>
          <w:szCs w:val="32"/>
          <w:lang w:val="en-US"/>
        </w:rPr>
        <w:t>Conclusion…………………………………………………….1</w:t>
      </w:r>
      <w:r w:rsidR="0050347D">
        <w:rPr>
          <w:rFonts w:ascii="Arial" w:hAnsi="Arial" w:cs="Arial"/>
          <w:sz w:val="32"/>
          <w:szCs w:val="32"/>
          <w:lang w:val="en-US"/>
        </w:rPr>
        <w:t>3</w:t>
      </w:r>
    </w:p>
    <w:p w14:paraId="2D0C97A7" w14:textId="52F0B46A" w:rsidR="00F5079C" w:rsidRPr="00F5079C" w:rsidRDefault="00F5079C" w:rsidP="00F5079C">
      <w:pPr>
        <w:rPr>
          <w:rFonts w:ascii="Arial" w:hAnsi="Arial" w:cs="Arial"/>
          <w:sz w:val="32"/>
          <w:szCs w:val="32"/>
          <w:lang w:val="en-US"/>
        </w:rPr>
      </w:pPr>
      <w:r>
        <w:rPr>
          <w:rFonts w:ascii="Arial" w:hAnsi="Arial" w:cs="Arial"/>
          <w:sz w:val="32"/>
          <w:szCs w:val="32"/>
          <w:lang w:val="en-US"/>
        </w:rPr>
        <w:t>References……………………………………………………1</w:t>
      </w:r>
      <w:r w:rsidR="0050347D">
        <w:rPr>
          <w:rFonts w:ascii="Arial" w:hAnsi="Arial" w:cs="Arial"/>
          <w:sz w:val="32"/>
          <w:szCs w:val="32"/>
          <w:lang w:val="en-US"/>
        </w:rPr>
        <w:t>4</w:t>
      </w:r>
    </w:p>
    <w:p w14:paraId="7AE7D553" w14:textId="77777777" w:rsidR="00523DF5" w:rsidRDefault="00523DF5" w:rsidP="00254ECC">
      <w:pPr>
        <w:spacing w:line="360" w:lineRule="auto"/>
        <w:rPr>
          <w:rFonts w:ascii="Arial" w:hAnsi="Arial" w:cs="Arial"/>
          <w:sz w:val="24"/>
          <w:szCs w:val="24"/>
          <w:lang w:val="en-US"/>
        </w:rPr>
      </w:pPr>
    </w:p>
    <w:p w14:paraId="4D8A1E71" w14:textId="77777777" w:rsidR="00523DF5" w:rsidRDefault="00523DF5" w:rsidP="00254ECC">
      <w:pPr>
        <w:spacing w:line="360" w:lineRule="auto"/>
        <w:rPr>
          <w:rFonts w:ascii="Arial" w:hAnsi="Arial" w:cs="Arial"/>
          <w:sz w:val="24"/>
          <w:szCs w:val="24"/>
          <w:lang w:val="en-US"/>
        </w:rPr>
      </w:pPr>
    </w:p>
    <w:p w14:paraId="1E72F98B" w14:textId="77777777" w:rsidR="00523DF5" w:rsidRDefault="00523DF5" w:rsidP="00254ECC">
      <w:pPr>
        <w:spacing w:line="360" w:lineRule="auto"/>
        <w:rPr>
          <w:rFonts w:ascii="Arial" w:hAnsi="Arial" w:cs="Arial"/>
          <w:sz w:val="24"/>
          <w:szCs w:val="24"/>
          <w:lang w:val="en-US"/>
        </w:rPr>
      </w:pPr>
    </w:p>
    <w:p w14:paraId="02FD3D31" w14:textId="77777777" w:rsidR="00523DF5" w:rsidRDefault="00523DF5" w:rsidP="00254ECC">
      <w:pPr>
        <w:spacing w:line="360" w:lineRule="auto"/>
        <w:rPr>
          <w:rFonts w:ascii="Arial" w:hAnsi="Arial" w:cs="Arial"/>
          <w:sz w:val="24"/>
          <w:szCs w:val="24"/>
          <w:lang w:val="en-US"/>
        </w:rPr>
      </w:pPr>
    </w:p>
    <w:p w14:paraId="3C63BF07" w14:textId="77777777" w:rsidR="00523DF5" w:rsidRDefault="00523DF5" w:rsidP="00254ECC">
      <w:pPr>
        <w:spacing w:line="360" w:lineRule="auto"/>
        <w:rPr>
          <w:rFonts w:ascii="Arial" w:hAnsi="Arial" w:cs="Arial"/>
          <w:sz w:val="24"/>
          <w:szCs w:val="24"/>
          <w:lang w:val="en-US"/>
        </w:rPr>
      </w:pPr>
    </w:p>
    <w:p w14:paraId="0FD0B891" w14:textId="77777777" w:rsidR="00523DF5" w:rsidRDefault="00523DF5" w:rsidP="00254ECC">
      <w:pPr>
        <w:spacing w:line="360" w:lineRule="auto"/>
        <w:rPr>
          <w:rFonts w:ascii="Arial" w:hAnsi="Arial" w:cs="Arial"/>
          <w:sz w:val="24"/>
          <w:szCs w:val="24"/>
          <w:lang w:val="en-US"/>
        </w:rPr>
      </w:pPr>
    </w:p>
    <w:p w14:paraId="61167001" w14:textId="77777777" w:rsidR="00523DF5" w:rsidRDefault="00523DF5" w:rsidP="00254ECC">
      <w:pPr>
        <w:spacing w:line="360" w:lineRule="auto"/>
        <w:rPr>
          <w:rFonts w:ascii="Arial" w:hAnsi="Arial" w:cs="Arial"/>
          <w:sz w:val="24"/>
          <w:szCs w:val="24"/>
          <w:lang w:val="en-US"/>
        </w:rPr>
      </w:pPr>
    </w:p>
    <w:p w14:paraId="3D4B90D0" w14:textId="77777777" w:rsidR="00523DF5" w:rsidRDefault="00523DF5" w:rsidP="00254ECC">
      <w:pPr>
        <w:spacing w:line="360" w:lineRule="auto"/>
        <w:rPr>
          <w:rFonts w:ascii="Arial" w:hAnsi="Arial" w:cs="Arial"/>
          <w:sz w:val="24"/>
          <w:szCs w:val="24"/>
          <w:lang w:val="en-US"/>
        </w:rPr>
      </w:pPr>
    </w:p>
    <w:p w14:paraId="5F23B7C0" w14:textId="77777777" w:rsidR="00760CA1" w:rsidRDefault="00760CA1" w:rsidP="00254ECC">
      <w:pPr>
        <w:rPr>
          <w:b/>
          <w:lang w:val="en-US"/>
        </w:rPr>
      </w:pPr>
    </w:p>
    <w:p w14:paraId="3F0F032E" w14:textId="77777777" w:rsidR="00077950" w:rsidRDefault="00077950" w:rsidP="00254ECC">
      <w:pPr>
        <w:spacing w:line="360" w:lineRule="auto"/>
        <w:rPr>
          <w:rFonts w:ascii="Arial" w:hAnsi="Arial" w:cs="Arial"/>
          <w:b/>
          <w:bCs/>
          <w:sz w:val="32"/>
          <w:szCs w:val="32"/>
          <w:lang w:val="en-US"/>
        </w:rPr>
      </w:pPr>
      <w:r w:rsidRPr="00077950">
        <w:rPr>
          <w:rFonts w:ascii="Arial" w:hAnsi="Arial" w:cs="Arial"/>
          <w:b/>
          <w:bCs/>
          <w:sz w:val="32"/>
          <w:szCs w:val="32"/>
          <w:lang w:val="en-US"/>
        </w:rPr>
        <w:lastRenderedPageBreak/>
        <w:t>I</w:t>
      </w:r>
      <w:r>
        <w:rPr>
          <w:rFonts w:ascii="Arial" w:hAnsi="Arial" w:cs="Arial"/>
          <w:b/>
          <w:bCs/>
          <w:sz w:val="32"/>
          <w:szCs w:val="32"/>
          <w:lang w:val="en-US"/>
        </w:rPr>
        <w:t>n</w:t>
      </w:r>
      <w:r w:rsidRPr="00077950">
        <w:rPr>
          <w:rFonts w:ascii="Arial" w:hAnsi="Arial" w:cs="Arial"/>
          <w:b/>
          <w:bCs/>
          <w:sz w:val="32"/>
          <w:szCs w:val="32"/>
          <w:lang w:val="en-US"/>
        </w:rPr>
        <w:t>troduction</w:t>
      </w:r>
      <w:r w:rsidR="00254ECC" w:rsidRPr="00254ECC">
        <w:rPr>
          <w:rFonts w:ascii="Arial" w:hAnsi="Arial" w:cs="Arial"/>
          <w:b/>
          <w:bCs/>
          <w:sz w:val="32"/>
          <w:szCs w:val="32"/>
          <w:lang w:val="en-US"/>
        </w:rPr>
        <w:tab/>
      </w:r>
    </w:p>
    <w:p w14:paraId="32A16D0C" w14:textId="365A208F" w:rsidR="00760CA1" w:rsidRDefault="00E71766" w:rsidP="00760CA1">
      <w:pPr>
        <w:spacing w:line="360" w:lineRule="auto"/>
        <w:rPr>
          <w:rFonts w:ascii="Arial" w:hAnsi="Arial" w:cs="Arial"/>
          <w:sz w:val="24"/>
          <w:szCs w:val="24"/>
        </w:rPr>
      </w:pPr>
      <w:r w:rsidRPr="005A5B15">
        <w:rPr>
          <w:rFonts w:ascii="Arial" w:hAnsi="Arial" w:cs="Arial"/>
          <w:sz w:val="24"/>
          <w:szCs w:val="24"/>
        </w:rPr>
        <w:t>I</w:t>
      </w:r>
      <w:r w:rsidRPr="00E71766">
        <w:rPr>
          <w:rFonts w:ascii="Arial" w:hAnsi="Arial" w:cs="Arial"/>
          <w:sz w:val="24"/>
          <w:szCs w:val="24"/>
        </w:rPr>
        <w:t xml:space="preserve">n the current hospitality landscape, there are numerous instances of issues that need to be checked and placed in the right perspective. In this case, the report focuses on the inclusion of neurodiversity in the hospitality sector. Despite growing awareness of diversity and inclusion </w:t>
      </w:r>
      <w:r w:rsidR="00623D93" w:rsidRPr="00623D93">
        <w:rPr>
          <w:rFonts w:ascii="Arial" w:hAnsi="Arial" w:cs="Arial"/>
          <w:sz w:val="24"/>
          <w:szCs w:val="24"/>
        </w:rPr>
        <w:t>(Bello and Bello, 2024)</w:t>
      </w:r>
      <w:r w:rsidR="00623D93">
        <w:rPr>
          <w:rFonts w:ascii="Arial" w:hAnsi="Arial" w:cs="Arial"/>
          <w:sz w:val="24"/>
          <w:szCs w:val="24"/>
        </w:rPr>
        <w:t xml:space="preserve">, </w:t>
      </w:r>
      <w:r w:rsidRPr="00E71766">
        <w:rPr>
          <w:rFonts w:ascii="Arial" w:hAnsi="Arial" w:cs="Arial"/>
          <w:sz w:val="24"/>
          <w:szCs w:val="24"/>
        </w:rPr>
        <w:t>neurodivergent individuals with autism, ADHD, dyslexia, and other cognitive variations remain under-represented in the sector</w:t>
      </w:r>
      <w:r w:rsidR="005A5B15" w:rsidRPr="005A5B15">
        <w:rPr>
          <w:rFonts w:ascii="Arial" w:hAnsi="Arial" w:cs="Arial"/>
          <w:sz w:val="24"/>
          <w:szCs w:val="24"/>
        </w:rPr>
        <w:t>.</w:t>
      </w:r>
      <w:r w:rsidR="007A4343" w:rsidRPr="005A5B15">
        <w:rPr>
          <w:rFonts w:ascii="Arial" w:hAnsi="Arial" w:cs="Arial"/>
          <w:sz w:val="24"/>
          <w:szCs w:val="24"/>
        </w:rPr>
        <w:t xml:space="preserve"> </w:t>
      </w:r>
      <w:r w:rsidR="005A5B15" w:rsidRPr="005A5B15">
        <w:rPr>
          <w:rFonts w:ascii="Arial" w:hAnsi="Arial" w:cs="Arial"/>
          <w:sz w:val="24"/>
          <w:szCs w:val="24"/>
        </w:rPr>
        <w:t>T</w:t>
      </w:r>
      <w:r w:rsidR="007A4343" w:rsidRPr="005A5B15">
        <w:rPr>
          <w:rFonts w:ascii="Arial" w:hAnsi="Arial" w:cs="Arial"/>
          <w:sz w:val="24"/>
          <w:szCs w:val="24"/>
        </w:rPr>
        <w:t xml:space="preserve">hey </w:t>
      </w:r>
      <w:r w:rsidR="007A4343" w:rsidRPr="005A5B15">
        <w:rPr>
          <w:rFonts w:ascii="Arial" w:hAnsi="Arial" w:cs="Arial"/>
          <w:sz w:val="24"/>
          <w:szCs w:val="24"/>
          <w:lang w:val="en-US"/>
        </w:rPr>
        <w:t>often face significant barriers, including recruitment discrimination, lack of accommodation, and limited understanding of their talents</w:t>
      </w:r>
      <w:r w:rsidR="00A6392D" w:rsidRPr="005A5B15">
        <w:rPr>
          <w:rFonts w:ascii="Arial" w:hAnsi="Arial" w:cs="Arial"/>
          <w:sz w:val="24"/>
          <w:szCs w:val="24"/>
          <w:lang w:val="en-US"/>
        </w:rPr>
        <w:t xml:space="preserve"> </w:t>
      </w:r>
      <w:r w:rsidR="00A6392D" w:rsidRPr="005A5B15">
        <w:rPr>
          <w:rFonts w:ascii="Arial" w:hAnsi="Arial" w:cs="Arial"/>
          <w:sz w:val="24"/>
          <w:szCs w:val="24"/>
        </w:rPr>
        <w:t>(Forsdick and Forsdick, 2024)</w:t>
      </w:r>
      <w:r w:rsidR="007A4343" w:rsidRPr="005A5B15">
        <w:rPr>
          <w:rFonts w:ascii="Arial" w:hAnsi="Arial" w:cs="Arial"/>
          <w:sz w:val="24"/>
          <w:szCs w:val="24"/>
          <w:lang w:val="en-US"/>
        </w:rPr>
        <w:t>. This is a lost opportunity for the industry, as neurodivergent individuals bring unique skills such as creative problem-solving, attention to detail, and innovation, which are essential in hospitality</w:t>
      </w:r>
      <w:r w:rsidR="00A6392D" w:rsidRPr="005A5B15">
        <w:rPr>
          <w:rFonts w:ascii="Arial" w:hAnsi="Arial" w:cs="Arial"/>
          <w:sz w:val="24"/>
          <w:szCs w:val="24"/>
          <w:lang w:val="en-US"/>
        </w:rPr>
        <w:t xml:space="preserve"> </w:t>
      </w:r>
      <w:r w:rsidR="00A6392D" w:rsidRPr="005A5B15">
        <w:rPr>
          <w:rFonts w:ascii="Arial" w:hAnsi="Arial" w:cs="Arial"/>
          <w:sz w:val="24"/>
          <w:szCs w:val="24"/>
        </w:rPr>
        <w:t>(HRMorning, 2025)</w:t>
      </w:r>
      <w:r w:rsidR="007A4343" w:rsidRPr="005A5B15">
        <w:rPr>
          <w:rFonts w:ascii="Arial" w:hAnsi="Arial" w:cs="Arial"/>
          <w:sz w:val="24"/>
          <w:szCs w:val="24"/>
          <w:lang w:val="en-US"/>
        </w:rPr>
        <w:t>. Even with these prospective talents, the industry seems not to have appreciated their contributions.</w:t>
      </w:r>
      <w:r w:rsidR="007A4343" w:rsidRPr="005A5B15">
        <w:rPr>
          <w:rFonts w:ascii="Arial" w:hAnsi="Arial" w:cs="Arial"/>
          <w:sz w:val="24"/>
          <w:szCs w:val="24"/>
        </w:rPr>
        <w:t xml:space="preserve"> </w:t>
      </w:r>
      <w:r w:rsidR="00760CA1" w:rsidRPr="005A5B15">
        <w:rPr>
          <w:rFonts w:ascii="Arial" w:hAnsi="Arial" w:cs="Arial"/>
          <w:sz w:val="24"/>
          <w:szCs w:val="24"/>
        </w:rPr>
        <w:t>This event seeks to bridge that gap by promoting inclusive hiring, workplace accommodations, and strategies for leveraging neurodivergent talent to drive innovation and operational efficiency (Jepson, Stadler, &amp; Garrod, 2024). The conference, held at The Queen Elizabeth II Centre in London, aligns with the UK’s Equality Act 2010</w:t>
      </w:r>
      <w:r w:rsidR="007A4343" w:rsidRPr="005A5B15">
        <w:rPr>
          <w:rFonts w:ascii="Arial" w:hAnsi="Arial" w:cs="Arial"/>
          <w:sz w:val="24"/>
          <w:szCs w:val="24"/>
        </w:rPr>
        <w:t xml:space="preserve"> (Nadir et al., 2025)</w:t>
      </w:r>
      <w:r w:rsidR="00760CA1" w:rsidRPr="005A5B15">
        <w:rPr>
          <w:rFonts w:ascii="Arial" w:hAnsi="Arial" w:cs="Arial"/>
          <w:sz w:val="24"/>
          <w:szCs w:val="24"/>
        </w:rPr>
        <w:t xml:space="preserve">, ensuring accessibility and inclusivity. It is designed to be both an awareness-building initiative and a practical forum for stakeholders, including hospitality professionals, HR leaders, and neurodiversity advocates (Tyson, 2025). The event will feature keynote speeches, panel discussions, and workshops, providing attendees with actionable strategies to create inclusive workplaces. It is expected that there will be a session dedicated to the interaction of the professionals in the neurodivergent line, the advocacy groups, and the experts from the hotel industry all geared toward building lasting relationships. A critical component of the event’s planning and execution is the Event Management Body of Knowledge (EMBOK) framework, which ensures a structured approach (Kitchen, 2024). In </w:t>
      </w:r>
      <w:r w:rsidR="005F42B1" w:rsidRPr="005A5B15">
        <w:rPr>
          <w:rFonts w:ascii="Arial" w:hAnsi="Arial" w:cs="Arial"/>
          <w:sz w:val="24"/>
          <w:szCs w:val="24"/>
        </w:rPr>
        <w:t>promoting</w:t>
      </w:r>
      <w:r w:rsidR="00760CA1" w:rsidRPr="005A5B15">
        <w:rPr>
          <w:rFonts w:ascii="Arial" w:hAnsi="Arial" w:cs="Arial"/>
          <w:sz w:val="24"/>
          <w:szCs w:val="24"/>
        </w:rPr>
        <w:t xml:space="preserve"> the inclusivity insights, the event managers will explore both the online and physical meetings to bring as many people as possible on board even those who struggle to integrate the special cases of people abled differently in their businesses The inclusivity aspect extends beyond participation; accessibility features, including sensory-friendly breakout rooms, real-time captioning, and multilingual materials, will ensure full engagement</w:t>
      </w:r>
      <w:r w:rsidR="005B073D">
        <w:rPr>
          <w:rFonts w:ascii="Arial" w:hAnsi="Arial" w:cs="Arial"/>
          <w:sz w:val="24"/>
          <w:szCs w:val="24"/>
        </w:rPr>
        <w:t>.</w:t>
      </w:r>
      <w:r w:rsidR="00760CA1" w:rsidRPr="005A5B15">
        <w:rPr>
          <w:rFonts w:ascii="Arial" w:hAnsi="Arial" w:cs="Arial"/>
          <w:sz w:val="24"/>
          <w:szCs w:val="24"/>
        </w:rPr>
        <w:t xml:space="preserve"> Measuring the event's success is critical. Surveys and feedback will evaluate knowledge </w:t>
      </w:r>
      <w:r w:rsidR="00760CA1" w:rsidRPr="005A5B15">
        <w:rPr>
          <w:rFonts w:ascii="Arial" w:hAnsi="Arial" w:cs="Arial"/>
          <w:sz w:val="24"/>
          <w:szCs w:val="24"/>
        </w:rPr>
        <w:lastRenderedPageBreak/>
        <w:t xml:space="preserve">retention and the effectiveness of networking opportunities. In alignment with corporate social responsibility (CSR) trends (Kirk et al., 2024), the event's impact will be assessed based on partnerships formed and adoption of inclusive hiring practices in the hospitality sector. By leveraging the EMBOK model, this </w:t>
      </w:r>
      <w:r w:rsidR="005A5B15" w:rsidRPr="005A5B15">
        <w:rPr>
          <w:rFonts w:ascii="Arial" w:hAnsi="Arial" w:cs="Arial"/>
          <w:sz w:val="24"/>
          <w:szCs w:val="24"/>
        </w:rPr>
        <w:t>event</w:t>
      </w:r>
      <w:r w:rsidR="00760CA1" w:rsidRPr="005A5B15">
        <w:rPr>
          <w:rFonts w:ascii="Arial" w:hAnsi="Arial" w:cs="Arial"/>
          <w:sz w:val="24"/>
          <w:szCs w:val="24"/>
        </w:rPr>
        <w:t xml:space="preserve"> aims to create a replicable blueprint for future initiatives advocating for inclusivity across </w:t>
      </w:r>
      <w:proofErr w:type="gramStart"/>
      <w:r w:rsidR="00760CA1" w:rsidRPr="005A5B15">
        <w:rPr>
          <w:rFonts w:ascii="Arial" w:hAnsi="Arial" w:cs="Arial"/>
          <w:sz w:val="24"/>
          <w:szCs w:val="24"/>
        </w:rPr>
        <w:t>industries(</w:t>
      </w:r>
      <w:proofErr w:type="gramEnd"/>
      <w:r w:rsidR="00760CA1" w:rsidRPr="005A5B15">
        <w:rPr>
          <w:rFonts w:ascii="Arial" w:hAnsi="Arial" w:cs="Arial"/>
          <w:sz w:val="24"/>
          <w:szCs w:val="24"/>
        </w:rPr>
        <w:t>Rogers &amp; Wynn-Moylan, 2022).</w:t>
      </w:r>
    </w:p>
    <w:p w14:paraId="0114A27F" w14:textId="77777777" w:rsidR="00F94D55" w:rsidRPr="005A5B15" w:rsidRDefault="00F94D55" w:rsidP="00760CA1">
      <w:pPr>
        <w:spacing w:line="360" w:lineRule="auto"/>
        <w:rPr>
          <w:rFonts w:ascii="Arial" w:hAnsi="Arial" w:cs="Arial"/>
          <w:sz w:val="24"/>
          <w:szCs w:val="24"/>
        </w:rPr>
      </w:pPr>
    </w:p>
    <w:p w14:paraId="5DCB43F9" w14:textId="77777777" w:rsidR="00077950" w:rsidRPr="00077950" w:rsidRDefault="00077950" w:rsidP="00254ECC">
      <w:pPr>
        <w:spacing w:line="360" w:lineRule="auto"/>
        <w:rPr>
          <w:rFonts w:ascii="Arial" w:hAnsi="Arial" w:cs="Arial"/>
          <w:b/>
          <w:sz w:val="32"/>
          <w:szCs w:val="32"/>
          <w:lang w:val="en-US"/>
        </w:rPr>
      </w:pPr>
      <w:r w:rsidRPr="00077950">
        <w:rPr>
          <w:rFonts w:ascii="Arial" w:hAnsi="Arial" w:cs="Arial"/>
          <w:b/>
          <w:sz w:val="32"/>
          <w:szCs w:val="32"/>
          <w:lang w:val="en-US"/>
        </w:rPr>
        <w:t>The Event Cycle</w:t>
      </w:r>
    </w:p>
    <w:p w14:paraId="47AAED99" w14:textId="70BDFC84" w:rsidR="00254ECC" w:rsidRPr="005A5B15" w:rsidRDefault="00254ECC" w:rsidP="00254ECC">
      <w:pPr>
        <w:spacing w:line="360" w:lineRule="auto"/>
        <w:rPr>
          <w:rFonts w:ascii="Arial" w:hAnsi="Arial" w:cs="Arial"/>
          <w:sz w:val="24"/>
          <w:szCs w:val="24"/>
          <w:lang w:val="en-US"/>
        </w:rPr>
      </w:pPr>
      <w:r w:rsidRPr="00254ECC">
        <w:rPr>
          <w:lang w:val="en-US"/>
        </w:rPr>
        <w:tab/>
      </w:r>
      <w:r w:rsidR="005A5B15">
        <w:rPr>
          <w:rFonts w:ascii="Arial" w:hAnsi="Arial" w:cs="Arial"/>
          <w:sz w:val="24"/>
          <w:szCs w:val="24"/>
          <w:lang w:val="en-US"/>
        </w:rPr>
        <w:t>T</w:t>
      </w:r>
      <w:r w:rsidR="005A5B15" w:rsidRPr="005A5B15">
        <w:rPr>
          <w:rFonts w:ascii="Arial" w:hAnsi="Arial" w:cs="Arial"/>
          <w:sz w:val="24"/>
          <w:szCs w:val="24"/>
        </w:rPr>
        <w:t>his section</w:t>
      </w:r>
      <w:r w:rsidR="005A5B15">
        <w:rPr>
          <w:rFonts w:ascii="Arial" w:hAnsi="Arial" w:cs="Arial"/>
          <w:sz w:val="24"/>
          <w:szCs w:val="24"/>
        </w:rPr>
        <w:t xml:space="preserve"> </w:t>
      </w:r>
      <w:r w:rsidR="005A5B15" w:rsidRPr="005A5B15">
        <w:rPr>
          <w:rFonts w:ascii="Arial" w:hAnsi="Arial" w:cs="Arial"/>
          <w:sz w:val="24"/>
          <w:szCs w:val="24"/>
        </w:rPr>
        <w:t xml:space="preserve">demonstrates the cycle model used to direct the flow of events in a conference from </w:t>
      </w:r>
      <w:r w:rsidR="005A5B15">
        <w:rPr>
          <w:rFonts w:ascii="Arial" w:hAnsi="Arial" w:cs="Arial"/>
          <w:sz w:val="24"/>
          <w:szCs w:val="24"/>
        </w:rPr>
        <w:t>start</w:t>
      </w:r>
      <w:r w:rsidR="005A5B15" w:rsidRPr="005A5B15">
        <w:rPr>
          <w:rFonts w:ascii="Arial" w:hAnsi="Arial" w:cs="Arial"/>
          <w:sz w:val="24"/>
          <w:szCs w:val="24"/>
        </w:rPr>
        <w:t xml:space="preserve"> to the </w:t>
      </w:r>
      <w:r w:rsidR="005A5B15">
        <w:rPr>
          <w:rFonts w:ascii="Arial" w:hAnsi="Arial" w:cs="Arial"/>
          <w:sz w:val="24"/>
          <w:szCs w:val="24"/>
        </w:rPr>
        <w:t>end</w:t>
      </w:r>
      <w:r w:rsidR="005A5B15" w:rsidRPr="005A5B15">
        <w:rPr>
          <w:rFonts w:ascii="Arial" w:hAnsi="Arial" w:cs="Arial"/>
          <w:sz w:val="24"/>
          <w:szCs w:val="24"/>
        </w:rPr>
        <w:t xml:space="preserve"> (Fox et al., 2014). Every stage of this development is key because it is laced with objectives crafted to address the prevailing issues within the event planned. The first fundamental step included the analysis of the market scenarios to find out the challenges of neurodivergent members in the hospitality industry. This analysis revealed a lack of targeted initiatives, highlighting the importance of this event (Getz </w:t>
      </w:r>
      <w:r w:rsidR="00BA05E5">
        <w:rPr>
          <w:rFonts w:ascii="Arial" w:hAnsi="Arial" w:cs="Arial"/>
          <w:sz w:val="24"/>
          <w:szCs w:val="24"/>
        </w:rPr>
        <w:t>and</w:t>
      </w:r>
      <w:r w:rsidR="005A5B15" w:rsidRPr="005A5B15">
        <w:rPr>
          <w:rFonts w:ascii="Arial" w:hAnsi="Arial" w:cs="Arial"/>
          <w:sz w:val="24"/>
          <w:szCs w:val="24"/>
        </w:rPr>
        <w:t xml:space="preserve"> Page, 20</w:t>
      </w:r>
      <w:r w:rsidR="00BA05E5">
        <w:rPr>
          <w:rFonts w:ascii="Arial" w:hAnsi="Arial" w:cs="Arial"/>
          <w:sz w:val="24"/>
          <w:szCs w:val="24"/>
        </w:rPr>
        <w:t>19</w:t>
      </w:r>
      <w:r w:rsidR="005A5B15" w:rsidRPr="005A5B15">
        <w:rPr>
          <w:rFonts w:ascii="Arial" w:hAnsi="Arial" w:cs="Arial"/>
          <w:sz w:val="24"/>
          <w:szCs w:val="24"/>
        </w:rPr>
        <w:t xml:space="preserve">). Consultations with stakeholders, including industry leaders and neurodiversity advocates, provided valuable insights into existing challenges and opportunities for improvement. Educational matters and the interaction perspectives were well designed into the cycle to ensure they fit into each other for the participants’ benefit. The major elements of the event consist of the speakers who have the neurodivergent expertise and experience, the inclusivity sessions, and finally the collaborative periods for partnering beyond the day’s event.  </w:t>
      </w:r>
    </w:p>
    <w:p w14:paraId="0369D2DD" w14:textId="05D66E3C" w:rsidR="00254ECC" w:rsidRPr="00254ECC" w:rsidRDefault="00254ECC" w:rsidP="00254ECC">
      <w:pPr>
        <w:rPr>
          <w:lang w:val="en-US"/>
        </w:rPr>
      </w:pPr>
      <w:r w:rsidRPr="00254ECC">
        <w:rPr>
          <w:noProof/>
          <w:lang w:val="en-US"/>
        </w:rPr>
        <w:lastRenderedPageBreak/>
        <w:drawing>
          <wp:inline distT="0" distB="0" distL="0" distR="0" wp14:anchorId="2ADFB371" wp14:editId="4E6AE2FC">
            <wp:extent cx="5731510" cy="3223895"/>
            <wp:effectExtent l="0" t="0" r="2540" b="0"/>
            <wp:docPr id="1550653409" name="Picture 4" descr="A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53409" name="Picture 4" descr="A diagram of a cycl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915D6A6" w14:textId="216F9350" w:rsidR="005A5B15" w:rsidRPr="00BD7EDA" w:rsidRDefault="00254ECC" w:rsidP="00BD7EDA">
      <w:pPr>
        <w:spacing w:line="360" w:lineRule="auto"/>
        <w:rPr>
          <w:rFonts w:ascii="Arial" w:hAnsi="Arial" w:cs="Arial"/>
          <w:sz w:val="24"/>
          <w:szCs w:val="24"/>
        </w:rPr>
      </w:pPr>
      <w:r w:rsidRPr="00254ECC">
        <w:rPr>
          <w:lang w:val="en-US"/>
        </w:rPr>
        <w:tab/>
      </w:r>
      <w:r w:rsidR="005A5B15" w:rsidRPr="00BD7EDA">
        <w:rPr>
          <w:rFonts w:ascii="Arial" w:hAnsi="Arial" w:cs="Arial"/>
          <w:sz w:val="24"/>
          <w:szCs w:val="24"/>
        </w:rPr>
        <w:t>Attention was also given to accessibility and inclusivity, with provisions such as sensory-friendly breakout rooms, Braille programs, and real-time captioning. The facilities mentioned here were so carefully considered to make sure that none of the participants felt isolated because of missing essential amenities. The planning phase involved developing a detailed itinerary, budget, and marketing strategy. Specific roles and responsibilities were assigned to ensure smooth execution, with contingency plans in place to address potential challenges such as speaker cancellations or technical failures. A risk assessment was also conducted (Genovard et al., 2025), identifying potential obstacles and devising strategies to mitigate them. In this case, there should be more standby speakers who would substitute the already fronted were there to be any emergency, similarly the technical experts should have a share of their backup materials to ensure seamless proceedings.</w:t>
      </w:r>
    </w:p>
    <w:p w14:paraId="05D89167" w14:textId="77777777" w:rsidR="005A5B15" w:rsidRPr="00BD7EDA" w:rsidRDefault="005A5B15" w:rsidP="00BD7EDA">
      <w:pPr>
        <w:spacing w:line="360" w:lineRule="auto"/>
        <w:rPr>
          <w:rFonts w:ascii="Arial" w:eastAsia="Times New Roman" w:hAnsi="Arial" w:cs="Arial"/>
          <w:sz w:val="24"/>
          <w:szCs w:val="24"/>
        </w:rPr>
      </w:pPr>
      <w:r w:rsidRPr="00BD7EDA">
        <w:rPr>
          <w:rFonts w:ascii="Arial" w:hAnsi="Arial" w:cs="Arial"/>
          <w:sz w:val="24"/>
          <w:szCs w:val="24"/>
        </w:rPr>
        <w:tab/>
        <w:t xml:space="preserve">The most essential stage of all is the coordination of the human resource each excelling in his or her position and ensuring that they are working in harmony in their place. Regular communication and progress reviews are essential to align all stakeholders with the event’s objectives. Vendors are carefully selected to ensure high-quality catering, accessible materials, and reliable technology. The evaluation phase will measure the event’s impact through feedback surveys and data analysis. Metrics such as attendance numbers, participant diversity, and satisfaction rates will provide a clear picture of the event’s success and areas for improvement. There are </w:t>
      </w:r>
      <w:r w:rsidRPr="00BD7EDA">
        <w:rPr>
          <w:rFonts w:ascii="Arial" w:hAnsi="Arial" w:cs="Arial"/>
          <w:sz w:val="24"/>
          <w:szCs w:val="24"/>
        </w:rPr>
        <w:lastRenderedPageBreak/>
        <w:t>expectations that in case such an event happens, there will be a point of reference and betterment.</w:t>
      </w:r>
    </w:p>
    <w:p w14:paraId="52A24902" w14:textId="604EC088" w:rsidR="00254ECC" w:rsidRPr="005A5B15" w:rsidRDefault="00254ECC" w:rsidP="005A5B15">
      <w:pPr>
        <w:spacing w:line="360" w:lineRule="auto"/>
      </w:pPr>
    </w:p>
    <w:p w14:paraId="04D9F27F" w14:textId="77777777" w:rsidR="00077950" w:rsidRPr="00523DF5" w:rsidRDefault="00077950" w:rsidP="00077950">
      <w:pPr>
        <w:rPr>
          <w:rFonts w:ascii="Arial" w:hAnsi="Arial" w:cs="Arial"/>
          <w:b/>
          <w:bCs/>
          <w:sz w:val="32"/>
          <w:szCs w:val="32"/>
          <w:lang w:val="en-US"/>
        </w:rPr>
      </w:pPr>
      <w:r w:rsidRPr="00523DF5">
        <w:rPr>
          <w:rFonts w:ascii="Arial" w:hAnsi="Arial" w:cs="Arial"/>
          <w:b/>
          <w:bCs/>
          <w:sz w:val="32"/>
          <w:szCs w:val="32"/>
          <w:lang w:val="en-US"/>
        </w:rPr>
        <w:t>Event Concept</w:t>
      </w:r>
    </w:p>
    <w:p w14:paraId="3335A406" w14:textId="0EDAAAD5" w:rsidR="00BD7EDA" w:rsidRPr="00BD7EDA" w:rsidRDefault="00254ECC" w:rsidP="00BD7EDA">
      <w:pPr>
        <w:spacing w:line="360" w:lineRule="auto"/>
        <w:rPr>
          <w:rFonts w:ascii="Arial" w:hAnsi="Arial" w:cs="Arial"/>
          <w:sz w:val="24"/>
          <w:szCs w:val="24"/>
        </w:rPr>
      </w:pPr>
      <w:r w:rsidRPr="00254ECC">
        <w:rPr>
          <w:lang w:val="en-US"/>
        </w:rPr>
        <w:tab/>
      </w:r>
      <w:r w:rsidR="00BD7EDA" w:rsidRPr="00BD7EDA">
        <w:rPr>
          <w:rFonts w:ascii="Arial" w:hAnsi="Arial" w:cs="Arial"/>
          <w:sz w:val="24"/>
          <w:szCs w:val="24"/>
        </w:rPr>
        <w:t xml:space="preserve">The key drives in this conference will be to ensure that the participants network with their peers, </w:t>
      </w:r>
      <w:r w:rsidR="00BD7EDA">
        <w:rPr>
          <w:rFonts w:ascii="Arial" w:hAnsi="Arial" w:cs="Arial"/>
          <w:sz w:val="24"/>
          <w:szCs w:val="24"/>
        </w:rPr>
        <w:t>feel</w:t>
      </w:r>
      <w:r w:rsidR="00BD7EDA" w:rsidRPr="00BD7EDA">
        <w:rPr>
          <w:rFonts w:ascii="Arial" w:hAnsi="Arial" w:cs="Arial"/>
          <w:sz w:val="24"/>
          <w:szCs w:val="24"/>
        </w:rPr>
        <w:t xml:space="preserve"> positively, and have gained the necessary skills to manage the Neurodivergent class in their working area. The morning session will commence with a keynote speech by a neurodivergent hospitality professional, offering an authentic and inspiring perspective on inclusion</w:t>
      </w:r>
      <w:r w:rsidR="00BD7EDA" w:rsidRPr="00BD7EDA">
        <w:rPr>
          <w:rFonts w:ascii="Arial" w:hAnsi="Arial" w:cs="Arial"/>
        </w:rPr>
        <w:t xml:space="preserve"> </w:t>
      </w:r>
      <w:r w:rsidR="00BD7EDA" w:rsidRPr="00BD7EDA">
        <w:rPr>
          <w:rFonts w:ascii="Arial" w:hAnsi="Arial" w:cs="Arial"/>
          <w:sz w:val="24"/>
          <w:szCs w:val="24"/>
        </w:rPr>
        <w:t>(Jonescu, Olatunji, Uylaki, &amp; Duric, n.d.). This will be followed by a panel discussion featuring industry leaders and neurodiversity advocates, exploring the business case for embracing neurodivergent talent. These sessions aim to lay groundwork for understanding the importance of inclusion and its practical benefits for organizations. The human resource managers and operational leaders in their capacities will have a valuable session in the afternoons to be braced for what is happening and about to happen in the working places (Walkowiak, 2024). These workshops will provide actionable strategies for inclusive recruitment and management practices, emphasizing real-world applicability. The farmers of the event have done it such that the attendees will have a one-to-one interaction with the keynote speakers and experts and get their concerns cleared as they may wish. To ensure a connected thread of engagement, gamification and live online surveys and polls would keep the audience active and motivated. The day will conclude with informal networking opportunities, allowing participants to forge meaningful connections and explore potential collaborations. Special features such as sensory-friendly breakout rooms and multilingual materials underscore the event’s commitment to accessibility and inclusivity. Attendees will also have access to a digital resource hub, providing supplementary materials, recorded sessions, and follow-up recommendations. It is the intended purpose of the event to leave a memorable experience for the attendees through what they have done to prepare the venue and the entire program.</w:t>
      </w:r>
    </w:p>
    <w:p w14:paraId="7B769CB1" w14:textId="2BE24004" w:rsidR="00523DF5" w:rsidRDefault="00523DF5" w:rsidP="00254ECC">
      <w:pPr>
        <w:spacing w:line="360" w:lineRule="auto"/>
        <w:rPr>
          <w:rFonts w:ascii="Arial" w:hAnsi="Arial" w:cs="Arial"/>
          <w:sz w:val="24"/>
          <w:szCs w:val="24"/>
        </w:rPr>
      </w:pPr>
    </w:p>
    <w:p w14:paraId="098F9D28" w14:textId="77777777" w:rsidR="00BD7EDA" w:rsidRPr="00BD7EDA" w:rsidRDefault="00BD7EDA" w:rsidP="00254ECC">
      <w:pPr>
        <w:spacing w:line="360" w:lineRule="auto"/>
        <w:rPr>
          <w:rFonts w:ascii="Arial" w:hAnsi="Arial" w:cs="Arial"/>
          <w:sz w:val="24"/>
          <w:szCs w:val="24"/>
        </w:rPr>
      </w:pPr>
    </w:p>
    <w:p w14:paraId="29F1D6D6" w14:textId="488FD963" w:rsidR="00254ECC" w:rsidRPr="00AD16BE" w:rsidRDefault="00254ECC" w:rsidP="00AD16BE">
      <w:pPr>
        <w:rPr>
          <w:rFonts w:ascii="Arial" w:hAnsi="Arial" w:cs="Arial"/>
          <w:b/>
          <w:sz w:val="36"/>
          <w:szCs w:val="36"/>
          <w:lang w:val="en-US"/>
        </w:rPr>
      </w:pPr>
      <w:r w:rsidRPr="00AD16BE">
        <w:rPr>
          <w:rFonts w:ascii="Arial" w:hAnsi="Arial" w:cs="Arial"/>
          <w:b/>
          <w:sz w:val="36"/>
          <w:szCs w:val="36"/>
          <w:lang w:val="en-US"/>
        </w:rPr>
        <w:lastRenderedPageBreak/>
        <w:t xml:space="preserve">Aim and Objectives </w:t>
      </w:r>
    </w:p>
    <w:p w14:paraId="0193F141" w14:textId="77777777" w:rsidR="00AD16BE" w:rsidRDefault="00254ECC" w:rsidP="00254ECC">
      <w:pPr>
        <w:rPr>
          <w:rFonts w:ascii="Arial" w:hAnsi="Arial" w:cs="Arial"/>
          <w:sz w:val="24"/>
          <w:szCs w:val="24"/>
          <w:lang w:val="en-US"/>
        </w:rPr>
      </w:pPr>
      <w:r w:rsidRPr="00254ECC">
        <w:rPr>
          <w:rFonts w:ascii="Segoe UI Symbol" w:hAnsi="Segoe UI Symbol" w:cs="Segoe UI Symbol"/>
          <w:sz w:val="24"/>
          <w:szCs w:val="24"/>
          <w:lang w:val="en-US"/>
        </w:rPr>
        <w:t>✔</w:t>
      </w:r>
      <w:r w:rsidRPr="00254ECC">
        <w:rPr>
          <w:rFonts w:ascii="Arial" w:hAnsi="Arial" w:cs="Arial"/>
          <w:sz w:val="24"/>
          <w:szCs w:val="24"/>
          <w:lang w:val="en-US"/>
        </w:rPr>
        <w:t xml:space="preserve"> </w:t>
      </w:r>
      <w:r w:rsidRPr="00254ECC">
        <w:rPr>
          <w:rFonts w:ascii="Arial" w:hAnsi="Arial" w:cs="Arial"/>
          <w:b/>
          <w:bCs/>
          <w:sz w:val="24"/>
          <w:szCs w:val="24"/>
          <w:lang w:val="en-US"/>
        </w:rPr>
        <w:t>Specific:</w:t>
      </w:r>
      <w:r w:rsidRPr="00254ECC">
        <w:rPr>
          <w:rFonts w:ascii="Arial" w:hAnsi="Arial" w:cs="Arial"/>
          <w:sz w:val="24"/>
          <w:szCs w:val="24"/>
          <w:lang w:val="en-US"/>
        </w:rPr>
        <w:t xml:space="preserve"> Enhance awareness of neurodiversity in hospitality by hosting expert-led workshops.</w:t>
      </w:r>
    </w:p>
    <w:p w14:paraId="3DCBA72F" w14:textId="30D8A08C" w:rsidR="00254ECC" w:rsidRPr="00254ECC" w:rsidRDefault="00254ECC" w:rsidP="00254ECC">
      <w:pPr>
        <w:rPr>
          <w:rFonts w:ascii="Arial" w:hAnsi="Arial" w:cs="Arial"/>
          <w:sz w:val="24"/>
          <w:szCs w:val="24"/>
          <w:lang w:val="en-US"/>
        </w:rPr>
      </w:pPr>
      <w:r w:rsidRPr="00254ECC">
        <w:rPr>
          <w:rFonts w:ascii="Arial" w:hAnsi="Arial" w:cs="Arial"/>
          <w:sz w:val="24"/>
          <w:szCs w:val="24"/>
          <w:lang w:val="en-US"/>
        </w:rPr>
        <w:t xml:space="preserve"> </w:t>
      </w:r>
      <w:r w:rsidRPr="00254ECC">
        <w:rPr>
          <w:rFonts w:ascii="Segoe UI Symbol" w:hAnsi="Segoe UI Symbol" w:cs="Segoe UI Symbol"/>
          <w:sz w:val="24"/>
          <w:szCs w:val="24"/>
          <w:lang w:val="en-US"/>
        </w:rPr>
        <w:t>✔</w:t>
      </w:r>
      <w:r w:rsidRPr="00254ECC">
        <w:rPr>
          <w:rFonts w:ascii="Arial" w:hAnsi="Arial" w:cs="Arial"/>
          <w:sz w:val="24"/>
          <w:szCs w:val="24"/>
          <w:lang w:val="en-US"/>
        </w:rPr>
        <w:t xml:space="preserve"> </w:t>
      </w:r>
      <w:r w:rsidRPr="00254ECC">
        <w:rPr>
          <w:rFonts w:ascii="Arial" w:hAnsi="Arial" w:cs="Arial"/>
          <w:b/>
          <w:bCs/>
          <w:sz w:val="24"/>
          <w:szCs w:val="24"/>
          <w:lang w:val="en-US"/>
        </w:rPr>
        <w:t>Measurable:</w:t>
      </w:r>
      <w:r w:rsidRPr="00254ECC">
        <w:rPr>
          <w:rFonts w:ascii="Arial" w:hAnsi="Arial" w:cs="Arial"/>
          <w:sz w:val="24"/>
          <w:szCs w:val="24"/>
          <w:lang w:val="en-US"/>
        </w:rPr>
        <w:t xml:space="preserve"> Attract at least 200 attendees. </w:t>
      </w:r>
    </w:p>
    <w:p w14:paraId="48D98EF0" w14:textId="77777777" w:rsidR="00254ECC" w:rsidRPr="00254ECC" w:rsidRDefault="00254ECC" w:rsidP="00254ECC">
      <w:pPr>
        <w:rPr>
          <w:rFonts w:ascii="Arial" w:hAnsi="Arial" w:cs="Arial"/>
          <w:sz w:val="24"/>
          <w:szCs w:val="24"/>
          <w:lang w:val="en-US"/>
        </w:rPr>
      </w:pPr>
      <w:r w:rsidRPr="00254ECC">
        <w:rPr>
          <w:rFonts w:ascii="Segoe UI Symbol" w:hAnsi="Segoe UI Symbol" w:cs="Segoe UI Symbol"/>
          <w:sz w:val="24"/>
          <w:szCs w:val="24"/>
          <w:lang w:val="en-US"/>
        </w:rPr>
        <w:t>✔</w:t>
      </w:r>
      <w:r w:rsidRPr="00254ECC">
        <w:rPr>
          <w:rFonts w:ascii="Arial" w:hAnsi="Arial" w:cs="Arial"/>
          <w:sz w:val="24"/>
          <w:szCs w:val="24"/>
          <w:lang w:val="en-US"/>
        </w:rPr>
        <w:t xml:space="preserve"> </w:t>
      </w:r>
      <w:r w:rsidRPr="00254ECC">
        <w:rPr>
          <w:rFonts w:ascii="Arial" w:hAnsi="Arial" w:cs="Arial"/>
          <w:b/>
          <w:bCs/>
          <w:sz w:val="24"/>
          <w:szCs w:val="24"/>
          <w:lang w:val="en-US"/>
        </w:rPr>
        <w:t>Achievable:</w:t>
      </w:r>
      <w:r w:rsidRPr="00254ECC">
        <w:rPr>
          <w:rFonts w:ascii="Arial" w:hAnsi="Arial" w:cs="Arial"/>
          <w:sz w:val="24"/>
          <w:szCs w:val="24"/>
          <w:lang w:val="en-US"/>
        </w:rPr>
        <w:t xml:space="preserve"> Leverage industry partnerships and social media marketing.</w:t>
      </w:r>
    </w:p>
    <w:p w14:paraId="5D4D775C" w14:textId="77777777" w:rsidR="00254ECC" w:rsidRPr="00254ECC" w:rsidRDefault="00254ECC" w:rsidP="00254ECC">
      <w:pPr>
        <w:rPr>
          <w:rFonts w:ascii="Arial" w:hAnsi="Arial" w:cs="Arial"/>
          <w:sz w:val="24"/>
          <w:szCs w:val="24"/>
          <w:lang w:val="en-US"/>
        </w:rPr>
      </w:pPr>
      <w:r w:rsidRPr="00254ECC">
        <w:rPr>
          <w:rFonts w:ascii="Arial" w:hAnsi="Arial" w:cs="Arial"/>
          <w:sz w:val="24"/>
          <w:szCs w:val="24"/>
          <w:lang w:val="en-US"/>
        </w:rPr>
        <w:t xml:space="preserve"> </w:t>
      </w:r>
      <w:r w:rsidRPr="00254ECC">
        <w:rPr>
          <w:rFonts w:ascii="Segoe UI Symbol" w:hAnsi="Segoe UI Symbol" w:cs="Segoe UI Symbol"/>
          <w:sz w:val="24"/>
          <w:szCs w:val="24"/>
          <w:lang w:val="en-US"/>
        </w:rPr>
        <w:t>✔</w:t>
      </w:r>
      <w:r w:rsidRPr="00254ECC">
        <w:rPr>
          <w:rFonts w:ascii="Arial" w:hAnsi="Arial" w:cs="Arial"/>
          <w:sz w:val="24"/>
          <w:szCs w:val="24"/>
          <w:lang w:val="en-US"/>
        </w:rPr>
        <w:t xml:space="preserve"> </w:t>
      </w:r>
      <w:r w:rsidRPr="00254ECC">
        <w:rPr>
          <w:rFonts w:ascii="Arial" w:hAnsi="Arial" w:cs="Arial"/>
          <w:b/>
          <w:bCs/>
          <w:sz w:val="24"/>
          <w:szCs w:val="24"/>
          <w:lang w:val="en-US"/>
        </w:rPr>
        <w:t>Relevant:</w:t>
      </w:r>
      <w:r w:rsidRPr="00254ECC">
        <w:rPr>
          <w:rFonts w:ascii="Arial" w:hAnsi="Arial" w:cs="Arial"/>
          <w:sz w:val="24"/>
          <w:szCs w:val="24"/>
          <w:lang w:val="en-US"/>
        </w:rPr>
        <w:t xml:space="preserve"> Aligns with the </w:t>
      </w:r>
      <w:proofErr w:type="gramStart"/>
      <w:r w:rsidRPr="00254ECC">
        <w:rPr>
          <w:rFonts w:ascii="Arial" w:hAnsi="Arial" w:cs="Arial"/>
          <w:sz w:val="24"/>
          <w:szCs w:val="24"/>
          <w:lang w:val="en-US"/>
        </w:rPr>
        <w:t>inclusivity</w:t>
      </w:r>
      <w:proofErr w:type="gramEnd"/>
      <w:r w:rsidRPr="00254ECC">
        <w:rPr>
          <w:rFonts w:ascii="Arial" w:hAnsi="Arial" w:cs="Arial"/>
          <w:sz w:val="24"/>
          <w:szCs w:val="24"/>
          <w:lang w:val="en-US"/>
        </w:rPr>
        <w:t xml:space="preserve"> goals in hospitality. </w:t>
      </w:r>
    </w:p>
    <w:p w14:paraId="1EE371D1" w14:textId="5867683A" w:rsidR="00523DF5" w:rsidRPr="00254ECC" w:rsidRDefault="00254ECC" w:rsidP="00254ECC">
      <w:pPr>
        <w:rPr>
          <w:rFonts w:ascii="Arial" w:hAnsi="Arial" w:cs="Arial"/>
          <w:sz w:val="24"/>
          <w:szCs w:val="24"/>
          <w:lang w:val="en-US"/>
        </w:rPr>
      </w:pPr>
      <w:r w:rsidRPr="00254ECC">
        <w:rPr>
          <w:rFonts w:ascii="Segoe UI Symbol" w:hAnsi="Segoe UI Symbol" w:cs="Segoe UI Symbol"/>
          <w:sz w:val="24"/>
          <w:szCs w:val="24"/>
          <w:lang w:val="en-US"/>
        </w:rPr>
        <w:t>✔</w:t>
      </w:r>
      <w:r w:rsidRPr="00254ECC">
        <w:rPr>
          <w:rFonts w:ascii="Arial" w:hAnsi="Arial" w:cs="Arial"/>
          <w:sz w:val="24"/>
          <w:szCs w:val="24"/>
          <w:lang w:val="en-US"/>
        </w:rPr>
        <w:t xml:space="preserve"> </w:t>
      </w:r>
      <w:r w:rsidRPr="00254ECC">
        <w:rPr>
          <w:rFonts w:ascii="Arial" w:hAnsi="Arial" w:cs="Arial"/>
          <w:b/>
          <w:bCs/>
          <w:sz w:val="24"/>
          <w:szCs w:val="24"/>
          <w:lang w:val="en-US"/>
        </w:rPr>
        <w:t>Time-bound:</w:t>
      </w:r>
      <w:r w:rsidRPr="00254ECC">
        <w:rPr>
          <w:rFonts w:ascii="Arial" w:hAnsi="Arial" w:cs="Arial"/>
          <w:sz w:val="24"/>
          <w:szCs w:val="24"/>
          <w:lang w:val="en-US"/>
        </w:rPr>
        <w:t xml:space="preserve"> Achieve participant engagement within the event period (O'Toole, 2011).</w:t>
      </w:r>
    </w:p>
    <w:p w14:paraId="25D9C889" w14:textId="3BFA951A" w:rsidR="00254ECC" w:rsidRDefault="00254ECC" w:rsidP="00AD16BE">
      <w:pPr>
        <w:rPr>
          <w:rFonts w:ascii="Arial" w:hAnsi="Arial" w:cs="Arial"/>
          <w:b/>
          <w:sz w:val="36"/>
          <w:szCs w:val="36"/>
          <w:lang w:val="en-US"/>
        </w:rPr>
      </w:pPr>
      <w:r w:rsidRPr="00AD16BE">
        <w:rPr>
          <w:rFonts w:ascii="Arial" w:hAnsi="Arial" w:cs="Arial"/>
          <w:b/>
          <w:sz w:val="36"/>
          <w:szCs w:val="36"/>
          <w:lang w:val="en-US"/>
        </w:rPr>
        <w:t>Event Management</w:t>
      </w:r>
    </w:p>
    <w:p w14:paraId="235ADEE1" w14:textId="77777777" w:rsidR="00BD7EDA" w:rsidRPr="00BD7EDA" w:rsidRDefault="00254ECC" w:rsidP="00BD7EDA">
      <w:pPr>
        <w:spacing w:line="360" w:lineRule="auto"/>
        <w:rPr>
          <w:rFonts w:ascii="Arial" w:eastAsia="Times New Roman" w:hAnsi="Arial" w:cs="Arial"/>
          <w:sz w:val="24"/>
          <w:szCs w:val="24"/>
        </w:rPr>
      </w:pPr>
      <w:r w:rsidRPr="00254ECC">
        <w:rPr>
          <w:lang w:val="en-US"/>
        </w:rPr>
        <w:tab/>
      </w:r>
      <w:r w:rsidR="00BD7EDA" w:rsidRPr="00BD7EDA">
        <w:rPr>
          <w:rFonts w:ascii="Arial" w:hAnsi="Arial" w:cs="Arial"/>
          <w:sz w:val="24"/>
          <w:szCs w:val="24"/>
        </w:rPr>
        <w:t xml:space="preserve">Collaboration of the experts in various capacities is believed will bring much-anticipated success to the event of such a magnitude. The operational aspects of the event include venue logistics, hybrid conferencing tools, and accessibility features. The Queen Elizabeth II Centre in London offers state-of-the-art facilities, including high-speed internet, advanced audio-visual equipment, and accessible amenities such as wheelchair ramps and hearing loops. These features ensure a seamless experience for both in-person and virtual attendees. The planning phase involves creating a detailed schedule, assigning roles, and developing contingency plans. Key personnel include an event manager to oversee operations, an accessibility coordinator to address the needs of neurodivergent attendees, and a technical support team to manage hybrid tools. Trained volunteers will assist with tasks such as registration, wayfinding, and participant support. There will be a special orientation focused on the staff and the officers on the best practices when interacting with neurodivergent people. Marketing activities are equally important, with a multi-channel strategy designed to maximize reach and engagement. The utilization of social media platforms will ensure that all the attendees who are supposed to get the information have been alerted, those who are in the online presence will be reached through Facebook (Hall et al., 2024), Twitter, and other associated platforms while those who cannot be in the online platforms could be reached through advocacy programs mostly in the hospitality sector. Early-bird registration discounts and tiered sponsorship packages will further incentivize participation. By integrating operational, planning, and marketing activities, the event management team aims to deliver a seamless and impactful conference. The </w:t>
      </w:r>
      <w:r w:rsidR="00BD7EDA" w:rsidRPr="00BD7EDA">
        <w:rPr>
          <w:rFonts w:ascii="Arial" w:hAnsi="Arial" w:cs="Arial"/>
          <w:sz w:val="24"/>
          <w:szCs w:val="24"/>
        </w:rPr>
        <w:lastRenderedPageBreak/>
        <w:t>importance of vendor coordination cannot be overstated. From catering services to technology providers, every vendor plays a pivotal role in ensuring the event’s success. Regular communication, detailed contracts, and contingency plans are essential to address any last-minute challenges. For instance, catering services will provide allergy-friendly and diverse menu options to accommodate all attendees</w:t>
      </w:r>
      <w:r w:rsidR="00BD7EDA" w:rsidRPr="00BD7EDA">
        <w:rPr>
          <w:rFonts w:ascii="Arial" w:eastAsia="Times New Roman" w:hAnsi="Arial" w:cs="Arial"/>
          <w:sz w:val="24"/>
          <w:szCs w:val="24"/>
        </w:rPr>
        <w:t xml:space="preserve"> (Gomiashvili, 2024)</w:t>
      </w:r>
      <w:r w:rsidR="00BD7EDA" w:rsidRPr="00BD7EDA">
        <w:rPr>
          <w:rFonts w:ascii="Arial" w:hAnsi="Arial" w:cs="Arial"/>
          <w:sz w:val="24"/>
          <w:szCs w:val="24"/>
        </w:rPr>
        <w:t xml:space="preserve">. Technology providers will ensure robust hybrid tools for smooth virtual participation. These measures reflect the event’s commitment to quality and inclusivity. The event management strategy follows the </w:t>
      </w:r>
      <w:r w:rsidR="00BD7EDA" w:rsidRPr="00BD7EDA">
        <w:rPr>
          <w:rFonts w:ascii="Arial" w:hAnsi="Arial" w:cs="Arial"/>
          <w:b/>
          <w:bCs/>
          <w:sz w:val="24"/>
          <w:szCs w:val="24"/>
        </w:rPr>
        <w:t>Event Management Body of Knowledge (EMBOK)</w:t>
      </w:r>
      <w:r w:rsidR="00BD7EDA" w:rsidRPr="00BD7EDA">
        <w:rPr>
          <w:rFonts w:ascii="Arial" w:hAnsi="Arial" w:cs="Arial"/>
          <w:sz w:val="24"/>
          <w:szCs w:val="24"/>
        </w:rPr>
        <w:t xml:space="preserve"> model:</w:t>
      </w:r>
    </w:p>
    <w:p w14:paraId="702522BF" w14:textId="77777777" w:rsidR="00BD7EDA" w:rsidRPr="00BD7EDA" w:rsidRDefault="00BD7EDA" w:rsidP="00BD7EDA">
      <w:pPr>
        <w:numPr>
          <w:ilvl w:val="0"/>
          <w:numId w:val="3"/>
        </w:numPr>
        <w:spacing w:line="360" w:lineRule="auto"/>
        <w:rPr>
          <w:rFonts w:ascii="Arial" w:hAnsi="Arial" w:cs="Arial"/>
          <w:sz w:val="24"/>
          <w:szCs w:val="24"/>
        </w:rPr>
      </w:pPr>
      <w:r w:rsidRPr="00BD7EDA">
        <w:rPr>
          <w:rFonts w:ascii="Arial" w:hAnsi="Arial" w:cs="Arial"/>
          <w:i/>
          <w:iCs/>
          <w:sz w:val="24"/>
          <w:szCs w:val="24"/>
        </w:rPr>
        <w:t>Administration</w:t>
      </w:r>
      <w:r w:rsidRPr="00BD7EDA">
        <w:rPr>
          <w:rFonts w:ascii="Arial" w:hAnsi="Arial" w:cs="Arial"/>
          <w:sz w:val="24"/>
          <w:szCs w:val="24"/>
        </w:rPr>
        <w:t>: Financial planning, legal compliance, and risk assessment.</w:t>
      </w:r>
    </w:p>
    <w:p w14:paraId="5BB2DE64" w14:textId="77777777" w:rsidR="00BD7EDA" w:rsidRPr="00BD7EDA" w:rsidRDefault="00BD7EDA" w:rsidP="00BD7EDA">
      <w:pPr>
        <w:numPr>
          <w:ilvl w:val="0"/>
          <w:numId w:val="3"/>
        </w:numPr>
        <w:spacing w:line="360" w:lineRule="auto"/>
        <w:rPr>
          <w:rFonts w:ascii="Arial" w:hAnsi="Arial" w:cs="Arial"/>
          <w:sz w:val="24"/>
          <w:szCs w:val="24"/>
        </w:rPr>
      </w:pPr>
      <w:r w:rsidRPr="00BD7EDA">
        <w:rPr>
          <w:rFonts w:ascii="Arial" w:hAnsi="Arial" w:cs="Arial"/>
          <w:i/>
          <w:iCs/>
          <w:sz w:val="24"/>
          <w:szCs w:val="24"/>
        </w:rPr>
        <w:t>Design</w:t>
      </w:r>
      <w:r w:rsidRPr="00BD7EDA">
        <w:rPr>
          <w:rFonts w:ascii="Arial" w:hAnsi="Arial" w:cs="Arial"/>
          <w:sz w:val="24"/>
          <w:szCs w:val="24"/>
        </w:rPr>
        <w:t>: Branding, event theme, and audience experience.</w:t>
      </w:r>
    </w:p>
    <w:p w14:paraId="780A7678" w14:textId="77777777" w:rsidR="00BD7EDA" w:rsidRPr="00BD7EDA" w:rsidRDefault="00BD7EDA" w:rsidP="00BD7EDA">
      <w:pPr>
        <w:numPr>
          <w:ilvl w:val="0"/>
          <w:numId w:val="3"/>
        </w:numPr>
        <w:spacing w:line="360" w:lineRule="auto"/>
        <w:rPr>
          <w:rFonts w:ascii="Arial" w:hAnsi="Arial" w:cs="Arial"/>
          <w:sz w:val="24"/>
          <w:szCs w:val="24"/>
        </w:rPr>
      </w:pPr>
      <w:r w:rsidRPr="00BD7EDA">
        <w:rPr>
          <w:rFonts w:ascii="Arial" w:hAnsi="Arial" w:cs="Arial"/>
          <w:i/>
          <w:iCs/>
          <w:sz w:val="24"/>
          <w:szCs w:val="24"/>
        </w:rPr>
        <w:t>Marketing</w:t>
      </w:r>
      <w:r w:rsidRPr="00BD7EDA">
        <w:rPr>
          <w:rFonts w:ascii="Arial" w:hAnsi="Arial" w:cs="Arial"/>
          <w:sz w:val="24"/>
          <w:szCs w:val="24"/>
        </w:rPr>
        <w:t>: Use of digital campaigns and sponsorship outreach.</w:t>
      </w:r>
    </w:p>
    <w:p w14:paraId="446FD91F" w14:textId="77777777" w:rsidR="00BD7EDA" w:rsidRPr="00BD7EDA" w:rsidRDefault="00BD7EDA" w:rsidP="00BD7EDA">
      <w:pPr>
        <w:numPr>
          <w:ilvl w:val="0"/>
          <w:numId w:val="3"/>
        </w:numPr>
        <w:spacing w:line="360" w:lineRule="auto"/>
        <w:rPr>
          <w:rFonts w:ascii="Arial" w:hAnsi="Arial" w:cs="Arial"/>
          <w:sz w:val="24"/>
          <w:szCs w:val="24"/>
        </w:rPr>
      </w:pPr>
      <w:r w:rsidRPr="00BD7EDA">
        <w:rPr>
          <w:rFonts w:ascii="Arial" w:hAnsi="Arial" w:cs="Arial"/>
          <w:i/>
          <w:iCs/>
          <w:sz w:val="24"/>
          <w:szCs w:val="24"/>
        </w:rPr>
        <w:t>Operations</w:t>
      </w:r>
      <w:r w:rsidRPr="00BD7EDA">
        <w:rPr>
          <w:rFonts w:ascii="Arial" w:hAnsi="Arial" w:cs="Arial"/>
          <w:sz w:val="24"/>
          <w:szCs w:val="24"/>
        </w:rPr>
        <w:t>: Logistics coordination, venue management, and staffing.</w:t>
      </w:r>
    </w:p>
    <w:p w14:paraId="11E95A19" w14:textId="77777777" w:rsidR="00BD7EDA" w:rsidRPr="00BD7EDA" w:rsidRDefault="00BD7EDA" w:rsidP="00BD7EDA">
      <w:pPr>
        <w:numPr>
          <w:ilvl w:val="0"/>
          <w:numId w:val="3"/>
        </w:numPr>
        <w:spacing w:line="360" w:lineRule="auto"/>
        <w:rPr>
          <w:rFonts w:ascii="Arial" w:hAnsi="Arial" w:cs="Arial"/>
          <w:sz w:val="24"/>
          <w:szCs w:val="24"/>
        </w:rPr>
      </w:pPr>
      <w:r w:rsidRPr="00BD7EDA">
        <w:rPr>
          <w:rFonts w:ascii="Arial" w:hAnsi="Arial" w:cs="Arial"/>
          <w:i/>
          <w:iCs/>
          <w:sz w:val="24"/>
          <w:szCs w:val="24"/>
        </w:rPr>
        <w:t>Risk Management</w:t>
      </w:r>
      <w:r w:rsidRPr="00BD7EDA">
        <w:rPr>
          <w:rFonts w:ascii="Arial" w:hAnsi="Arial" w:cs="Arial"/>
          <w:sz w:val="24"/>
          <w:szCs w:val="24"/>
        </w:rPr>
        <w:t>: Safety protocols, contingency planning, and compliance with event regulations.</w:t>
      </w:r>
    </w:p>
    <w:p w14:paraId="1A737050" w14:textId="403230C5" w:rsidR="003929DE" w:rsidRPr="00BD7EDA" w:rsidRDefault="003929DE" w:rsidP="00BD7EDA">
      <w:pPr>
        <w:spacing w:line="360" w:lineRule="auto"/>
        <w:rPr>
          <w:rFonts w:ascii="Arial" w:hAnsi="Arial" w:cs="Arial"/>
          <w:sz w:val="24"/>
          <w:szCs w:val="24"/>
        </w:rPr>
      </w:pPr>
    </w:p>
    <w:p w14:paraId="742569B5" w14:textId="77777777" w:rsidR="00254ECC" w:rsidRPr="003929DE" w:rsidRDefault="00254ECC" w:rsidP="00254ECC">
      <w:pPr>
        <w:rPr>
          <w:rFonts w:ascii="Arial" w:hAnsi="Arial" w:cs="Arial"/>
          <w:b/>
          <w:bCs/>
          <w:sz w:val="24"/>
          <w:szCs w:val="24"/>
          <w:lang w:val="en-US"/>
        </w:rPr>
      </w:pPr>
      <w:r w:rsidRPr="003929DE">
        <w:rPr>
          <w:rFonts w:ascii="Arial" w:hAnsi="Arial" w:cs="Arial"/>
          <w:b/>
          <w:bCs/>
          <w:sz w:val="24"/>
          <w:szCs w:val="24"/>
          <w:lang w:val="en-US"/>
        </w:rPr>
        <w:t>Table 1: EMBOK Framework Implementation Table</w:t>
      </w:r>
    </w:p>
    <w:tbl>
      <w:tblPr>
        <w:tblStyle w:val="TableGrid"/>
        <w:tblW w:w="0" w:type="auto"/>
        <w:tblLook w:val="04A0" w:firstRow="1" w:lastRow="0" w:firstColumn="1" w:lastColumn="0" w:noHBand="0" w:noVBand="1"/>
      </w:tblPr>
      <w:tblGrid>
        <w:gridCol w:w="1923"/>
        <w:gridCol w:w="7093"/>
      </w:tblGrid>
      <w:tr w:rsidR="00254ECC" w:rsidRPr="00254ECC" w14:paraId="2B9819AC"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5A554541"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EMBOK Domain</w:t>
            </w:r>
          </w:p>
        </w:tc>
        <w:tc>
          <w:tcPr>
            <w:tcW w:w="0" w:type="auto"/>
            <w:tcBorders>
              <w:top w:val="single" w:sz="4" w:space="0" w:color="auto"/>
              <w:left w:val="single" w:sz="4" w:space="0" w:color="auto"/>
              <w:bottom w:val="single" w:sz="4" w:space="0" w:color="auto"/>
              <w:right w:val="single" w:sz="4" w:space="0" w:color="auto"/>
            </w:tcBorders>
            <w:hideMark/>
          </w:tcPr>
          <w:p w14:paraId="144EBC3D"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Key Actions Implemented</w:t>
            </w:r>
          </w:p>
        </w:tc>
      </w:tr>
      <w:tr w:rsidR="00254ECC" w:rsidRPr="00254ECC" w14:paraId="58B09AD1"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051DA717"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Administration</w:t>
            </w:r>
          </w:p>
        </w:tc>
        <w:tc>
          <w:tcPr>
            <w:tcW w:w="0" w:type="auto"/>
            <w:tcBorders>
              <w:top w:val="single" w:sz="4" w:space="0" w:color="auto"/>
              <w:left w:val="single" w:sz="4" w:space="0" w:color="auto"/>
              <w:bottom w:val="single" w:sz="4" w:space="0" w:color="auto"/>
              <w:right w:val="single" w:sz="4" w:space="0" w:color="auto"/>
            </w:tcBorders>
            <w:hideMark/>
          </w:tcPr>
          <w:p w14:paraId="5D9FDB65"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Budget planning, securing sponsorships, compliance with UK Equality Act 2010, risk assessments, and contingency planning.</w:t>
            </w:r>
          </w:p>
        </w:tc>
      </w:tr>
      <w:tr w:rsidR="00254ECC" w:rsidRPr="00254ECC" w14:paraId="008A1EA0"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0A3017B3"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Design</w:t>
            </w:r>
          </w:p>
        </w:tc>
        <w:tc>
          <w:tcPr>
            <w:tcW w:w="0" w:type="auto"/>
            <w:tcBorders>
              <w:top w:val="single" w:sz="4" w:space="0" w:color="auto"/>
              <w:left w:val="single" w:sz="4" w:space="0" w:color="auto"/>
              <w:bottom w:val="single" w:sz="4" w:space="0" w:color="auto"/>
              <w:right w:val="single" w:sz="4" w:space="0" w:color="auto"/>
            </w:tcBorders>
            <w:hideMark/>
          </w:tcPr>
          <w:p w14:paraId="7209E459"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Event branding, agenda structuring, keynote and workshop selection, and accessibility planning (e.g., sensory-friendly spaces).</w:t>
            </w:r>
          </w:p>
        </w:tc>
      </w:tr>
      <w:tr w:rsidR="00254ECC" w:rsidRPr="00254ECC" w14:paraId="38A05380"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4DC59001"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Marketing</w:t>
            </w:r>
          </w:p>
        </w:tc>
        <w:tc>
          <w:tcPr>
            <w:tcW w:w="0" w:type="auto"/>
            <w:tcBorders>
              <w:top w:val="single" w:sz="4" w:space="0" w:color="auto"/>
              <w:left w:val="single" w:sz="4" w:space="0" w:color="auto"/>
              <w:bottom w:val="single" w:sz="4" w:space="0" w:color="auto"/>
              <w:right w:val="single" w:sz="4" w:space="0" w:color="auto"/>
            </w:tcBorders>
            <w:hideMark/>
          </w:tcPr>
          <w:p w14:paraId="2F3252D4"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Social media campaigns, partnerships with neurodiversity organizations, targeted outreach to SMEs in hospitality.</w:t>
            </w:r>
          </w:p>
        </w:tc>
      </w:tr>
      <w:tr w:rsidR="00254ECC" w:rsidRPr="00254ECC" w14:paraId="47C61617"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79B03016"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Operations</w:t>
            </w:r>
          </w:p>
        </w:tc>
        <w:tc>
          <w:tcPr>
            <w:tcW w:w="0" w:type="auto"/>
            <w:tcBorders>
              <w:top w:val="single" w:sz="4" w:space="0" w:color="auto"/>
              <w:left w:val="single" w:sz="4" w:space="0" w:color="auto"/>
              <w:bottom w:val="single" w:sz="4" w:space="0" w:color="auto"/>
              <w:right w:val="single" w:sz="4" w:space="0" w:color="auto"/>
            </w:tcBorders>
            <w:hideMark/>
          </w:tcPr>
          <w:p w14:paraId="7731ACFB"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Venue booking, hybrid conferencing setup, staff and volunteer coordination, catering and accessibility services.</w:t>
            </w:r>
          </w:p>
        </w:tc>
      </w:tr>
      <w:tr w:rsidR="00254ECC" w:rsidRPr="00254ECC" w14:paraId="6EA2B380"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154A4268"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Risk Management</w:t>
            </w:r>
          </w:p>
        </w:tc>
        <w:tc>
          <w:tcPr>
            <w:tcW w:w="0" w:type="auto"/>
            <w:tcBorders>
              <w:top w:val="single" w:sz="4" w:space="0" w:color="auto"/>
              <w:left w:val="single" w:sz="4" w:space="0" w:color="auto"/>
              <w:bottom w:val="single" w:sz="4" w:space="0" w:color="auto"/>
              <w:right w:val="single" w:sz="4" w:space="0" w:color="auto"/>
            </w:tcBorders>
            <w:hideMark/>
          </w:tcPr>
          <w:p w14:paraId="5CE23F49"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Backup speakers, alternative technology solutions for hybrid participation, emergency medical and security plans.</w:t>
            </w:r>
          </w:p>
        </w:tc>
      </w:tr>
    </w:tbl>
    <w:p w14:paraId="72CD297C" w14:textId="77777777" w:rsidR="00254ECC" w:rsidRPr="00254ECC" w:rsidRDefault="00254ECC" w:rsidP="00254ECC">
      <w:pPr>
        <w:rPr>
          <w:lang w:val="en-US"/>
        </w:rPr>
      </w:pPr>
    </w:p>
    <w:p w14:paraId="009F41FB" w14:textId="77777777" w:rsidR="0050347D" w:rsidRDefault="0050347D" w:rsidP="00254ECC">
      <w:pPr>
        <w:rPr>
          <w:rFonts w:ascii="Arial" w:hAnsi="Arial" w:cs="Arial"/>
          <w:b/>
          <w:bCs/>
          <w:sz w:val="24"/>
          <w:szCs w:val="24"/>
          <w:lang w:val="en-US"/>
        </w:rPr>
      </w:pPr>
    </w:p>
    <w:p w14:paraId="43BD8125" w14:textId="121667F8" w:rsidR="00254ECC" w:rsidRPr="003929DE" w:rsidRDefault="00254ECC" w:rsidP="00254ECC">
      <w:pPr>
        <w:rPr>
          <w:rFonts w:ascii="Arial" w:hAnsi="Arial" w:cs="Arial"/>
          <w:b/>
          <w:bCs/>
          <w:sz w:val="24"/>
          <w:szCs w:val="24"/>
          <w:lang w:val="en-US"/>
        </w:rPr>
      </w:pPr>
      <w:r w:rsidRPr="003929DE">
        <w:rPr>
          <w:rFonts w:ascii="Arial" w:hAnsi="Arial" w:cs="Arial"/>
          <w:b/>
          <w:bCs/>
          <w:sz w:val="24"/>
          <w:szCs w:val="24"/>
          <w:lang w:val="en-US"/>
        </w:rPr>
        <w:lastRenderedPageBreak/>
        <w:t>Table 2: Risk Assessment Matrix</w:t>
      </w:r>
    </w:p>
    <w:tbl>
      <w:tblPr>
        <w:tblStyle w:val="TableGrid"/>
        <w:tblW w:w="0" w:type="auto"/>
        <w:tblLook w:val="04A0" w:firstRow="1" w:lastRow="0" w:firstColumn="1" w:lastColumn="0" w:noHBand="0" w:noVBand="1"/>
      </w:tblPr>
      <w:tblGrid>
        <w:gridCol w:w="2300"/>
        <w:gridCol w:w="1416"/>
        <w:gridCol w:w="1070"/>
        <w:gridCol w:w="4230"/>
      </w:tblGrid>
      <w:tr w:rsidR="00254ECC" w:rsidRPr="00254ECC" w14:paraId="1C70E4E4"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58102F19"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Risk Factor</w:t>
            </w:r>
          </w:p>
        </w:tc>
        <w:tc>
          <w:tcPr>
            <w:tcW w:w="0" w:type="auto"/>
            <w:tcBorders>
              <w:top w:val="single" w:sz="4" w:space="0" w:color="auto"/>
              <w:left w:val="single" w:sz="4" w:space="0" w:color="auto"/>
              <w:bottom w:val="single" w:sz="4" w:space="0" w:color="auto"/>
              <w:right w:val="single" w:sz="4" w:space="0" w:color="auto"/>
            </w:tcBorders>
            <w:hideMark/>
          </w:tcPr>
          <w:p w14:paraId="7FEBB6EF"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Likelihood</w:t>
            </w:r>
          </w:p>
        </w:tc>
        <w:tc>
          <w:tcPr>
            <w:tcW w:w="0" w:type="auto"/>
            <w:tcBorders>
              <w:top w:val="single" w:sz="4" w:space="0" w:color="auto"/>
              <w:left w:val="single" w:sz="4" w:space="0" w:color="auto"/>
              <w:bottom w:val="single" w:sz="4" w:space="0" w:color="auto"/>
              <w:right w:val="single" w:sz="4" w:space="0" w:color="auto"/>
            </w:tcBorders>
            <w:hideMark/>
          </w:tcPr>
          <w:p w14:paraId="10D5DB66"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Impact</w:t>
            </w:r>
          </w:p>
        </w:tc>
        <w:tc>
          <w:tcPr>
            <w:tcW w:w="0" w:type="auto"/>
            <w:tcBorders>
              <w:top w:val="single" w:sz="4" w:space="0" w:color="auto"/>
              <w:left w:val="single" w:sz="4" w:space="0" w:color="auto"/>
              <w:bottom w:val="single" w:sz="4" w:space="0" w:color="auto"/>
              <w:right w:val="single" w:sz="4" w:space="0" w:color="auto"/>
            </w:tcBorders>
            <w:hideMark/>
          </w:tcPr>
          <w:p w14:paraId="774E932C"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Mitigation Strategy</w:t>
            </w:r>
          </w:p>
        </w:tc>
      </w:tr>
      <w:tr w:rsidR="00254ECC" w:rsidRPr="00254ECC" w14:paraId="0BC9B849"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3209B381"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Speaker cancellation</w:t>
            </w:r>
          </w:p>
        </w:tc>
        <w:tc>
          <w:tcPr>
            <w:tcW w:w="0" w:type="auto"/>
            <w:tcBorders>
              <w:top w:val="single" w:sz="4" w:space="0" w:color="auto"/>
              <w:left w:val="single" w:sz="4" w:space="0" w:color="auto"/>
              <w:bottom w:val="single" w:sz="4" w:space="0" w:color="auto"/>
              <w:right w:val="single" w:sz="4" w:space="0" w:color="auto"/>
            </w:tcBorders>
            <w:hideMark/>
          </w:tcPr>
          <w:p w14:paraId="393829F0"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Medium</w:t>
            </w:r>
          </w:p>
        </w:tc>
        <w:tc>
          <w:tcPr>
            <w:tcW w:w="0" w:type="auto"/>
            <w:tcBorders>
              <w:top w:val="single" w:sz="4" w:space="0" w:color="auto"/>
              <w:left w:val="single" w:sz="4" w:space="0" w:color="auto"/>
              <w:bottom w:val="single" w:sz="4" w:space="0" w:color="auto"/>
              <w:right w:val="single" w:sz="4" w:space="0" w:color="auto"/>
            </w:tcBorders>
            <w:hideMark/>
          </w:tcPr>
          <w:p w14:paraId="3AADC05E"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High</w:t>
            </w:r>
          </w:p>
        </w:tc>
        <w:tc>
          <w:tcPr>
            <w:tcW w:w="0" w:type="auto"/>
            <w:tcBorders>
              <w:top w:val="single" w:sz="4" w:space="0" w:color="auto"/>
              <w:left w:val="single" w:sz="4" w:space="0" w:color="auto"/>
              <w:bottom w:val="single" w:sz="4" w:space="0" w:color="auto"/>
              <w:right w:val="single" w:sz="4" w:space="0" w:color="auto"/>
            </w:tcBorders>
            <w:hideMark/>
          </w:tcPr>
          <w:p w14:paraId="36B9AA5E"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Secure backup speakers and pre-record keynote sessions.</w:t>
            </w:r>
          </w:p>
        </w:tc>
      </w:tr>
      <w:tr w:rsidR="00254ECC" w:rsidRPr="00254ECC" w14:paraId="5E4F7C5E"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54AF7DB8"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Technical issues (hybrid event)</w:t>
            </w:r>
          </w:p>
        </w:tc>
        <w:tc>
          <w:tcPr>
            <w:tcW w:w="0" w:type="auto"/>
            <w:tcBorders>
              <w:top w:val="single" w:sz="4" w:space="0" w:color="auto"/>
              <w:left w:val="single" w:sz="4" w:space="0" w:color="auto"/>
              <w:bottom w:val="single" w:sz="4" w:space="0" w:color="auto"/>
              <w:right w:val="single" w:sz="4" w:space="0" w:color="auto"/>
            </w:tcBorders>
            <w:hideMark/>
          </w:tcPr>
          <w:p w14:paraId="6B76D455"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High</w:t>
            </w:r>
          </w:p>
        </w:tc>
        <w:tc>
          <w:tcPr>
            <w:tcW w:w="0" w:type="auto"/>
            <w:tcBorders>
              <w:top w:val="single" w:sz="4" w:space="0" w:color="auto"/>
              <w:left w:val="single" w:sz="4" w:space="0" w:color="auto"/>
              <w:bottom w:val="single" w:sz="4" w:space="0" w:color="auto"/>
              <w:right w:val="single" w:sz="4" w:space="0" w:color="auto"/>
            </w:tcBorders>
            <w:hideMark/>
          </w:tcPr>
          <w:p w14:paraId="48BCAE93"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High</w:t>
            </w:r>
          </w:p>
        </w:tc>
        <w:tc>
          <w:tcPr>
            <w:tcW w:w="0" w:type="auto"/>
            <w:tcBorders>
              <w:top w:val="single" w:sz="4" w:space="0" w:color="auto"/>
              <w:left w:val="single" w:sz="4" w:space="0" w:color="auto"/>
              <w:bottom w:val="single" w:sz="4" w:space="0" w:color="auto"/>
              <w:right w:val="single" w:sz="4" w:space="0" w:color="auto"/>
            </w:tcBorders>
            <w:hideMark/>
          </w:tcPr>
          <w:p w14:paraId="0982143F"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Have on-site and remote IT support, test all equipment before the event.</w:t>
            </w:r>
          </w:p>
        </w:tc>
      </w:tr>
      <w:tr w:rsidR="00254ECC" w:rsidRPr="00254ECC" w14:paraId="0C61A720"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2A6306EE"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Low ticket sales</w:t>
            </w:r>
          </w:p>
        </w:tc>
        <w:tc>
          <w:tcPr>
            <w:tcW w:w="0" w:type="auto"/>
            <w:tcBorders>
              <w:top w:val="single" w:sz="4" w:space="0" w:color="auto"/>
              <w:left w:val="single" w:sz="4" w:space="0" w:color="auto"/>
              <w:bottom w:val="single" w:sz="4" w:space="0" w:color="auto"/>
              <w:right w:val="single" w:sz="4" w:space="0" w:color="auto"/>
            </w:tcBorders>
            <w:hideMark/>
          </w:tcPr>
          <w:p w14:paraId="340D97B4"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Medium</w:t>
            </w:r>
          </w:p>
        </w:tc>
        <w:tc>
          <w:tcPr>
            <w:tcW w:w="0" w:type="auto"/>
            <w:tcBorders>
              <w:top w:val="single" w:sz="4" w:space="0" w:color="auto"/>
              <w:left w:val="single" w:sz="4" w:space="0" w:color="auto"/>
              <w:bottom w:val="single" w:sz="4" w:space="0" w:color="auto"/>
              <w:right w:val="single" w:sz="4" w:space="0" w:color="auto"/>
            </w:tcBorders>
            <w:hideMark/>
          </w:tcPr>
          <w:p w14:paraId="0881938F"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Medium</w:t>
            </w:r>
          </w:p>
        </w:tc>
        <w:tc>
          <w:tcPr>
            <w:tcW w:w="0" w:type="auto"/>
            <w:tcBorders>
              <w:top w:val="single" w:sz="4" w:space="0" w:color="auto"/>
              <w:left w:val="single" w:sz="4" w:space="0" w:color="auto"/>
              <w:bottom w:val="single" w:sz="4" w:space="0" w:color="auto"/>
              <w:right w:val="single" w:sz="4" w:space="0" w:color="auto"/>
            </w:tcBorders>
            <w:hideMark/>
          </w:tcPr>
          <w:p w14:paraId="6E068D25"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Offer early-bird discounts, increase social media advertising.</w:t>
            </w:r>
          </w:p>
        </w:tc>
      </w:tr>
      <w:tr w:rsidR="00254ECC" w:rsidRPr="00254ECC" w14:paraId="46AEEBDC"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195532A5"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Accessibility concerns</w:t>
            </w:r>
          </w:p>
        </w:tc>
        <w:tc>
          <w:tcPr>
            <w:tcW w:w="0" w:type="auto"/>
            <w:tcBorders>
              <w:top w:val="single" w:sz="4" w:space="0" w:color="auto"/>
              <w:left w:val="single" w:sz="4" w:space="0" w:color="auto"/>
              <w:bottom w:val="single" w:sz="4" w:space="0" w:color="auto"/>
              <w:right w:val="single" w:sz="4" w:space="0" w:color="auto"/>
            </w:tcBorders>
            <w:hideMark/>
          </w:tcPr>
          <w:p w14:paraId="7484AA5F"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Low</w:t>
            </w:r>
          </w:p>
        </w:tc>
        <w:tc>
          <w:tcPr>
            <w:tcW w:w="0" w:type="auto"/>
            <w:tcBorders>
              <w:top w:val="single" w:sz="4" w:space="0" w:color="auto"/>
              <w:left w:val="single" w:sz="4" w:space="0" w:color="auto"/>
              <w:bottom w:val="single" w:sz="4" w:space="0" w:color="auto"/>
              <w:right w:val="single" w:sz="4" w:space="0" w:color="auto"/>
            </w:tcBorders>
            <w:hideMark/>
          </w:tcPr>
          <w:p w14:paraId="2088F4D3"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High</w:t>
            </w:r>
          </w:p>
        </w:tc>
        <w:tc>
          <w:tcPr>
            <w:tcW w:w="0" w:type="auto"/>
            <w:tcBorders>
              <w:top w:val="single" w:sz="4" w:space="0" w:color="auto"/>
              <w:left w:val="single" w:sz="4" w:space="0" w:color="auto"/>
              <w:bottom w:val="single" w:sz="4" w:space="0" w:color="auto"/>
              <w:right w:val="single" w:sz="4" w:space="0" w:color="auto"/>
            </w:tcBorders>
            <w:hideMark/>
          </w:tcPr>
          <w:p w14:paraId="4125154C"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Provide real-time captioning, sensory-friendly areas, and multilingual support.</w:t>
            </w:r>
          </w:p>
        </w:tc>
      </w:tr>
      <w:tr w:rsidR="00254ECC" w:rsidRPr="00254ECC" w14:paraId="3D4721B9"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3F9B3C4D"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Budget shortfall</w:t>
            </w:r>
          </w:p>
        </w:tc>
        <w:tc>
          <w:tcPr>
            <w:tcW w:w="0" w:type="auto"/>
            <w:tcBorders>
              <w:top w:val="single" w:sz="4" w:space="0" w:color="auto"/>
              <w:left w:val="single" w:sz="4" w:space="0" w:color="auto"/>
              <w:bottom w:val="single" w:sz="4" w:space="0" w:color="auto"/>
              <w:right w:val="single" w:sz="4" w:space="0" w:color="auto"/>
            </w:tcBorders>
            <w:hideMark/>
          </w:tcPr>
          <w:p w14:paraId="41652699"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Medium</w:t>
            </w:r>
          </w:p>
        </w:tc>
        <w:tc>
          <w:tcPr>
            <w:tcW w:w="0" w:type="auto"/>
            <w:tcBorders>
              <w:top w:val="single" w:sz="4" w:space="0" w:color="auto"/>
              <w:left w:val="single" w:sz="4" w:space="0" w:color="auto"/>
              <w:bottom w:val="single" w:sz="4" w:space="0" w:color="auto"/>
              <w:right w:val="single" w:sz="4" w:space="0" w:color="auto"/>
            </w:tcBorders>
            <w:hideMark/>
          </w:tcPr>
          <w:p w14:paraId="60868024"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High</w:t>
            </w:r>
          </w:p>
        </w:tc>
        <w:tc>
          <w:tcPr>
            <w:tcW w:w="0" w:type="auto"/>
            <w:tcBorders>
              <w:top w:val="single" w:sz="4" w:space="0" w:color="auto"/>
              <w:left w:val="single" w:sz="4" w:space="0" w:color="auto"/>
              <w:bottom w:val="single" w:sz="4" w:space="0" w:color="auto"/>
              <w:right w:val="single" w:sz="4" w:space="0" w:color="auto"/>
            </w:tcBorders>
            <w:hideMark/>
          </w:tcPr>
          <w:p w14:paraId="22EEC6A3"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Diversify sponsorship sources, implement tiered ticket pricing.</w:t>
            </w:r>
          </w:p>
        </w:tc>
      </w:tr>
    </w:tbl>
    <w:p w14:paraId="39A560A3" w14:textId="77777777" w:rsidR="00254ECC" w:rsidRPr="00254ECC" w:rsidRDefault="00254ECC" w:rsidP="00254ECC">
      <w:pPr>
        <w:rPr>
          <w:lang w:val="en-US"/>
        </w:rPr>
      </w:pPr>
    </w:p>
    <w:p w14:paraId="187913CD" w14:textId="77777777" w:rsidR="00254ECC" w:rsidRPr="00254ECC" w:rsidRDefault="00254ECC" w:rsidP="00254ECC">
      <w:pPr>
        <w:rPr>
          <w:lang w:val="en-US"/>
        </w:rPr>
      </w:pPr>
    </w:p>
    <w:p w14:paraId="77F956FE" w14:textId="77777777" w:rsidR="00254ECC" w:rsidRPr="003929DE" w:rsidRDefault="00254ECC" w:rsidP="00254ECC">
      <w:pPr>
        <w:rPr>
          <w:rFonts w:ascii="Arial" w:hAnsi="Arial" w:cs="Arial"/>
          <w:b/>
          <w:bCs/>
          <w:sz w:val="24"/>
          <w:szCs w:val="24"/>
          <w:lang w:val="en-US"/>
        </w:rPr>
      </w:pPr>
      <w:r w:rsidRPr="003929DE">
        <w:rPr>
          <w:rFonts w:ascii="Arial" w:hAnsi="Arial" w:cs="Arial"/>
          <w:b/>
          <w:bCs/>
          <w:sz w:val="24"/>
          <w:szCs w:val="24"/>
          <w:lang w:val="en-US"/>
        </w:rPr>
        <w:t>Table 3: Post-Event Impact Evaluation Plan</w:t>
      </w:r>
    </w:p>
    <w:tbl>
      <w:tblPr>
        <w:tblStyle w:val="TableGrid"/>
        <w:tblW w:w="0" w:type="auto"/>
        <w:tblLook w:val="04A0" w:firstRow="1" w:lastRow="0" w:firstColumn="1" w:lastColumn="0" w:noHBand="0" w:noVBand="1"/>
      </w:tblPr>
      <w:tblGrid>
        <w:gridCol w:w="2346"/>
        <w:gridCol w:w="6670"/>
      </w:tblGrid>
      <w:tr w:rsidR="00254ECC" w:rsidRPr="00254ECC" w14:paraId="6B3B9D4B"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338B3EF7"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Evaluation Metric</w:t>
            </w:r>
          </w:p>
        </w:tc>
        <w:tc>
          <w:tcPr>
            <w:tcW w:w="0" w:type="auto"/>
            <w:tcBorders>
              <w:top w:val="single" w:sz="4" w:space="0" w:color="auto"/>
              <w:left w:val="single" w:sz="4" w:space="0" w:color="auto"/>
              <w:bottom w:val="single" w:sz="4" w:space="0" w:color="auto"/>
              <w:right w:val="single" w:sz="4" w:space="0" w:color="auto"/>
            </w:tcBorders>
            <w:hideMark/>
          </w:tcPr>
          <w:p w14:paraId="7FFB6AC2"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Measurement Method</w:t>
            </w:r>
          </w:p>
        </w:tc>
      </w:tr>
      <w:tr w:rsidR="00254ECC" w:rsidRPr="00254ECC" w14:paraId="05C0CDF9"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690E3A28"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Attendee satisfaction</w:t>
            </w:r>
          </w:p>
        </w:tc>
        <w:tc>
          <w:tcPr>
            <w:tcW w:w="0" w:type="auto"/>
            <w:tcBorders>
              <w:top w:val="single" w:sz="4" w:space="0" w:color="auto"/>
              <w:left w:val="single" w:sz="4" w:space="0" w:color="auto"/>
              <w:bottom w:val="single" w:sz="4" w:space="0" w:color="auto"/>
              <w:right w:val="single" w:sz="4" w:space="0" w:color="auto"/>
            </w:tcBorders>
            <w:hideMark/>
          </w:tcPr>
          <w:p w14:paraId="61DA10BB"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Post-event survey on content, accessibility, and logistics.</w:t>
            </w:r>
          </w:p>
        </w:tc>
      </w:tr>
      <w:tr w:rsidR="00254ECC" w:rsidRPr="00254ECC" w14:paraId="55979C2E"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50AA7C7C"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Knowledge retention</w:t>
            </w:r>
          </w:p>
        </w:tc>
        <w:tc>
          <w:tcPr>
            <w:tcW w:w="0" w:type="auto"/>
            <w:tcBorders>
              <w:top w:val="single" w:sz="4" w:space="0" w:color="auto"/>
              <w:left w:val="single" w:sz="4" w:space="0" w:color="auto"/>
              <w:bottom w:val="single" w:sz="4" w:space="0" w:color="auto"/>
              <w:right w:val="single" w:sz="4" w:space="0" w:color="auto"/>
            </w:tcBorders>
            <w:hideMark/>
          </w:tcPr>
          <w:p w14:paraId="37766F46"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Follow-up questionnaires assessing applied learning six months post-event.</w:t>
            </w:r>
          </w:p>
        </w:tc>
      </w:tr>
      <w:tr w:rsidR="00254ECC" w:rsidRPr="00254ECC" w14:paraId="25FD90D4"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344F830D"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Networking success</w:t>
            </w:r>
          </w:p>
        </w:tc>
        <w:tc>
          <w:tcPr>
            <w:tcW w:w="0" w:type="auto"/>
            <w:tcBorders>
              <w:top w:val="single" w:sz="4" w:space="0" w:color="auto"/>
              <w:left w:val="single" w:sz="4" w:space="0" w:color="auto"/>
              <w:bottom w:val="single" w:sz="4" w:space="0" w:color="auto"/>
              <w:right w:val="single" w:sz="4" w:space="0" w:color="auto"/>
            </w:tcBorders>
            <w:hideMark/>
          </w:tcPr>
          <w:p w14:paraId="69636A9A"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Tracking business partnerships and collaborations formed at the event.</w:t>
            </w:r>
          </w:p>
        </w:tc>
      </w:tr>
      <w:tr w:rsidR="00254ECC" w:rsidRPr="00254ECC" w14:paraId="50969BF2"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0BA9EAAA"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Diversity implementation</w:t>
            </w:r>
          </w:p>
        </w:tc>
        <w:tc>
          <w:tcPr>
            <w:tcW w:w="0" w:type="auto"/>
            <w:tcBorders>
              <w:top w:val="single" w:sz="4" w:space="0" w:color="auto"/>
              <w:left w:val="single" w:sz="4" w:space="0" w:color="auto"/>
              <w:bottom w:val="single" w:sz="4" w:space="0" w:color="auto"/>
              <w:right w:val="single" w:sz="4" w:space="0" w:color="auto"/>
            </w:tcBorders>
            <w:hideMark/>
          </w:tcPr>
          <w:p w14:paraId="109C207A"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 xml:space="preserve">Survey participating companies six months </w:t>
            </w:r>
            <w:proofErr w:type="gramStart"/>
            <w:r w:rsidRPr="00254ECC">
              <w:rPr>
                <w:rFonts w:ascii="Arial" w:hAnsi="Arial" w:cs="Arial"/>
                <w:sz w:val="24"/>
                <w:szCs w:val="24"/>
                <w:lang w:val="en-US"/>
              </w:rPr>
              <w:t>later on</w:t>
            </w:r>
            <w:proofErr w:type="gramEnd"/>
            <w:r w:rsidRPr="00254ECC">
              <w:rPr>
                <w:rFonts w:ascii="Arial" w:hAnsi="Arial" w:cs="Arial"/>
                <w:sz w:val="24"/>
                <w:szCs w:val="24"/>
                <w:lang w:val="en-US"/>
              </w:rPr>
              <w:t xml:space="preserve"> neurodivergent hiring and workplace inclusion efforts.</w:t>
            </w:r>
          </w:p>
        </w:tc>
      </w:tr>
      <w:tr w:rsidR="00254ECC" w:rsidRPr="00254ECC" w14:paraId="129246FE"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3CE97286"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Financial sustainability</w:t>
            </w:r>
          </w:p>
        </w:tc>
        <w:tc>
          <w:tcPr>
            <w:tcW w:w="0" w:type="auto"/>
            <w:tcBorders>
              <w:top w:val="single" w:sz="4" w:space="0" w:color="auto"/>
              <w:left w:val="single" w:sz="4" w:space="0" w:color="auto"/>
              <w:bottom w:val="single" w:sz="4" w:space="0" w:color="auto"/>
              <w:right w:val="single" w:sz="4" w:space="0" w:color="auto"/>
            </w:tcBorders>
            <w:hideMark/>
          </w:tcPr>
          <w:p w14:paraId="62DB4FD3"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Review ticket sales, sponsorship retention, and feasibility of future events.</w:t>
            </w:r>
          </w:p>
        </w:tc>
      </w:tr>
    </w:tbl>
    <w:p w14:paraId="3BD8821F" w14:textId="77777777" w:rsidR="00FE362C" w:rsidRDefault="00FE362C" w:rsidP="00254ECC">
      <w:pPr>
        <w:rPr>
          <w:b/>
          <w:lang w:val="en-US"/>
        </w:rPr>
      </w:pPr>
    </w:p>
    <w:p w14:paraId="0231EB22" w14:textId="77777777" w:rsidR="0050347D" w:rsidRDefault="0050347D" w:rsidP="00AD16BE">
      <w:pPr>
        <w:rPr>
          <w:rFonts w:ascii="Arial" w:hAnsi="Arial" w:cs="Arial"/>
          <w:b/>
          <w:sz w:val="32"/>
          <w:szCs w:val="32"/>
          <w:lang w:val="en-US"/>
        </w:rPr>
      </w:pPr>
    </w:p>
    <w:p w14:paraId="7E44CF60" w14:textId="77777777" w:rsidR="0050347D" w:rsidRDefault="0050347D" w:rsidP="00AD16BE">
      <w:pPr>
        <w:rPr>
          <w:rFonts w:ascii="Arial" w:hAnsi="Arial" w:cs="Arial"/>
          <w:b/>
          <w:sz w:val="32"/>
          <w:szCs w:val="32"/>
          <w:lang w:val="en-US"/>
        </w:rPr>
      </w:pPr>
    </w:p>
    <w:p w14:paraId="65B6B8A3" w14:textId="77777777" w:rsidR="0050347D" w:rsidRDefault="0050347D" w:rsidP="00AD16BE">
      <w:pPr>
        <w:rPr>
          <w:rFonts w:ascii="Arial" w:hAnsi="Arial" w:cs="Arial"/>
          <w:b/>
          <w:sz w:val="32"/>
          <w:szCs w:val="32"/>
          <w:lang w:val="en-US"/>
        </w:rPr>
      </w:pPr>
    </w:p>
    <w:p w14:paraId="0AB44AC9" w14:textId="77777777" w:rsidR="0050347D" w:rsidRDefault="0050347D" w:rsidP="00AD16BE">
      <w:pPr>
        <w:rPr>
          <w:rFonts w:ascii="Arial" w:hAnsi="Arial" w:cs="Arial"/>
          <w:b/>
          <w:sz w:val="32"/>
          <w:szCs w:val="32"/>
          <w:lang w:val="en-US"/>
        </w:rPr>
      </w:pPr>
    </w:p>
    <w:p w14:paraId="1003FB8A" w14:textId="77777777" w:rsidR="0050347D" w:rsidRDefault="0050347D" w:rsidP="00AD16BE">
      <w:pPr>
        <w:rPr>
          <w:rFonts w:ascii="Arial" w:hAnsi="Arial" w:cs="Arial"/>
          <w:b/>
          <w:sz w:val="32"/>
          <w:szCs w:val="32"/>
          <w:lang w:val="en-US"/>
        </w:rPr>
      </w:pPr>
    </w:p>
    <w:p w14:paraId="10BA42FC" w14:textId="41A5C85A" w:rsidR="00254ECC" w:rsidRPr="00147FB1" w:rsidRDefault="00254ECC" w:rsidP="00AD16BE">
      <w:pPr>
        <w:rPr>
          <w:rFonts w:ascii="Arial" w:hAnsi="Arial" w:cs="Arial"/>
          <w:b/>
          <w:sz w:val="32"/>
          <w:szCs w:val="32"/>
          <w:lang w:val="en-US"/>
        </w:rPr>
      </w:pPr>
      <w:r w:rsidRPr="00147FB1">
        <w:rPr>
          <w:rFonts w:ascii="Arial" w:hAnsi="Arial" w:cs="Arial"/>
          <w:b/>
          <w:sz w:val="32"/>
          <w:szCs w:val="32"/>
          <w:lang w:val="en-US"/>
        </w:rPr>
        <w:lastRenderedPageBreak/>
        <w:t>Event Budget</w:t>
      </w:r>
    </w:p>
    <w:p w14:paraId="0FAB9AEF" w14:textId="77777777" w:rsidR="00BD7EDA" w:rsidRPr="00147FB1" w:rsidRDefault="00254ECC" w:rsidP="00BD7EDA">
      <w:pPr>
        <w:spacing w:line="360" w:lineRule="auto"/>
        <w:rPr>
          <w:rFonts w:ascii="Arial" w:hAnsi="Arial" w:cs="Arial"/>
          <w:sz w:val="24"/>
          <w:szCs w:val="24"/>
        </w:rPr>
      </w:pPr>
      <w:r w:rsidRPr="00147FB1">
        <w:rPr>
          <w:lang w:val="en-US"/>
        </w:rPr>
        <w:tab/>
      </w:r>
      <w:r w:rsidR="00BD7EDA" w:rsidRPr="00147FB1">
        <w:rPr>
          <w:rFonts w:ascii="Arial" w:hAnsi="Arial" w:cs="Arial"/>
          <w:sz w:val="24"/>
          <w:szCs w:val="24"/>
        </w:rPr>
        <w:t>A well-structured budget is essential for the financial viability of the conference. The projected income includes ticket sales, with 150 attendees paying £100 each, generating £15,000. Additional revenue will come from sponsorships, with tiered packages offering gold, silver, and bronze levels, collectively contributing £10,000. This brings the total projected income to £25,000. Expenditures are carefully planned to ensure quality while maintaining financial prudence. The largest expense is venue rental, estimated at £10,000, followed by catering costs of £5,000. Marketing activities will require £3,000, while accessibility enhancements, including Braille programs, sign language interpreters, and sensory-friendly features, will cost £4,000. These expenses total £22,000, leaving a net profit of £8,000. This surplus not only demonstrates the event’s financial feasibility but also provides funds for future initiatives aimed at promoting inclusivity (O’Toole, 2011). With scheduled routine auditing procedures, the financial discipline will ensure the sustainability of the entire event to its fulfilment.</w:t>
      </w:r>
    </w:p>
    <w:p w14:paraId="60437F7A" w14:textId="45637D9B" w:rsidR="00254ECC" w:rsidRPr="00BD52A6" w:rsidRDefault="00254ECC" w:rsidP="00BD7EDA">
      <w:pPr>
        <w:spacing w:line="360" w:lineRule="auto"/>
        <w:rPr>
          <w:rFonts w:ascii="Arial" w:hAnsi="Arial" w:cs="Arial"/>
          <w:b/>
          <w:bCs/>
          <w:sz w:val="24"/>
          <w:szCs w:val="24"/>
          <w:lang w:val="en-US"/>
        </w:rPr>
      </w:pPr>
      <w:r w:rsidRPr="00BD52A6">
        <w:rPr>
          <w:rFonts w:ascii="Arial" w:hAnsi="Arial" w:cs="Arial"/>
          <w:b/>
          <w:bCs/>
          <w:sz w:val="24"/>
          <w:szCs w:val="24"/>
          <w:lang w:val="en-US"/>
        </w:rPr>
        <w:t xml:space="preserve">Table </w:t>
      </w:r>
      <w:r w:rsidR="00BD52A6" w:rsidRPr="00BD52A6">
        <w:rPr>
          <w:rFonts w:ascii="Arial" w:hAnsi="Arial" w:cs="Arial"/>
          <w:b/>
          <w:bCs/>
          <w:sz w:val="24"/>
          <w:szCs w:val="24"/>
          <w:lang w:val="en-US"/>
        </w:rPr>
        <w:t>4</w:t>
      </w:r>
      <w:r w:rsidRPr="00BD52A6">
        <w:rPr>
          <w:rFonts w:ascii="Arial" w:hAnsi="Arial" w:cs="Arial"/>
          <w:b/>
          <w:bCs/>
          <w:sz w:val="24"/>
          <w:szCs w:val="24"/>
          <w:lang w:val="en-US"/>
        </w:rPr>
        <w:t>: Funding table</w:t>
      </w:r>
    </w:p>
    <w:tbl>
      <w:tblPr>
        <w:tblStyle w:val="TableGrid"/>
        <w:tblW w:w="0" w:type="auto"/>
        <w:tblLook w:val="04A0" w:firstRow="1" w:lastRow="0" w:firstColumn="1" w:lastColumn="0" w:noHBand="0" w:noVBand="1"/>
      </w:tblPr>
      <w:tblGrid>
        <w:gridCol w:w="2043"/>
        <w:gridCol w:w="2688"/>
      </w:tblGrid>
      <w:tr w:rsidR="00254ECC" w:rsidRPr="00254ECC" w14:paraId="32A5203D"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187E42FD"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Funding Source</w:t>
            </w:r>
          </w:p>
        </w:tc>
        <w:tc>
          <w:tcPr>
            <w:tcW w:w="0" w:type="auto"/>
            <w:tcBorders>
              <w:top w:val="single" w:sz="4" w:space="0" w:color="auto"/>
              <w:left w:val="single" w:sz="4" w:space="0" w:color="auto"/>
              <w:bottom w:val="single" w:sz="4" w:space="0" w:color="auto"/>
              <w:right w:val="single" w:sz="4" w:space="0" w:color="auto"/>
            </w:tcBorders>
            <w:hideMark/>
          </w:tcPr>
          <w:p w14:paraId="3EDCAB51"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Estimated Amount ($)</w:t>
            </w:r>
          </w:p>
        </w:tc>
      </w:tr>
      <w:tr w:rsidR="00254ECC" w:rsidRPr="00254ECC" w14:paraId="7C5483AC"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03D28786"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Sponsorships</w:t>
            </w:r>
          </w:p>
        </w:tc>
        <w:tc>
          <w:tcPr>
            <w:tcW w:w="0" w:type="auto"/>
            <w:tcBorders>
              <w:top w:val="single" w:sz="4" w:space="0" w:color="auto"/>
              <w:left w:val="single" w:sz="4" w:space="0" w:color="auto"/>
              <w:bottom w:val="single" w:sz="4" w:space="0" w:color="auto"/>
              <w:right w:val="single" w:sz="4" w:space="0" w:color="auto"/>
            </w:tcBorders>
            <w:hideMark/>
          </w:tcPr>
          <w:p w14:paraId="3EA5DE78"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10,000</w:t>
            </w:r>
          </w:p>
        </w:tc>
      </w:tr>
      <w:tr w:rsidR="00254ECC" w:rsidRPr="00254ECC" w14:paraId="1F89D313"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514C54C5"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Ticket Sales</w:t>
            </w:r>
          </w:p>
        </w:tc>
        <w:tc>
          <w:tcPr>
            <w:tcW w:w="0" w:type="auto"/>
            <w:tcBorders>
              <w:top w:val="single" w:sz="4" w:space="0" w:color="auto"/>
              <w:left w:val="single" w:sz="4" w:space="0" w:color="auto"/>
              <w:bottom w:val="single" w:sz="4" w:space="0" w:color="auto"/>
              <w:right w:val="single" w:sz="4" w:space="0" w:color="auto"/>
            </w:tcBorders>
            <w:hideMark/>
          </w:tcPr>
          <w:p w14:paraId="785CE9FF"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15,000</w:t>
            </w:r>
          </w:p>
        </w:tc>
      </w:tr>
      <w:tr w:rsidR="00254ECC" w:rsidRPr="00254ECC" w14:paraId="487FAADB"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05734810"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Grants</w:t>
            </w:r>
          </w:p>
        </w:tc>
        <w:tc>
          <w:tcPr>
            <w:tcW w:w="0" w:type="auto"/>
            <w:tcBorders>
              <w:top w:val="single" w:sz="4" w:space="0" w:color="auto"/>
              <w:left w:val="single" w:sz="4" w:space="0" w:color="auto"/>
              <w:bottom w:val="single" w:sz="4" w:space="0" w:color="auto"/>
              <w:right w:val="single" w:sz="4" w:space="0" w:color="auto"/>
            </w:tcBorders>
            <w:hideMark/>
          </w:tcPr>
          <w:p w14:paraId="32A03E38"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5,000</w:t>
            </w:r>
          </w:p>
        </w:tc>
      </w:tr>
      <w:tr w:rsidR="00254ECC" w:rsidRPr="00254ECC" w14:paraId="1DEBE3FC"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64CA7C75"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b/>
                <w:bCs/>
                <w:sz w:val="24"/>
                <w:szCs w:val="24"/>
                <w:lang w:val="en-US"/>
              </w:rPr>
              <w:t>Total Budget</w:t>
            </w:r>
          </w:p>
        </w:tc>
        <w:tc>
          <w:tcPr>
            <w:tcW w:w="0" w:type="auto"/>
            <w:tcBorders>
              <w:top w:val="single" w:sz="4" w:space="0" w:color="auto"/>
              <w:left w:val="single" w:sz="4" w:space="0" w:color="auto"/>
              <w:bottom w:val="single" w:sz="4" w:space="0" w:color="auto"/>
              <w:right w:val="single" w:sz="4" w:space="0" w:color="auto"/>
            </w:tcBorders>
            <w:hideMark/>
          </w:tcPr>
          <w:p w14:paraId="471579BB"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b/>
                <w:bCs/>
                <w:sz w:val="24"/>
                <w:szCs w:val="24"/>
                <w:lang w:val="en-US"/>
              </w:rPr>
              <w:t>30,000</w:t>
            </w:r>
          </w:p>
        </w:tc>
      </w:tr>
    </w:tbl>
    <w:p w14:paraId="7D960758" w14:textId="77777777" w:rsidR="00254ECC" w:rsidRPr="00254ECC" w:rsidRDefault="00254ECC" w:rsidP="00254ECC">
      <w:pPr>
        <w:rPr>
          <w:b/>
          <w:bCs/>
          <w:lang w:val="en-US"/>
        </w:rPr>
      </w:pPr>
    </w:p>
    <w:p w14:paraId="7FA4C223" w14:textId="379E2D81" w:rsidR="00254ECC" w:rsidRPr="003929DE" w:rsidRDefault="00254ECC" w:rsidP="00AD16BE">
      <w:pPr>
        <w:rPr>
          <w:rFonts w:ascii="Arial" w:hAnsi="Arial" w:cs="Arial"/>
          <w:b/>
          <w:sz w:val="32"/>
          <w:szCs w:val="32"/>
          <w:lang w:val="en-US"/>
        </w:rPr>
      </w:pPr>
      <w:r w:rsidRPr="003929DE">
        <w:rPr>
          <w:rFonts w:ascii="Arial" w:hAnsi="Arial" w:cs="Arial"/>
          <w:b/>
          <w:sz w:val="32"/>
          <w:szCs w:val="32"/>
          <w:lang w:val="en-US"/>
        </w:rPr>
        <w:t>Marketing Strategy</w:t>
      </w:r>
    </w:p>
    <w:p w14:paraId="6EB8ACA0" w14:textId="77777777" w:rsidR="00254ECC" w:rsidRPr="00254ECC" w:rsidRDefault="00254ECC" w:rsidP="00254ECC">
      <w:pPr>
        <w:numPr>
          <w:ilvl w:val="0"/>
          <w:numId w:val="4"/>
        </w:numPr>
        <w:rPr>
          <w:rFonts w:ascii="Arial" w:hAnsi="Arial" w:cs="Arial"/>
          <w:sz w:val="24"/>
          <w:szCs w:val="24"/>
          <w:lang w:val="en-US"/>
        </w:rPr>
      </w:pPr>
      <w:r w:rsidRPr="00254ECC">
        <w:rPr>
          <w:rFonts w:ascii="Arial" w:hAnsi="Arial" w:cs="Arial"/>
          <w:sz w:val="24"/>
          <w:szCs w:val="24"/>
          <w:lang w:val="en-US"/>
        </w:rPr>
        <w:t>4Ps Framework:</w:t>
      </w:r>
    </w:p>
    <w:p w14:paraId="3DC37654" w14:textId="77777777" w:rsidR="00254ECC" w:rsidRPr="00254ECC" w:rsidRDefault="00254ECC" w:rsidP="00254ECC">
      <w:pPr>
        <w:numPr>
          <w:ilvl w:val="1"/>
          <w:numId w:val="4"/>
        </w:numPr>
        <w:rPr>
          <w:rFonts w:ascii="Arial" w:hAnsi="Arial" w:cs="Arial"/>
          <w:sz w:val="24"/>
          <w:szCs w:val="24"/>
          <w:lang w:val="en-US"/>
        </w:rPr>
      </w:pPr>
      <w:r w:rsidRPr="00254ECC">
        <w:rPr>
          <w:rFonts w:ascii="Arial" w:hAnsi="Arial" w:cs="Arial"/>
          <w:sz w:val="24"/>
          <w:szCs w:val="24"/>
          <w:lang w:val="en-US"/>
        </w:rPr>
        <w:t>Product: A knowledge-sharing event with interactive discussions.</w:t>
      </w:r>
    </w:p>
    <w:p w14:paraId="0E9F4644" w14:textId="77777777" w:rsidR="00254ECC" w:rsidRPr="00254ECC" w:rsidRDefault="00254ECC" w:rsidP="00254ECC">
      <w:pPr>
        <w:numPr>
          <w:ilvl w:val="1"/>
          <w:numId w:val="4"/>
        </w:numPr>
        <w:rPr>
          <w:rFonts w:ascii="Arial" w:hAnsi="Arial" w:cs="Arial"/>
          <w:sz w:val="24"/>
          <w:szCs w:val="24"/>
          <w:lang w:val="en-US"/>
        </w:rPr>
      </w:pPr>
      <w:r w:rsidRPr="00254ECC">
        <w:rPr>
          <w:rFonts w:ascii="Arial" w:hAnsi="Arial" w:cs="Arial"/>
          <w:sz w:val="24"/>
          <w:szCs w:val="24"/>
          <w:lang w:val="en-US"/>
        </w:rPr>
        <w:t>Price: Ticket-based with early bird discounts.</w:t>
      </w:r>
    </w:p>
    <w:p w14:paraId="0F5758B3" w14:textId="77777777" w:rsidR="00254ECC" w:rsidRPr="00254ECC" w:rsidRDefault="00254ECC" w:rsidP="00254ECC">
      <w:pPr>
        <w:numPr>
          <w:ilvl w:val="1"/>
          <w:numId w:val="4"/>
        </w:numPr>
        <w:rPr>
          <w:rFonts w:ascii="Arial" w:hAnsi="Arial" w:cs="Arial"/>
          <w:sz w:val="24"/>
          <w:szCs w:val="24"/>
          <w:lang w:val="en-US"/>
        </w:rPr>
      </w:pPr>
      <w:r w:rsidRPr="00254ECC">
        <w:rPr>
          <w:rFonts w:ascii="Arial" w:hAnsi="Arial" w:cs="Arial"/>
          <w:sz w:val="24"/>
          <w:szCs w:val="24"/>
          <w:lang w:val="en-US"/>
        </w:rPr>
        <w:t>Place: Hosted at a central venue with virtual streaming options.</w:t>
      </w:r>
    </w:p>
    <w:p w14:paraId="24F29522" w14:textId="10C992E1" w:rsidR="00254ECC" w:rsidRDefault="00254ECC" w:rsidP="00254ECC">
      <w:pPr>
        <w:numPr>
          <w:ilvl w:val="1"/>
          <w:numId w:val="4"/>
        </w:numPr>
        <w:rPr>
          <w:rFonts w:ascii="Arial" w:hAnsi="Arial" w:cs="Arial"/>
          <w:sz w:val="24"/>
          <w:szCs w:val="24"/>
          <w:lang w:val="en-US"/>
        </w:rPr>
      </w:pPr>
      <w:r w:rsidRPr="00254ECC">
        <w:rPr>
          <w:rFonts w:ascii="Arial" w:hAnsi="Arial" w:cs="Arial"/>
          <w:sz w:val="24"/>
          <w:szCs w:val="24"/>
          <w:lang w:val="en-US"/>
        </w:rPr>
        <w:t xml:space="preserve">Promotion: Social media campaigns, </w:t>
      </w:r>
      <w:proofErr w:type="gramStart"/>
      <w:r w:rsidRPr="00254ECC">
        <w:rPr>
          <w:rFonts w:ascii="Arial" w:hAnsi="Arial" w:cs="Arial"/>
          <w:sz w:val="24"/>
          <w:szCs w:val="24"/>
          <w:lang w:val="en-US"/>
        </w:rPr>
        <w:t>influencer</w:t>
      </w:r>
      <w:proofErr w:type="gramEnd"/>
      <w:r w:rsidRPr="00254ECC">
        <w:rPr>
          <w:rFonts w:ascii="Arial" w:hAnsi="Arial" w:cs="Arial"/>
          <w:sz w:val="24"/>
          <w:szCs w:val="24"/>
          <w:lang w:val="en-US"/>
        </w:rPr>
        <w:t xml:space="preserve"> partnerships, and targeted ads</w:t>
      </w:r>
      <w:r w:rsidR="00623D93">
        <w:rPr>
          <w:rFonts w:ascii="Arial" w:hAnsi="Arial" w:cs="Arial"/>
          <w:sz w:val="24"/>
          <w:szCs w:val="24"/>
          <w:lang w:val="en-US"/>
        </w:rPr>
        <w:t>.</w:t>
      </w:r>
    </w:p>
    <w:p w14:paraId="7F62811A" w14:textId="77777777" w:rsidR="00AD16BE" w:rsidRDefault="00AD16BE" w:rsidP="00AD16BE">
      <w:pPr>
        <w:rPr>
          <w:rFonts w:ascii="Arial" w:hAnsi="Arial" w:cs="Arial"/>
          <w:sz w:val="24"/>
          <w:szCs w:val="24"/>
          <w:lang w:val="en-US"/>
        </w:rPr>
      </w:pPr>
    </w:p>
    <w:p w14:paraId="6E4E5276" w14:textId="77777777" w:rsidR="00AD16BE" w:rsidRPr="00254ECC" w:rsidRDefault="00AD16BE" w:rsidP="00AD16BE">
      <w:pPr>
        <w:rPr>
          <w:rFonts w:ascii="Arial" w:hAnsi="Arial" w:cs="Arial"/>
          <w:sz w:val="24"/>
          <w:szCs w:val="24"/>
          <w:lang w:val="en-US"/>
        </w:rPr>
      </w:pPr>
    </w:p>
    <w:p w14:paraId="0950057B" w14:textId="77777777" w:rsidR="00254ECC" w:rsidRPr="00254ECC" w:rsidRDefault="00254ECC" w:rsidP="00254ECC">
      <w:pPr>
        <w:rPr>
          <w:rFonts w:ascii="Arial" w:hAnsi="Arial" w:cs="Arial"/>
          <w:b/>
          <w:sz w:val="32"/>
          <w:szCs w:val="32"/>
          <w:lang w:val="en-US"/>
        </w:rPr>
      </w:pPr>
      <w:r w:rsidRPr="00254ECC">
        <w:rPr>
          <w:rFonts w:ascii="Arial" w:hAnsi="Arial" w:cs="Arial"/>
          <w:b/>
          <w:sz w:val="32"/>
          <w:szCs w:val="32"/>
          <w:lang w:val="en-US"/>
        </w:rPr>
        <w:lastRenderedPageBreak/>
        <w:t>Operations Plan</w:t>
      </w:r>
    </w:p>
    <w:p w14:paraId="5DEF0823" w14:textId="77777777" w:rsidR="00254ECC" w:rsidRPr="00254ECC" w:rsidRDefault="00254ECC" w:rsidP="00FE362C">
      <w:pPr>
        <w:numPr>
          <w:ilvl w:val="0"/>
          <w:numId w:val="5"/>
        </w:numPr>
        <w:spacing w:line="360" w:lineRule="auto"/>
        <w:rPr>
          <w:rFonts w:ascii="Arial" w:hAnsi="Arial" w:cs="Arial"/>
          <w:sz w:val="24"/>
          <w:szCs w:val="24"/>
          <w:lang w:val="en-US"/>
        </w:rPr>
      </w:pPr>
      <w:r w:rsidRPr="00254ECC">
        <w:rPr>
          <w:rFonts w:ascii="Arial" w:hAnsi="Arial" w:cs="Arial"/>
          <w:sz w:val="24"/>
          <w:szCs w:val="24"/>
          <w:lang w:val="en-US"/>
        </w:rPr>
        <w:t>Resource Allocation: Venue booking, vendor coordination, and security measures.</w:t>
      </w:r>
    </w:p>
    <w:p w14:paraId="3618195B" w14:textId="77777777" w:rsidR="00254ECC" w:rsidRPr="00254ECC" w:rsidRDefault="00254ECC" w:rsidP="00FE362C">
      <w:pPr>
        <w:numPr>
          <w:ilvl w:val="0"/>
          <w:numId w:val="5"/>
        </w:numPr>
        <w:spacing w:line="360" w:lineRule="auto"/>
        <w:rPr>
          <w:rFonts w:ascii="Arial" w:hAnsi="Arial" w:cs="Arial"/>
          <w:sz w:val="24"/>
          <w:szCs w:val="24"/>
          <w:lang w:val="en-US"/>
        </w:rPr>
      </w:pPr>
      <w:r w:rsidRPr="00254ECC">
        <w:rPr>
          <w:rFonts w:ascii="Arial" w:hAnsi="Arial" w:cs="Arial"/>
          <w:sz w:val="24"/>
          <w:szCs w:val="24"/>
          <w:lang w:val="en-US"/>
        </w:rPr>
        <w:t>Supply Chain: Contracts with catering and equipment suppliers.</w:t>
      </w:r>
    </w:p>
    <w:p w14:paraId="55918E73" w14:textId="04C240C3" w:rsidR="00254ECC" w:rsidRDefault="00254ECC" w:rsidP="00FE362C">
      <w:pPr>
        <w:numPr>
          <w:ilvl w:val="0"/>
          <w:numId w:val="5"/>
        </w:numPr>
        <w:spacing w:line="360" w:lineRule="auto"/>
        <w:rPr>
          <w:rFonts w:ascii="Arial" w:hAnsi="Arial" w:cs="Arial"/>
          <w:sz w:val="24"/>
          <w:szCs w:val="24"/>
          <w:lang w:val="en-US"/>
        </w:rPr>
      </w:pPr>
      <w:r w:rsidRPr="00254ECC">
        <w:rPr>
          <w:rFonts w:ascii="Arial" w:hAnsi="Arial" w:cs="Arial"/>
          <w:sz w:val="24"/>
          <w:szCs w:val="24"/>
          <w:lang w:val="en-US"/>
        </w:rPr>
        <w:t>Technology Integration: Event management software for seamless attendee experience</w:t>
      </w:r>
    </w:p>
    <w:p w14:paraId="4C12BC2D" w14:textId="25ECA15A" w:rsidR="00254ECC" w:rsidRPr="003929DE" w:rsidRDefault="00254ECC" w:rsidP="00AD16BE">
      <w:pPr>
        <w:rPr>
          <w:rFonts w:ascii="Arial" w:hAnsi="Arial" w:cs="Arial"/>
          <w:b/>
          <w:sz w:val="32"/>
          <w:szCs w:val="32"/>
          <w:lang w:val="en-US"/>
        </w:rPr>
      </w:pPr>
      <w:r w:rsidRPr="003929DE">
        <w:rPr>
          <w:rFonts w:ascii="Arial" w:hAnsi="Arial" w:cs="Arial"/>
          <w:b/>
          <w:sz w:val="32"/>
          <w:szCs w:val="32"/>
          <w:lang w:val="en-US"/>
        </w:rPr>
        <w:t>Industry Trends, Issues and Impacts</w:t>
      </w:r>
    </w:p>
    <w:p w14:paraId="3562FE0A" w14:textId="36B40611" w:rsidR="00623D93" w:rsidRPr="00360CA3" w:rsidRDefault="00254ECC" w:rsidP="00623D93">
      <w:pPr>
        <w:spacing w:line="480" w:lineRule="auto"/>
        <w:rPr>
          <w:rFonts w:ascii="Times New Roman" w:eastAsia="Times New Roman" w:hAnsi="Times New Roman" w:cs="Times New Roman"/>
          <w:sz w:val="24"/>
          <w:szCs w:val="24"/>
        </w:rPr>
      </w:pPr>
      <w:r w:rsidRPr="00254ECC">
        <w:rPr>
          <w:lang w:val="en-US"/>
        </w:rPr>
        <w:tab/>
      </w:r>
      <w:r w:rsidR="00623D93">
        <w:rPr>
          <w:rFonts w:ascii="Times New Roman" w:hAnsi="Times New Roman" w:cs="Times New Roman"/>
          <w:sz w:val="24"/>
          <w:szCs w:val="24"/>
        </w:rPr>
        <w:t>The current trends that characterize the events include inclusivity calls, sustainability alignments, and assistive technologies such as hybrid formats</w:t>
      </w:r>
      <w:r w:rsidR="00623D93" w:rsidRPr="00BF3DF9">
        <w:rPr>
          <w:rFonts w:ascii="Times New Roman" w:hAnsi="Times New Roman" w:cs="Times New Roman"/>
          <w:sz w:val="24"/>
          <w:szCs w:val="24"/>
        </w:rPr>
        <w:t>. The proposed conference is well-positioned to leverage these trends</w:t>
      </w:r>
      <w:r w:rsidR="00623D93" w:rsidRPr="008846BE">
        <w:t xml:space="preserve"> </w:t>
      </w:r>
      <w:r w:rsidR="00623D93" w:rsidRPr="008846BE">
        <w:rPr>
          <w:rFonts w:ascii="Times New Roman" w:hAnsi="Times New Roman" w:cs="Times New Roman"/>
          <w:sz w:val="24"/>
          <w:szCs w:val="24"/>
        </w:rPr>
        <w:t>(Ndindeng, 2024)</w:t>
      </w:r>
      <w:r w:rsidR="00623D93" w:rsidRPr="00BF3DF9">
        <w:rPr>
          <w:rFonts w:ascii="Times New Roman" w:hAnsi="Times New Roman" w:cs="Times New Roman"/>
          <w:sz w:val="24"/>
          <w:szCs w:val="24"/>
        </w:rPr>
        <w:t>, offering both in-person and virtual participation to maximize accessibility and engagement. Sustainability practices, such as using digital materials and minimizing waste, align with industry expectations and contribute to the event’s appeal.</w:t>
      </w:r>
      <w:r w:rsidR="00623D93" w:rsidRPr="00943224">
        <w:rPr>
          <w:rFonts w:ascii="Times New Roman" w:hAnsi="Times New Roman" w:cs="Times New Roman"/>
          <w:sz w:val="24"/>
          <w:szCs w:val="24"/>
        </w:rPr>
        <w:t xml:space="preserve"> </w:t>
      </w:r>
      <w:r w:rsidR="00623D93" w:rsidRPr="00BF3DF9">
        <w:rPr>
          <w:rFonts w:ascii="Times New Roman" w:hAnsi="Times New Roman" w:cs="Times New Roman"/>
          <w:sz w:val="24"/>
          <w:szCs w:val="24"/>
        </w:rPr>
        <w:t xml:space="preserve">However, challenges remain, including resistance to change and limited awareness of neurodiversity. </w:t>
      </w:r>
      <w:r w:rsidR="00623D93">
        <w:rPr>
          <w:rFonts w:ascii="Times New Roman" w:hAnsi="Times New Roman" w:cs="Times New Roman"/>
          <w:sz w:val="24"/>
          <w:szCs w:val="24"/>
        </w:rPr>
        <w:t>There is fear that the practice and choice of inclusive adoption could cost an organization dearly, which is true but is a worthy step because of the changing standards</w:t>
      </w:r>
      <w:r w:rsidR="00623D93" w:rsidRPr="008846BE">
        <w:t xml:space="preserve"> </w:t>
      </w:r>
      <w:r w:rsidR="00623D93" w:rsidRPr="008846BE">
        <w:rPr>
          <w:rFonts w:ascii="Times New Roman" w:hAnsi="Times New Roman" w:cs="Times New Roman"/>
          <w:sz w:val="24"/>
          <w:szCs w:val="24"/>
        </w:rPr>
        <w:t>(Walkowiak, 2024)</w:t>
      </w:r>
      <w:r w:rsidR="00623D93" w:rsidRPr="00BF3DF9">
        <w:rPr>
          <w:rFonts w:ascii="Times New Roman" w:hAnsi="Times New Roman" w:cs="Times New Roman"/>
          <w:sz w:val="24"/>
          <w:szCs w:val="24"/>
        </w:rPr>
        <w:t xml:space="preserve">. </w:t>
      </w:r>
      <w:r w:rsidR="00623D93">
        <w:rPr>
          <w:rFonts w:ascii="Times New Roman" w:hAnsi="Times New Roman" w:cs="Times New Roman"/>
          <w:sz w:val="24"/>
          <w:szCs w:val="24"/>
        </w:rPr>
        <w:t xml:space="preserve"> The event aims to ensure that the myriads of </w:t>
      </w:r>
      <w:proofErr w:type="gramStart"/>
      <w:r w:rsidR="00623D93">
        <w:rPr>
          <w:rFonts w:ascii="Times New Roman" w:hAnsi="Times New Roman" w:cs="Times New Roman"/>
          <w:sz w:val="24"/>
          <w:szCs w:val="24"/>
        </w:rPr>
        <w:t>talent</w:t>
      </w:r>
      <w:proofErr w:type="gramEnd"/>
      <w:r w:rsidR="00623D93">
        <w:rPr>
          <w:rFonts w:ascii="Times New Roman" w:hAnsi="Times New Roman" w:cs="Times New Roman"/>
          <w:sz w:val="24"/>
          <w:szCs w:val="24"/>
        </w:rPr>
        <w:t xml:space="preserve"> possessed by the neurodivergent class are manifested</w:t>
      </w:r>
      <w:r w:rsidR="00623D93" w:rsidRPr="00BF3DF9">
        <w:rPr>
          <w:rFonts w:ascii="Times New Roman" w:hAnsi="Times New Roman" w:cs="Times New Roman"/>
          <w:sz w:val="24"/>
          <w:szCs w:val="24"/>
        </w:rPr>
        <w:t>, such as enhanced creativity and problem-solving. By aligning with the UK’s Equality Act 2010 and CSR initiatives, the event not only meets regulatory requirements but also positions itself as a leader in promoting diversity and inclusion</w:t>
      </w:r>
      <w:r w:rsidR="00623D93" w:rsidRPr="008C6543">
        <w:t xml:space="preserve"> </w:t>
      </w:r>
      <w:r w:rsidR="00623D93" w:rsidRPr="002B15C2">
        <w:t>(Marinotti &amp; Johnston, 2024)</w:t>
      </w:r>
      <w:r w:rsidR="00623D93" w:rsidRPr="00BF3DF9">
        <w:rPr>
          <w:rFonts w:ascii="Times New Roman" w:hAnsi="Times New Roman" w:cs="Times New Roman"/>
          <w:sz w:val="24"/>
          <w:szCs w:val="24"/>
        </w:rPr>
        <w:t>.</w:t>
      </w:r>
      <w:r w:rsidR="00623D93" w:rsidRPr="00943224">
        <w:rPr>
          <w:rFonts w:ascii="Times New Roman" w:hAnsi="Times New Roman" w:cs="Times New Roman"/>
          <w:sz w:val="24"/>
          <w:szCs w:val="24"/>
        </w:rPr>
        <w:t xml:space="preserve"> </w:t>
      </w:r>
      <w:r w:rsidR="00623D93" w:rsidRPr="00BF3DF9">
        <w:rPr>
          <w:rFonts w:ascii="Times New Roman" w:hAnsi="Times New Roman" w:cs="Times New Roman"/>
          <w:sz w:val="24"/>
          <w:szCs w:val="24"/>
        </w:rPr>
        <w:t xml:space="preserve">The rise of technology in the events industry has also introduced new possibilities, such as virtual reality tours and gamified experiences. </w:t>
      </w:r>
      <w:r w:rsidR="00623D93">
        <w:rPr>
          <w:rFonts w:ascii="Times New Roman" w:hAnsi="Times New Roman" w:cs="Times New Roman"/>
          <w:sz w:val="24"/>
          <w:szCs w:val="24"/>
        </w:rPr>
        <w:t>With the modern technology adopted, the participants can enjoy a seamless interaction with the speakers in their estate without interruptions yet at the comfort of their location creating a wide base of attendance for both physical participants and online members</w:t>
      </w:r>
      <w:r w:rsidR="00623D93" w:rsidRPr="008846BE">
        <w:t xml:space="preserve"> </w:t>
      </w:r>
      <w:r w:rsidR="00623D93" w:rsidRPr="008846BE">
        <w:rPr>
          <w:rFonts w:ascii="Times New Roman" w:hAnsi="Times New Roman" w:cs="Times New Roman"/>
          <w:sz w:val="24"/>
          <w:szCs w:val="24"/>
        </w:rPr>
        <w:t>(Ali, Grabarski, &amp; Baker, 2024</w:t>
      </w:r>
      <w:r w:rsidR="0050347D">
        <w:rPr>
          <w:rFonts w:ascii="Times New Roman" w:hAnsi="Times New Roman" w:cs="Times New Roman"/>
          <w:sz w:val="24"/>
          <w:szCs w:val="24"/>
        </w:rPr>
        <w:t>b</w:t>
      </w:r>
      <w:r w:rsidR="00623D93" w:rsidRPr="008846BE">
        <w:rPr>
          <w:rFonts w:ascii="Times New Roman" w:hAnsi="Times New Roman" w:cs="Times New Roman"/>
          <w:sz w:val="24"/>
          <w:szCs w:val="24"/>
        </w:rPr>
        <w:t>)</w:t>
      </w:r>
      <w:r w:rsidR="00623D93">
        <w:rPr>
          <w:rFonts w:ascii="Times New Roman" w:hAnsi="Times New Roman" w:cs="Times New Roman"/>
          <w:sz w:val="24"/>
          <w:szCs w:val="24"/>
        </w:rPr>
        <w:t>.</w:t>
      </w:r>
      <w:r w:rsidR="00623D93" w:rsidRPr="00BF3DF9">
        <w:rPr>
          <w:rFonts w:ascii="Times New Roman" w:hAnsi="Times New Roman" w:cs="Times New Roman"/>
          <w:sz w:val="24"/>
          <w:szCs w:val="24"/>
        </w:rPr>
        <w:t xml:space="preserve"> </w:t>
      </w:r>
    </w:p>
    <w:p w14:paraId="05C9E17E" w14:textId="31B89EE0" w:rsidR="00254ECC" w:rsidRPr="00623D93" w:rsidRDefault="00254ECC" w:rsidP="00FE362C">
      <w:pPr>
        <w:spacing w:line="360" w:lineRule="auto"/>
        <w:rPr>
          <w:rFonts w:ascii="Arial" w:hAnsi="Arial" w:cs="Arial"/>
          <w:sz w:val="24"/>
          <w:szCs w:val="24"/>
        </w:rPr>
      </w:pPr>
    </w:p>
    <w:p w14:paraId="2F205D3B" w14:textId="081436BE" w:rsidR="00623D93" w:rsidRDefault="00254ECC" w:rsidP="00623D93">
      <w:pPr>
        <w:rPr>
          <w:rFonts w:ascii="Arial" w:hAnsi="Arial" w:cs="Arial"/>
          <w:b/>
          <w:sz w:val="32"/>
          <w:szCs w:val="32"/>
          <w:lang w:val="en-US"/>
        </w:rPr>
      </w:pPr>
      <w:r w:rsidRPr="00254ECC">
        <w:rPr>
          <w:rFonts w:ascii="Arial" w:hAnsi="Arial" w:cs="Arial"/>
          <w:b/>
          <w:sz w:val="32"/>
          <w:szCs w:val="32"/>
          <w:lang w:val="en-US"/>
        </w:rPr>
        <w:t>Situational and Cultural Considerations</w:t>
      </w:r>
    </w:p>
    <w:p w14:paraId="24731580" w14:textId="35B6350C" w:rsidR="00623D93" w:rsidRPr="00623D93" w:rsidRDefault="00623D93" w:rsidP="00623D93">
      <w:pPr>
        <w:rPr>
          <w:rFonts w:ascii="Arial" w:hAnsi="Arial" w:cs="Arial"/>
          <w:b/>
          <w:sz w:val="32"/>
          <w:szCs w:val="32"/>
          <w:lang w:val="en-US"/>
        </w:rPr>
      </w:pPr>
      <w:r>
        <w:rPr>
          <w:rFonts w:ascii="Arial" w:hAnsi="Arial" w:cs="Arial"/>
          <w:b/>
          <w:sz w:val="32"/>
          <w:szCs w:val="32"/>
          <w:lang w:val="en-US"/>
        </w:rPr>
        <w:t>PESTEL Analysis</w:t>
      </w:r>
    </w:p>
    <w:tbl>
      <w:tblPr>
        <w:tblStyle w:val="TableGrid"/>
        <w:tblW w:w="11242" w:type="dxa"/>
        <w:tblInd w:w="-815" w:type="dxa"/>
        <w:tblLook w:val="04A0" w:firstRow="1" w:lastRow="0" w:firstColumn="1" w:lastColumn="0" w:noHBand="0" w:noVBand="1"/>
      </w:tblPr>
      <w:tblGrid>
        <w:gridCol w:w="2578"/>
        <w:gridCol w:w="8664"/>
      </w:tblGrid>
      <w:tr w:rsidR="00623D93" w:rsidRPr="00623D93" w14:paraId="632D9571" w14:textId="77777777" w:rsidTr="00165867">
        <w:trPr>
          <w:trHeight w:val="358"/>
        </w:trPr>
        <w:tc>
          <w:tcPr>
            <w:tcW w:w="2578" w:type="dxa"/>
            <w:noWrap/>
            <w:hideMark/>
          </w:tcPr>
          <w:p w14:paraId="07A577CE" w14:textId="77777777" w:rsidR="00623D93" w:rsidRPr="00623D93" w:rsidRDefault="00623D93" w:rsidP="00623D93">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PESTEL Factor</w:t>
            </w:r>
          </w:p>
        </w:tc>
        <w:tc>
          <w:tcPr>
            <w:tcW w:w="8664" w:type="dxa"/>
            <w:noWrap/>
            <w:hideMark/>
          </w:tcPr>
          <w:p w14:paraId="71F1C55E" w14:textId="77777777" w:rsidR="00623D93" w:rsidRPr="00623D93" w:rsidRDefault="00623D93" w:rsidP="00623D93">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Summary</w:t>
            </w:r>
          </w:p>
        </w:tc>
      </w:tr>
      <w:tr w:rsidR="00623D93" w:rsidRPr="00623D93" w14:paraId="03BEEFE7" w14:textId="77777777" w:rsidTr="00165867">
        <w:trPr>
          <w:trHeight w:val="358"/>
        </w:trPr>
        <w:tc>
          <w:tcPr>
            <w:tcW w:w="2578" w:type="dxa"/>
            <w:noWrap/>
            <w:hideMark/>
          </w:tcPr>
          <w:p w14:paraId="66CAF846" w14:textId="77777777" w:rsidR="00623D93" w:rsidRPr="00623D93" w:rsidRDefault="00623D93" w:rsidP="00623D93">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Political</w:t>
            </w:r>
          </w:p>
        </w:tc>
        <w:tc>
          <w:tcPr>
            <w:tcW w:w="8664" w:type="dxa"/>
            <w:noWrap/>
            <w:hideMark/>
          </w:tcPr>
          <w:p w14:paraId="13A388AC" w14:textId="3359839B" w:rsidR="00623D93" w:rsidRPr="00623D93" w:rsidRDefault="00623D93" w:rsidP="00623D93">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Aligns with UK diversity and equality laws, enabling seamless interaction of other factors</w:t>
            </w:r>
            <w:r w:rsidRPr="00623D93">
              <w:rPr>
                <w:rFonts w:ascii="Arial" w:hAnsi="Arial" w:cs="Arial"/>
              </w:rPr>
              <w:t xml:space="preserve"> </w:t>
            </w:r>
            <w:r w:rsidRPr="00623D93">
              <w:rPr>
                <w:rFonts w:ascii="Arial" w:eastAsia="Times New Roman" w:hAnsi="Arial" w:cs="Arial"/>
                <w:color w:val="000000"/>
                <w:sz w:val="24"/>
                <w:szCs w:val="24"/>
              </w:rPr>
              <w:t>(Ali, Grabarski, &amp; Baker, 2024</w:t>
            </w:r>
            <w:r w:rsidR="0050347D">
              <w:rPr>
                <w:rFonts w:ascii="Arial" w:eastAsia="Times New Roman" w:hAnsi="Arial" w:cs="Arial"/>
                <w:color w:val="000000"/>
                <w:sz w:val="24"/>
                <w:szCs w:val="24"/>
              </w:rPr>
              <w:t>a</w:t>
            </w:r>
            <w:r w:rsidRPr="00623D93">
              <w:rPr>
                <w:rFonts w:ascii="Arial" w:eastAsia="Times New Roman" w:hAnsi="Arial" w:cs="Arial"/>
                <w:color w:val="000000"/>
                <w:sz w:val="24"/>
                <w:szCs w:val="24"/>
              </w:rPr>
              <w:t>).</w:t>
            </w:r>
          </w:p>
        </w:tc>
      </w:tr>
      <w:tr w:rsidR="00623D93" w:rsidRPr="00623D93" w14:paraId="34A41B1F" w14:textId="77777777" w:rsidTr="00165867">
        <w:trPr>
          <w:trHeight w:val="358"/>
        </w:trPr>
        <w:tc>
          <w:tcPr>
            <w:tcW w:w="2578" w:type="dxa"/>
            <w:noWrap/>
            <w:hideMark/>
          </w:tcPr>
          <w:p w14:paraId="4F0613FC" w14:textId="77777777" w:rsidR="00623D93" w:rsidRPr="00623D93" w:rsidRDefault="00623D93" w:rsidP="00623D93">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Economic</w:t>
            </w:r>
          </w:p>
        </w:tc>
        <w:tc>
          <w:tcPr>
            <w:tcW w:w="8664" w:type="dxa"/>
            <w:noWrap/>
            <w:hideMark/>
          </w:tcPr>
          <w:p w14:paraId="373984B0" w14:textId="77777777" w:rsidR="00623D93" w:rsidRPr="00623D93" w:rsidRDefault="00623D93" w:rsidP="00623D93">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Budget ensures financial sustainability while delivering value to participants.</w:t>
            </w:r>
          </w:p>
        </w:tc>
      </w:tr>
      <w:tr w:rsidR="00623D93" w:rsidRPr="00623D93" w14:paraId="7AF095FF" w14:textId="77777777" w:rsidTr="00165867">
        <w:trPr>
          <w:trHeight w:val="358"/>
        </w:trPr>
        <w:tc>
          <w:tcPr>
            <w:tcW w:w="2578" w:type="dxa"/>
            <w:noWrap/>
            <w:hideMark/>
          </w:tcPr>
          <w:p w14:paraId="16B13D2B" w14:textId="77777777" w:rsidR="00623D93" w:rsidRPr="00623D93" w:rsidRDefault="00623D93" w:rsidP="00623D93">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Social</w:t>
            </w:r>
          </w:p>
        </w:tc>
        <w:tc>
          <w:tcPr>
            <w:tcW w:w="8664" w:type="dxa"/>
            <w:noWrap/>
            <w:hideMark/>
          </w:tcPr>
          <w:p w14:paraId="28846A59" w14:textId="77777777" w:rsidR="00623D93" w:rsidRPr="00623D93" w:rsidRDefault="00623D93" w:rsidP="00623D93">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Promotes inclusivity, challenges biases, and fosters acceptance.</w:t>
            </w:r>
          </w:p>
        </w:tc>
      </w:tr>
      <w:tr w:rsidR="00623D93" w:rsidRPr="00623D93" w14:paraId="5A470A09" w14:textId="77777777" w:rsidTr="00165867">
        <w:trPr>
          <w:trHeight w:val="358"/>
        </w:trPr>
        <w:tc>
          <w:tcPr>
            <w:tcW w:w="2578" w:type="dxa"/>
            <w:noWrap/>
            <w:hideMark/>
          </w:tcPr>
          <w:p w14:paraId="7AB74448" w14:textId="77777777" w:rsidR="00623D93" w:rsidRPr="00623D93" w:rsidRDefault="00623D93" w:rsidP="00623D93">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Technological</w:t>
            </w:r>
          </w:p>
        </w:tc>
        <w:tc>
          <w:tcPr>
            <w:tcW w:w="8664" w:type="dxa"/>
            <w:noWrap/>
            <w:hideMark/>
          </w:tcPr>
          <w:p w14:paraId="63C366AE" w14:textId="77777777" w:rsidR="00623D93" w:rsidRPr="00623D93" w:rsidRDefault="00623D93" w:rsidP="00623D93">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Utilizes hybrid tools and assistive technologies for an inclusive experience.</w:t>
            </w:r>
          </w:p>
        </w:tc>
      </w:tr>
      <w:tr w:rsidR="00623D93" w:rsidRPr="00623D93" w14:paraId="2907F37C" w14:textId="77777777" w:rsidTr="00165867">
        <w:trPr>
          <w:trHeight w:val="358"/>
        </w:trPr>
        <w:tc>
          <w:tcPr>
            <w:tcW w:w="2578" w:type="dxa"/>
            <w:noWrap/>
            <w:hideMark/>
          </w:tcPr>
          <w:p w14:paraId="7258D987" w14:textId="77777777" w:rsidR="00623D93" w:rsidRPr="00623D93" w:rsidRDefault="00623D93" w:rsidP="00623D93">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Environmental</w:t>
            </w:r>
          </w:p>
        </w:tc>
        <w:tc>
          <w:tcPr>
            <w:tcW w:w="8664" w:type="dxa"/>
            <w:noWrap/>
            <w:hideMark/>
          </w:tcPr>
          <w:p w14:paraId="559DFD36" w14:textId="77777777" w:rsidR="00623D93" w:rsidRPr="00623D93" w:rsidRDefault="00623D93" w:rsidP="00623D93">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Implements sustainable practices, including digital materials and eco-friendly catering.</w:t>
            </w:r>
          </w:p>
        </w:tc>
      </w:tr>
      <w:tr w:rsidR="00623D93" w:rsidRPr="00623D93" w14:paraId="1DFF8B9D" w14:textId="77777777" w:rsidTr="00165867">
        <w:trPr>
          <w:trHeight w:val="358"/>
        </w:trPr>
        <w:tc>
          <w:tcPr>
            <w:tcW w:w="2578" w:type="dxa"/>
            <w:noWrap/>
            <w:hideMark/>
          </w:tcPr>
          <w:p w14:paraId="3114A0FB" w14:textId="77777777" w:rsidR="00623D93" w:rsidRPr="00623D93" w:rsidRDefault="00623D93" w:rsidP="00623D93">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Legal</w:t>
            </w:r>
          </w:p>
        </w:tc>
        <w:tc>
          <w:tcPr>
            <w:tcW w:w="8664" w:type="dxa"/>
            <w:noWrap/>
            <w:hideMark/>
          </w:tcPr>
          <w:p w14:paraId="7F709B37" w14:textId="77777777" w:rsidR="00623D93" w:rsidRPr="00623D93" w:rsidRDefault="00623D93" w:rsidP="00623D93">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Ensures compliance with accessibility standards.</w:t>
            </w:r>
          </w:p>
        </w:tc>
      </w:tr>
      <w:tr w:rsidR="00623D93" w:rsidRPr="00623D93" w14:paraId="3B7EF531" w14:textId="77777777" w:rsidTr="00165867">
        <w:trPr>
          <w:trHeight w:val="358"/>
        </w:trPr>
        <w:tc>
          <w:tcPr>
            <w:tcW w:w="2578" w:type="dxa"/>
            <w:noWrap/>
            <w:hideMark/>
          </w:tcPr>
          <w:p w14:paraId="6F9BB89C" w14:textId="77777777" w:rsidR="00623D93" w:rsidRPr="00623D93" w:rsidRDefault="00623D93" w:rsidP="00623D93">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Cultural</w:t>
            </w:r>
          </w:p>
        </w:tc>
        <w:tc>
          <w:tcPr>
            <w:tcW w:w="8664" w:type="dxa"/>
            <w:noWrap/>
            <w:hideMark/>
          </w:tcPr>
          <w:p w14:paraId="440629D0" w14:textId="77777777" w:rsidR="00623D93" w:rsidRPr="00623D93" w:rsidRDefault="00623D93" w:rsidP="00623D93">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Incorporates multilingual services and respects cultural reservations for inclusivity and professionalism.</w:t>
            </w:r>
          </w:p>
        </w:tc>
      </w:tr>
    </w:tbl>
    <w:p w14:paraId="65804C23" w14:textId="77777777" w:rsidR="00254ECC" w:rsidRPr="00623D93" w:rsidRDefault="00254ECC" w:rsidP="00254ECC">
      <w:pPr>
        <w:rPr>
          <w:rFonts w:ascii="Arial" w:hAnsi="Arial" w:cs="Arial"/>
          <w:sz w:val="24"/>
          <w:szCs w:val="24"/>
        </w:rPr>
      </w:pPr>
    </w:p>
    <w:p w14:paraId="05F5BB73" w14:textId="77777777" w:rsidR="00254ECC" w:rsidRPr="00254ECC" w:rsidRDefault="00254ECC" w:rsidP="00254ECC">
      <w:pPr>
        <w:rPr>
          <w:lang w:val="en-US"/>
        </w:rPr>
      </w:pPr>
    </w:p>
    <w:p w14:paraId="3F24F15C" w14:textId="77777777" w:rsidR="00254ECC" w:rsidRDefault="00254ECC" w:rsidP="00254ECC">
      <w:pPr>
        <w:rPr>
          <w:lang w:val="en-US"/>
        </w:rPr>
      </w:pPr>
    </w:p>
    <w:p w14:paraId="2E768DB8" w14:textId="77777777" w:rsidR="00623D93" w:rsidRPr="00254ECC" w:rsidRDefault="00623D93" w:rsidP="00254ECC">
      <w:pPr>
        <w:rPr>
          <w:lang w:val="en-US"/>
        </w:rPr>
      </w:pPr>
    </w:p>
    <w:p w14:paraId="074C3450" w14:textId="77777777" w:rsidR="00254ECC" w:rsidRPr="00254ECC" w:rsidRDefault="00254ECC" w:rsidP="00254ECC">
      <w:pPr>
        <w:rPr>
          <w:lang w:val="en-US"/>
        </w:rPr>
      </w:pPr>
    </w:p>
    <w:p w14:paraId="117F8508" w14:textId="77777777" w:rsidR="00254ECC" w:rsidRPr="003929DE" w:rsidRDefault="00254ECC" w:rsidP="00254ECC">
      <w:pPr>
        <w:rPr>
          <w:rFonts w:ascii="Arial" w:hAnsi="Arial" w:cs="Arial"/>
          <w:b/>
          <w:sz w:val="32"/>
          <w:szCs w:val="32"/>
          <w:lang w:val="en-US"/>
        </w:rPr>
      </w:pPr>
      <w:r w:rsidRPr="003929DE">
        <w:rPr>
          <w:rFonts w:ascii="Arial" w:hAnsi="Arial" w:cs="Arial"/>
          <w:b/>
          <w:sz w:val="32"/>
          <w:szCs w:val="32"/>
          <w:lang w:val="en-US"/>
        </w:rPr>
        <w:t>Conclusion</w:t>
      </w:r>
    </w:p>
    <w:p w14:paraId="641F3E93" w14:textId="77777777" w:rsidR="00254ECC" w:rsidRPr="00254ECC" w:rsidRDefault="00254ECC" w:rsidP="00FE362C">
      <w:pPr>
        <w:spacing w:line="360" w:lineRule="auto"/>
        <w:rPr>
          <w:rFonts w:ascii="Arial" w:hAnsi="Arial" w:cs="Arial"/>
          <w:sz w:val="24"/>
          <w:szCs w:val="24"/>
          <w:lang w:val="en-US"/>
        </w:rPr>
      </w:pPr>
      <w:r w:rsidRPr="00254ECC">
        <w:rPr>
          <w:lang w:val="en-US"/>
        </w:rPr>
        <w:tab/>
      </w:r>
      <w:r w:rsidRPr="00254ECC">
        <w:rPr>
          <w:rFonts w:ascii="Arial" w:hAnsi="Arial" w:cs="Arial"/>
          <w:sz w:val="24"/>
          <w:szCs w:val="24"/>
          <w:lang w:val="en-US"/>
        </w:rPr>
        <w:t xml:space="preserve">This proposal presents a well-structured event management plan utilizing established industry frameworks and theories. The event aims to foster inclusivity in the hospitality sector while ensuring operational efficiency and financial sustainability (Silvers, 2008). By leveraging strategic planning, marketing innovation, and robust risk management, this event is poised to deliver measurable impact and long-term benefits. The incorporation of the EMBOK framework and industry best practices ensures a seamless execution that aligns with hospitality trends and stakeholder expectations. Ultimately, this event serves as a platform for meaningful discussions and actionable insights that drive positive </w:t>
      </w:r>
      <w:proofErr w:type="gramStart"/>
      <w:r w:rsidRPr="00254ECC">
        <w:rPr>
          <w:rFonts w:ascii="Arial" w:hAnsi="Arial" w:cs="Arial"/>
          <w:sz w:val="24"/>
          <w:szCs w:val="24"/>
          <w:lang w:val="en-US"/>
        </w:rPr>
        <w:t>change</w:t>
      </w:r>
      <w:proofErr w:type="gramEnd"/>
      <w:r w:rsidRPr="00254ECC">
        <w:rPr>
          <w:rFonts w:ascii="Arial" w:hAnsi="Arial" w:cs="Arial"/>
          <w:sz w:val="24"/>
          <w:szCs w:val="24"/>
          <w:lang w:val="en-US"/>
        </w:rPr>
        <w:t xml:space="preserve"> in the sector.</w:t>
      </w:r>
    </w:p>
    <w:p w14:paraId="1DB06FDC" w14:textId="77777777" w:rsidR="00254ECC" w:rsidRPr="00254ECC" w:rsidRDefault="00254ECC" w:rsidP="00254ECC">
      <w:pPr>
        <w:rPr>
          <w:lang w:val="en-US"/>
        </w:rPr>
      </w:pPr>
    </w:p>
    <w:p w14:paraId="591FDED2" w14:textId="77777777" w:rsidR="0050347D" w:rsidRDefault="0050347D" w:rsidP="00254ECC">
      <w:pPr>
        <w:rPr>
          <w:lang w:val="en-US"/>
        </w:rPr>
      </w:pPr>
    </w:p>
    <w:p w14:paraId="6C609494" w14:textId="774625AA" w:rsidR="00254ECC" w:rsidRPr="00254ECC" w:rsidRDefault="00254ECC" w:rsidP="00254ECC">
      <w:pPr>
        <w:rPr>
          <w:rFonts w:ascii="Arial" w:hAnsi="Arial" w:cs="Arial"/>
          <w:b/>
          <w:sz w:val="36"/>
          <w:szCs w:val="36"/>
          <w:lang w:val="en-US"/>
        </w:rPr>
      </w:pPr>
      <w:r w:rsidRPr="00254ECC">
        <w:rPr>
          <w:rFonts w:ascii="Arial" w:hAnsi="Arial" w:cs="Arial"/>
          <w:b/>
          <w:sz w:val="36"/>
          <w:szCs w:val="36"/>
          <w:lang w:val="en-US"/>
        </w:rPr>
        <w:lastRenderedPageBreak/>
        <w:t>References</w:t>
      </w:r>
    </w:p>
    <w:p w14:paraId="14DAEB4C" w14:textId="77777777" w:rsidR="00A6392D" w:rsidRPr="00623D93" w:rsidRDefault="00A6392D" w:rsidP="00A6392D">
      <w:pPr>
        <w:spacing w:line="480" w:lineRule="auto"/>
        <w:rPr>
          <w:rFonts w:ascii="Arial" w:hAnsi="Arial" w:cs="Arial"/>
          <w:sz w:val="24"/>
          <w:szCs w:val="24"/>
        </w:rPr>
      </w:pPr>
      <w:r w:rsidRPr="00623D93">
        <w:rPr>
          <w:rFonts w:ascii="Arial" w:hAnsi="Arial" w:cs="Arial"/>
          <w:sz w:val="24"/>
          <w:szCs w:val="24"/>
        </w:rPr>
        <w:t>Ali, M., Grabarski, M.K. and Baker, M., 2024. An exploratory study of benefits and challenges of neurodivergent employees: roles of knowing neurodivergents and neurodiversity practices. </w:t>
      </w:r>
      <w:r w:rsidRPr="00623D93">
        <w:rPr>
          <w:rFonts w:ascii="Arial" w:hAnsi="Arial" w:cs="Arial"/>
          <w:i/>
          <w:iCs/>
          <w:sz w:val="24"/>
          <w:szCs w:val="24"/>
        </w:rPr>
        <w:t>Equality, Diversity and Inclusion: An International Journal</w:t>
      </w:r>
      <w:r w:rsidRPr="00623D93">
        <w:rPr>
          <w:rFonts w:ascii="Arial" w:hAnsi="Arial" w:cs="Arial"/>
          <w:sz w:val="24"/>
          <w:szCs w:val="24"/>
        </w:rPr>
        <w:t>, </w:t>
      </w:r>
      <w:r w:rsidRPr="00623D93">
        <w:rPr>
          <w:rFonts w:ascii="Arial" w:hAnsi="Arial" w:cs="Arial"/>
          <w:i/>
          <w:iCs/>
          <w:sz w:val="24"/>
          <w:szCs w:val="24"/>
        </w:rPr>
        <w:t>43</w:t>
      </w:r>
      <w:r w:rsidRPr="00623D93">
        <w:rPr>
          <w:rFonts w:ascii="Arial" w:hAnsi="Arial" w:cs="Arial"/>
          <w:sz w:val="24"/>
          <w:szCs w:val="24"/>
        </w:rPr>
        <w:t>(2), pp.243-267.</w:t>
      </w:r>
    </w:p>
    <w:p w14:paraId="2D818D2A" w14:textId="77777777" w:rsidR="00A6392D" w:rsidRPr="00623D93" w:rsidRDefault="00A6392D" w:rsidP="00A6392D">
      <w:pPr>
        <w:spacing w:line="480" w:lineRule="auto"/>
        <w:rPr>
          <w:rFonts w:ascii="Arial" w:hAnsi="Arial" w:cs="Arial"/>
          <w:sz w:val="24"/>
          <w:szCs w:val="24"/>
        </w:rPr>
      </w:pPr>
      <w:r w:rsidRPr="00623D93">
        <w:rPr>
          <w:rFonts w:ascii="Arial" w:hAnsi="Arial" w:cs="Arial"/>
          <w:sz w:val="24"/>
          <w:szCs w:val="24"/>
        </w:rPr>
        <w:t>Ali, M., Grabarski, M.K. and Baker, M., 2024. The influence of neurodiversity management on affective commitment and turnover intention: the role of neurodiversity awareness. </w:t>
      </w:r>
      <w:r w:rsidRPr="00623D93">
        <w:rPr>
          <w:rFonts w:ascii="Arial" w:hAnsi="Arial" w:cs="Arial"/>
          <w:i/>
          <w:iCs/>
          <w:sz w:val="24"/>
          <w:szCs w:val="24"/>
        </w:rPr>
        <w:t>Employee Relations: The International Journal</w:t>
      </w:r>
      <w:r w:rsidRPr="00623D93">
        <w:rPr>
          <w:rFonts w:ascii="Arial" w:hAnsi="Arial" w:cs="Arial"/>
          <w:sz w:val="24"/>
          <w:szCs w:val="24"/>
        </w:rPr>
        <w:t>, </w:t>
      </w:r>
      <w:r w:rsidRPr="00623D93">
        <w:rPr>
          <w:rFonts w:ascii="Arial" w:hAnsi="Arial" w:cs="Arial"/>
          <w:i/>
          <w:iCs/>
          <w:sz w:val="24"/>
          <w:szCs w:val="24"/>
        </w:rPr>
        <w:t>46</w:t>
      </w:r>
      <w:r w:rsidRPr="00623D93">
        <w:rPr>
          <w:rFonts w:ascii="Arial" w:hAnsi="Arial" w:cs="Arial"/>
          <w:sz w:val="24"/>
          <w:szCs w:val="24"/>
        </w:rPr>
        <w:t>(3), pp.657-674.</w:t>
      </w:r>
    </w:p>
    <w:p w14:paraId="2FDC7597" w14:textId="77777777" w:rsidR="00623D93" w:rsidRDefault="00623D93" w:rsidP="00A6392D">
      <w:pPr>
        <w:spacing w:line="480" w:lineRule="auto"/>
        <w:rPr>
          <w:rFonts w:ascii="Arial" w:hAnsi="Arial" w:cs="Arial"/>
          <w:sz w:val="24"/>
          <w:szCs w:val="24"/>
        </w:rPr>
      </w:pPr>
      <w:r w:rsidRPr="00623D93">
        <w:rPr>
          <w:rFonts w:ascii="Arial" w:hAnsi="Arial" w:cs="Arial"/>
          <w:sz w:val="24"/>
          <w:szCs w:val="24"/>
        </w:rPr>
        <w:t>Bello, M.B. and Bello, Y.O. (2024). THE MEDIATING ROLE OF TURNOVER INTENTION ON THE RELATIONSHIP BETWEEN JOB SATISFACTION AND EMPLOYEES’ JOB PERFORMANCE IN THE HOTEL INDUSTRY. </w:t>
      </w:r>
      <w:r w:rsidRPr="00623D93">
        <w:rPr>
          <w:rFonts w:ascii="Arial" w:hAnsi="Arial" w:cs="Arial"/>
          <w:i/>
          <w:iCs/>
          <w:sz w:val="24"/>
          <w:szCs w:val="24"/>
        </w:rPr>
        <w:t>GPH-International Journal of Business Management</w:t>
      </w:r>
      <w:r w:rsidRPr="00623D93">
        <w:rPr>
          <w:rFonts w:ascii="Arial" w:hAnsi="Arial" w:cs="Arial"/>
          <w:sz w:val="24"/>
          <w:szCs w:val="24"/>
        </w:rPr>
        <w:t xml:space="preserve">, [online] 7(03), pp.01-18. </w:t>
      </w:r>
      <w:proofErr w:type="gramStart"/>
      <w:r w:rsidRPr="00623D93">
        <w:rPr>
          <w:rFonts w:ascii="Arial" w:hAnsi="Arial" w:cs="Arial"/>
          <w:sz w:val="24"/>
          <w:szCs w:val="24"/>
        </w:rPr>
        <w:t>doi:https://doi.org/10.5281/zenodo.10822925</w:t>
      </w:r>
      <w:proofErr w:type="gramEnd"/>
      <w:r w:rsidRPr="00623D93">
        <w:rPr>
          <w:rFonts w:ascii="Arial" w:hAnsi="Arial" w:cs="Arial"/>
          <w:sz w:val="24"/>
          <w:szCs w:val="24"/>
        </w:rPr>
        <w:t>.</w:t>
      </w:r>
    </w:p>
    <w:p w14:paraId="08F9A530" w14:textId="3CDE1BC7" w:rsidR="00A6392D" w:rsidRPr="00623D93" w:rsidRDefault="00A6392D" w:rsidP="00A6392D">
      <w:pPr>
        <w:spacing w:line="480" w:lineRule="auto"/>
        <w:rPr>
          <w:rFonts w:ascii="Arial" w:hAnsi="Arial" w:cs="Arial"/>
          <w:sz w:val="24"/>
          <w:szCs w:val="24"/>
        </w:rPr>
      </w:pPr>
      <w:r w:rsidRPr="00623D93">
        <w:rPr>
          <w:rFonts w:ascii="Arial" w:hAnsi="Arial" w:cs="Arial"/>
          <w:sz w:val="24"/>
          <w:szCs w:val="24"/>
        </w:rPr>
        <w:t>Forsdick, S. and Forsdick, S. (2024). </w:t>
      </w:r>
      <w:r w:rsidRPr="00623D93">
        <w:rPr>
          <w:rFonts w:ascii="Arial" w:hAnsi="Arial" w:cs="Arial"/>
          <w:i/>
          <w:iCs/>
          <w:sz w:val="24"/>
          <w:szCs w:val="24"/>
        </w:rPr>
        <w:t>Lack of neurodiversity inclusion in hiring is ‘extremely worrying’, says Zurich CHRO - Raconteur</w:t>
      </w:r>
      <w:r w:rsidRPr="00623D93">
        <w:rPr>
          <w:rFonts w:ascii="Arial" w:hAnsi="Arial" w:cs="Arial"/>
          <w:sz w:val="24"/>
          <w:szCs w:val="24"/>
        </w:rPr>
        <w:t>. [online] Raconteur. Available at: https://www.raconteur.net/talent-culture/neurodiversity-inclusion-hiring-zurich-chro.</w:t>
      </w:r>
    </w:p>
    <w:p w14:paraId="34CBAE4F" w14:textId="6A40BDEE" w:rsidR="00A6392D" w:rsidRPr="00623D93" w:rsidRDefault="00BA05E5" w:rsidP="00A6392D">
      <w:pPr>
        <w:spacing w:line="480" w:lineRule="auto"/>
        <w:rPr>
          <w:rFonts w:ascii="Arial" w:hAnsi="Arial" w:cs="Arial"/>
          <w:sz w:val="24"/>
          <w:szCs w:val="24"/>
        </w:rPr>
      </w:pPr>
      <w:r w:rsidRPr="00BA05E5">
        <w:rPr>
          <w:rFonts w:ascii="Arial" w:eastAsia="Calibri" w:hAnsi="Arial" w:cs="Arial"/>
          <w:kern w:val="0"/>
          <w:sz w:val="24"/>
          <w:szCs w:val="24"/>
          <w14:ligatures w14:val="none"/>
        </w:rPr>
        <w:t>Fox, D., Gouthro, M.B., Morakabati, Y. and Brackstone, J. (2014). </w:t>
      </w:r>
      <w:r w:rsidRPr="00BA05E5">
        <w:rPr>
          <w:rFonts w:ascii="Arial" w:eastAsia="Calibri" w:hAnsi="Arial" w:cs="Arial"/>
          <w:i/>
          <w:iCs/>
          <w:kern w:val="0"/>
          <w:sz w:val="24"/>
          <w:szCs w:val="24"/>
          <w14:ligatures w14:val="none"/>
        </w:rPr>
        <w:t>Doing Events Research</w:t>
      </w:r>
      <w:r w:rsidRPr="00BA05E5">
        <w:rPr>
          <w:rFonts w:ascii="Arial" w:eastAsia="Calibri" w:hAnsi="Arial" w:cs="Arial"/>
          <w:kern w:val="0"/>
          <w:sz w:val="24"/>
          <w:szCs w:val="24"/>
          <w14:ligatures w14:val="none"/>
        </w:rPr>
        <w:t xml:space="preserve">. Routledge. </w:t>
      </w:r>
      <w:proofErr w:type="gramStart"/>
      <w:r w:rsidRPr="00BA05E5">
        <w:rPr>
          <w:rFonts w:ascii="Arial" w:eastAsia="Calibri" w:hAnsi="Arial" w:cs="Arial"/>
          <w:kern w:val="0"/>
          <w:sz w:val="24"/>
          <w:szCs w:val="24"/>
          <w14:ligatures w14:val="none"/>
        </w:rPr>
        <w:t>doi:https://doi.org/10.4324/9781315815084.</w:t>
      </w:r>
      <w:r w:rsidR="00A6392D" w:rsidRPr="00623D93">
        <w:rPr>
          <w:rFonts w:ascii="Arial" w:hAnsi="Arial" w:cs="Arial"/>
          <w:sz w:val="24"/>
          <w:szCs w:val="24"/>
        </w:rPr>
        <w:t>Genovard</w:t>
      </w:r>
      <w:proofErr w:type="gramEnd"/>
      <w:r w:rsidR="00A6392D" w:rsidRPr="00623D93">
        <w:rPr>
          <w:rFonts w:ascii="Arial" w:hAnsi="Arial" w:cs="Arial"/>
          <w:sz w:val="24"/>
          <w:szCs w:val="24"/>
        </w:rPr>
        <w:t>, F., Muñoz, J., Petchamé, J. and Solanellas, F., 2025. Risk management approaches in sports organisations: A scoping review. </w:t>
      </w:r>
      <w:r w:rsidR="00A6392D" w:rsidRPr="00623D93">
        <w:rPr>
          <w:rFonts w:ascii="Arial" w:hAnsi="Arial" w:cs="Arial"/>
          <w:i/>
          <w:iCs/>
          <w:sz w:val="24"/>
          <w:szCs w:val="24"/>
        </w:rPr>
        <w:t>Heliyon</w:t>
      </w:r>
      <w:r w:rsidR="00A6392D" w:rsidRPr="00623D93">
        <w:rPr>
          <w:rFonts w:ascii="Arial" w:hAnsi="Arial" w:cs="Arial"/>
          <w:sz w:val="24"/>
          <w:szCs w:val="24"/>
        </w:rPr>
        <w:t>.</w:t>
      </w:r>
    </w:p>
    <w:p w14:paraId="0EAE4BAA" w14:textId="77777777" w:rsidR="007110FC" w:rsidRDefault="00BA05E5" w:rsidP="00A6392D">
      <w:pPr>
        <w:spacing w:line="480" w:lineRule="auto"/>
        <w:rPr>
          <w:rFonts w:ascii="Arial" w:eastAsia="Arial" w:hAnsi="Arial" w:cs="Arial"/>
          <w:kern w:val="0"/>
          <w:sz w:val="24"/>
          <w:szCs w:val="24"/>
          <w14:ligatures w14:val="none"/>
        </w:rPr>
      </w:pPr>
      <w:r w:rsidRPr="00BA05E5">
        <w:rPr>
          <w:rFonts w:ascii="Arial" w:eastAsia="Arial" w:hAnsi="Arial" w:cs="Arial"/>
          <w:kern w:val="0"/>
          <w:sz w:val="24"/>
          <w:szCs w:val="24"/>
          <w14:ligatures w14:val="none"/>
        </w:rPr>
        <w:t>Getz, D. and Page, S.J. (20</w:t>
      </w:r>
      <w:r>
        <w:rPr>
          <w:rFonts w:ascii="Arial" w:eastAsia="Arial" w:hAnsi="Arial" w:cs="Arial"/>
          <w:kern w:val="0"/>
          <w:sz w:val="24"/>
          <w:szCs w:val="24"/>
          <w14:ligatures w14:val="none"/>
        </w:rPr>
        <w:t>19</w:t>
      </w:r>
      <w:r w:rsidRPr="00BA05E5">
        <w:rPr>
          <w:rFonts w:ascii="Arial" w:eastAsia="Arial" w:hAnsi="Arial" w:cs="Arial"/>
          <w:kern w:val="0"/>
          <w:sz w:val="24"/>
          <w:szCs w:val="24"/>
          <w14:ligatures w14:val="none"/>
        </w:rPr>
        <w:t>). </w:t>
      </w:r>
      <w:r w:rsidRPr="00BA05E5">
        <w:rPr>
          <w:rFonts w:ascii="Arial" w:eastAsia="Arial" w:hAnsi="Arial" w:cs="Arial"/>
          <w:i/>
          <w:iCs/>
          <w:kern w:val="0"/>
          <w:sz w:val="24"/>
          <w:szCs w:val="24"/>
          <w14:ligatures w14:val="none"/>
        </w:rPr>
        <w:t>Event Studies: Theory, Research and Policy for Planned Events</w:t>
      </w:r>
      <w:r w:rsidRPr="00BA05E5">
        <w:rPr>
          <w:rFonts w:ascii="Arial" w:eastAsia="Arial" w:hAnsi="Arial" w:cs="Arial"/>
          <w:kern w:val="0"/>
          <w:sz w:val="24"/>
          <w:szCs w:val="24"/>
          <w14:ligatures w14:val="none"/>
        </w:rPr>
        <w:t xml:space="preserve">. Fourth Edition. | New </w:t>
      </w:r>
      <w:proofErr w:type="gramStart"/>
      <w:r w:rsidRPr="00BA05E5">
        <w:rPr>
          <w:rFonts w:ascii="Arial" w:eastAsia="Arial" w:hAnsi="Arial" w:cs="Arial"/>
          <w:kern w:val="0"/>
          <w:sz w:val="24"/>
          <w:szCs w:val="24"/>
          <w14:ligatures w14:val="none"/>
        </w:rPr>
        <w:t>York :</w:t>
      </w:r>
      <w:proofErr w:type="gramEnd"/>
      <w:r w:rsidRPr="00BA05E5">
        <w:rPr>
          <w:rFonts w:ascii="Arial" w:eastAsia="Arial" w:hAnsi="Arial" w:cs="Arial"/>
          <w:kern w:val="0"/>
          <w:sz w:val="24"/>
          <w:szCs w:val="24"/>
          <w14:ligatures w14:val="none"/>
        </w:rPr>
        <w:t xml:space="preserve"> Routledge, 2020. | Series: Events </w:t>
      </w:r>
      <w:r w:rsidRPr="00BA05E5">
        <w:rPr>
          <w:rFonts w:ascii="Arial" w:eastAsia="Arial" w:hAnsi="Arial" w:cs="Arial"/>
          <w:kern w:val="0"/>
          <w:sz w:val="24"/>
          <w:szCs w:val="24"/>
          <w14:ligatures w14:val="none"/>
        </w:rPr>
        <w:lastRenderedPageBreak/>
        <w:t xml:space="preserve">management series | ‘First edition published by Butterworth-Heinemann 2007. Third edition published by Routledge 2016’—T.p. verso.: Routledge. </w:t>
      </w:r>
      <w:proofErr w:type="gramStart"/>
      <w:r w:rsidRPr="00BA05E5">
        <w:rPr>
          <w:rFonts w:ascii="Arial" w:eastAsia="Arial" w:hAnsi="Arial" w:cs="Arial"/>
          <w:kern w:val="0"/>
          <w:sz w:val="24"/>
          <w:szCs w:val="24"/>
          <w14:ligatures w14:val="none"/>
        </w:rPr>
        <w:t>doi:https://doi.org/10.4324/9780429023002</w:t>
      </w:r>
      <w:proofErr w:type="gramEnd"/>
      <w:r w:rsidRPr="00BA05E5">
        <w:rPr>
          <w:rFonts w:ascii="Arial" w:eastAsia="Arial" w:hAnsi="Arial" w:cs="Arial"/>
          <w:kern w:val="0"/>
          <w:sz w:val="24"/>
          <w:szCs w:val="24"/>
          <w14:ligatures w14:val="none"/>
        </w:rPr>
        <w:t>.</w:t>
      </w:r>
      <w:r w:rsidRPr="00BA05E5">
        <w:rPr>
          <w:rFonts w:ascii="Arial" w:eastAsia="Arial" w:hAnsi="Arial" w:cs="Arial"/>
          <w:kern w:val="0"/>
          <w:sz w:val="24"/>
          <w:szCs w:val="24"/>
          <w14:ligatures w14:val="none"/>
        </w:rPr>
        <w:t xml:space="preserve"> </w:t>
      </w:r>
    </w:p>
    <w:p w14:paraId="43CE9FF8" w14:textId="569E36EF" w:rsidR="00A6392D" w:rsidRPr="00623D93" w:rsidRDefault="00A6392D" w:rsidP="00A6392D">
      <w:pPr>
        <w:spacing w:line="480" w:lineRule="auto"/>
        <w:rPr>
          <w:rFonts w:ascii="Arial" w:hAnsi="Arial" w:cs="Arial"/>
          <w:sz w:val="24"/>
          <w:szCs w:val="24"/>
        </w:rPr>
      </w:pPr>
      <w:r w:rsidRPr="00623D93">
        <w:rPr>
          <w:rFonts w:ascii="Arial" w:hAnsi="Arial" w:cs="Arial"/>
          <w:sz w:val="24"/>
          <w:szCs w:val="24"/>
        </w:rPr>
        <w:t>Hall, K., Arora, P., Lowy, R. and Kim, J.G., 2024, May. Designing for strengths: Opportunities to support neurodiversity in the workplace. In </w:t>
      </w:r>
      <w:r w:rsidRPr="00623D93">
        <w:rPr>
          <w:rFonts w:ascii="Arial" w:hAnsi="Arial" w:cs="Arial"/>
          <w:i/>
          <w:iCs/>
          <w:sz w:val="24"/>
          <w:szCs w:val="24"/>
        </w:rPr>
        <w:t>Proceedings of the 2024 CHI Conference on Human Factors in Computing Systems</w:t>
      </w:r>
      <w:r w:rsidRPr="00623D93">
        <w:rPr>
          <w:rFonts w:ascii="Arial" w:hAnsi="Arial" w:cs="Arial"/>
          <w:sz w:val="24"/>
          <w:szCs w:val="24"/>
        </w:rPr>
        <w:t> (pp. 1-14).</w:t>
      </w:r>
    </w:p>
    <w:p w14:paraId="26997A65" w14:textId="2A92FA85" w:rsidR="00A6392D" w:rsidRPr="00623D93" w:rsidRDefault="00A6392D" w:rsidP="00A6392D">
      <w:pPr>
        <w:spacing w:line="480" w:lineRule="auto"/>
        <w:rPr>
          <w:rFonts w:ascii="Arial" w:hAnsi="Arial" w:cs="Arial"/>
          <w:sz w:val="24"/>
          <w:szCs w:val="24"/>
        </w:rPr>
      </w:pPr>
      <w:r w:rsidRPr="00623D93">
        <w:rPr>
          <w:rFonts w:ascii="Arial" w:hAnsi="Arial" w:cs="Arial"/>
          <w:sz w:val="24"/>
          <w:szCs w:val="24"/>
        </w:rPr>
        <w:t>HRMorning. (2025). </w:t>
      </w:r>
      <w:r w:rsidRPr="00623D93">
        <w:rPr>
          <w:rFonts w:ascii="Arial" w:hAnsi="Arial" w:cs="Arial"/>
          <w:i/>
          <w:iCs/>
          <w:sz w:val="24"/>
          <w:szCs w:val="24"/>
        </w:rPr>
        <w:t xml:space="preserve">5 Untapped Benefits Neurodiversity Brings </w:t>
      </w:r>
      <w:proofErr w:type="gramStart"/>
      <w:r w:rsidRPr="00623D93">
        <w:rPr>
          <w:rFonts w:ascii="Arial" w:hAnsi="Arial" w:cs="Arial"/>
          <w:i/>
          <w:iCs/>
          <w:sz w:val="24"/>
          <w:szCs w:val="24"/>
        </w:rPr>
        <w:t>To</w:t>
      </w:r>
      <w:proofErr w:type="gramEnd"/>
      <w:r w:rsidRPr="00623D93">
        <w:rPr>
          <w:rFonts w:ascii="Arial" w:hAnsi="Arial" w:cs="Arial"/>
          <w:i/>
          <w:iCs/>
          <w:sz w:val="24"/>
          <w:szCs w:val="24"/>
        </w:rPr>
        <w:t xml:space="preserve"> Businesses</w:t>
      </w:r>
      <w:r w:rsidRPr="00623D93">
        <w:rPr>
          <w:rFonts w:ascii="Arial" w:hAnsi="Arial" w:cs="Arial"/>
          <w:sz w:val="24"/>
          <w:szCs w:val="24"/>
        </w:rPr>
        <w:t>. [online] Available at: https://www.hrmorning.com/articles/neurodiversity-benefits-in-workplaces/.</w:t>
      </w:r>
    </w:p>
    <w:p w14:paraId="68DBB386" w14:textId="77777777" w:rsidR="00A6392D" w:rsidRPr="00623D93" w:rsidRDefault="00A6392D" w:rsidP="00A6392D">
      <w:pPr>
        <w:spacing w:line="480" w:lineRule="auto"/>
        <w:rPr>
          <w:rFonts w:ascii="Arial" w:hAnsi="Arial" w:cs="Arial"/>
          <w:sz w:val="24"/>
          <w:szCs w:val="24"/>
        </w:rPr>
      </w:pPr>
      <w:bookmarkStart w:id="0" w:name="_Hlk191588024"/>
      <w:r w:rsidRPr="00623D93">
        <w:rPr>
          <w:rFonts w:ascii="Arial" w:hAnsi="Arial" w:cs="Arial"/>
          <w:sz w:val="24"/>
          <w:szCs w:val="24"/>
        </w:rPr>
        <w:t>Jepson, A., Stadler, R. and Garrod, B., 2024. Tourism and neurodiversity: A problematisation and research agenda. </w:t>
      </w:r>
      <w:r w:rsidRPr="00623D93">
        <w:rPr>
          <w:rFonts w:ascii="Arial" w:hAnsi="Arial" w:cs="Arial"/>
          <w:i/>
          <w:iCs/>
          <w:sz w:val="24"/>
          <w:szCs w:val="24"/>
        </w:rPr>
        <w:t>Current issues in tourism</w:t>
      </w:r>
      <w:r w:rsidRPr="00623D93">
        <w:rPr>
          <w:rFonts w:ascii="Arial" w:hAnsi="Arial" w:cs="Arial"/>
          <w:sz w:val="24"/>
          <w:szCs w:val="24"/>
        </w:rPr>
        <w:t>, </w:t>
      </w:r>
      <w:r w:rsidRPr="00623D93">
        <w:rPr>
          <w:rFonts w:ascii="Arial" w:hAnsi="Arial" w:cs="Arial"/>
          <w:i/>
          <w:iCs/>
          <w:sz w:val="24"/>
          <w:szCs w:val="24"/>
        </w:rPr>
        <w:t>27</w:t>
      </w:r>
      <w:r w:rsidRPr="00623D93">
        <w:rPr>
          <w:rFonts w:ascii="Arial" w:hAnsi="Arial" w:cs="Arial"/>
          <w:sz w:val="24"/>
          <w:szCs w:val="24"/>
        </w:rPr>
        <w:t>(4), pp.546-566.</w:t>
      </w:r>
    </w:p>
    <w:p w14:paraId="4F8311FE" w14:textId="77777777" w:rsidR="00A6392D" w:rsidRPr="00623D93" w:rsidRDefault="00A6392D" w:rsidP="00A6392D">
      <w:pPr>
        <w:spacing w:line="480" w:lineRule="auto"/>
        <w:rPr>
          <w:rFonts w:ascii="Arial" w:hAnsi="Arial" w:cs="Arial"/>
          <w:sz w:val="24"/>
          <w:szCs w:val="24"/>
        </w:rPr>
      </w:pPr>
      <w:r w:rsidRPr="00623D93">
        <w:rPr>
          <w:rFonts w:ascii="Arial" w:hAnsi="Arial" w:cs="Arial"/>
          <w:sz w:val="24"/>
          <w:szCs w:val="24"/>
        </w:rPr>
        <w:t>Jonescu, E., Olatunji, O., Uylaki, T. and Duric, S., Understanding the Principles and Safety Implications of Neurodiversity in the Design of Professional Construction Workplaces. In </w:t>
      </w:r>
      <w:r w:rsidRPr="00623D93">
        <w:rPr>
          <w:rFonts w:ascii="Arial" w:hAnsi="Arial" w:cs="Arial"/>
          <w:i/>
          <w:iCs/>
          <w:sz w:val="24"/>
          <w:szCs w:val="24"/>
        </w:rPr>
        <w:t>Handbook of Drivers of Continuous Improvement in Construction Health, Safety, and Wellbeing</w:t>
      </w:r>
      <w:r w:rsidRPr="00623D93">
        <w:rPr>
          <w:rFonts w:ascii="Arial" w:hAnsi="Arial" w:cs="Arial"/>
          <w:sz w:val="24"/>
          <w:szCs w:val="24"/>
        </w:rPr>
        <w:t> (pp. 281-294). Routledge.</w:t>
      </w:r>
    </w:p>
    <w:p w14:paraId="72560FD7" w14:textId="77777777" w:rsidR="00A6392D" w:rsidRPr="00623D93" w:rsidRDefault="00A6392D" w:rsidP="00A6392D">
      <w:pPr>
        <w:spacing w:line="480" w:lineRule="auto"/>
        <w:rPr>
          <w:rFonts w:ascii="Arial" w:hAnsi="Arial" w:cs="Arial"/>
          <w:sz w:val="24"/>
          <w:szCs w:val="24"/>
        </w:rPr>
      </w:pPr>
      <w:r w:rsidRPr="00623D93">
        <w:rPr>
          <w:rFonts w:ascii="Arial" w:hAnsi="Arial" w:cs="Arial"/>
          <w:sz w:val="24"/>
          <w:szCs w:val="24"/>
        </w:rPr>
        <w:t>Kirk, M., Lewis, E., Chen, M., McCusker, S., Hunter, C., Hutton, M. and O'Leary, S., 2024. Constructing a survey to assess the menopause and its implications for the higher education workforce. </w:t>
      </w:r>
      <w:r w:rsidRPr="00623D93">
        <w:rPr>
          <w:rFonts w:ascii="Arial" w:hAnsi="Arial" w:cs="Arial"/>
          <w:i/>
          <w:iCs/>
          <w:sz w:val="24"/>
          <w:szCs w:val="24"/>
        </w:rPr>
        <w:t>Graduate College Working Papers</w:t>
      </w:r>
      <w:r w:rsidRPr="00623D93">
        <w:rPr>
          <w:rFonts w:ascii="Arial" w:hAnsi="Arial" w:cs="Arial"/>
          <w:sz w:val="24"/>
          <w:szCs w:val="24"/>
        </w:rPr>
        <w:t>.</w:t>
      </w:r>
    </w:p>
    <w:p w14:paraId="5174E035" w14:textId="77777777" w:rsidR="007110FC" w:rsidRDefault="007110FC" w:rsidP="00A6392D">
      <w:pPr>
        <w:spacing w:line="480" w:lineRule="auto"/>
        <w:rPr>
          <w:rFonts w:ascii="Arial" w:hAnsi="Arial" w:cs="Arial"/>
          <w:sz w:val="24"/>
          <w:szCs w:val="24"/>
        </w:rPr>
      </w:pPr>
      <w:r w:rsidRPr="007110FC">
        <w:rPr>
          <w:rFonts w:ascii="Arial" w:hAnsi="Arial" w:cs="Arial"/>
          <w:sz w:val="24"/>
          <w:szCs w:val="24"/>
        </w:rPr>
        <w:t>Kitchen, E. (2024). Building event management skills through authentic assessment. </w:t>
      </w:r>
      <w:r w:rsidRPr="007110FC">
        <w:rPr>
          <w:rFonts w:ascii="Arial" w:hAnsi="Arial" w:cs="Arial"/>
          <w:i/>
          <w:iCs/>
          <w:sz w:val="24"/>
          <w:szCs w:val="24"/>
        </w:rPr>
        <w:t>Educational Studies</w:t>
      </w:r>
      <w:r w:rsidRPr="007110FC">
        <w:rPr>
          <w:rFonts w:ascii="Arial" w:hAnsi="Arial" w:cs="Arial"/>
          <w:sz w:val="24"/>
          <w:szCs w:val="24"/>
        </w:rPr>
        <w:t xml:space="preserve">, pp.1–17. </w:t>
      </w:r>
      <w:proofErr w:type="gramStart"/>
      <w:r w:rsidRPr="007110FC">
        <w:rPr>
          <w:rFonts w:ascii="Arial" w:hAnsi="Arial" w:cs="Arial"/>
          <w:sz w:val="24"/>
          <w:szCs w:val="24"/>
        </w:rPr>
        <w:t>doi:https://doi.org/10.1080/03055698.2024.2405808</w:t>
      </w:r>
      <w:proofErr w:type="gramEnd"/>
      <w:r w:rsidRPr="007110FC">
        <w:rPr>
          <w:rFonts w:ascii="Arial" w:hAnsi="Arial" w:cs="Arial"/>
          <w:sz w:val="24"/>
          <w:szCs w:val="24"/>
        </w:rPr>
        <w:t>.</w:t>
      </w:r>
    </w:p>
    <w:p w14:paraId="5C33917C" w14:textId="77777777" w:rsidR="00B370D3" w:rsidRDefault="00B370D3" w:rsidP="00A6392D">
      <w:pPr>
        <w:spacing w:line="480" w:lineRule="auto"/>
        <w:rPr>
          <w:rFonts w:ascii="Arial" w:hAnsi="Arial" w:cs="Arial"/>
          <w:sz w:val="24"/>
          <w:szCs w:val="24"/>
        </w:rPr>
      </w:pPr>
      <w:proofErr w:type="gramStart"/>
      <w:r w:rsidRPr="00B370D3">
        <w:rPr>
          <w:rFonts w:ascii="Arial" w:hAnsi="Arial" w:cs="Arial"/>
          <w:sz w:val="24"/>
          <w:szCs w:val="24"/>
        </w:rPr>
        <w:lastRenderedPageBreak/>
        <w:t>Marinotti ,</w:t>
      </w:r>
      <w:proofErr w:type="gramEnd"/>
      <w:r w:rsidRPr="00B370D3">
        <w:rPr>
          <w:rFonts w:ascii="Arial" w:hAnsi="Arial" w:cs="Arial"/>
          <w:sz w:val="24"/>
          <w:szCs w:val="24"/>
        </w:rPr>
        <w:t xml:space="preserve"> G. and Johnston, A. (2024) “Leader ‘leadership’ perceptions within a luxury hotel environment”, </w:t>
      </w:r>
      <w:r w:rsidRPr="00B370D3">
        <w:rPr>
          <w:rFonts w:ascii="Arial" w:hAnsi="Arial" w:cs="Arial"/>
          <w:i/>
          <w:iCs/>
          <w:sz w:val="24"/>
          <w:szCs w:val="24"/>
        </w:rPr>
        <w:t>Human Resources Management and Services</w:t>
      </w:r>
      <w:r w:rsidRPr="00B370D3">
        <w:rPr>
          <w:rFonts w:ascii="Arial" w:hAnsi="Arial" w:cs="Arial"/>
          <w:sz w:val="24"/>
          <w:szCs w:val="24"/>
        </w:rPr>
        <w:t>, 6(1), p. 3483. doi: 10.18282/</w:t>
      </w:r>
      <w:proofErr w:type="gramStart"/>
      <w:r w:rsidRPr="00B370D3">
        <w:rPr>
          <w:rFonts w:ascii="Arial" w:hAnsi="Arial" w:cs="Arial"/>
          <w:sz w:val="24"/>
          <w:szCs w:val="24"/>
        </w:rPr>
        <w:t>hrms.v</w:t>
      </w:r>
      <w:proofErr w:type="gramEnd"/>
      <w:r w:rsidRPr="00B370D3">
        <w:rPr>
          <w:rFonts w:ascii="Arial" w:hAnsi="Arial" w:cs="Arial"/>
          <w:sz w:val="24"/>
          <w:szCs w:val="24"/>
        </w:rPr>
        <w:t>6i1.3483.</w:t>
      </w:r>
      <w:r w:rsidRPr="00B370D3">
        <w:rPr>
          <w:rFonts w:ascii="Arial" w:hAnsi="Arial" w:cs="Arial"/>
          <w:sz w:val="24"/>
          <w:szCs w:val="24"/>
        </w:rPr>
        <w:t xml:space="preserve"> </w:t>
      </w:r>
    </w:p>
    <w:p w14:paraId="315EA779" w14:textId="3B879A34" w:rsidR="00A6392D" w:rsidRPr="00623D93" w:rsidRDefault="00A6392D" w:rsidP="00A6392D">
      <w:pPr>
        <w:spacing w:line="480" w:lineRule="auto"/>
        <w:rPr>
          <w:rFonts w:ascii="Arial" w:hAnsi="Arial" w:cs="Arial"/>
          <w:sz w:val="24"/>
          <w:szCs w:val="24"/>
        </w:rPr>
      </w:pPr>
      <w:r w:rsidRPr="00623D93">
        <w:rPr>
          <w:rFonts w:ascii="Arial" w:hAnsi="Arial" w:cs="Arial"/>
          <w:sz w:val="24"/>
          <w:szCs w:val="24"/>
        </w:rPr>
        <w:t>Nadir, S.M., Saunsbury, E., Blair, H.J., Haddadin, Y. and Raju, S.A., 2025. Speakers at UK gastroenterology trainee events are of high quality, independent of sex, ethnicity and country of primary medical qualification. </w:t>
      </w:r>
      <w:r w:rsidRPr="00623D93">
        <w:rPr>
          <w:rFonts w:ascii="Arial" w:hAnsi="Arial" w:cs="Arial"/>
          <w:i/>
          <w:iCs/>
          <w:sz w:val="24"/>
          <w:szCs w:val="24"/>
        </w:rPr>
        <w:t>Frontline Gastroenterology</w:t>
      </w:r>
      <w:r w:rsidRPr="00623D93">
        <w:rPr>
          <w:rFonts w:ascii="Arial" w:hAnsi="Arial" w:cs="Arial"/>
          <w:sz w:val="24"/>
          <w:szCs w:val="24"/>
        </w:rPr>
        <w:t>.</w:t>
      </w:r>
    </w:p>
    <w:p w14:paraId="174B9D35" w14:textId="77777777" w:rsidR="00A6392D" w:rsidRPr="00623D93" w:rsidRDefault="00A6392D" w:rsidP="00A6392D">
      <w:pPr>
        <w:spacing w:line="480" w:lineRule="auto"/>
        <w:rPr>
          <w:rFonts w:ascii="Arial" w:hAnsi="Arial" w:cs="Arial"/>
          <w:sz w:val="24"/>
          <w:szCs w:val="24"/>
        </w:rPr>
      </w:pPr>
      <w:r w:rsidRPr="00623D93">
        <w:rPr>
          <w:rFonts w:ascii="Arial" w:hAnsi="Arial" w:cs="Arial"/>
          <w:sz w:val="24"/>
          <w:szCs w:val="24"/>
        </w:rPr>
        <w:t>Ndindeng, A., 2024. The impact of neurodiversity-inclusive policies on employee performance, retention, and organizational culture in the workplace.</w:t>
      </w:r>
    </w:p>
    <w:p w14:paraId="3C92B22C" w14:textId="77777777" w:rsidR="00B370D3" w:rsidRDefault="00B370D3" w:rsidP="00A6392D">
      <w:pPr>
        <w:pStyle w:val="TableParagraph"/>
        <w:spacing w:line="480" w:lineRule="auto"/>
        <w:ind w:left="14"/>
        <w:rPr>
          <w:rFonts w:ascii="Arial" w:eastAsia="Arial" w:hAnsi="Arial" w:cs="Arial"/>
          <w:sz w:val="24"/>
          <w:szCs w:val="24"/>
          <w:lang w:val="en-GB"/>
        </w:rPr>
      </w:pPr>
      <w:r w:rsidRPr="00B370D3">
        <w:rPr>
          <w:rFonts w:ascii="Arial" w:eastAsia="Arial" w:hAnsi="Arial" w:cs="Arial"/>
          <w:sz w:val="24"/>
          <w:szCs w:val="24"/>
          <w:lang w:val="en-GB"/>
        </w:rPr>
        <w:t>O’Toole, W. (2011). </w:t>
      </w:r>
      <w:r w:rsidRPr="00B370D3">
        <w:rPr>
          <w:rFonts w:ascii="Arial" w:eastAsia="Arial" w:hAnsi="Arial" w:cs="Arial"/>
          <w:i/>
          <w:iCs/>
          <w:sz w:val="24"/>
          <w:szCs w:val="24"/>
          <w:lang w:val="en-GB"/>
        </w:rPr>
        <w:t>Event feasibility.</w:t>
      </w:r>
      <w:r w:rsidRPr="00B370D3">
        <w:rPr>
          <w:rFonts w:ascii="Arial" w:eastAsia="Arial" w:hAnsi="Arial" w:cs="Arial"/>
          <w:sz w:val="24"/>
          <w:szCs w:val="24"/>
          <w:lang w:val="en-GB"/>
        </w:rPr>
        <w:t> Butterworth-Heinemann.</w:t>
      </w:r>
      <w:r w:rsidRPr="00B370D3">
        <w:rPr>
          <w:rFonts w:ascii="Arial" w:eastAsia="Arial" w:hAnsi="Arial" w:cs="Arial"/>
          <w:sz w:val="24"/>
          <w:szCs w:val="24"/>
          <w:lang w:val="en-GB"/>
        </w:rPr>
        <w:t xml:space="preserve"> </w:t>
      </w:r>
    </w:p>
    <w:p w14:paraId="455E2D0A" w14:textId="72BC4AE9" w:rsidR="00A6392D" w:rsidRPr="00DF4B51" w:rsidRDefault="00A6392D" w:rsidP="00A6392D">
      <w:pPr>
        <w:pStyle w:val="TableParagraph"/>
        <w:spacing w:line="480" w:lineRule="auto"/>
        <w:ind w:left="14"/>
        <w:rPr>
          <w:rFonts w:ascii="Arial" w:hAnsi="Arial" w:cs="Arial"/>
          <w:sz w:val="24"/>
          <w:szCs w:val="24"/>
        </w:rPr>
      </w:pPr>
      <w:r w:rsidRPr="00DF4B51">
        <w:rPr>
          <w:rFonts w:ascii="Arial" w:hAnsi="Arial" w:cs="Arial"/>
          <w:sz w:val="24"/>
          <w:szCs w:val="24"/>
        </w:rPr>
        <w:t>Rogers,</w:t>
      </w:r>
      <w:r w:rsidRPr="00DF4B51">
        <w:rPr>
          <w:rFonts w:ascii="Arial" w:hAnsi="Arial" w:cs="Arial"/>
          <w:spacing w:val="-6"/>
          <w:sz w:val="24"/>
          <w:szCs w:val="24"/>
        </w:rPr>
        <w:t xml:space="preserve"> </w:t>
      </w:r>
      <w:r w:rsidRPr="00DF4B51">
        <w:rPr>
          <w:rFonts w:ascii="Arial" w:hAnsi="Arial" w:cs="Arial"/>
          <w:sz w:val="24"/>
          <w:szCs w:val="24"/>
        </w:rPr>
        <w:t>T.</w:t>
      </w:r>
      <w:r w:rsidRPr="00DF4B51">
        <w:rPr>
          <w:rFonts w:ascii="Arial" w:hAnsi="Arial" w:cs="Arial"/>
          <w:spacing w:val="-8"/>
          <w:sz w:val="24"/>
          <w:szCs w:val="24"/>
        </w:rPr>
        <w:t xml:space="preserve"> </w:t>
      </w:r>
      <w:r w:rsidRPr="00DF4B51">
        <w:rPr>
          <w:rFonts w:ascii="Arial" w:hAnsi="Arial" w:cs="Arial"/>
          <w:sz w:val="24"/>
          <w:szCs w:val="24"/>
        </w:rPr>
        <w:t>Wynn-Moylan,</w:t>
      </w:r>
      <w:r w:rsidRPr="00DF4B51">
        <w:rPr>
          <w:rFonts w:ascii="Arial" w:hAnsi="Arial" w:cs="Arial"/>
          <w:spacing w:val="-3"/>
          <w:sz w:val="24"/>
          <w:szCs w:val="24"/>
        </w:rPr>
        <w:t xml:space="preserve"> </w:t>
      </w:r>
      <w:r w:rsidRPr="00DF4B51">
        <w:rPr>
          <w:rFonts w:ascii="Arial" w:hAnsi="Arial" w:cs="Arial"/>
          <w:sz w:val="24"/>
          <w:szCs w:val="24"/>
        </w:rPr>
        <w:t>P</w:t>
      </w:r>
      <w:r w:rsidRPr="00DF4B51">
        <w:rPr>
          <w:rFonts w:ascii="Arial" w:hAnsi="Arial" w:cs="Arial"/>
          <w:spacing w:val="-10"/>
          <w:sz w:val="24"/>
          <w:szCs w:val="24"/>
        </w:rPr>
        <w:t xml:space="preserve"> </w:t>
      </w:r>
      <w:r w:rsidRPr="00DF4B51">
        <w:rPr>
          <w:rFonts w:ascii="Arial" w:hAnsi="Arial" w:cs="Arial"/>
          <w:sz w:val="24"/>
          <w:szCs w:val="24"/>
        </w:rPr>
        <w:t>(2022)</w:t>
      </w:r>
      <w:r w:rsidRPr="00DF4B51">
        <w:rPr>
          <w:rFonts w:ascii="Arial" w:hAnsi="Arial" w:cs="Arial"/>
          <w:spacing w:val="-8"/>
          <w:sz w:val="24"/>
          <w:szCs w:val="24"/>
        </w:rPr>
        <w:t xml:space="preserve"> </w:t>
      </w:r>
      <w:r w:rsidRPr="00DF4B51">
        <w:rPr>
          <w:rFonts w:ascii="Arial" w:hAnsi="Arial" w:cs="Arial"/>
          <w:sz w:val="24"/>
          <w:szCs w:val="24"/>
        </w:rPr>
        <w:t>Conferences</w:t>
      </w:r>
      <w:r w:rsidRPr="00DF4B51">
        <w:rPr>
          <w:rFonts w:ascii="Arial" w:hAnsi="Arial" w:cs="Arial"/>
          <w:spacing w:val="-8"/>
          <w:sz w:val="24"/>
          <w:szCs w:val="24"/>
        </w:rPr>
        <w:t xml:space="preserve"> </w:t>
      </w:r>
      <w:r w:rsidRPr="00DF4B51">
        <w:rPr>
          <w:rFonts w:ascii="Arial" w:hAnsi="Arial" w:cs="Arial"/>
          <w:spacing w:val="-5"/>
          <w:sz w:val="24"/>
          <w:szCs w:val="24"/>
        </w:rPr>
        <w:t xml:space="preserve">and </w:t>
      </w:r>
      <w:r w:rsidRPr="00DF4B51">
        <w:rPr>
          <w:rFonts w:ascii="Arial" w:hAnsi="Arial" w:cs="Arial"/>
          <w:sz w:val="24"/>
          <w:szCs w:val="24"/>
        </w:rPr>
        <w:t>conventions:</w:t>
      </w:r>
      <w:r w:rsidRPr="00DF4B51">
        <w:rPr>
          <w:rFonts w:ascii="Arial" w:hAnsi="Arial" w:cs="Arial"/>
          <w:spacing w:val="-8"/>
          <w:sz w:val="24"/>
          <w:szCs w:val="24"/>
        </w:rPr>
        <w:t xml:space="preserve"> </w:t>
      </w:r>
      <w:r w:rsidRPr="00DF4B51">
        <w:rPr>
          <w:rFonts w:ascii="Arial" w:hAnsi="Arial" w:cs="Arial"/>
          <w:sz w:val="24"/>
          <w:szCs w:val="24"/>
        </w:rPr>
        <w:t>a</w:t>
      </w:r>
      <w:r w:rsidRPr="00DF4B51">
        <w:rPr>
          <w:rFonts w:ascii="Arial" w:hAnsi="Arial" w:cs="Arial"/>
          <w:spacing w:val="-7"/>
          <w:sz w:val="24"/>
          <w:szCs w:val="24"/>
        </w:rPr>
        <w:t xml:space="preserve"> </w:t>
      </w:r>
      <w:r w:rsidRPr="00DF4B51">
        <w:rPr>
          <w:rFonts w:ascii="Arial" w:hAnsi="Arial" w:cs="Arial"/>
          <w:sz w:val="24"/>
          <w:szCs w:val="24"/>
        </w:rPr>
        <w:t>global</w:t>
      </w:r>
      <w:r w:rsidRPr="00DF4B51">
        <w:rPr>
          <w:rFonts w:ascii="Arial" w:hAnsi="Arial" w:cs="Arial"/>
          <w:spacing w:val="-8"/>
          <w:sz w:val="24"/>
          <w:szCs w:val="24"/>
        </w:rPr>
        <w:t xml:space="preserve"> </w:t>
      </w:r>
      <w:r w:rsidRPr="00DF4B51">
        <w:rPr>
          <w:rFonts w:ascii="Arial" w:hAnsi="Arial" w:cs="Arial"/>
          <w:sz w:val="24"/>
          <w:szCs w:val="24"/>
        </w:rPr>
        <w:t>industry.</w:t>
      </w:r>
      <w:r w:rsidRPr="00DF4B51">
        <w:rPr>
          <w:rFonts w:ascii="Arial" w:hAnsi="Arial" w:cs="Arial"/>
          <w:spacing w:val="-5"/>
          <w:sz w:val="24"/>
          <w:szCs w:val="24"/>
        </w:rPr>
        <w:t xml:space="preserve"> </w:t>
      </w:r>
      <w:r w:rsidRPr="00DF4B51">
        <w:rPr>
          <w:rFonts w:ascii="Arial" w:hAnsi="Arial" w:cs="Arial"/>
          <w:sz w:val="24"/>
          <w:szCs w:val="24"/>
        </w:rPr>
        <w:t>4th</w:t>
      </w:r>
      <w:r w:rsidRPr="00DF4B51">
        <w:rPr>
          <w:rFonts w:ascii="Arial" w:hAnsi="Arial" w:cs="Arial"/>
          <w:spacing w:val="-7"/>
          <w:sz w:val="24"/>
          <w:szCs w:val="24"/>
        </w:rPr>
        <w:t xml:space="preserve"> </w:t>
      </w:r>
      <w:r w:rsidRPr="00DF4B51">
        <w:rPr>
          <w:rFonts w:ascii="Arial" w:hAnsi="Arial" w:cs="Arial"/>
          <w:sz w:val="24"/>
          <w:szCs w:val="24"/>
        </w:rPr>
        <w:t>Edition.</w:t>
      </w:r>
      <w:r w:rsidRPr="00DF4B51">
        <w:rPr>
          <w:rFonts w:ascii="Arial" w:hAnsi="Arial" w:cs="Arial"/>
          <w:spacing w:val="-3"/>
          <w:sz w:val="24"/>
          <w:szCs w:val="24"/>
        </w:rPr>
        <w:t xml:space="preserve"> </w:t>
      </w:r>
      <w:r w:rsidRPr="00DF4B51">
        <w:rPr>
          <w:rFonts w:ascii="Arial" w:hAnsi="Arial" w:cs="Arial"/>
          <w:sz w:val="24"/>
          <w:szCs w:val="24"/>
        </w:rPr>
        <w:t xml:space="preserve">Routledge: </w:t>
      </w:r>
      <w:r w:rsidRPr="00DF4B51">
        <w:rPr>
          <w:rFonts w:ascii="Arial" w:hAnsi="Arial" w:cs="Arial"/>
          <w:spacing w:val="-2"/>
          <w:sz w:val="24"/>
          <w:szCs w:val="24"/>
        </w:rPr>
        <w:t>Oxford</w:t>
      </w:r>
    </w:p>
    <w:p w14:paraId="48F2C3A1" w14:textId="77777777" w:rsidR="00A6392D" w:rsidRPr="00DF4B51" w:rsidRDefault="00A6392D" w:rsidP="00A6392D">
      <w:pPr>
        <w:spacing w:line="480" w:lineRule="auto"/>
        <w:rPr>
          <w:rFonts w:ascii="Arial" w:hAnsi="Arial" w:cs="Arial"/>
          <w:sz w:val="24"/>
          <w:szCs w:val="24"/>
        </w:rPr>
      </w:pPr>
      <w:r w:rsidRPr="00DF4B51">
        <w:rPr>
          <w:rFonts w:ascii="Arial" w:hAnsi="Arial" w:cs="Arial"/>
          <w:sz w:val="24"/>
          <w:szCs w:val="24"/>
        </w:rPr>
        <w:t>Smith,</w:t>
      </w:r>
      <w:r w:rsidRPr="00DF4B51">
        <w:rPr>
          <w:rFonts w:ascii="Arial" w:hAnsi="Arial" w:cs="Arial"/>
          <w:spacing w:val="-5"/>
          <w:sz w:val="24"/>
          <w:szCs w:val="24"/>
        </w:rPr>
        <w:t xml:space="preserve"> </w:t>
      </w:r>
      <w:r w:rsidRPr="00DF4B51">
        <w:rPr>
          <w:rFonts w:ascii="Arial" w:hAnsi="Arial" w:cs="Arial"/>
          <w:sz w:val="24"/>
          <w:szCs w:val="24"/>
        </w:rPr>
        <w:t>A.</w:t>
      </w:r>
      <w:r w:rsidRPr="00DF4B51">
        <w:rPr>
          <w:rFonts w:ascii="Arial" w:hAnsi="Arial" w:cs="Arial"/>
          <w:spacing w:val="-5"/>
          <w:sz w:val="24"/>
          <w:szCs w:val="24"/>
        </w:rPr>
        <w:t xml:space="preserve"> </w:t>
      </w:r>
      <w:r w:rsidRPr="00DF4B51">
        <w:rPr>
          <w:rFonts w:ascii="Arial" w:hAnsi="Arial" w:cs="Arial"/>
          <w:sz w:val="24"/>
          <w:szCs w:val="24"/>
        </w:rPr>
        <w:t>(2012)</w:t>
      </w:r>
      <w:r w:rsidRPr="00DF4B51">
        <w:rPr>
          <w:rFonts w:ascii="Arial" w:hAnsi="Arial" w:cs="Arial"/>
          <w:spacing w:val="-3"/>
          <w:sz w:val="24"/>
          <w:szCs w:val="24"/>
        </w:rPr>
        <w:t xml:space="preserve"> </w:t>
      </w:r>
      <w:r w:rsidRPr="00DF4B51">
        <w:rPr>
          <w:rFonts w:ascii="Arial" w:hAnsi="Arial" w:cs="Arial"/>
          <w:sz w:val="24"/>
          <w:szCs w:val="24"/>
        </w:rPr>
        <w:t>Events</w:t>
      </w:r>
      <w:r w:rsidRPr="00DF4B51">
        <w:rPr>
          <w:rFonts w:ascii="Arial" w:hAnsi="Arial" w:cs="Arial"/>
          <w:spacing w:val="-6"/>
          <w:sz w:val="24"/>
          <w:szCs w:val="24"/>
        </w:rPr>
        <w:t xml:space="preserve"> </w:t>
      </w:r>
      <w:r w:rsidRPr="00DF4B51">
        <w:rPr>
          <w:rFonts w:ascii="Arial" w:hAnsi="Arial" w:cs="Arial"/>
          <w:sz w:val="24"/>
          <w:szCs w:val="24"/>
        </w:rPr>
        <w:t>and</w:t>
      </w:r>
      <w:r w:rsidRPr="00DF4B51">
        <w:rPr>
          <w:rFonts w:ascii="Arial" w:hAnsi="Arial" w:cs="Arial"/>
          <w:spacing w:val="-4"/>
          <w:sz w:val="24"/>
          <w:szCs w:val="24"/>
        </w:rPr>
        <w:t xml:space="preserve"> </w:t>
      </w:r>
      <w:r w:rsidRPr="00DF4B51">
        <w:rPr>
          <w:rFonts w:ascii="Arial" w:hAnsi="Arial" w:cs="Arial"/>
          <w:sz w:val="24"/>
          <w:szCs w:val="24"/>
        </w:rPr>
        <w:t>urban</w:t>
      </w:r>
      <w:r w:rsidRPr="00DF4B51">
        <w:rPr>
          <w:rFonts w:ascii="Arial" w:hAnsi="Arial" w:cs="Arial"/>
          <w:spacing w:val="-6"/>
          <w:sz w:val="24"/>
          <w:szCs w:val="24"/>
        </w:rPr>
        <w:t xml:space="preserve"> </w:t>
      </w:r>
      <w:r w:rsidRPr="00DF4B51">
        <w:rPr>
          <w:rFonts w:ascii="Arial" w:hAnsi="Arial" w:cs="Arial"/>
          <w:sz w:val="24"/>
          <w:szCs w:val="24"/>
        </w:rPr>
        <w:t>regeneration:</w:t>
      </w:r>
      <w:r w:rsidRPr="00DF4B51">
        <w:rPr>
          <w:rFonts w:ascii="Arial" w:hAnsi="Arial" w:cs="Arial"/>
          <w:spacing w:val="-7"/>
          <w:sz w:val="24"/>
          <w:szCs w:val="24"/>
        </w:rPr>
        <w:t xml:space="preserve"> </w:t>
      </w:r>
      <w:r w:rsidRPr="00DF4B51">
        <w:rPr>
          <w:rFonts w:ascii="Arial" w:hAnsi="Arial" w:cs="Arial"/>
          <w:sz w:val="24"/>
          <w:szCs w:val="24"/>
        </w:rPr>
        <w:t>the strategic</w:t>
      </w:r>
      <w:r w:rsidRPr="00DF4B51">
        <w:rPr>
          <w:rFonts w:ascii="Arial" w:hAnsi="Arial" w:cs="Arial"/>
          <w:spacing w:val="-6"/>
          <w:sz w:val="24"/>
          <w:szCs w:val="24"/>
        </w:rPr>
        <w:t xml:space="preserve"> </w:t>
      </w:r>
      <w:r w:rsidRPr="00DF4B51">
        <w:rPr>
          <w:rFonts w:ascii="Arial" w:hAnsi="Arial" w:cs="Arial"/>
          <w:sz w:val="24"/>
          <w:szCs w:val="24"/>
        </w:rPr>
        <w:t>use</w:t>
      </w:r>
      <w:r w:rsidRPr="00DF4B51">
        <w:rPr>
          <w:rFonts w:ascii="Arial" w:hAnsi="Arial" w:cs="Arial"/>
          <w:spacing w:val="-9"/>
          <w:sz w:val="24"/>
          <w:szCs w:val="24"/>
        </w:rPr>
        <w:t xml:space="preserve"> </w:t>
      </w:r>
      <w:r w:rsidRPr="00DF4B51">
        <w:rPr>
          <w:rFonts w:ascii="Arial" w:hAnsi="Arial" w:cs="Arial"/>
          <w:sz w:val="24"/>
          <w:szCs w:val="24"/>
        </w:rPr>
        <w:t>of</w:t>
      </w:r>
      <w:r w:rsidRPr="00DF4B51">
        <w:rPr>
          <w:rFonts w:ascii="Arial" w:hAnsi="Arial" w:cs="Arial"/>
          <w:spacing w:val="-8"/>
          <w:sz w:val="24"/>
          <w:szCs w:val="24"/>
        </w:rPr>
        <w:t xml:space="preserve"> </w:t>
      </w:r>
      <w:r w:rsidRPr="00DF4B51">
        <w:rPr>
          <w:rFonts w:ascii="Arial" w:hAnsi="Arial" w:cs="Arial"/>
          <w:sz w:val="24"/>
          <w:szCs w:val="24"/>
        </w:rPr>
        <w:t>events</w:t>
      </w:r>
      <w:r w:rsidRPr="00DF4B51">
        <w:rPr>
          <w:rFonts w:ascii="Arial" w:hAnsi="Arial" w:cs="Arial"/>
          <w:spacing w:val="-11"/>
          <w:sz w:val="24"/>
          <w:szCs w:val="24"/>
        </w:rPr>
        <w:t xml:space="preserve"> </w:t>
      </w:r>
      <w:r w:rsidRPr="00DF4B51">
        <w:rPr>
          <w:rFonts w:ascii="Arial" w:hAnsi="Arial" w:cs="Arial"/>
          <w:sz w:val="24"/>
          <w:szCs w:val="24"/>
        </w:rPr>
        <w:t>to</w:t>
      </w:r>
      <w:r w:rsidRPr="00DF4B51">
        <w:rPr>
          <w:rFonts w:ascii="Arial" w:hAnsi="Arial" w:cs="Arial"/>
          <w:spacing w:val="-12"/>
          <w:sz w:val="24"/>
          <w:szCs w:val="24"/>
        </w:rPr>
        <w:t xml:space="preserve"> </w:t>
      </w:r>
      <w:r w:rsidRPr="00DF4B51">
        <w:rPr>
          <w:rFonts w:ascii="Arial" w:hAnsi="Arial" w:cs="Arial"/>
          <w:sz w:val="24"/>
          <w:szCs w:val="24"/>
        </w:rPr>
        <w:t>revitalise</w:t>
      </w:r>
      <w:r w:rsidRPr="00DF4B51">
        <w:rPr>
          <w:rFonts w:ascii="Arial" w:hAnsi="Arial" w:cs="Arial"/>
          <w:spacing w:val="-7"/>
          <w:sz w:val="24"/>
          <w:szCs w:val="24"/>
        </w:rPr>
        <w:t xml:space="preserve"> </w:t>
      </w:r>
      <w:r w:rsidRPr="00DF4B51">
        <w:rPr>
          <w:rFonts w:ascii="Arial" w:hAnsi="Arial" w:cs="Arial"/>
          <w:sz w:val="24"/>
          <w:szCs w:val="24"/>
        </w:rPr>
        <w:t>cities.</w:t>
      </w:r>
      <w:r w:rsidRPr="00DF4B51">
        <w:rPr>
          <w:rFonts w:ascii="Arial" w:hAnsi="Arial" w:cs="Arial"/>
          <w:spacing w:val="-5"/>
          <w:sz w:val="24"/>
          <w:szCs w:val="24"/>
        </w:rPr>
        <w:t xml:space="preserve"> </w:t>
      </w:r>
      <w:r w:rsidRPr="00DF4B51">
        <w:rPr>
          <w:rFonts w:ascii="Arial" w:hAnsi="Arial" w:cs="Arial"/>
          <w:sz w:val="24"/>
          <w:szCs w:val="24"/>
        </w:rPr>
        <w:t xml:space="preserve">Routledge: </w:t>
      </w:r>
      <w:r w:rsidRPr="00DF4B51">
        <w:rPr>
          <w:rFonts w:ascii="Arial" w:hAnsi="Arial" w:cs="Arial"/>
          <w:spacing w:val="-2"/>
          <w:sz w:val="24"/>
          <w:szCs w:val="24"/>
        </w:rPr>
        <w:t>Oxford</w:t>
      </w:r>
    </w:p>
    <w:p w14:paraId="2447E004" w14:textId="77777777" w:rsidR="00A6392D" w:rsidRPr="00623D93" w:rsidRDefault="00A6392D" w:rsidP="00A6392D">
      <w:pPr>
        <w:spacing w:line="480" w:lineRule="auto"/>
        <w:rPr>
          <w:rFonts w:ascii="Arial" w:hAnsi="Arial" w:cs="Arial"/>
          <w:sz w:val="24"/>
          <w:szCs w:val="24"/>
        </w:rPr>
      </w:pPr>
      <w:r w:rsidRPr="00623D93">
        <w:rPr>
          <w:rFonts w:ascii="Arial" w:hAnsi="Arial" w:cs="Arial"/>
          <w:sz w:val="24"/>
          <w:szCs w:val="24"/>
        </w:rPr>
        <w:t>Tyson, J., 2025. Breaking Barriers: Eliminating Disability Bias in Corporate Diversity, Equity, Inclusion, and Belonging Efforts. In </w:t>
      </w:r>
      <w:r w:rsidRPr="00623D93">
        <w:rPr>
          <w:rFonts w:ascii="Arial" w:hAnsi="Arial" w:cs="Arial"/>
          <w:i/>
          <w:iCs/>
          <w:sz w:val="24"/>
          <w:szCs w:val="24"/>
        </w:rPr>
        <w:t>Dimensions of Diversity, Equity, Inclusion, and Belonging in Business</w:t>
      </w:r>
      <w:r w:rsidRPr="00623D93">
        <w:rPr>
          <w:rFonts w:ascii="Arial" w:hAnsi="Arial" w:cs="Arial"/>
          <w:sz w:val="24"/>
          <w:szCs w:val="24"/>
        </w:rPr>
        <w:t> (pp. 41-68). IGI Global Scientific Publishing.</w:t>
      </w:r>
    </w:p>
    <w:p w14:paraId="7469BBD6" w14:textId="77777777" w:rsidR="00A6392D" w:rsidRPr="00623D93" w:rsidRDefault="00A6392D" w:rsidP="00A6392D">
      <w:pPr>
        <w:spacing w:line="480" w:lineRule="auto"/>
        <w:rPr>
          <w:rFonts w:ascii="Arial" w:hAnsi="Arial" w:cs="Arial"/>
          <w:sz w:val="24"/>
          <w:szCs w:val="24"/>
        </w:rPr>
      </w:pPr>
      <w:r w:rsidRPr="00623D93">
        <w:rPr>
          <w:rFonts w:ascii="Arial" w:hAnsi="Arial" w:cs="Arial"/>
          <w:sz w:val="24"/>
          <w:szCs w:val="24"/>
        </w:rPr>
        <w:t>Walkowiak, E., 2024. Digitalization and inclusiveness of HRM practices: The example of neurodiversity initiatives. </w:t>
      </w:r>
      <w:r w:rsidRPr="00623D93">
        <w:rPr>
          <w:rFonts w:ascii="Arial" w:hAnsi="Arial" w:cs="Arial"/>
          <w:i/>
          <w:iCs/>
          <w:sz w:val="24"/>
          <w:szCs w:val="24"/>
        </w:rPr>
        <w:t>Human Resource Management Journal</w:t>
      </w:r>
      <w:r w:rsidRPr="00623D93">
        <w:rPr>
          <w:rFonts w:ascii="Arial" w:hAnsi="Arial" w:cs="Arial"/>
          <w:sz w:val="24"/>
          <w:szCs w:val="24"/>
        </w:rPr>
        <w:t>, </w:t>
      </w:r>
      <w:r w:rsidRPr="00623D93">
        <w:rPr>
          <w:rFonts w:ascii="Arial" w:hAnsi="Arial" w:cs="Arial"/>
          <w:i/>
          <w:iCs/>
          <w:sz w:val="24"/>
          <w:szCs w:val="24"/>
        </w:rPr>
        <w:t>34</w:t>
      </w:r>
      <w:r w:rsidRPr="00623D93">
        <w:rPr>
          <w:rFonts w:ascii="Arial" w:hAnsi="Arial" w:cs="Arial"/>
          <w:sz w:val="24"/>
          <w:szCs w:val="24"/>
        </w:rPr>
        <w:t>(3), pp.578-598.</w:t>
      </w:r>
    </w:p>
    <w:bookmarkEnd w:id="0"/>
    <w:p w14:paraId="35781453" w14:textId="77777777" w:rsidR="00254ECC" w:rsidRPr="00254ECC" w:rsidRDefault="00254ECC" w:rsidP="00254ECC">
      <w:pPr>
        <w:rPr>
          <w:lang w:val="en-US"/>
        </w:rPr>
      </w:pPr>
    </w:p>
    <w:p w14:paraId="5AB0964F" w14:textId="77777777" w:rsidR="00254ECC" w:rsidRPr="00254ECC" w:rsidRDefault="00254ECC" w:rsidP="00254ECC">
      <w:pPr>
        <w:rPr>
          <w:lang w:val="en-US"/>
        </w:rPr>
      </w:pPr>
    </w:p>
    <w:p w14:paraId="43832C97" w14:textId="77777777" w:rsidR="00254ECC" w:rsidRDefault="00254ECC" w:rsidP="00254ECC">
      <w:pPr>
        <w:rPr>
          <w:lang w:val="en-US"/>
        </w:rPr>
      </w:pPr>
    </w:p>
    <w:p w14:paraId="0355589B" w14:textId="77777777" w:rsidR="005B073D" w:rsidRDefault="005B073D" w:rsidP="00254ECC">
      <w:pPr>
        <w:rPr>
          <w:lang w:val="en-US"/>
        </w:rPr>
      </w:pPr>
    </w:p>
    <w:p w14:paraId="13718C6E" w14:textId="77777777" w:rsidR="005B073D" w:rsidRPr="00254ECC" w:rsidRDefault="005B073D" w:rsidP="00254ECC">
      <w:pPr>
        <w:rPr>
          <w:lang w:val="en-US"/>
        </w:rPr>
      </w:pPr>
    </w:p>
    <w:p w14:paraId="1A52792B" w14:textId="77777777" w:rsidR="00254ECC" w:rsidRDefault="00254ECC" w:rsidP="00254ECC">
      <w:pPr>
        <w:rPr>
          <w:lang w:val="en-US"/>
        </w:rPr>
      </w:pPr>
    </w:p>
    <w:p w14:paraId="5E37F025" w14:textId="77777777" w:rsidR="00DF4B51" w:rsidRDefault="00DF4B51" w:rsidP="00254ECC">
      <w:pPr>
        <w:rPr>
          <w:lang w:val="en-US"/>
        </w:rPr>
      </w:pPr>
    </w:p>
    <w:p w14:paraId="0224B9BA" w14:textId="77777777" w:rsidR="00DF4B51" w:rsidRDefault="00DF4B51" w:rsidP="00254ECC">
      <w:pPr>
        <w:rPr>
          <w:lang w:val="en-US"/>
        </w:rPr>
      </w:pPr>
    </w:p>
    <w:p w14:paraId="5363EAE0" w14:textId="77777777" w:rsidR="00DF4B51" w:rsidRDefault="00DF4B51" w:rsidP="00254ECC">
      <w:pPr>
        <w:rPr>
          <w:lang w:val="en-US"/>
        </w:rPr>
      </w:pPr>
    </w:p>
    <w:p w14:paraId="3233C6B7" w14:textId="77777777" w:rsidR="00DF4B51" w:rsidRPr="00254ECC" w:rsidRDefault="00DF4B51" w:rsidP="00254ECC">
      <w:pPr>
        <w:rPr>
          <w:lang w:val="en-US"/>
        </w:rPr>
      </w:pPr>
    </w:p>
    <w:p w14:paraId="68FF3811" w14:textId="77777777" w:rsidR="00254ECC" w:rsidRPr="00254ECC" w:rsidRDefault="00254ECC" w:rsidP="00254ECC">
      <w:pPr>
        <w:rPr>
          <w:lang w:val="en-US"/>
        </w:rPr>
      </w:pPr>
    </w:p>
    <w:p w14:paraId="2216CF07" w14:textId="77777777" w:rsidR="00254ECC" w:rsidRPr="00254ECC" w:rsidRDefault="00254ECC" w:rsidP="00254ECC">
      <w:pPr>
        <w:rPr>
          <w:lang w:val="en-US"/>
        </w:rPr>
      </w:pPr>
    </w:p>
    <w:p w14:paraId="6010F3C4" w14:textId="77777777" w:rsidR="00254ECC" w:rsidRPr="00254ECC" w:rsidRDefault="00254ECC" w:rsidP="00254ECC">
      <w:pPr>
        <w:rPr>
          <w:rFonts w:ascii="Arial" w:hAnsi="Arial" w:cs="Arial"/>
          <w:b/>
          <w:bCs/>
          <w:sz w:val="36"/>
          <w:szCs w:val="36"/>
          <w:lang w:val="en-US"/>
        </w:rPr>
      </w:pPr>
      <w:r w:rsidRPr="00254ECC">
        <w:rPr>
          <w:rFonts w:ascii="Arial" w:hAnsi="Arial" w:cs="Arial"/>
          <w:b/>
          <w:bCs/>
          <w:sz w:val="36"/>
          <w:szCs w:val="36"/>
          <w:lang w:val="en-US"/>
        </w:rPr>
        <w:t>Appendix</w:t>
      </w:r>
    </w:p>
    <w:p w14:paraId="05649733" w14:textId="77777777" w:rsidR="00254ECC" w:rsidRPr="003929DE" w:rsidRDefault="00254ECC" w:rsidP="00254ECC">
      <w:pPr>
        <w:rPr>
          <w:rFonts w:ascii="Arial" w:hAnsi="Arial" w:cs="Arial"/>
          <w:b/>
          <w:bCs/>
          <w:sz w:val="24"/>
          <w:szCs w:val="24"/>
          <w:lang w:val="en-US"/>
        </w:rPr>
      </w:pPr>
      <w:r w:rsidRPr="003929DE">
        <w:rPr>
          <w:rFonts w:ascii="Arial" w:hAnsi="Arial" w:cs="Arial"/>
          <w:b/>
          <w:bCs/>
          <w:sz w:val="24"/>
          <w:szCs w:val="24"/>
          <w:lang w:val="en-US"/>
        </w:rPr>
        <w:t xml:space="preserve">Table </w:t>
      </w:r>
      <w:proofErr w:type="gramStart"/>
      <w:r w:rsidRPr="003929DE">
        <w:rPr>
          <w:rFonts w:ascii="Arial" w:hAnsi="Arial" w:cs="Arial"/>
          <w:b/>
          <w:bCs/>
          <w:sz w:val="24"/>
          <w:szCs w:val="24"/>
          <w:lang w:val="en-US"/>
        </w:rPr>
        <w:t>1:EMBOK</w:t>
      </w:r>
      <w:proofErr w:type="gramEnd"/>
      <w:r w:rsidRPr="003929DE">
        <w:rPr>
          <w:rFonts w:ascii="Arial" w:hAnsi="Arial" w:cs="Arial"/>
          <w:b/>
          <w:bCs/>
          <w:sz w:val="24"/>
          <w:szCs w:val="24"/>
          <w:lang w:val="en-US"/>
        </w:rPr>
        <w:t xml:space="preserve"> Framework Implementation Table</w:t>
      </w:r>
    </w:p>
    <w:tbl>
      <w:tblPr>
        <w:tblStyle w:val="TableGrid"/>
        <w:tblW w:w="0" w:type="auto"/>
        <w:tblLook w:val="04A0" w:firstRow="1" w:lastRow="0" w:firstColumn="1" w:lastColumn="0" w:noHBand="0" w:noVBand="1"/>
      </w:tblPr>
      <w:tblGrid>
        <w:gridCol w:w="1923"/>
        <w:gridCol w:w="7093"/>
      </w:tblGrid>
      <w:tr w:rsidR="00254ECC" w:rsidRPr="00254ECC" w14:paraId="7D5A229E"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7F092FB4"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EMBOK Domain</w:t>
            </w:r>
          </w:p>
        </w:tc>
        <w:tc>
          <w:tcPr>
            <w:tcW w:w="0" w:type="auto"/>
            <w:tcBorders>
              <w:top w:val="single" w:sz="4" w:space="0" w:color="auto"/>
              <w:left w:val="single" w:sz="4" w:space="0" w:color="auto"/>
              <w:bottom w:val="single" w:sz="4" w:space="0" w:color="auto"/>
              <w:right w:val="single" w:sz="4" w:space="0" w:color="auto"/>
            </w:tcBorders>
            <w:hideMark/>
          </w:tcPr>
          <w:p w14:paraId="1E7804BA"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Key Actions Implemented</w:t>
            </w:r>
          </w:p>
        </w:tc>
      </w:tr>
      <w:tr w:rsidR="00254ECC" w:rsidRPr="00254ECC" w14:paraId="3B0DC932"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05EEF971"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Administration</w:t>
            </w:r>
          </w:p>
        </w:tc>
        <w:tc>
          <w:tcPr>
            <w:tcW w:w="0" w:type="auto"/>
            <w:tcBorders>
              <w:top w:val="single" w:sz="4" w:space="0" w:color="auto"/>
              <w:left w:val="single" w:sz="4" w:space="0" w:color="auto"/>
              <w:bottom w:val="single" w:sz="4" w:space="0" w:color="auto"/>
              <w:right w:val="single" w:sz="4" w:space="0" w:color="auto"/>
            </w:tcBorders>
            <w:hideMark/>
          </w:tcPr>
          <w:p w14:paraId="3BE42936"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Budget planning, securing sponsorships, compliance with UK Equality Act 2010, risk assessments, and contingency planning.</w:t>
            </w:r>
          </w:p>
        </w:tc>
      </w:tr>
      <w:tr w:rsidR="00254ECC" w:rsidRPr="00254ECC" w14:paraId="43A95FFF"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1AEC4F12"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Design</w:t>
            </w:r>
          </w:p>
        </w:tc>
        <w:tc>
          <w:tcPr>
            <w:tcW w:w="0" w:type="auto"/>
            <w:tcBorders>
              <w:top w:val="single" w:sz="4" w:space="0" w:color="auto"/>
              <w:left w:val="single" w:sz="4" w:space="0" w:color="auto"/>
              <w:bottom w:val="single" w:sz="4" w:space="0" w:color="auto"/>
              <w:right w:val="single" w:sz="4" w:space="0" w:color="auto"/>
            </w:tcBorders>
            <w:hideMark/>
          </w:tcPr>
          <w:p w14:paraId="76A21916"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Event branding, agenda structuring, keynote and workshop selection, and accessibility planning (e.g., sensory-friendly spaces).</w:t>
            </w:r>
          </w:p>
        </w:tc>
      </w:tr>
      <w:tr w:rsidR="00254ECC" w:rsidRPr="00254ECC" w14:paraId="2A22983A"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53D48EFB"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Marketing</w:t>
            </w:r>
          </w:p>
        </w:tc>
        <w:tc>
          <w:tcPr>
            <w:tcW w:w="0" w:type="auto"/>
            <w:tcBorders>
              <w:top w:val="single" w:sz="4" w:space="0" w:color="auto"/>
              <w:left w:val="single" w:sz="4" w:space="0" w:color="auto"/>
              <w:bottom w:val="single" w:sz="4" w:space="0" w:color="auto"/>
              <w:right w:val="single" w:sz="4" w:space="0" w:color="auto"/>
            </w:tcBorders>
            <w:hideMark/>
          </w:tcPr>
          <w:p w14:paraId="1C7E08C1"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Social media campaigns, partnerships with neurodiversity organizations, targeted outreach to SMEs in hospitality.</w:t>
            </w:r>
          </w:p>
        </w:tc>
      </w:tr>
      <w:tr w:rsidR="00254ECC" w:rsidRPr="00254ECC" w14:paraId="546A6690"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0C36A0D2"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Operations</w:t>
            </w:r>
          </w:p>
        </w:tc>
        <w:tc>
          <w:tcPr>
            <w:tcW w:w="0" w:type="auto"/>
            <w:tcBorders>
              <w:top w:val="single" w:sz="4" w:space="0" w:color="auto"/>
              <w:left w:val="single" w:sz="4" w:space="0" w:color="auto"/>
              <w:bottom w:val="single" w:sz="4" w:space="0" w:color="auto"/>
              <w:right w:val="single" w:sz="4" w:space="0" w:color="auto"/>
            </w:tcBorders>
            <w:hideMark/>
          </w:tcPr>
          <w:p w14:paraId="26C45129"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Venue booking, hybrid conferencing setup, staff and volunteer coordination, catering and accessibility services.</w:t>
            </w:r>
          </w:p>
        </w:tc>
      </w:tr>
      <w:tr w:rsidR="00254ECC" w:rsidRPr="00254ECC" w14:paraId="58CE9848"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10ED85E5"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Risk Management</w:t>
            </w:r>
          </w:p>
        </w:tc>
        <w:tc>
          <w:tcPr>
            <w:tcW w:w="0" w:type="auto"/>
            <w:tcBorders>
              <w:top w:val="single" w:sz="4" w:space="0" w:color="auto"/>
              <w:left w:val="single" w:sz="4" w:space="0" w:color="auto"/>
              <w:bottom w:val="single" w:sz="4" w:space="0" w:color="auto"/>
              <w:right w:val="single" w:sz="4" w:space="0" w:color="auto"/>
            </w:tcBorders>
            <w:hideMark/>
          </w:tcPr>
          <w:p w14:paraId="03366508"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Backup speakers, alternative technology solutions for hybrid participation, emergency medical and security plans.</w:t>
            </w:r>
          </w:p>
        </w:tc>
      </w:tr>
    </w:tbl>
    <w:p w14:paraId="08B4DABA" w14:textId="77777777" w:rsidR="00254ECC" w:rsidRDefault="00254ECC" w:rsidP="00254ECC">
      <w:pPr>
        <w:rPr>
          <w:rFonts w:ascii="Arial" w:hAnsi="Arial" w:cs="Arial"/>
          <w:sz w:val="24"/>
          <w:szCs w:val="24"/>
          <w:lang w:val="en-US"/>
        </w:rPr>
      </w:pPr>
    </w:p>
    <w:p w14:paraId="54379108" w14:textId="77777777" w:rsidR="003929DE" w:rsidRDefault="003929DE" w:rsidP="00254ECC">
      <w:pPr>
        <w:rPr>
          <w:rFonts w:ascii="Arial" w:hAnsi="Arial" w:cs="Arial"/>
          <w:sz w:val="24"/>
          <w:szCs w:val="24"/>
          <w:lang w:val="en-US"/>
        </w:rPr>
      </w:pPr>
    </w:p>
    <w:p w14:paraId="58B9D191" w14:textId="77777777" w:rsidR="003929DE" w:rsidRDefault="003929DE" w:rsidP="00254ECC">
      <w:pPr>
        <w:rPr>
          <w:rFonts w:ascii="Arial" w:hAnsi="Arial" w:cs="Arial"/>
          <w:sz w:val="24"/>
          <w:szCs w:val="24"/>
          <w:lang w:val="en-US"/>
        </w:rPr>
      </w:pPr>
    </w:p>
    <w:p w14:paraId="64051227" w14:textId="77777777" w:rsidR="003929DE" w:rsidRDefault="003929DE" w:rsidP="00254ECC">
      <w:pPr>
        <w:rPr>
          <w:rFonts w:ascii="Arial" w:hAnsi="Arial" w:cs="Arial"/>
          <w:sz w:val="24"/>
          <w:szCs w:val="24"/>
          <w:lang w:val="en-US"/>
        </w:rPr>
      </w:pPr>
    </w:p>
    <w:p w14:paraId="6F883C5B" w14:textId="77777777" w:rsidR="003929DE" w:rsidRPr="00254ECC" w:rsidRDefault="003929DE" w:rsidP="00254ECC">
      <w:pPr>
        <w:rPr>
          <w:rFonts w:ascii="Arial" w:hAnsi="Arial" w:cs="Arial"/>
          <w:sz w:val="24"/>
          <w:szCs w:val="24"/>
          <w:lang w:val="en-US"/>
        </w:rPr>
      </w:pPr>
    </w:p>
    <w:p w14:paraId="1D37D083" w14:textId="77777777" w:rsidR="00254ECC" w:rsidRPr="003929DE" w:rsidRDefault="00254ECC" w:rsidP="00254ECC">
      <w:pPr>
        <w:rPr>
          <w:rFonts w:ascii="Arial" w:hAnsi="Arial" w:cs="Arial"/>
          <w:b/>
          <w:bCs/>
          <w:sz w:val="24"/>
          <w:szCs w:val="24"/>
          <w:lang w:val="en-US"/>
        </w:rPr>
      </w:pPr>
      <w:r w:rsidRPr="003929DE">
        <w:rPr>
          <w:rFonts w:ascii="Arial" w:hAnsi="Arial" w:cs="Arial"/>
          <w:b/>
          <w:bCs/>
          <w:sz w:val="24"/>
          <w:szCs w:val="24"/>
          <w:lang w:val="en-US"/>
        </w:rPr>
        <w:t>Table 2: Risk Assessment Matrix</w:t>
      </w:r>
    </w:p>
    <w:tbl>
      <w:tblPr>
        <w:tblStyle w:val="TableGrid"/>
        <w:tblW w:w="0" w:type="auto"/>
        <w:tblLook w:val="04A0" w:firstRow="1" w:lastRow="0" w:firstColumn="1" w:lastColumn="0" w:noHBand="0" w:noVBand="1"/>
      </w:tblPr>
      <w:tblGrid>
        <w:gridCol w:w="2300"/>
        <w:gridCol w:w="1416"/>
        <w:gridCol w:w="1070"/>
        <w:gridCol w:w="4230"/>
      </w:tblGrid>
      <w:tr w:rsidR="00254ECC" w:rsidRPr="00254ECC" w14:paraId="1FB169FD"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0146FB40"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Risk Factor</w:t>
            </w:r>
          </w:p>
        </w:tc>
        <w:tc>
          <w:tcPr>
            <w:tcW w:w="0" w:type="auto"/>
            <w:tcBorders>
              <w:top w:val="single" w:sz="4" w:space="0" w:color="auto"/>
              <w:left w:val="single" w:sz="4" w:space="0" w:color="auto"/>
              <w:bottom w:val="single" w:sz="4" w:space="0" w:color="auto"/>
              <w:right w:val="single" w:sz="4" w:space="0" w:color="auto"/>
            </w:tcBorders>
            <w:hideMark/>
          </w:tcPr>
          <w:p w14:paraId="1B216892"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Likelihood</w:t>
            </w:r>
          </w:p>
        </w:tc>
        <w:tc>
          <w:tcPr>
            <w:tcW w:w="0" w:type="auto"/>
            <w:tcBorders>
              <w:top w:val="single" w:sz="4" w:space="0" w:color="auto"/>
              <w:left w:val="single" w:sz="4" w:space="0" w:color="auto"/>
              <w:bottom w:val="single" w:sz="4" w:space="0" w:color="auto"/>
              <w:right w:val="single" w:sz="4" w:space="0" w:color="auto"/>
            </w:tcBorders>
            <w:hideMark/>
          </w:tcPr>
          <w:p w14:paraId="6BB563DB"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Impact</w:t>
            </w:r>
          </w:p>
        </w:tc>
        <w:tc>
          <w:tcPr>
            <w:tcW w:w="0" w:type="auto"/>
            <w:tcBorders>
              <w:top w:val="single" w:sz="4" w:space="0" w:color="auto"/>
              <w:left w:val="single" w:sz="4" w:space="0" w:color="auto"/>
              <w:bottom w:val="single" w:sz="4" w:space="0" w:color="auto"/>
              <w:right w:val="single" w:sz="4" w:space="0" w:color="auto"/>
            </w:tcBorders>
            <w:hideMark/>
          </w:tcPr>
          <w:p w14:paraId="28C4C474"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Mitigation Strategy</w:t>
            </w:r>
          </w:p>
        </w:tc>
      </w:tr>
      <w:tr w:rsidR="00254ECC" w:rsidRPr="00254ECC" w14:paraId="28C875C1"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743BCC33"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Speaker cancellation</w:t>
            </w:r>
          </w:p>
        </w:tc>
        <w:tc>
          <w:tcPr>
            <w:tcW w:w="0" w:type="auto"/>
            <w:tcBorders>
              <w:top w:val="single" w:sz="4" w:space="0" w:color="auto"/>
              <w:left w:val="single" w:sz="4" w:space="0" w:color="auto"/>
              <w:bottom w:val="single" w:sz="4" w:space="0" w:color="auto"/>
              <w:right w:val="single" w:sz="4" w:space="0" w:color="auto"/>
            </w:tcBorders>
            <w:hideMark/>
          </w:tcPr>
          <w:p w14:paraId="3515B0B2"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Medium</w:t>
            </w:r>
          </w:p>
        </w:tc>
        <w:tc>
          <w:tcPr>
            <w:tcW w:w="0" w:type="auto"/>
            <w:tcBorders>
              <w:top w:val="single" w:sz="4" w:space="0" w:color="auto"/>
              <w:left w:val="single" w:sz="4" w:space="0" w:color="auto"/>
              <w:bottom w:val="single" w:sz="4" w:space="0" w:color="auto"/>
              <w:right w:val="single" w:sz="4" w:space="0" w:color="auto"/>
            </w:tcBorders>
            <w:hideMark/>
          </w:tcPr>
          <w:p w14:paraId="1C28735C"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High</w:t>
            </w:r>
          </w:p>
        </w:tc>
        <w:tc>
          <w:tcPr>
            <w:tcW w:w="0" w:type="auto"/>
            <w:tcBorders>
              <w:top w:val="single" w:sz="4" w:space="0" w:color="auto"/>
              <w:left w:val="single" w:sz="4" w:space="0" w:color="auto"/>
              <w:bottom w:val="single" w:sz="4" w:space="0" w:color="auto"/>
              <w:right w:val="single" w:sz="4" w:space="0" w:color="auto"/>
            </w:tcBorders>
            <w:hideMark/>
          </w:tcPr>
          <w:p w14:paraId="56DE49F7"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Secure backup speakers and pre-record keynote sessions.</w:t>
            </w:r>
          </w:p>
        </w:tc>
      </w:tr>
      <w:tr w:rsidR="00254ECC" w:rsidRPr="00254ECC" w14:paraId="3EC15638"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2D5A2B9B"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Technical issues (hybrid event)</w:t>
            </w:r>
          </w:p>
        </w:tc>
        <w:tc>
          <w:tcPr>
            <w:tcW w:w="0" w:type="auto"/>
            <w:tcBorders>
              <w:top w:val="single" w:sz="4" w:space="0" w:color="auto"/>
              <w:left w:val="single" w:sz="4" w:space="0" w:color="auto"/>
              <w:bottom w:val="single" w:sz="4" w:space="0" w:color="auto"/>
              <w:right w:val="single" w:sz="4" w:space="0" w:color="auto"/>
            </w:tcBorders>
            <w:hideMark/>
          </w:tcPr>
          <w:p w14:paraId="77479F83"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High</w:t>
            </w:r>
          </w:p>
        </w:tc>
        <w:tc>
          <w:tcPr>
            <w:tcW w:w="0" w:type="auto"/>
            <w:tcBorders>
              <w:top w:val="single" w:sz="4" w:space="0" w:color="auto"/>
              <w:left w:val="single" w:sz="4" w:space="0" w:color="auto"/>
              <w:bottom w:val="single" w:sz="4" w:space="0" w:color="auto"/>
              <w:right w:val="single" w:sz="4" w:space="0" w:color="auto"/>
            </w:tcBorders>
            <w:hideMark/>
          </w:tcPr>
          <w:p w14:paraId="11BF6C5D"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High</w:t>
            </w:r>
          </w:p>
        </w:tc>
        <w:tc>
          <w:tcPr>
            <w:tcW w:w="0" w:type="auto"/>
            <w:tcBorders>
              <w:top w:val="single" w:sz="4" w:space="0" w:color="auto"/>
              <w:left w:val="single" w:sz="4" w:space="0" w:color="auto"/>
              <w:bottom w:val="single" w:sz="4" w:space="0" w:color="auto"/>
              <w:right w:val="single" w:sz="4" w:space="0" w:color="auto"/>
            </w:tcBorders>
            <w:hideMark/>
          </w:tcPr>
          <w:p w14:paraId="77ACE45A"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Have on-site and remote IT support, test all equipment before the event.</w:t>
            </w:r>
          </w:p>
        </w:tc>
      </w:tr>
      <w:tr w:rsidR="00254ECC" w:rsidRPr="00254ECC" w14:paraId="71AEFF07"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1A157032"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lastRenderedPageBreak/>
              <w:t>Low ticket sales</w:t>
            </w:r>
          </w:p>
        </w:tc>
        <w:tc>
          <w:tcPr>
            <w:tcW w:w="0" w:type="auto"/>
            <w:tcBorders>
              <w:top w:val="single" w:sz="4" w:space="0" w:color="auto"/>
              <w:left w:val="single" w:sz="4" w:space="0" w:color="auto"/>
              <w:bottom w:val="single" w:sz="4" w:space="0" w:color="auto"/>
              <w:right w:val="single" w:sz="4" w:space="0" w:color="auto"/>
            </w:tcBorders>
            <w:hideMark/>
          </w:tcPr>
          <w:p w14:paraId="437DFD70"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Medium</w:t>
            </w:r>
          </w:p>
        </w:tc>
        <w:tc>
          <w:tcPr>
            <w:tcW w:w="0" w:type="auto"/>
            <w:tcBorders>
              <w:top w:val="single" w:sz="4" w:space="0" w:color="auto"/>
              <w:left w:val="single" w:sz="4" w:space="0" w:color="auto"/>
              <w:bottom w:val="single" w:sz="4" w:space="0" w:color="auto"/>
              <w:right w:val="single" w:sz="4" w:space="0" w:color="auto"/>
            </w:tcBorders>
            <w:hideMark/>
          </w:tcPr>
          <w:p w14:paraId="53709245"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Medium</w:t>
            </w:r>
          </w:p>
        </w:tc>
        <w:tc>
          <w:tcPr>
            <w:tcW w:w="0" w:type="auto"/>
            <w:tcBorders>
              <w:top w:val="single" w:sz="4" w:space="0" w:color="auto"/>
              <w:left w:val="single" w:sz="4" w:space="0" w:color="auto"/>
              <w:bottom w:val="single" w:sz="4" w:space="0" w:color="auto"/>
              <w:right w:val="single" w:sz="4" w:space="0" w:color="auto"/>
            </w:tcBorders>
            <w:hideMark/>
          </w:tcPr>
          <w:p w14:paraId="20A84014"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Offer early-bird discounts, increase social media advertising.</w:t>
            </w:r>
          </w:p>
        </w:tc>
      </w:tr>
      <w:tr w:rsidR="00254ECC" w:rsidRPr="00254ECC" w14:paraId="39D5B3F7"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617A9F7C"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Accessibility concerns</w:t>
            </w:r>
          </w:p>
        </w:tc>
        <w:tc>
          <w:tcPr>
            <w:tcW w:w="0" w:type="auto"/>
            <w:tcBorders>
              <w:top w:val="single" w:sz="4" w:space="0" w:color="auto"/>
              <w:left w:val="single" w:sz="4" w:space="0" w:color="auto"/>
              <w:bottom w:val="single" w:sz="4" w:space="0" w:color="auto"/>
              <w:right w:val="single" w:sz="4" w:space="0" w:color="auto"/>
            </w:tcBorders>
            <w:hideMark/>
          </w:tcPr>
          <w:p w14:paraId="38454046"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Low</w:t>
            </w:r>
          </w:p>
        </w:tc>
        <w:tc>
          <w:tcPr>
            <w:tcW w:w="0" w:type="auto"/>
            <w:tcBorders>
              <w:top w:val="single" w:sz="4" w:space="0" w:color="auto"/>
              <w:left w:val="single" w:sz="4" w:space="0" w:color="auto"/>
              <w:bottom w:val="single" w:sz="4" w:space="0" w:color="auto"/>
              <w:right w:val="single" w:sz="4" w:space="0" w:color="auto"/>
            </w:tcBorders>
            <w:hideMark/>
          </w:tcPr>
          <w:p w14:paraId="53BF8A4E"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High</w:t>
            </w:r>
          </w:p>
        </w:tc>
        <w:tc>
          <w:tcPr>
            <w:tcW w:w="0" w:type="auto"/>
            <w:tcBorders>
              <w:top w:val="single" w:sz="4" w:space="0" w:color="auto"/>
              <w:left w:val="single" w:sz="4" w:space="0" w:color="auto"/>
              <w:bottom w:val="single" w:sz="4" w:space="0" w:color="auto"/>
              <w:right w:val="single" w:sz="4" w:space="0" w:color="auto"/>
            </w:tcBorders>
            <w:hideMark/>
          </w:tcPr>
          <w:p w14:paraId="7629BA1C"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Provide real-time captioning, sensory-friendly areas, and multilingual support.</w:t>
            </w:r>
          </w:p>
        </w:tc>
      </w:tr>
      <w:tr w:rsidR="00254ECC" w:rsidRPr="00254ECC" w14:paraId="4E3E055F"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5665E4DE"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Budget shortfall</w:t>
            </w:r>
          </w:p>
        </w:tc>
        <w:tc>
          <w:tcPr>
            <w:tcW w:w="0" w:type="auto"/>
            <w:tcBorders>
              <w:top w:val="single" w:sz="4" w:space="0" w:color="auto"/>
              <w:left w:val="single" w:sz="4" w:space="0" w:color="auto"/>
              <w:bottom w:val="single" w:sz="4" w:space="0" w:color="auto"/>
              <w:right w:val="single" w:sz="4" w:space="0" w:color="auto"/>
            </w:tcBorders>
            <w:hideMark/>
          </w:tcPr>
          <w:p w14:paraId="1E0A0632"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Medium</w:t>
            </w:r>
          </w:p>
        </w:tc>
        <w:tc>
          <w:tcPr>
            <w:tcW w:w="0" w:type="auto"/>
            <w:tcBorders>
              <w:top w:val="single" w:sz="4" w:space="0" w:color="auto"/>
              <w:left w:val="single" w:sz="4" w:space="0" w:color="auto"/>
              <w:bottom w:val="single" w:sz="4" w:space="0" w:color="auto"/>
              <w:right w:val="single" w:sz="4" w:space="0" w:color="auto"/>
            </w:tcBorders>
            <w:hideMark/>
          </w:tcPr>
          <w:p w14:paraId="019C7513"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High</w:t>
            </w:r>
          </w:p>
        </w:tc>
        <w:tc>
          <w:tcPr>
            <w:tcW w:w="0" w:type="auto"/>
            <w:tcBorders>
              <w:top w:val="single" w:sz="4" w:space="0" w:color="auto"/>
              <w:left w:val="single" w:sz="4" w:space="0" w:color="auto"/>
              <w:bottom w:val="single" w:sz="4" w:space="0" w:color="auto"/>
              <w:right w:val="single" w:sz="4" w:space="0" w:color="auto"/>
            </w:tcBorders>
            <w:hideMark/>
          </w:tcPr>
          <w:p w14:paraId="6A440343"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Diversify sponsorship sources, implement tiered ticket pricing.</w:t>
            </w:r>
          </w:p>
        </w:tc>
      </w:tr>
    </w:tbl>
    <w:p w14:paraId="3C60DF42" w14:textId="77777777" w:rsidR="00254ECC" w:rsidRPr="00254ECC" w:rsidRDefault="00254ECC" w:rsidP="00254ECC">
      <w:pPr>
        <w:rPr>
          <w:rFonts w:ascii="Arial" w:hAnsi="Arial" w:cs="Arial"/>
          <w:sz w:val="24"/>
          <w:szCs w:val="24"/>
          <w:lang w:val="en-US"/>
        </w:rPr>
      </w:pPr>
    </w:p>
    <w:p w14:paraId="6B61C755" w14:textId="77777777" w:rsidR="00254ECC" w:rsidRPr="00254ECC" w:rsidRDefault="00254ECC" w:rsidP="00254ECC">
      <w:pPr>
        <w:rPr>
          <w:rFonts w:ascii="Arial" w:hAnsi="Arial" w:cs="Arial"/>
          <w:sz w:val="24"/>
          <w:szCs w:val="24"/>
          <w:lang w:val="en-US"/>
        </w:rPr>
      </w:pPr>
    </w:p>
    <w:p w14:paraId="2128F859" w14:textId="77777777" w:rsidR="00254ECC" w:rsidRPr="00254ECC" w:rsidRDefault="00254ECC" w:rsidP="00254ECC">
      <w:pPr>
        <w:rPr>
          <w:rFonts w:ascii="Arial" w:hAnsi="Arial" w:cs="Arial"/>
          <w:sz w:val="24"/>
          <w:szCs w:val="24"/>
          <w:lang w:val="en-US"/>
        </w:rPr>
      </w:pPr>
    </w:p>
    <w:p w14:paraId="3BCC3A89" w14:textId="77777777" w:rsidR="00254ECC" w:rsidRPr="003929DE" w:rsidRDefault="00254ECC" w:rsidP="00254ECC">
      <w:pPr>
        <w:rPr>
          <w:rFonts w:ascii="Arial" w:hAnsi="Arial" w:cs="Arial"/>
          <w:b/>
          <w:bCs/>
          <w:sz w:val="24"/>
          <w:szCs w:val="24"/>
          <w:lang w:val="en-US"/>
        </w:rPr>
      </w:pPr>
      <w:r w:rsidRPr="003929DE">
        <w:rPr>
          <w:rFonts w:ascii="Arial" w:hAnsi="Arial" w:cs="Arial"/>
          <w:b/>
          <w:bCs/>
          <w:sz w:val="24"/>
          <w:szCs w:val="24"/>
          <w:lang w:val="en-US"/>
        </w:rPr>
        <w:t>Table 3: Post-Event Impact Evaluation Plan</w:t>
      </w:r>
    </w:p>
    <w:tbl>
      <w:tblPr>
        <w:tblStyle w:val="TableGrid"/>
        <w:tblW w:w="0" w:type="auto"/>
        <w:tblLook w:val="04A0" w:firstRow="1" w:lastRow="0" w:firstColumn="1" w:lastColumn="0" w:noHBand="0" w:noVBand="1"/>
      </w:tblPr>
      <w:tblGrid>
        <w:gridCol w:w="2346"/>
        <w:gridCol w:w="6670"/>
      </w:tblGrid>
      <w:tr w:rsidR="00254ECC" w:rsidRPr="00254ECC" w14:paraId="4D8FFF8E"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24EE6932"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Evaluation Metric</w:t>
            </w:r>
          </w:p>
        </w:tc>
        <w:tc>
          <w:tcPr>
            <w:tcW w:w="0" w:type="auto"/>
            <w:tcBorders>
              <w:top w:val="single" w:sz="4" w:space="0" w:color="auto"/>
              <w:left w:val="single" w:sz="4" w:space="0" w:color="auto"/>
              <w:bottom w:val="single" w:sz="4" w:space="0" w:color="auto"/>
              <w:right w:val="single" w:sz="4" w:space="0" w:color="auto"/>
            </w:tcBorders>
            <w:hideMark/>
          </w:tcPr>
          <w:p w14:paraId="69466B51"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Measurement Method</w:t>
            </w:r>
          </w:p>
        </w:tc>
      </w:tr>
      <w:tr w:rsidR="00254ECC" w:rsidRPr="00254ECC" w14:paraId="0B85386F"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284BD177"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Attendee satisfaction</w:t>
            </w:r>
          </w:p>
        </w:tc>
        <w:tc>
          <w:tcPr>
            <w:tcW w:w="0" w:type="auto"/>
            <w:tcBorders>
              <w:top w:val="single" w:sz="4" w:space="0" w:color="auto"/>
              <w:left w:val="single" w:sz="4" w:space="0" w:color="auto"/>
              <w:bottom w:val="single" w:sz="4" w:space="0" w:color="auto"/>
              <w:right w:val="single" w:sz="4" w:space="0" w:color="auto"/>
            </w:tcBorders>
            <w:hideMark/>
          </w:tcPr>
          <w:p w14:paraId="7FAF84C3"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Post-event survey on content, accessibility, and logistics.</w:t>
            </w:r>
          </w:p>
        </w:tc>
      </w:tr>
      <w:tr w:rsidR="00254ECC" w:rsidRPr="00254ECC" w14:paraId="229EBD87"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10D2BD17"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Knowledge retention</w:t>
            </w:r>
          </w:p>
        </w:tc>
        <w:tc>
          <w:tcPr>
            <w:tcW w:w="0" w:type="auto"/>
            <w:tcBorders>
              <w:top w:val="single" w:sz="4" w:space="0" w:color="auto"/>
              <w:left w:val="single" w:sz="4" w:space="0" w:color="auto"/>
              <w:bottom w:val="single" w:sz="4" w:space="0" w:color="auto"/>
              <w:right w:val="single" w:sz="4" w:space="0" w:color="auto"/>
            </w:tcBorders>
            <w:hideMark/>
          </w:tcPr>
          <w:p w14:paraId="7FACC8C2"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Follow-up questionnaires assessing applied learning six months post-event.</w:t>
            </w:r>
          </w:p>
        </w:tc>
      </w:tr>
      <w:tr w:rsidR="00254ECC" w:rsidRPr="00254ECC" w14:paraId="76232297"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3ED9B20B"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Networking success</w:t>
            </w:r>
          </w:p>
        </w:tc>
        <w:tc>
          <w:tcPr>
            <w:tcW w:w="0" w:type="auto"/>
            <w:tcBorders>
              <w:top w:val="single" w:sz="4" w:space="0" w:color="auto"/>
              <w:left w:val="single" w:sz="4" w:space="0" w:color="auto"/>
              <w:bottom w:val="single" w:sz="4" w:space="0" w:color="auto"/>
              <w:right w:val="single" w:sz="4" w:space="0" w:color="auto"/>
            </w:tcBorders>
            <w:hideMark/>
          </w:tcPr>
          <w:p w14:paraId="40902D35"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Tracking business partnerships and collaborations formed at the event.</w:t>
            </w:r>
          </w:p>
        </w:tc>
      </w:tr>
      <w:tr w:rsidR="00254ECC" w:rsidRPr="00254ECC" w14:paraId="36E72BC1"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3CF300FA"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Diversity implementation</w:t>
            </w:r>
          </w:p>
        </w:tc>
        <w:tc>
          <w:tcPr>
            <w:tcW w:w="0" w:type="auto"/>
            <w:tcBorders>
              <w:top w:val="single" w:sz="4" w:space="0" w:color="auto"/>
              <w:left w:val="single" w:sz="4" w:space="0" w:color="auto"/>
              <w:bottom w:val="single" w:sz="4" w:space="0" w:color="auto"/>
              <w:right w:val="single" w:sz="4" w:space="0" w:color="auto"/>
            </w:tcBorders>
            <w:hideMark/>
          </w:tcPr>
          <w:p w14:paraId="5179560E"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 xml:space="preserve">Survey participating companies six months </w:t>
            </w:r>
            <w:proofErr w:type="gramStart"/>
            <w:r w:rsidRPr="00254ECC">
              <w:rPr>
                <w:rFonts w:ascii="Arial" w:hAnsi="Arial" w:cs="Arial"/>
                <w:sz w:val="24"/>
                <w:szCs w:val="24"/>
                <w:lang w:val="en-US"/>
              </w:rPr>
              <w:t>later on</w:t>
            </w:r>
            <w:proofErr w:type="gramEnd"/>
            <w:r w:rsidRPr="00254ECC">
              <w:rPr>
                <w:rFonts w:ascii="Arial" w:hAnsi="Arial" w:cs="Arial"/>
                <w:sz w:val="24"/>
                <w:szCs w:val="24"/>
                <w:lang w:val="en-US"/>
              </w:rPr>
              <w:t xml:space="preserve"> neurodivergent hiring and workplace inclusion efforts.</w:t>
            </w:r>
          </w:p>
        </w:tc>
      </w:tr>
      <w:tr w:rsidR="00254ECC" w:rsidRPr="00254ECC" w14:paraId="12AFBA3E"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5D866EB1"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Financial sustainability</w:t>
            </w:r>
          </w:p>
        </w:tc>
        <w:tc>
          <w:tcPr>
            <w:tcW w:w="0" w:type="auto"/>
            <w:tcBorders>
              <w:top w:val="single" w:sz="4" w:space="0" w:color="auto"/>
              <w:left w:val="single" w:sz="4" w:space="0" w:color="auto"/>
              <w:bottom w:val="single" w:sz="4" w:space="0" w:color="auto"/>
              <w:right w:val="single" w:sz="4" w:space="0" w:color="auto"/>
            </w:tcBorders>
            <w:hideMark/>
          </w:tcPr>
          <w:p w14:paraId="09516581"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Review ticket sales, sponsorship retention, and feasibility of future events.</w:t>
            </w:r>
          </w:p>
        </w:tc>
      </w:tr>
    </w:tbl>
    <w:p w14:paraId="7D734969" w14:textId="77777777" w:rsidR="003929DE" w:rsidRDefault="003929DE" w:rsidP="00254ECC">
      <w:pPr>
        <w:rPr>
          <w:rFonts w:ascii="Arial" w:hAnsi="Arial" w:cs="Arial"/>
          <w:sz w:val="24"/>
          <w:szCs w:val="24"/>
          <w:lang w:val="en-US"/>
        </w:rPr>
      </w:pPr>
    </w:p>
    <w:p w14:paraId="4CAA03BE" w14:textId="77777777" w:rsidR="003929DE" w:rsidRPr="00254ECC" w:rsidRDefault="003929DE" w:rsidP="00254ECC">
      <w:pPr>
        <w:rPr>
          <w:rFonts w:ascii="Arial" w:hAnsi="Arial" w:cs="Arial"/>
          <w:sz w:val="24"/>
          <w:szCs w:val="24"/>
          <w:lang w:val="en-US"/>
        </w:rPr>
      </w:pPr>
    </w:p>
    <w:p w14:paraId="63D843DE" w14:textId="77777777" w:rsidR="00254ECC" w:rsidRPr="003929DE" w:rsidRDefault="00254ECC" w:rsidP="00254ECC">
      <w:pPr>
        <w:rPr>
          <w:rFonts w:ascii="Arial" w:hAnsi="Arial" w:cs="Arial"/>
          <w:b/>
          <w:bCs/>
          <w:sz w:val="24"/>
          <w:szCs w:val="24"/>
          <w:lang w:val="en-US"/>
        </w:rPr>
      </w:pPr>
      <w:r w:rsidRPr="003929DE">
        <w:rPr>
          <w:rFonts w:ascii="Arial" w:hAnsi="Arial" w:cs="Arial"/>
          <w:b/>
          <w:bCs/>
          <w:sz w:val="24"/>
          <w:szCs w:val="24"/>
          <w:lang w:val="en-US"/>
        </w:rPr>
        <w:t>Table 4: Funding table</w:t>
      </w:r>
    </w:p>
    <w:tbl>
      <w:tblPr>
        <w:tblStyle w:val="TableGrid"/>
        <w:tblW w:w="0" w:type="auto"/>
        <w:tblLook w:val="04A0" w:firstRow="1" w:lastRow="0" w:firstColumn="1" w:lastColumn="0" w:noHBand="0" w:noVBand="1"/>
      </w:tblPr>
      <w:tblGrid>
        <w:gridCol w:w="2043"/>
        <w:gridCol w:w="2688"/>
      </w:tblGrid>
      <w:tr w:rsidR="00254ECC" w:rsidRPr="00254ECC" w14:paraId="1959FB51"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7AB094CE"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Funding Source</w:t>
            </w:r>
          </w:p>
        </w:tc>
        <w:tc>
          <w:tcPr>
            <w:tcW w:w="0" w:type="auto"/>
            <w:tcBorders>
              <w:top w:val="single" w:sz="4" w:space="0" w:color="auto"/>
              <w:left w:val="single" w:sz="4" w:space="0" w:color="auto"/>
              <w:bottom w:val="single" w:sz="4" w:space="0" w:color="auto"/>
              <w:right w:val="single" w:sz="4" w:space="0" w:color="auto"/>
            </w:tcBorders>
            <w:hideMark/>
          </w:tcPr>
          <w:p w14:paraId="63499806" w14:textId="77777777" w:rsidR="00254ECC" w:rsidRPr="00254ECC" w:rsidRDefault="00254ECC" w:rsidP="00254ECC">
            <w:pPr>
              <w:spacing w:after="160" w:line="259" w:lineRule="auto"/>
              <w:rPr>
                <w:rFonts w:ascii="Arial" w:hAnsi="Arial" w:cs="Arial"/>
                <w:b/>
                <w:bCs/>
                <w:sz w:val="24"/>
                <w:szCs w:val="24"/>
                <w:lang w:val="en-US"/>
              </w:rPr>
            </w:pPr>
            <w:r w:rsidRPr="00254ECC">
              <w:rPr>
                <w:rFonts w:ascii="Arial" w:hAnsi="Arial" w:cs="Arial"/>
                <w:b/>
                <w:bCs/>
                <w:sz w:val="24"/>
                <w:szCs w:val="24"/>
                <w:lang w:val="en-US"/>
              </w:rPr>
              <w:t>Estimated Amount ($)</w:t>
            </w:r>
          </w:p>
        </w:tc>
      </w:tr>
      <w:tr w:rsidR="00254ECC" w:rsidRPr="00254ECC" w14:paraId="57EFC49E"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2C0B23CD"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Sponsorships</w:t>
            </w:r>
          </w:p>
        </w:tc>
        <w:tc>
          <w:tcPr>
            <w:tcW w:w="0" w:type="auto"/>
            <w:tcBorders>
              <w:top w:val="single" w:sz="4" w:space="0" w:color="auto"/>
              <w:left w:val="single" w:sz="4" w:space="0" w:color="auto"/>
              <w:bottom w:val="single" w:sz="4" w:space="0" w:color="auto"/>
              <w:right w:val="single" w:sz="4" w:space="0" w:color="auto"/>
            </w:tcBorders>
            <w:hideMark/>
          </w:tcPr>
          <w:p w14:paraId="42692CFD"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10,000</w:t>
            </w:r>
          </w:p>
        </w:tc>
      </w:tr>
      <w:tr w:rsidR="00254ECC" w:rsidRPr="00254ECC" w14:paraId="3D4A5788"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2456D205"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Ticket Sales</w:t>
            </w:r>
          </w:p>
        </w:tc>
        <w:tc>
          <w:tcPr>
            <w:tcW w:w="0" w:type="auto"/>
            <w:tcBorders>
              <w:top w:val="single" w:sz="4" w:space="0" w:color="auto"/>
              <w:left w:val="single" w:sz="4" w:space="0" w:color="auto"/>
              <w:bottom w:val="single" w:sz="4" w:space="0" w:color="auto"/>
              <w:right w:val="single" w:sz="4" w:space="0" w:color="auto"/>
            </w:tcBorders>
            <w:hideMark/>
          </w:tcPr>
          <w:p w14:paraId="31C3BD85"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15,000</w:t>
            </w:r>
          </w:p>
        </w:tc>
      </w:tr>
      <w:tr w:rsidR="00254ECC" w:rsidRPr="00254ECC" w14:paraId="6D0D8C08"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680CC96E"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Grants</w:t>
            </w:r>
          </w:p>
        </w:tc>
        <w:tc>
          <w:tcPr>
            <w:tcW w:w="0" w:type="auto"/>
            <w:tcBorders>
              <w:top w:val="single" w:sz="4" w:space="0" w:color="auto"/>
              <w:left w:val="single" w:sz="4" w:space="0" w:color="auto"/>
              <w:bottom w:val="single" w:sz="4" w:space="0" w:color="auto"/>
              <w:right w:val="single" w:sz="4" w:space="0" w:color="auto"/>
            </w:tcBorders>
            <w:hideMark/>
          </w:tcPr>
          <w:p w14:paraId="4D9876AC"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sz w:val="24"/>
                <w:szCs w:val="24"/>
                <w:lang w:val="en-US"/>
              </w:rPr>
              <w:t>5,000</w:t>
            </w:r>
          </w:p>
        </w:tc>
      </w:tr>
      <w:tr w:rsidR="00254ECC" w:rsidRPr="00254ECC" w14:paraId="601AC032" w14:textId="77777777" w:rsidTr="00254ECC">
        <w:tc>
          <w:tcPr>
            <w:tcW w:w="0" w:type="auto"/>
            <w:tcBorders>
              <w:top w:val="single" w:sz="4" w:space="0" w:color="auto"/>
              <w:left w:val="single" w:sz="4" w:space="0" w:color="auto"/>
              <w:bottom w:val="single" w:sz="4" w:space="0" w:color="auto"/>
              <w:right w:val="single" w:sz="4" w:space="0" w:color="auto"/>
            </w:tcBorders>
            <w:hideMark/>
          </w:tcPr>
          <w:p w14:paraId="3BC21028"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b/>
                <w:bCs/>
                <w:sz w:val="24"/>
                <w:szCs w:val="24"/>
                <w:lang w:val="en-US"/>
              </w:rPr>
              <w:t>Total Budget</w:t>
            </w:r>
          </w:p>
        </w:tc>
        <w:tc>
          <w:tcPr>
            <w:tcW w:w="0" w:type="auto"/>
            <w:tcBorders>
              <w:top w:val="single" w:sz="4" w:space="0" w:color="auto"/>
              <w:left w:val="single" w:sz="4" w:space="0" w:color="auto"/>
              <w:bottom w:val="single" w:sz="4" w:space="0" w:color="auto"/>
              <w:right w:val="single" w:sz="4" w:space="0" w:color="auto"/>
            </w:tcBorders>
            <w:hideMark/>
          </w:tcPr>
          <w:p w14:paraId="1EF2B51C" w14:textId="77777777" w:rsidR="00254ECC" w:rsidRPr="00254ECC" w:rsidRDefault="00254ECC" w:rsidP="00254ECC">
            <w:pPr>
              <w:spacing w:after="160" w:line="259" w:lineRule="auto"/>
              <w:rPr>
                <w:rFonts w:ascii="Arial" w:hAnsi="Arial" w:cs="Arial"/>
                <w:sz w:val="24"/>
                <w:szCs w:val="24"/>
                <w:lang w:val="en-US"/>
              </w:rPr>
            </w:pPr>
            <w:r w:rsidRPr="00254ECC">
              <w:rPr>
                <w:rFonts w:ascii="Arial" w:hAnsi="Arial" w:cs="Arial"/>
                <w:b/>
                <w:bCs/>
                <w:sz w:val="24"/>
                <w:szCs w:val="24"/>
                <w:lang w:val="en-US"/>
              </w:rPr>
              <w:t>30,000</w:t>
            </w:r>
          </w:p>
        </w:tc>
      </w:tr>
    </w:tbl>
    <w:p w14:paraId="0FF01F5D" w14:textId="77777777" w:rsidR="003929DE" w:rsidRDefault="003929DE" w:rsidP="00254ECC">
      <w:pPr>
        <w:rPr>
          <w:rFonts w:ascii="Arial" w:hAnsi="Arial" w:cs="Arial"/>
          <w:b/>
          <w:sz w:val="24"/>
          <w:szCs w:val="24"/>
          <w:lang w:val="en-US"/>
        </w:rPr>
      </w:pPr>
    </w:p>
    <w:p w14:paraId="7D4C33DF" w14:textId="282D9488" w:rsidR="00254ECC" w:rsidRPr="00254ECC" w:rsidRDefault="00254ECC" w:rsidP="00254ECC">
      <w:pPr>
        <w:rPr>
          <w:rFonts w:ascii="Arial" w:hAnsi="Arial" w:cs="Arial"/>
          <w:b/>
          <w:sz w:val="24"/>
          <w:szCs w:val="24"/>
          <w:lang w:val="en-US"/>
        </w:rPr>
      </w:pPr>
      <w:r w:rsidRPr="00254ECC">
        <w:rPr>
          <w:rFonts w:ascii="Arial" w:hAnsi="Arial" w:cs="Arial"/>
          <w:b/>
          <w:sz w:val="24"/>
          <w:szCs w:val="24"/>
          <w:lang w:val="en-US"/>
        </w:rPr>
        <w:t>PESTEL analysis</w:t>
      </w:r>
      <w:r w:rsidR="003929DE">
        <w:rPr>
          <w:rFonts w:ascii="Arial" w:hAnsi="Arial" w:cs="Arial"/>
          <w:b/>
          <w:sz w:val="24"/>
          <w:szCs w:val="24"/>
          <w:lang w:val="en-US"/>
        </w:rPr>
        <w:t xml:space="preserve"> and Cultural Considerations</w:t>
      </w:r>
    </w:p>
    <w:tbl>
      <w:tblPr>
        <w:tblStyle w:val="TableGrid"/>
        <w:tblW w:w="11242" w:type="dxa"/>
        <w:tblInd w:w="-815" w:type="dxa"/>
        <w:tblLook w:val="04A0" w:firstRow="1" w:lastRow="0" w:firstColumn="1" w:lastColumn="0" w:noHBand="0" w:noVBand="1"/>
      </w:tblPr>
      <w:tblGrid>
        <w:gridCol w:w="2578"/>
        <w:gridCol w:w="8664"/>
      </w:tblGrid>
      <w:tr w:rsidR="00DF4B51" w:rsidRPr="00623D93" w14:paraId="7A4B542F" w14:textId="77777777" w:rsidTr="00165867">
        <w:trPr>
          <w:trHeight w:val="358"/>
        </w:trPr>
        <w:tc>
          <w:tcPr>
            <w:tcW w:w="2578" w:type="dxa"/>
            <w:noWrap/>
            <w:hideMark/>
          </w:tcPr>
          <w:p w14:paraId="73AC6D4B" w14:textId="77777777" w:rsidR="00DF4B51" w:rsidRPr="00623D93" w:rsidRDefault="00DF4B51" w:rsidP="00DF4B51">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PESTEL Factor</w:t>
            </w:r>
          </w:p>
        </w:tc>
        <w:tc>
          <w:tcPr>
            <w:tcW w:w="8664" w:type="dxa"/>
            <w:noWrap/>
            <w:hideMark/>
          </w:tcPr>
          <w:p w14:paraId="38E9BED9" w14:textId="77777777" w:rsidR="00DF4B51" w:rsidRPr="00623D93" w:rsidRDefault="00DF4B51" w:rsidP="00DF4B51">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Summary</w:t>
            </w:r>
          </w:p>
        </w:tc>
      </w:tr>
      <w:tr w:rsidR="00DF4B51" w:rsidRPr="00623D93" w14:paraId="54816617" w14:textId="77777777" w:rsidTr="00165867">
        <w:trPr>
          <w:trHeight w:val="358"/>
        </w:trPr>
        <w:tc>
          <w:tcPr>
            <w:tcW w:w="2578" w:type="dxa"/>
            <w:noWrap/>
            <w:hideMark/>
          </w:tcPr>
          <w:p w14:paraId="36E9889C" w14:textId="77777777" w:rsidR="00DF4B51" w:rsidRPr="00623D93" w:rsidRDefault="00DF4B51" w:rsidP="00DF4B51">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lastRenderedPageBreak/>
              <w:t>Political</w:t>
            </w:r>
          </w:p>
        </w:tc>
        <w:tc>
          <w:tcPr>
            <w:tcW w:w="8664" w:type="dxa"/>
            <w:noWrap/>
            <w:hideMark/>
          </w:tcPr>
          <w:p w14:paraId="382A9420" w14:textId="77777777" w:rsidR="00DF4B51" w:rsidRPr="00623D93" w:rsidRDefault="00DF4B51" w:rsidP="00DF4B51">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Aligns with UK diversity and equality laws, enabling seamless interaction of other factors</w:t>
            </w:r>
            <w:r w:rsidRPr="00623D93">
              <w:rPr>
                <w:rFonts w:ascii="Arial" w:hAnsi="Arial" w:cs="Arial"/>
              </w:rPr>
              <w:t xml:space="preserve"> </w:t>
            </w:r>
            <w:r w:rsidRPr="00623D93">
              <w:rPr>
                <w:rFonts w:ascii="Arial" w:eastAsia="Times New Roman" w:hAnsi="Arial" w:cs="Arial"/>
                <w:color w:val="000000"/>
                <w:sz w:val="24"/>
                <w:szCs w:val="24"/>
              </w:rPr>
              <w:t>(Ali, Grabarski, &amp; Baker, 2024</w:t>
            </w:r>
            <w:r>
              <w:rPr>
                <w:rFonts w:ascii="Arial" w:eastAsia="Times New Roman" w:hAnsi="Arial" w:cs="Arial"/>
                <w:color w:val="000000"/>
                <w:sz w:val="24"/>
                <w:szCs w:val="24"/>
              </w:rPr>
              <w:t>a</w:t>
            </w:r>
            <w:r w:rsidRPr="00623D93">
              <w:rPr>
                <w:rFonts w:ascii="Arial" w:eastAsia="Times New Roman" w:hAnsi="Arial" w:cs="Arial"/>
                <w:color w:val="000000"/>
                <w:sz w:val="24"/>
                <w:szCs w:val="24"/>
              </w:rPr>
              <w:t>).</w:t>
            </w:r>
          </w:p>
        </w:tc>
      </w:tr>
      <w:tr w:rsidR="00DF4B51" w:rsidRPr="00623D93" w14:paraId="03C429CE" w14:textId="77777777" w:rsidTr="00165867">
        <w:trPr>
          <w:trHeight w:val="358"/>
        </w:trPr>
        <w:tc>
          <w:tcPr>
            <w:tcW w:w="2578" w:type="dxa"/>
            <w:noWrap/>
            <w:hideMark/>
          </w:tcPr>
          <w:p w14:paraId="033671BA" w14:textId="77777777" w:rsidR="00DF4B51" w:rsidRPr="00623D93" w:rsidRDefault="00DF4B51" w:rsidP="00DF4B51">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Economic</w:t>
            </w:r>
          </w:p>
        </w:tc>
        <w:tc>
          <w:tcPr>
            <w:tcW w:w="8664" w:type="dxa"/>
            <w:noWrap/>
            <w:hideMark/>
          </w:tcPr>
          <w:p w14:paraId="5AB5993A" w14:textId="77777777" w:rsidR="00DF4B51" w:rsidRPr="00623D93" w:rsidRDefault="00DF4B51" w:rsidP="00DF4B51">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Budget ensures financial sustainability while delivering value to participants.</w:t>
            </w:r>
          </w:p>
        </w:tc>
      </w:tr>
      <w:tr w:rsidR="00DF4B51" w:rsidRPr="00623D93" w14:paraId="4CC53A59" w14:textId="77777777" w:rsidTr="00165867">
        <w:trPr>
          <w:trHeight w:val="358"/>
        </w:trPr>
        <w:tc>
          <w:tcPr>
            <w:tcW w:w="2578" w:type="dxa"/>
            <w:noWrap/>
            <w:hideMark/>
          </w:tcPr>
          <w:p w14:paraId="17848540" w14:textId="77777777" w:rsidR="00DF4B51" w:rsidRPr="00623D93" w:rsidRDefault="00DF4B51" w:rsidP="00DF4B51">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Social</w:t>
            </w:r>
          </w:p>
        </w:tc>
        <w:tc>
          <w:tcPr>
            <w:tcW w:w="8664" w:type="dxa"/>
            <w:noWrap/>
            <w:hideMark/>
          </w:tcPr>
          <w:p w14:paraId="51F8B1AE" w14:textId="77777777" w:rsidR="00DF4B51" w:rsidRPr="00623D93" w:rsidRDefault="00DF4B51" w:rsidP="00DF4B51">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Promotes inclusivity, challenges biases, and fosters acceptance.</w:t>
            </w:r>
          </w:p>
        </w:tc>
      </w:tr>
      <w:tr w:rsidR="00DF4B51" w:rsidRPr="00623D93" w14:paraId="6D49C6AA" w14:textId="77777777" w:rsidTr="00165867">
        <w:trPr>
          <w:trHeight w:val="358"/>
        </w:trPr>
        <w:tc>
          <w:tcPr>
            <w:tcW w:w="2578" w:type="dxa"/>
            <w:noWrap/>
            <w:hideMark/>
          </w:tcPr>
          <w:p w14:paraId="455C55E1" w14:textId="77777777" w:rsidR="00DF4B51" w:rsidRPr="00623D93" w:rsidRDefault="00DF4B51" w:rsidP="00DF4B51">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Technological</w:t>
            </w:r>
          </w:p>
        </w:tc>
        <w:tc>
          <w:tcPr>
            <w:tcW w:w="8664" w:type="dxa"/>
            <w:noWrap/>
            <w:hideMark/>
          </w:tcPr>
          <w:p w14:paraId="025761A6" w14:textId="77777777" w:rsidR="00DF4B51" w:rsidRPr="00623D93" w:rsidRDefault="00DF4B51" w:rsidP="00DF4B51">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Utilizes hybrid tools and assistive technologies for an inclusive experience.</w:t>
            </w:r>
          </w:p>
        </w:tc>
      </w:tr>
      <w:tr w:rsidR="00DF4B51" w:rsidRPr="00623D93" w14:paraId="5EC6BC6E" w14:textId="77777777" w:rsidTr="00165867">
        <w:trPr>
          <w:trHeight w:val="358"/>
        </w:trPr>
        <w:tc>
          <w:tcPr>
            <w:tcW w:w="2578" w:type="dxa"/>
            <w:noWrap/>
            <w:hideMark/>
          </w:tcPr>
          <w:p w14:paraId="42574BCA" w14:textId="77777777" w:rsidR="00DF4B51" w:rsidRPr="00623D93" w:rsidRDefault="00DF4B51" w:rsidP="00DF4B51">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Environmental</w:t>
            </w:r>
          </w:p>
        </w:tc>
        <w:tc>
          <w:tcPr>
            <w:tcW w:w="8664" w:type="dxa"/>
            <w:noWrap/>
            <w:hideMark/>
          </w:tcPr>
          <w:p w14:paraId="2A0361AC" w14:textId="77777777" w:rsidR="00DF4B51" w:rsidRPr="00623D93" w:rsidRDefault="00DF4B51" w:rsidP="00DF4B51">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Implements sustainable practices, including digital materials and eco-friendly catering.</w:t>
            </w:r>
          </w:p>
        </w:tc>
      </w:tr>
      <w:tr w:rsidR="00DF4B51" w:rsidRPr="00623D93" w14:paraId="3483DD35" w14:textId="77777777" w:rsidTr="00165867">
        <w:trPr>
          <w:trHeight w:val="358"/>
        </w:trPr>
        <w:tc>
          <w:tcPr>
            <w:tcW w:w="2578" w:type="dxa"/>
            <w:noWrap/>
            <w:hideMark/>
          </w:tcPr>
          <w:p w14:paraId="0937A39A" w14:textId="77777777" w:rsidR="00DF4B51" w:rsidRPr="00623D93" w:rsidRDefault="00DF4B51" w:rsidP="00DF4B51">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Legal</w:t>
            </w:r>
          </w:p>
        </w:tc>
        <w:tc>
          <w:tcPr>
            <w:tcW w:w="8664" w:type="dxa"/>
            <w:noWrap/>
            <w:hideMark/>
          </w:tcPr>
          <w:p w14:paraId="368C040B" w14:textId="77777777" w:rsidR="00DF4B51" w:rsidRPr="00623D93" w:rsidRDefault="00DF4B51" w:rsidP="00DF4B51">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Ensures compliance with accessibility standards.</w:t>
            </w:r>
          </w:p>
        </w:tc>
      </w:tr>
      <w:tr w:rsidR="00DF4B51" w:rsidRPr="00623D93" w14:paraId="109B918C" w14:textId="77777777" w:rsidTr="00165867">
        <w:trPr>
          <w:trHeight w:val="358"/>
        </w:trPr>
        <w:tc>
          <w:tcPr>
            <w:tcW w:w="2578" w:type="dxa"/>
            <w:noWrap/>
            <w:hideMark/>
          </w:tcPr>
          <w:p w14:paraId="41CA1178" w14:textId="77777777" w:rsidR="00DF4B51" w:rsidRPr="00623D93" w:rsidRDefault="00DF4B51" w:rsidP="00DF4B51">
            <w:pPr>
              <w:spacing w:line="360" w:lineRule="auto"/>
              <w:rPr>
                <w:rFonts w:ascii="Arial" w:eastAsia="Times New Roman" w:hAnsi="Arial" w:cs="Arial"/>
                <w:b/>
                <w:bCs/>
                <w:color w:val="000000"/>
                <w:sz w:val="24"/>
                <w:szCs w:val="24"/>
              </w:rPr>
            </w:pPr>
            <w:r w:rsidRPr="00623D93">
              <w:rPr>
                <w:rFonts w:ascii="Arial" w:eastAsia="Times New Roman" w:hAnsi="Arial" w:cs="Arial"/>
                <w:b/>
                <w:bCs/>
                <w:color w:val="000000"/>
                <w:sz w:val="24"/>
                <w:szCs w:val="24"/>
              </w:rPr>
              <w:t>Cultural</w:t>
            </w:r>
          </w:p>
        </w:tc>
        <w:tc>
          <w:tcPr>
            <w:tcW w:w="8664" w:type="dxa"/>
            <w:noWrap/>
            <w:hideMark/>
          </w:tcPr>
          <w:p w14:paraId="000D12EC" w14:textId="77777777" w:rsidR="00DF4B51" w:rsidRPr="00623D93" w:rsidRDefault="00DF4B51" w:rsidP="00DF4B51">
            <w:pPr>
              <w:spacing w:line="360" w:lineRule="auto"/>
              <w:rPr>
                <w:rFonts w:ascii="Arial" w:eastAsia="Times New Roman" w:hAnsi="Arial" w:cs="Arial"/>
                <w:color w:val="000000"/>
                <w:sz w:val="24"/>
                <w:szCs w:val="24"/>
              </w:rPr>
            </w:pPr>
            <w:r w:rsidRPr="00623D93">
              <w:rPr>
                <w:rFonts w:ascii="Arial" w:eastAsia="Times New Roman" w:hAnsi="Arial" w:cs="Arial"/>
                <w:color w:val="000000"/>
                <w:sz w:val="24"/>
                <w:szCs w:val="24"/>
              </w:rPr>
              <w:t>Incorporates multilingual services and respects cultural reservations for inclusivity and professionalism.</w:t>
            </w:r>
          </w:p>
        </w:tc>
      </w:tr>
    </w:tbl>
    <w:p w14:paraId="6C72D47C" w14:textId="77777777" w:rsidR="00254ECC" w:rsidRPr="00DF4B51" w:rsidRDefault="00254ECC" w:rsidP="00DF4B51">
      <w:pPr>
        <w:spacing w:line="360" w:lineRule="auto"/>
        <w:rPr>
          <w:rFonts w:ascii="Arial" w:hAnsi="Arial" w:cs="Arial"/>
          <w:b/>
          <w:bCs/>
          <w:sz w:val="24"/>
          <w:szCs w:val="24"/>
        </w:rPr>
      </w:pPr>
    </w:p>
    <w:p w14:paraId="0C4E91AF" w14:textId="77777777" w:rsidR="00254ECC" w:rsidRPr="00254ECC" w:rsidRDefault="00254ECC" w:rsidP="00254ECC">
      <w:pPr>
        <w:rPr>
          <w:rFonts w:ascii="Arial" w:hAnsi="Arial" w:cs="Arial"/>
          <w:b/>
          <w:bCs/>
          <w:sz w:val="24"/>
          <w:szCs w:val="24"/>
          <w:lang w:val="en-US"/>
        </w:rPr>
      </w:pPr>
    </w:p>
    <w:p w14:paraId="3D37AB22" w14:textId="77777777" w:rsidR="00254ECC" w:rsidRPr="00254ECC" w:rsidRDefault="00254ECC" w:rsidP="00254ECC">
      <w:pPr>
        <w:rPr>
          <w:rFonts w:ascii="Arial" w:hAnsi="Arial" w:cs="Arial"/>
          <w:b/>
          <w:bCs/>
          <w:sz w:val="24"/>
          <w:szCs w:val="24"/>
          <w:lang w:val="en-US"/>
        </w:rPr>
      </w:pPr>
    </w:p>
    <w:p w14:paraId="1BAD18E9" w14:textId="77777777" w:rsidR="00254ECC" w:rsidRPr="00254ECC" w:rsidRDefault="00254ECC" w:rsidP="00254ECC">
      <w:pPr>
        <w:rPr>
          <w:rFonts w:ascii="Arial" w:hAnsi="Arial" w:cs="Arial"/>
          <w:b/>
          <w:bCs/>
          <w:sz w:val="24"/>
          <w:szCs w:val="24"/>
          <w:lang w:val="en-US"/>
        </w:rPr>
      </w:pPr>
    </w:p>
    <w:p w14:paraId="5AA16927" w14:textId="77777777" w:rsidR="00254ECC" w:rsidRPr="00254ECC" w:rsidRDefault="00254ECC" w:rsidP="00254ECC">
      <w:pPr>
        <w:rPr>
          <w:rFonts w:ascii="Arial" w:hAnsi="Arial" w:cs="Arial"/>
          <w:b/>
          <w:bCs/>
          <w:sz w:val="24"/>
          <w:szCs w:val="24"/>
          <w:lang w:val="en-US"/>
        </w:rPr>
      </w:pPr>
    </w:p>
    <w:p w14:paraId="7D4BD415" w14:textId="2252BFF3" w:rsidR="00254ECC" w:rsidRPr="00254ECC" w:rsidRDefault="00254ECC" w:rsidP="00254ECC">
      <w:pPr>
        <w:rPr>
          <w:rFonts w:ascii="Arial" w:hAnsi="Arial" w:cs="Arial"/>
          <w:sz w:val="24"/>
          <w:szCs w:val="24"/>
          <w:lang w:val="en-US"/>
        </w:rPr>
      </w:pPr>
      <w:r w:rsidRPr="00A87D61">
        <w:rPr>
          <w:rFonts w:ascii="Arial" w:hAnsi="Arial" w:cs="Arial"/>
          <w:noProof/>
          <w:sz w:val="24"/>
          <w:szCs w:val="24"/>
          <w:lang w:val="en-US"/>
        </w:rPr>
        <w:drawing>
          <wp:inline distT="0" distB="0" distL="0" distR="0" wp14:anchorId="62F3CF10" wp14:editId="59D382EE">
            <wp:extent cx="5731510" cy="3223895"/>
            <wp:effectExtent l="0" t="0" r="2540" b="0"/>
            <wp:docPr id="1579401156" name="Picture 3" descr="A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cycl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1141E71" w14:textId="77777777" w:rsidR="00254ECC" w:rsidRPr="00254ECC" w:rsidRDefault="00254ECC" w:rsidP="00254ECC">
      <w:pPr>
        <w:rPr>
          <w:rFonts w:ascii="Arial" w:hAnsi="Arial" w:cs="Arial"/>
          <w:sz w:val="24"/>
          <w:szCs w:val="24"/>
          <w:lang w:val="en-US"/>
        </w:rPr>
      </w:pPr>
    </w:p>
    <w:p w14:paraId="5BE0B5C8" w14:textId="77777777" w:rsidR="00254ECC" w:rsidRPr="00254ECC" w:rsidRDefault="00254ECC" w:rsidP="00254ECC">
      <w:pPr>
        <w:rPr>
          <w:rFonts w:ascii="Arial" w:hAnsi="Arial" w:cs="Arial"/>
          <w:sz w:val="24"/>
          <w:szCs w:val="24"/>
          <w:lang w:val="en-US"/>
        </w:rPr>
      </w:pPr>
    </w:p>
    <w:p w14:paraId="56AAA69A" w14:textId="77777777" w:rsidR="00254ECC" w:rsidRPr="00254ECC" w:rsidRDefault="00254ECC" w:rsidP="00254ECC">
      <w:pPr>
        <w:rPr>
          <w:rFonts w:ascii="Arial" w:hAnsi="Arial" w:cs="Arial"/>
          <w:sz w:val="24"/>
          <w:szCs w:val="24"/>
          <w:lang w:val="en-US"/>
        </w:rPr>
      </w:pPr>
    </w:p>
    <w:p w14:paraId="6BC63FD4" w14:textId="77777777" w:rsidR="00254ECC" w:rsidRPr="00254ECC" w:rsidRDefault="00254ECC" w:rsidP="00254ECC">
      <w:pPr>
        <w:rPr>
          <w:rFonts w:ascii="Arial" w:hAnsi="Arial" w:cs="Arial"/>
          <w:sz w:val="24"/>
          <w:szCs w:val="24"/>
          <w:lang w:val="en-US"/>
        </w:rPr>
      </w:pPr>
    </w:p>
    <w:p w14:paraId="283FE066" w14:textId="77777777" w:rsidR="006A13B3" w:rsidRPr="00254ECC" w:rsidRDefault="006A13B3" w:rsidP="00254ECC"/>
    <w:sectPr w:rsidR="006A13B3" w:rsidRPr="00254EC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F6C370" w14:textId="77777777" w:rsidR="00E94614" w:rsidRDefault="00E94614" w:rsidP="00A87D61">
      <w:pPr>
        <w:spacing w:after="0" w:line="240" w:lineRule="auto"/>
      </w:pPr>
      <w:r>
        <w:separator/>
      </w:r>
    </w:p>
  </w:endnote>
  <w:endnote w:type="continuationSeparator" w:id="0">
    <w:p w14:paraId="4DE8C7B8" w14:textId="77777777" w:rsidR="00E94614" w:rsidRDefault="00E94614" w:rsidP="00A87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195970"/>
      <w:docPartObj>
        <w:docPartGallery w:val="Page Numbers (Bottom of Page)"/>
        <w:docPartUnique/>
      </w:docPartObj>
    </w:sdtPr>
    <w:sdtEndPr>
      <w:rPr>
        <w:noProof/>
      </w:rPr>
    </w:sdtEndPr>
    <w:sdtContent>
      <w:p w14:paraId="0A3EAED6" w14:textId="7660E392" w:rsidR="00A87D61" w:rsidRDefault="00A87D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AC46F8" w14:textId="77777777" w:rsidR="00A87D61" w:rsidRDefault="00A87D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02A563" w14:textId="77777777" w:rsidR="00E94614" w:rsidRDefault="00E94614" w:rsidP="00A87D61">
      <w:pPr>
        <w:spacing w:after="0" w:line="240" w:lineRule="auto"/>
      </w:pPr>
      <w:r>
        <w:separator/>
      </w:r>
    </w:p>
  </w:footnote>
  <w:footnote w:type="continuationSeparator" w:id="0">
    <w:p w14:paraId="1689427D" w14:textId="77777777" w:rsidR="00E94614" w:rsidRDefault="00E94614" w:rsidP="00A87D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35BD9"/>
    <w:multiLevelType w:val="hybridMultilevel"/>
    <w:tmpl w:val="442C9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46302"/>
    <w:multiLevelType w:val="multilevel"/>
    <w:tmpl w:val="F47E38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401C1E"/>
    <w:multiLevelType w:val="multilevel"/>
    <w:tmpl w:val="D2627D92"/>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B4457"/>
    <w:multiLevelType w:val="multilevel"/>
    <w:tmpl w:val="3EF24C0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721678"/>
    <w:multiLevelType w:val="hybridMultilevel"/>
    <w:tmpl w:val="887A4FCE"/>
    <w:lvl w:ilvl="0" w:tplc="BE5C585E">
      <w:start w:val="1"/>
      <w:numFmt w:val="decimal"/>
      <w:lvlText w:val="%1."/>
      <w:lvlJc w:val="left"/>
      <w:pPr>
        <w:ind w:left="460" w:hanging="360"/>
      </w:pPr>
      <w:rPr>
        <w:rFonts w:hint="default"/>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5" w15:restartNumberingAfterBreak="0">
    <w:nsid w:val="6B852B4E"/>
    <w:multiLevelType w:val="multilevel"/>
    <w:tmpl w:val="2946E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117014"/>
    <w:multiLevelType w:val="multilevel"/>
    <w:tmpl w:val="FF2AA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9213724">
    <w:abstractNumId w:val="5"/>
  </w:num>
  <w:num w:numId="2" w16cid:durableId="414018266">
    <w:abstractNumId w:val="6"/>
  </w:num>
  <w:num w:numId="3" w16cid:durableId="356395490">
    <w:abstractNumId w:val="2"/>
  </w:num>
  <w:num w:numId="4" w16cid:durableId="94450328">
    <w:abstractNumId w:val="1"/>
  </w:num>
  <w:num w:numId="5" w16cid:durableId="830684567">
    <w:abstractNumId w:val="3"/>
  </w:num>
  <w:num w:numId="6" w16cid:durableId="987897202">
    <w:abstractNumId w:val="4"/>
  </w:num>
  <w:num w:numId="7" w16cid:durableId="717096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134"/>
    <w:rsid w:val="00077950"/>
    <w:rsid w:val="00132336"/>
    <w:rsid w:val="00147FB1"/>
    <w:rsid w:val="00160B4D"/>
    <w:rsid w:val="0016717B"/>
    <w:rsid w:val="001762EC"/>
    <w:rsid w:val="00184B45"/>
    <w:rsid w:val="00226F7D"/>
    <w:rsid w:val="00254ECC"/>
    <w:rsid w:val="003546FC"/>
    <w:rsid w:val="003929DE"/>
    <w:rsid w:val="00397B49"/>
    <w:rsid w:val="00467E71"/>
    <w:rsid w:val="004703FE"/>
    <w:rsid w:val="004B4F3B"/>
    <w:rsid w:val="0050347D"/>
    <w:rsid w:val="00515CCA"/>
    <w:rsid w:val="00523DF5"/>
    <w:rsid w:val="005A1134"/>
    <w:rsid w:val="005A5B15"/>
    <w:rsid w:val="005B073D"/>
    <w:rsid w:val="005D2F9D"/>
    <w:rsid w:val="005F42B1"/>
    <w:rsid w:val="00623D93"/>
    <w:rsid w:val="00636F25"/>
    <w:rsid w:val="006A13B3"/>
    <w:rsid w:val="007110FC"/>
    <w:rsid w:val="007113CA"/>
    <w:rsid w:val="00760CA1"/>
    <w:rsid w:val="007A4343"/>
    <w:rsid w:val="007F2F4A"/>
    <w:rsid w:val="00954387"/>
    <w:rsid w:val="009B1614"/>
    <w:rsid w:val="00A17ED7"/>
    <w:rsid w:val="00A378E3"/>
    <w:rsid w:val="00A6392D"/>
    <w:rsid w:val="00A87D61"/>
    <w:rsid w:val="00AD16BE"/>
    <w:rsid w:val="00B370D3"/>
    <w:rsid w:val="00B70BAE"/>
    <w:rsid w:val="00B81A63"/>
    <w:rsid w:val="00BA05E5"/>
    <w:rsid w:val="00BD52A6"/>
    <w:rsid w:val="00BD7EDA"/>
    <w:rsid w:val="00DF4B51"/>
    <w:rsid w:val="00E07E92"/>
    <w:rsid w:val="00E71766"/>
    <w:rsid w:val="00E93E2F"/>
    <w:rsid w:val="00E94614"/>
    <w:rsid w:val="00EC7EFB"/>
    <w:rsid w:val="00F014DB"/>
    <w:rsid w:val="00F051E7"/>
    <w:rsid w:val="00F5079C"/>
    <w:rsid w:val="00F94D55"/>
    <w:rsid w:val="00FE362C"/>
    <w:rsid w:val="00FF4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454B4"/>
  <w15:chartTrackingRefBased/>
  <w15:docId w15:val="{788C6326-D142-431E-888E-B80476541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1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11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11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1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1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1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1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1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1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1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11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11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11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1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1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1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1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134"/>
    <w:rPr>
      <w:rFonts w:eastAsiaTheme="majorEastAsia" w:cstheme="majorBidi"/>
      <w:color w:val="272727" w:themeColor="text1" w:themeTint="D8"/>
    </w:rPr>
  </w:style>
  <w:style w:type="paragraph" w:styleId="Title">
    <w:name w:val="Title"/>
    <w:basedOn w:val="Normal"/>
    <w:next w:val="Normal"/>
    <w:link w:val="TitleChar"/>
    <w:uiPriority w:val="10"/>
    <w:qFormat/>
    <w:rsid w:val="005A11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1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1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1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134"/>
    <w:pPr>
      <w:spacing w:before="160"/>
      <w:jc w:val="center"/>
    </w:pPr>
    <w:rPr>
      <w:i/>
      <w:iCs/>
      <w:color w:val="404040" w:themeColor="text1" w:themeTint="BF"/>
    </w:rPr>
  </w:style>
  <w:style w:type="character" w:customStyle="1" w:styleId="QuoteChar">
    <w:name w:val="Quote Char"/>
    <w:basedOn w:val="DefaultParagraphFont"/>
    <w:link w:val="Quote"/>
    <w:uiPriority w:val="29"/>
    <w:rsid w:val="005A1134"/>
    <w:rPr>
      <w:i/>
      <w:iCs/>
      <w:color w:val="404040" w:themeColor="text1" w:themeTint="BF"/>
    </w:rPr>
  </w:style>
  <w:style w:type="paragraph" w:styleId="ListParagraph">
    <w:name w:val="List Paragraph"/>
    <w:basedOn w:val="Normal"/>
    <w:uiPriority w:val="34"/>
    <w:qFormat/>
    <w:rsid w:val="005A1134"/>
    <w:pPr>
      <w:ind w:left="720"/>
      <w:contextualSpacing/>
    </w:pPr>
  </w:style>
  <w:style w:type="character" w:styleId="IntenseEmphasis">
    <w:name w:val="Intense Emphasis"/>
    <w:basedOn w:val="DefaultParagraphFont"/>
    <w:uiPriority w:val="21"/>
    <w:qFormat/>
    <w:rsid w:val="005A1134"/>
    <w:rPr>
      <w:i/>
      <w:iCs/>
      <w:color w:val="0F4761" w:themeColor="accent1" w:themeShade="BF"/>
    </w:rPr>
  </w:style>
  <w:style w:type="paragraph" w:styleId="IntenseQuote">
    <w:name w:val="Intense Quote"/>
    <w:basedOn w:val="Normal"/>
    <w:next w:val="Normal"/>
    <w:link w:val="IntenseQuoteChar"/>
    <w:uiPriority w:val="30"/>
    <w:qFormat/>
    <w:rsid w:val="005A11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134"/>
    <w:rPr>
      <w:i/>
      <w:iCs/>
      <w:color w:val="0F4761" w:themeColor="accent1" w:themeShade="BF"/>
    </w:rPr>
  </w:style>
  <w:style w:type="character" w:styleId="IntenseReference">
    <w:name w:val="Intense Reference"/>
    <w:basedOn w:val="DefaultParagraphFont"/>
    <w:uiPriority w:val="32"/>
    <w:qFormat/>
    <w:rsid w:val="005A1134"/>
    <w:rPr>
      <w:b/>
      <w:bCs/>
      <w:smallCaps/>
      <w:color w:val="0F4761" w:themeColor="accent1" w:themeShade="BF"/>
      <w:spacing w:val="5"/>
    </w:rPr>
  </w:style>
  <w:style w:type="paragraph" w:styleId="NormalWeb">
    <w:name w:val="Normal (Web)"/>
    <w:basedOn w:val="Normal"/>
    <w:uiPriority w:val="99"/>
    <w:semiHidden/>
    <w:unhideWhenUsed/>
    <w:rsid w:val="00E93E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254E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4ECC"/>
    <w:rPr>
      <w:color w:val="467886" w:themeColor="hyperlink"/>
      <w:u w:val="single"/>
    </w:rPr>
  </w:style>
  <w:style w:type="character" w:styleId="UnresolvedMention">
    <w:name w:val="Unresolved Mention"/>
    <w:basedOn w:val="DefaultParagraphFont"/>
    <w:uiPriority w:val="99"/>
    <w:semiHidden/>
    <w:unhideWhenUsed/>
    <w:rsid w:val="00254ECC"/>
    <w:rPr>
      <w:color w:val="605E5C"/>
      <w:shd w:val="clear" w:color="auto" w:fill="E1DFDD"/>
    </w:rPr>
  </w:style>
  <w:style w:type="paragraph" w:styleId="TOCHeading">
    <w:name w:val="TOC Heading"/>
    <w:basedOn w:val="Heading1"/>
    <w:next w:val="Normal"/>
    <w:uiPriority w:val="39"/>
    <w:unhideWhenUsed/>
    <w:qFormat/>
    <w:rsid w:val="007F2F4A"/>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A87D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D61"/>
  </w:style>
  <w:style w:type="paragraph" w:styleId="Footer">
    <w:name w:val="footer"/>
    <w:basedOn w:val="Normal"/>
    <w:link w:val="FooterChar"/>
    <w:uiPriority w:val="99"/>
    <w:unhideWhenUsed/>
    <w:rsid w:val="00A87D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D61"/>
  </w:style>
  <w:style w:type="character" w:styleId="Strong">
    <w:name w:val="Strong"/>
    <w:basedOn w:val="DefaultParagraphFont"/>
    <w:uiPriority w:val="22"/>
    <w:qFormat/>
    <w:rsid w:val="00B81A63"/>
    <w:rPr>
      <w:b/>
      <w:bCs/>
    </w:rPr>
  </w:style>
  <w:style w:type="paragraph" w:styleId="TOC1">
    <w:name w:val="toc 1"/>
    <w:basedOn w:val="Normal"/>
    <w:next w:val="Normal"/>
    <w:autoRedefine/>
    <w:uiPriority w:val="39"/>
    <w:unhideWhenUsed/>
    <w:rsid w:val="00523DF5"/>
    <w:pPr>
      <w:spacing w:after="100"/>
    </w:pPr>
    <w:rPr>
      <w:kern w:val="0"/>
      <w:lang w:val="en-US"/>
      <w14:ligatures w14:val="none"/>
    </w:rPr>
  </w:style>
  <w:style w:type="paragraph" w:styleId="TOC2">
    <w:name w:val="toc 2"/>
    <w:basedOn w:val="Normal"/>
    <w:next w:val="Normal"/>
    <w:autoRedefine/>
    <w:uiPriority w:val="39"/>
    <w:unhideWhenUsed/>
    <w:rsid w:val="00523DF5"/>
    <w:pPr>
      <w:spacing w:after="100"/>
      <w:ind w:left="220"/>
    </w:pPr>
    <w:rPr>
      <w:kern w:val="0"/>
      <w:lang w:val="en-US"/>
      <w14:ligatures w14:val="none"/>
    </w:rPr>
  </w:style>
  <w:style w:type="paragraph" w:styleId="BodyText">
    <w:name w:val="Body Text"/>
    <w:basedOn w:val="Normal"/>
    <w:link w:val="BodyTextChar"/>
    <w:uiPriority w:val="1"/>
    <w:qFormat/>
    <w:rsid w:val="00A6392D"/>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rsid w:val="00A6392D"/>
    <w:rPr>
      <w:rFonts w:ascii="Arial" w:eastAsia="Arial" w:hAnsi="Arial" w:cs="Arial"/>
      <w:kern w:val="0"/>
      <w:lang w:val="en-US"/>
      <w14:ligatures w14:val="none"/>
    </w:rPr>
  </w:style>
  <w:style w:type="paragraph" w:customStyle="1" w:styleId="TableParagraph">
    <w:name w:val="Table Paragraph"/>
    <w:basedOn w:val="Normal"/>
    <w:uiPriority w:val="1"/>
    <w:qFormat/>
    <w:rsid w:val="00A6392D"/>
    <w:pPr>
      <w:widowControl w:val="0"/>
      <w:autoSpaceDE w:val="0"/>
      <w:autoSpaceDN w:val="0"/>
      <w:spacing w:after="0" w:line="240" w:lineRule="auto"/>
    </w:pPr>
    <w:rPr>
      <w:rFonts w:ascii="Calibri" w:eastAsia="Calibri" w:hAnsi="Calibri" w:cs="Calibri"/>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017277">
      <w:bodyDiv w:val="1"/>
      <w:marLeft w:val="0"/>
      <w:marRight w:val="0"/>
      <w:marTop w:val="0"/>
      <w:marBottom w:val="0"/>
      <w:divBdr>
        <w:top w:val="none" w:sz="0" w:space="0" w:color="auto"/>
        <w:left w:val="none" w:sz="0" w:space="0" w:color="auto"/>
        <w:bottom w:val="none" w:sz="0" w:space="0" w:color="auto"/>
        <w:right w:val="none" w:sz="0" w:space="0" w:color="auto"/>
      </w:divBdr>
    </w:div>
    <w:div w:id="367726169">
      <w:bodyDiv w:val="1"/>
      <w:marLeft w:val="0"/>
      <w:marRight w:val="0"/>
      <w:marTop w:val="0"/>
      <w:marBottom w:val="0"/>
      <w:divBdr>
        <w:top w:val="none" w:sz="0" w:space="0" w:color="auto"/>
        <w:left w:val="none" w:sz="0" w:space="0" w:color="auto"/>
        <w:bottom w:val="none" w:sz="0" w:space="0" w:color="auto"/>
        <w:right w:val="none" w:sz="0" w:space="0" w:color="auto"/>
      </w:divBdr>
    </w:div>
    <w:div w:id="530461945">
      <w:bodyDiv w:val="1"/>
      <w:marLeft w:val="0"/>
      <w:marRight w:val="0"/>
      <w:marTop w:val="0"/>
      <w:marBottom w:val="0"/>
      <w:divBdr>
        <w:top w:val="none" w:sz="0" w:space="0" w:color="auto"/>
        <w:left w:val="none" w:sz="0" w:space="0" w:color="auto"/>
        <w:bottom w:val="none" w:sz="0" w:space="0" w:color="auto"/>
        <w:right w:val="none" w:sz="0" w:space="0" w:color="auto"/>
      </w:divBdr>
    </w:div>
    <w:div w:id="537550667">
      <w:bodyDiv w:val="1"/>
      <w:marLeft w:val="0"/>
      <w:marRight w:val="0"/>
      <w:marTop w:val="0"/>
      <w:marBottom w:val="0"/>
      <w:divBdr>
        <w:top w:val="none" w:sz="0" w:space="0" w:color="auto"/>
        <w:left w:val="none" w:sz="0" w:space="0" w:color="auto"/>
        <w:bottom w:val="none" w:sz="0" w:space="0" w:color="auto"/>
        <w:right w:val="none" w:sz="0" w:space="0" w:color="auto"/>
      </w:divBdr>
    </w:div>
    <w:div w:id="549340410">
      <w:bodyDiv w:val="1"/>
      <w:marLeft w:val="0"/>
      <w:marRight w:val="0"/>
      <w:marTop w:val="0"/>
      <w:marBottom w:val="0"/>
      <w:divBdr>
        <w:top w:val="none" w:sz="0" w:space="0" w:color="auto"/>
        <w:left w:val="none" w:sz="0" w:space="0" w:color="auto"/>
        <w:bottom w:val="none" w:sz="0" w:space="0" w:color="auto"/>
        <w:right w:val="none" w:sz="0" w:space="0" w:color="auto"/>
      </w:divBdr>
    </w:div>
    <w:div w:id="625157608">
      <w:bodyDiv w:val="1"/>
      <w:marLeft w:val="0"/>
      <w:marRight w:val="0"/>
      <w:marTop w:val="0"/>
      <w:marBottom w:val="0"/>
      <w:divBdr>
        <w:top w:val="none" w:sz="0" w:space="0" w:color="auto"/>
        <w:left w:val="none" w:sz="0" w:space="0" w:color="auto"/>
        <w:bottom w:val="none" w:sz="0" w:space="0" w:color="auto"/>
        <w:right w:val="none" w:sz="0" w:space="0" w:color="auto"/>
      </w:divBdr>
    </w:div>
    <w:div w:id="984043950">
      <w:bodyDiv w:val="1"/>
      <w:marLeft w:val="0"/>
      <w:marRight w:val="0"/>
      <w:marTop w:val="0"/>
      <w:marBottom w:val="0"/>
      <w:divBdr>
        <w:top w:val="none" w:sz="0" w:space="0" w:color="auto"/>
        <w:left w:val="none" w:sz="0" w:space="0" w:color="auto"/>
        <w:bottom w:val="none" w:sz="0" w:space="0" w:color="auto"/>
        <w:right w:val="none" w:sz="0" w:space="0" w:color="auto"/>
      </w:divBdr>
    </w:div>
    <w:div w:id="1047336659">
      <w:bodyDiv w:val="1"/>
      <w:marLeft w:val="0"/>
      <w:marRight w:val="0"/>
      <w:marTop w:val="0"/>
      <w:marBottom w:val="0"/>
      <w:divBdr>
        <w:top w:val="none" w:sz="0" w:space="0" w:color="auto"/>
        <w:left w:val="none" w:sz="0" w:space="0" w:color="auto"/>
        <w:bottom w:val="none" w:sz="0" w:space="0" w:color="auto"/>
        <w:right w:val="none" w:sz="0" w:space="0" w:color="auto"/>
      </w:divBdr>
    </w:div>
    <w:div w:id="1080172826">
      <w:bodyDiv w:val="1"/>
      <w:marLeft w:val="0"/>
      <w:marRight w:val="0"/>
      <w:marTop w:val="0"/>
      <w:marBottom w:val="0"/>
      <w:divBdr>
        <w:top w:val="none" w:sz="0" w:space="0" w:color="auto"/>
        <w:left w:val="none" w:sz="0" w:space="0" w:color="auto"/>
        <w:bottom w:val="none" w:sz="0" w:space="0" w:color="auto"/>
        <w:right w:val="none" w:sz="0" w:space="0" w:color="auto"/>
      </w:divBdr>
    </w:div>
    <w:div w:id="1106390003">
      <w:bodyDiv w:val="1"/>
      <w:marLeft w:val="0"/>
      <w:marRight w:val="0"/>
      <w:marTop w:val="0"/>
      <w:marBottom w:val="0"/>
      <w:divBdr>
        <w:top w:val="none" w:sz="0" w:space="0" w:color="auto"/>
        <w:left w:val="none" w:sz="0" w:space="0" w:color="auto"/>
        <w:bottom w:val="none" w:sz="0" w:space="0" w:color="auto"/>
        <w:right w:val="none" w:sz="0" w:space="0" w:color="auto"/>
      </w:divBdr>
    </w:div>
    <w:div w:id="1200513489">
      <w:bodyDiv w:val="1"/>
      <w:marLeft w:val="0"/>
      <w:marRight w:val="0"/>
      <w:marTop w:val="0"/>
      <w:marBottom w:val="0"/>
      <w:divBdr>
        <w:top w:val="none" w:sz="0" w:space="0" w:color="auto"/>
        <w:left w:val="none" w:sz="0" w:space="0" w:color="auto"/>
        <w:bottom w:val="none" w:sz="0" w:space="0" w:color="auto"/>
        <w:right w:val="none" w:sz="0" w:space="0" w:color="auto"/>
      </w:divBdr>
    </w:div>
    <w:div w:id="1334727079">
      <w:bodyDiv w:val="1"/>
      <w:marLeft w:val="0"/>
      <w:marRight w:val="0"/>
      <w:marTop w:val="0"/>
      <w:marBottom w:val="0"/>
      <w:divBdr>
        <w:top w:val="none" w:sz="0" w:space="0" w:color="auto"/>
        <w:left w:val="none" w:sz="0" w:space="0" w:color="auto"/>
        <w:bottom w:val="none" w:sz="0" w:space="0" w:color="auto"/>
        <w:right w:val="none" w:sz="0" w:space="0" w:color="auto"/>
      </w:divBdr>
    </w:div>
    <w:div w:id="1391001641">
      <w:bodyDiv w:val="1"/>
      <w:marLeft w:val="0"/>
      <w:marRight w:val="0"/>
      <w:marTop w:val="0"/>
      <w:marBottom w:val="0"/>
      <w:divBdr>
        <w:top w:val="none" w:sz="0" w:space="0" w:color="auto"/>
        <w:left w:val="none" w:sz="0" w:space="0" w:color="auto"/>
        <w:bottom w:val="none" w:sz="0" w:space="0" w:color="auto"/>
        <w:right w:val="none" w:sz="0" w:space="0" w:color="auto"/>
      </w:divBdr>
    </w:div>
    <w:div w:id="1442605377">
      <w:bodyDiv w:val="1"/>
      <w:marLeft w:val="0"/>
      <w:marRight w:val="0"/>
      <w:marTop w:val="0"/>
      <w:marBottom w:val="0"/>
      <w:divBdr>
        <w:top w:val="none" w:sz="0" w:space="0" w:color="auto"/>
        <w:left w:val="none" w:sz="0" w:space="0" w:color="auto"/>
        <w:bottom w:val="none" w:sz="0" w:space="0" w:color="auto"/>
        <w:right w:val="none" w:sz="0" w:space="0" w:color="auto"/>
      </w:divBdr>
    </w:div>
    <w:div w:id="1540701761">
      <w:bodyDiv w:val="1"/>
      <w:marLeft w:val="0"/>
      <w:marRight w:val="0"/>
      <w:marTop w:val="0"/>
      <w:marBottom w:val="0"/>
      <w:divBdr>
        <w:top w:val="none" w:sz="0" w:space="0" w:color="auto"/>
        <w:left w:val="none" w:sz="0" w:space="0" w:color="auto"/>
        <w:bottom w:val="none" w:sz="0" w:space="0" w:color="auto"/>
        <w:right w:val="none" w:sz="0" w:space="0" w:color="auto"/>
      </w:divBdr>
    </w:div>
    <w:div w:id="1567110743">
      <w:bodyDiv w:val="1"/>
      <w:marLeft w:val="0"/>
      <w:marRight w:val="0"/>
      <w:marTop w:val="0"/>
      <w:marBottom w:val="0"/>
      <w:divBdr>
        <w:top w:val="none" w:sz="0" w:space="0" w:color="auto"/>
        <w:left w:val="none" w:sz="0" w:space="0" w:color="auto"/>
        <w:bottom w:val="none" w:sz="0" w:space="0" w:color="auto"/>
        <w:right w:val="none" w:sz="0" w:space="0" w:color="auto"/>
      </w:divBdr>
    </w:div>
    <w:div w:id="1572959074">
      <w:bodyDiv w:val="1"/>
      <w:marLeft w:val="0"/>
      <w:marRight w:val="0"/>
      <w:marTop w:val="0"/>
      <w:marBottom w:val="0"/>
      <w:divBdr>
        <w:top w:val="none" w:sz="0" w:space="0" w:color="auto"/>
        <w:left w:val="none" w:sz="0" w:space="0" w:color="auto"/>
        <w:bottom w:val="none" w:sz="0" w:space="0" w:color="auto"/>
        <w:right w:val="none" w:sz="0" w:space="0" w:color="auto"/>
      </w:divBdr>
    </w:div>
    <w:div w:id="1786346861">
      <w:bodyDiv w:val="1"/>
      <w:marLeft w:val="0"/>
      <w:marRight w:val="0"/>
      <w:marTop w:val="0"/>
      <w:marBottom w:val="0"/>
      <w:divBdr>
        <w:top w:val="none" w:sz="0" w:space="0" w:color="auto"/>
        <w:left w:val="none" w:sz="0" w:space="0" w:color="auto"/>
        <w:bottom w:val="none" w:sz="0" w:space="0" w:color="auto"/>
        <w:right w:val="none" w:sz="0" w:space="0" w:color="auto"/>
      </w:divBdr>
    </w:div>
    <w:div w:id="1933933705">
      <w:bodyDiv w:val="1"/>
      <w:marLeft w:val="0"/>
      <w:marRight w:val="0"/>
      <w:marTop w:val="0"/>
      <w:marBottom w:val="0"/>
      <w:divBdr>
        <w:top w:val="none" w:sz="0" w:space="0" w:color="auto"/>
        <w:left w:val="none" w:sz="0" w:space="0" w:color="auto"/>
        <w:bottom w:val="none" w:sz="0" w:space="0" w:color="auto"/>
        <w:right w:val="none" w:sz="0" w:space="0" w:color="auto"/>
      </w:divBdr>
    </w:div>
    <w:div w:id="2090692245">
      <w:bodyDiv w:val="1"/>
      <w:marLeft w:val="0"/>
      <w:marRight w:val="0"/>
      <w:marTop w:val="0"/>
      <w:marBottom w:val="0"/>
      <w:divBdr>
        <w:top w:val="none" w:sz="0" w:space="0" w:color="auto"/>
        <w:left w:val="none" w:sz="0" w:space="0" w:color="auto"/>
        <w:bottom w:val="none" w:sz="0" w:space="0" w:color="auto"/>
        <w:right w:val="none" w:sz="0" w:space="0" w:color="auto"/>
      </w:divBdr>
    </w:div>
    <w:div w:id="2095471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4D07BE-2C65-405F-970A-D376458EB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7882</TotalTime>
  <Pages>20</Pages>
  <Words>4217</Words>
  <Characters>24037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9</cp:revision>
  <dcterms:created xsi:type="dcterms:W3CDTF">2025-02-13T16:50:00Z</dcterms:created>
  <dcterms:modified xsi:type="dcterms:W3CDTF">2025-02-28T18:07:00Z</dcterms:modified>
</cp:coreProperties>
</file>