
<file path=[Content_Types].xml><?xml version="1.0" encoding="utf-8"?>
<Types xmlns="http://schemas.openxmlformats.org/package/2006/content-types">
  <Default Extension="emf" ContentType="image/x-emf"/>
  <Default Extension="jpg" ContentType="image/jp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3.jpg" ContentType="image/jpeg"/>
  <Override PartName="/word/media/image4.jpg" ContentType="image/jpeg"/>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F17A1" w14:textId="77777777" w:rsidR="00E9493F" w:rsidRPr="00990C88" w:rsidRDefault="00E9493F" w:rsidP="00905E9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990C88">
        <w:rPr>
          <w:rFonts w:ascii="Times New Roman" w:eastAsia="Times New Roman" w:hAnsi="Times New Roman" w:cs="Times New Roman"/>
          <w:b/>
          <w:bCs/>
          <w:noProof/>
          <w:kern w:val="36"/>
          <w:sz w:val="48"/>
          <w:szCs w:val="48"/>
          <w:lang w:eastAsia="en-GB"/>
          <w14:ligatures w14:val="none"/>
        </w:rPr>
        <w:drawing>
          <wp:inline distT="0" distB="0" distL="0" distR="0" wp14:anchorId="413D183B" wp14:editId="4E7109F2">
            <wp:extent cx="5731510" cy="2333625"/>
            <wp:effectExtent l="0" t="0" r="0" b="3175"/>
            <wp:docPr id="2" name="object 3">
              <a:extLst xmlns:a="http://schemas.openxmlformats.org/drawingml/2006/main">
                <a:ext uri="{FF2B5EF4-FFF2-40B4-BE49-F238E27FC236}">
                  <a16:creationId xmlns:a16="http://schemas.microsoft.com/office/drawing/2014/main" id="{B2A0D0A5-8EFF-FE66-8AAE-71FF345620B7}"/>
                </a:ext>
              </a:extLst>
            </wp:docPr>
            <wp:cNvGraphicFramePr/>
            <a:graphic xmlns:a="http://schemas.openxmlformats.org/drawingml/2006/main">
              <a:graphicData uri="http://schemas.openxmlformats.org/drawingml/2006/picture">
                <pic:pic xmlns:pic="http://schemas.openxmlformats.org/drawingml/2006/picture">
                  <pic:nvPicPr>
                    <pic:cNvPr id="2" name="object 3">
                      <a:extLst>
                        <a:ext uri="{FF2B5EF4-FFF2-40B4-BE49-F238E27FC236}">
                          <a16:creationId xmlns:a16="http://schemas.microsoft.com/office/drawing/2014/main" id="{B2A0D0A5-8EFF-FE66-8AAE-71FF345620B7}"/>
                        </a:ext>
                      </a:extLst>
                    </pic:cNvPr>
                    <pic:cNvPicPr/>
                  </pic:nvPicPr>
                  <pic:blipFill>
                    <a:blip r:embed="rId8" cstate="print"/>
                    <a:stretch>
                      <a:fillRect/>
                    </a:stretch>
                  </pic:blipFill>
                  <pic:spPr>
                    <a:xfrm>
                      <a:off x="0" y="0"/>
                      <a:ext cx="5731510" cy="2333625"/>
                    </a:xfrm>
                    <a:prstGeom prst="rect">
                      <a:avLst/>
                    </a:prstGeom>
                  </pic:spPr>
                </pic:pic>
              </a:graphicData>
            </a:graphic>
          </wp:inline>
        </w:drawing>
      </w:r>
    </w:p>
    <w:p w14:paraId="2C014A39" w14:textId="77777777" w:rsidR="00E9493F" w:rsidRPr="00990C88" w:rsidRDefault="00E9493F" w:rsidP="00905E9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5484049E" w14:textId="77777777" w:rsidR="00E9493F" w:rsidRPr="00990C88" w:rsidRDefault="00E9493F" w:rsidP="00905E9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38B4A991" w14:textId="451D869B" w:rsidR="00905E95" w:rsidRPr="00887A33" w:rsidRDefault="00905E95" w:rsidP="00905E9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887A33">
        <w:rPr>
          <w:rFonts w:ascii="Times New Roman" w:eastAsia="Times New Roman" w:hAnsi="Times New Roman" w:cs="Times New Roman"/>
          <w:b/>
          <w:bCs/>
          <w:kern w:val="36"/>
          <w:sz w:val="48"/>
          <w:szCs w:val="48"/>
          <w:lang w:eastAsia="en-GB"/>
          <w14:ligatures w14:val="none"/>
        </w:rPr>
        <w:t>MARKETING PORTFOLIO:</w:t>
      </w:r>
      <w:r w:rsidR="00154C67" w:rsidRPr="00990C88">
        <w:rPr>
          <w:rFonts w:ascii="Times New Roman" w:eastAsia="Times New Roman" w:hAnsi="Times New Roman" w:cs="Times New Roman"/>
          <w:b/>
          <w:bCs/>
          <w:kern w:val="36"/>
          <w:sz w:val="48"/>
          <w:szCs w:val="48"/>
          <w:lang w:eastAsia="en-GB"/>
          <w14:ligatures w14:val="none"/>
        </w:rPr>
        <w:t xml:space="preserve"> </w:t>
      </w:r>
      <w:r w:rsidRPr="00887A33">
        <w:rPr>
          <w:rFonts w:ascii="Times New Roman" w:eastAsia="Times New Roman" w:hAnsi="Times New Roman" w:cs="Times New Roman"/>
          <w:b/>
          <w:bCs/>
          <w:kern w:val="36"/>
          <w:sz w:val="48"/>
          <w:szCs w:val="48"/>
          <w:lang w:eastAsia="en-GB"/>
          <w14:ligatures w14:val="none"/>
        </w:rPr>
        <w:t>BRAND DEVELOPMENT</w:t>
      </w:r>
    </w:p>
    <w:p w14:paraId="6AAA69F0" w14:textId="05D9F82C" w:rsidR="00887A33" w:rsidRPr="00887A33" w:rsidRDefault="00905E95" w:rsidP="00905E95">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887A33">
        <w:rPr>
          <w:rFonts w:ascii="Times New Roman" w:eastAsia="Times New Roman" w:hAnsi="Times New Roman" w:cs="Times New Roman"/>
          <w:b/>
          <w:bCs/>
          <w:kern w:val="0"/>
          <w:lang w:eastAsia="en-GB"/>
          <w14:ligatures w14:val="none"/>
        </w:rPr>
        <w:t>Programme:</w:t>
      </w:r>
      <w:r w:rsidRPr="00887A33">
        <w:rPr>
          <w:rFonts w:ascii="Times New Roman" w:eastAsia="Times New Roman" w:hAnsi="Times New Roman" w:cs="Times New Roman"/>
          <w:kern w:val="0"/>
          <w:lang w:eastAsia="en-GB"/>
          <w14:ligatures w14:val="none"/>
        </w:rPr>
        <w:t xml:space="preserve"> Master of Business Administration</w:t>
      </w:r>
      <w:r w:rsidRPr="00887A33">
        <w:rPr>
          <w:rFonts w:ascii="Times New Roman" w:eastAsia="Times New Roman" w:hAnsi="Times New Roman" w:cs="Times New Roman"/>
          <w:kern w:val="0"/>
          <w:lang w:eastAsia="en-GB"/>
          <w14:ligatures w14:val="none"/>
        </w:rPr>
        <w:br/>
      </w:r>
      <w:r w:rsidRPr="00887A33">
        <w:rPr>
          <w:rFonts w:ascii="Times New Roman" w:eastAsia="Times New Roman" w:hAnsi="Times New Roman" w:cs="Times New Roman"/>
          <w:b/>
          <w:bCs/>
          <w:kern w:val="0"/>
          <w:lang w:eastAsia="en-GB"/>
          <w14:ligatures w14:val="none"/>
        </w:rPr>
        <w:t>Module:</w:t>
      </w:r>
      <w:r w:rsidRPr="00887A33">
        <w:rPr>
          <w:rFonts w:ascii="Times New Roman" w:eastAsia="Times New Roman" w:hAnsi="Times New Roman" w:cs="Times New Roman"/>
          <w:kern w:val="0"/>
          <w:lang w:eastAsia="en-GB"/>
          <w14:ligatures w14:val="none"/>
        </w:rPr>
        <w:t xml:space="preserve"> Marketing Management</w:t>
      </w:r>
      <w:r w:rsidRPr="00887A33">
        <w:rPr>
          <w:rFonts w:ascii="Times New Roman" w:eastAsia="Times New Roman" w:hAnsi="Times New Roman" w:cs="Times New Roman"/>
          <w:kern w:val="0"/>
          <w:lang w:eastAsia="en-GB"/>
          <w14:ligatures w14:val="none"/>
        </w:rPr>
        <w:br/>
      </w:r>
      <w:r w:rsidRPr="00887A33">
        <w:rPr>
          <w:rFonts w:ascii="Times New Roman" w:eastAsia="Times New Roman" w:hAnsi="Times New Roman" w:cs="Times New Roman"/>
          <w:b/>
          <w:bCs/>
          <w:kern w:val="0"/>
          <w:lang w:eastAsia="en-GB"/>
          <w14:ligatures w14:val="none"/>
        </w:rPr>
        <w:t>Module Code:</w:t>
      </w:r>
      <w:r w:rsidRPr="00887A33">
        <w:rPr>
          <w:rFonts w:ascii="Times New Roman" w:eastAsia="Times New Roman" w:hAnsi="Times New Roman" w:cs="Times New Roman"/>
          <w:kern w:val="0"/>
          <w:lang w:eastAsia="en-GB"/>
          <w14:ligatures w14:val="none"/>
        </w:rPr>
        <w:t xml:space="preserve"> LCMB7024</w:t>
      </w:r>
      <w:r w:rsidRPr="00887A33">
        <w:rPr>
          <w:rFonts w:ascii="Times New Roman" w:eastAsia="Times New Roman" w:hAnsi="Times New Roman" w:cs="Times New Roman"/>
          <w:kern w:val="0"/>
          <w:lang w:eastAsia="en-GB"/>
          <w14:ligatures w14:val="none"/>
        </w:rPr>
        <w:br/>
      </w:r>
      <w:r w:rsidRPr="00887A33">
        <w:rPr>
          <w:rFonts w:ascii="Times New Roman" w:eastAsia="Times New Roman" w:hAnsi="Times New Roman" w:cs="Times New Roman"/>
          <w:b/>
          <w:bCs/>
          <w:kern w:val="0"/>
          <w:lang w:eastAsia="en-GB"/>
          <w14:ligatures w14:val="none"/>
        </w:rPr>
        <w:t>Student Name:</w:t>
      </w:r>
      <w:r w:rsidRPr="00887A33">
        <w:rPr>
          <w:rFonts w:ascii="Times New Roman" w:eastAsia="Times New Roman" w:hAnsi="Times New Roman" w:cs="Times New Roman"/>
          <w:kern w:val="0"/>
          <w:lang w:eastAsia="en-GB"/>
          <w14:ligatures w14:val="none"/>
        </w:rPr>
        <w:t xml:space="preserve"> Shubham Yadav</w:t>
      </w:r>
      <w:r w:rsidRPr="00887A33">
        <w:rPr>
          <w:rFonts w:ascii="Times New Roman" w:eastAsia="Times New Roman" w:hAnsi="Times New Roman" w:cs="Times New Roman"/>
          <w:kern w:val="0"/>
          <w:lang w:eastAsia="en-GB"/>
          <w14:ligatures w14:val="none"/>
        </w:rPr>
        <w:br/>
      </w:r>
      <w:r w:rsidRPr="00887A33">
        <w:rPr>
          <w:rFonts w:ascii="Times New Roman" w:eastAsia="Times New Roman" w:hAnsi="Times New Roman" w:cs="Times New Roman"/>
          <w:b/>
          <w:bCs/>
          <w:kern w:val="0"/>
          <w:lang w:eastAsia="en-GB"/>
          <w14:ligatures w14:val="none"/>
        </w:rPr>
        <w:t>Student ID:</w:t>
      </w:r>
      <w:r w:rsidRPr="00887A33">
        <w:rPr>
          <w:rFonts w:ascii="Times New Roman" w:eastAsia="Times New Roman" w:hAnsi="Times New Roman" w:cs="Times New Roman"/>
          <w:kern w:val="0"/>
          <w:lang w:eastAsia="en-GB"/>
          <w14:ligatures w14:val="none"/>
        </w:rPr>
        <w:t xml:space="preserve"> 2504020</w:t>
      </w:r>
      <w:r w:rsidRPr="00887A33">
        <w:rPr>
          <w:rFonts w:ascii="Times New Roman" w:eastAsia="Times New Roman" w:hAnsi="Times New Roman" w:cs="Times New Roman"/>
          <w:kern w:val="0"/>
          <w:lang w:eastAsia="en-GB"/>
          <w14:ligatures w14:val="none"/>
        </w:rPr>
        <w:br/>
      </w:r>
      <w:r w:rsidRPr="00887A33">
        <w:rPr>
          <w:rFonts w:ascii="Times New Roman" w:eastAsia="Times New Roman" w:hAnsi="Times New Roman" w:cs="Times New Roman"/>
          <w:b/>
          <w:bCs/>
          <w:kern w:val="0"/>
          <w:lang w:eastAsia="en-GB"/>
          <w14:ligatures w14:val="none"/>
        </w:rPr>
        <w:t>Lecturer:</w:t>
      </w:r>
      <w:r w:rsidRPr="00887A33">
        <w:rPr>
          <w:rFonts w:ascii="Times New Roman" w:eastAsia="Times New Roman" w:hAnsi="Times New Roman" w:cs="Times New Roman"/>
          <w:kern w:val="0"/>
          <w:lang w:eastAsia="en-GB"/>
          <w14:ligatures w14:val="none"/>
        </w:rPr>
        <w:t xml:space="preserve"> Jayalakshmi Gopalkrishna</w:t>
      </w:r>
      <w:r w:rsidR="00887A33" w:rsidRPr="00887A33">
        <w:rPr>
          <w:rFonts w:ascii="Times New Roman" w:eastAsia="Times New Roman" w:hAnsi="Times New Roman" w:cs="Times New Roman"/>
          <w:kern w:val="0"/>
          <w:lang w:eastAsia="en-GB"/>
          <w14:ligatures w14:val="none"/>
        </w:rPr>
        <w:br/>
      </w:r>
    </w:p>
    <w:p w14:paraId="26AF1DBE" w14:textId="6EEAB009" w:rsidR="00887A33" w:rsidRPr="00887A33" w:rsidRDefault="00887A33" w:rsidP="00887A33">
      <w:pPr>
        <w:spacing w:after="0" w:line="240" w:lineRule="auto"/>
        <w:rPr>
          <w:rFonts w:ascii="Times New Roman" w:eastAsia="Times New Roman" w:hAnsi="Times New Roman" w:cs="Times New Roman"/>
          <w:kern w:val="0"/>
          <w:lang w:eastAsia="en-GB"/>
          <w14:ligatures w14:val="none"/>
        </w:rPr>
      </w:pPr>
    </w:p>
    <w:p w14:paraId="38512475"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35D7B1D"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C4B426A"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FAD4A32"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053AEEE"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FA15248"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9B6C8C7" w14:textId="77777777" w:rsidR="0082321E" w:rsidRPr="0082321E" w:rsidRDefault="0082321E" w:rsidP="0082321E">
      <w:pPr>
        <w:pStyle w:val="Heading3"/>
        <w:jc w:val="center"/>
        <w:rPr>
          <w:rFonts w:eastAsia="Times New Roman"/>
          <w:lang w:eastAsia="en-GB"/>
        </w:rPr>
      </w:pPr>
      <w:r w:rsidRPr="0082321E">
        <w:rPr>
          <w:rFonts w:eastAsia="Times New Roman"/>
          <w:lang w:eastAsia="en-GB"/>
        </w:rPr>
        <w:lastRenderedPageBreak/>
        <w:t>Table of Contents</w:t>
      </w:r>
    </w:p>
    <w:p w14:paraId="13439337" w14:textId="7B0F0AF4" w:rsidR="0082321E" w:rsidRPr="0082321E" w:rsidRDefault="0082321E" w:rsidP="0082321E">
      <w:pPr>
        <w:pStyle w:val="Heading3"/>
        <w:rPr>
          <w:rFonts w:eastAsia="Times New Roman"/>
          <w:lang w:eastAsia="en-GB"/>
        </w:rPr>
      </w:pPr>
      <w:r w:rsidRPr="0082321E">
        <w:rPr>
          <w:rFonts w:eastAsia="Times New Roman"/>
          <w:lang w:eastAsia="en-GB"/>
        </w:rPr>
        <w:t>Element 1: Strategic Brand Development and STDP Analysis</w:t>
      </w:r>
      <w:r>
        <w:rPr>
          <w:rFonts w:eastAsia="Times New Roman"/>
          <w:lang w:eastAsia="en-GB"/>
        </w:rPr>
        <w:t>…………….3</w:t>
      </w:r>
      <w:r w:rsidRPr="0082321E">
        <w:rPr>
          <w:rFonts w:eastAsia="Times New Roman"/>
          <w:lang w:eastAsia="en-GB"/>
        </w:rPr>
        <w:br/>
        <w:t>  1.1 Company Background and Strategic Rationale .............................</w:t>
      </w:r>
      <w:r>
        <w:rPr>
          <w:rFonts w:eastAsia="Times New Roman"/>
          <w:lang w:eastAsia="en-GB"/>
        </w:rPr>
        <w:t>3</w:t>
      </w:r>
      <w:r w:rsidRPr="0082321E">
        <w:rPr>
          <w:rFonts w:eastAsia="Times New Roman"/>
          <w:lang w:eastAsia="en-GB"/>
        </w:rPr>
        <w:br/>
        <w:t>  1.2 New Brand Concept: Rolex Aurora ........................................</w:t>
      </w:r>
      <w:r>
        <w:rPr>
          <w:rFonts w:eastAsia="Times New Roman"/>
          <w:lang w:eastAsia="en-GB"/>
        </w:rPr>
        <w:t>4</w:t>
      </w:r>
      <w:r w:rsidRPr="0082321E">
        <w:rPr>
          <w:rFonts w:eastAsia="Times New Roman"/>
          <w:lang w:eastAsia="en-GB"/>
        </w:rPr>
        <w:br/>
        <w:t>  1.3 Market Segmentation ....................................................</w:t>
      </w:r>
      <w:r>
        <w:rPr>
          <w:rFonts w:eastAsia="Times New Roman"/>
          <w:lang w:eastAsia="en-GB"/>
        </w:rPr>
        <w:t>6</w:t>
      </w:r>
      <w:r w:rsidRPr="0082321E">
        <w:rPr>
          <w:rFonts w:eastAsia="Times New Roman"/>
          <w:lang w:eastAsia="en-GB"/>
        </w:rPr>
        <w:br/>
        <w:t>  1.4 Targeting Strategy ....................................................</w:t>
      </w:r>
      <w:r>
        <w:rPr>
          <w:rFonts w:eastAsia="Times New Roman"/>
          <w:lang w:eastAsia="en-GB"/>
        </w:rPr>
        <w:t>6</w:t>
      </w:r>
      <w:r w:rsidRPr="0082321E">
        <w:rPr>
          <w:rFonts w:eastAsia="Times New Roman"/>
          <w:lang w:eastAsia="en-GB"/>
        </w:rPr>
        <w:br/>
        <w:t>  1.5 Differentiation and Positioning ........................................</w:t>
      </w:r>
      <w:r>
        <w:rPr>
          <w:rFonts w:eastAsia="Times New Roman"/>
          <w:lang w:eastAsia="en-GB"/>
        </w:rPr>
        <w:t>7</w:t>
      </w:r>
    </w:p>
    <w:p w14:paraId="22736A11" w14:textId="27AC99E4" w:rsidR="0082321E" w:rsidRPr="0082321E" w:rsidRDefault="0082321E" w:rsidP="0082321E">
      <w:pPr>
        <w:pStyle w:val="Heading3"/>
        <w:rPr>
          <w:rFonts w:eastAsia="Times New Roman"/>
          <w:lang w:eastAsia="en-GB"/>
        </w:rPr>
      </w:pPr>
      <w:r w:rsidRPr="0082321E">
        <w:rPr>
          <w:rFonts w:eastAsia="Times New Roman"/>
          <w:lang w:eastAsia="en-GB"/>
        </w:rPr>
        <w:t>Element 2: Marketing Mix Using the 7Ps Framework</w:t>
      </w:r>
      <w:r>
        <w:rPr>
          <w:rFonts w:eastAsia="Times New Roman"/>
          <w:lang w:eastAsia="en-GB"/>
        </w:rPr>
        <w:t>………………….8</w:t>
      </w:r>
      <w:r w:rsidRPr="0082321E">
        <w:rPr>
          <w:rFonts w:eastAsia="Times New Roman"/>
          <w:lang w:eastAsia="en-GB"/>
        </w:rPr>
        <w:br/>
        <w:t>  2.1 Product ..............................................................</w:t>
      </w:r>
      <w:r>
        <w:rPr>
          <w:rFonts w:eastAsia="Times New Roman"/>
          <w:lang w:eastAsia="en-GB"/>
        </w:rPr>
        <w:t>8</w:t>
      </w:r>
      <w:r w:rsidRPr="0082321E">
        <w:rPr>
          <w:rFonts w:eastAsia="Times New Roman"/>
          <w:lang w:eastAsia="en-GB"/>
        </w:rPr>
        <w:br/>
        <w:t>  2.2 Price .................................................................</w:t>
      </w:r>
      <w:r>
        <w:rPr>
          <w:rFonts w:eastAsia="Times New Roman"/>
          <w:lang w:eastAsia="en-GB"/>
        </w:rPr>
        <w:t>8</w:t>
      </w:r>
      <w:r w:rsidRPr="0082321E">
        <w:rPr>
          <w:rFonts w:eastAsia="Times New Roman"/>
          <w:lang w:eastAsia="en-GB"/>
        </w:rPr>
        <w:br/>
        <w:t>  2.3 Place .................................................................</w:t>
      </w:r>
      <w:r>
        <w:rPr>
          <w:rFonts w:eastAsia="Times New Roman"/>
          <w:lang w:eastAsia="en-GB"/>
        </w:rPr>
        <w:t>9</w:t>
      </w:r>
      <w:r w:rsidRPr="0082321E">
        <w:rPr>
          <w:rFonts w:eastAsia="Times New Roman"/>
          <w:lang w:eastAsia="en-GB"/>
        </w:rPr>
        <w:br/>
        <w:t>  2.4 Promotion .............................................................</w:t>
      </w:r>
      <w:r>
        <w:rPr>
          <w:rFonts w:eastAsia="Times New Roman"/>
          <w:lang w:eastAsia="en-GB"/>
        </w:rPr>
        <w:t>9</w:t>
      </w:r>
      <w:r w:rsidRPr="0082321E">
        <w:rPr>
          <w:rFonts w:eastAsia="Times New Roman"/>
          <w:lang w:eastAsia="en-GB"/>
        </w:rPr>
        <w:br/>
        <w:t>  2.5 People ...............................................................</w:t>
      </w:r>
      <w:r>
        <w:rPr>
          <w:rFonts w:eastAsia="Times New Roman"/>
          <w:lang w:eastAsia="en-GB"/>
        </w:rPr>
        <w:t>9</w:t>
      </w:r>
      <w:r w:rsidRPr="0082321E">
        <w:rPr>
          <w:rFonts w:eastAsia="Times New Roman"/>
          <w:lang w:eastAsia="en-GB"/>
        </w:rPr>
        <w:br/>
        <w:t>  2.6 Process ..............................................................</w:t>
      </w:r>
      <w:r>
        <w:rPr>
          <w:rFonts w:eastAsia="Times New Roman"/>
          <w:lang w:eastAsia="en-GB"/>
        </w:rPr>
        <w:t>10</w:t>
      </w:r>
      <w:r w:rsidRPr="0082321E">
        <w:rPr>
          <w:rFonts w:eastAsia="Times New Roman"/>
          <w:lang w:eastAsia="en-GB"/>
        </w:rPr>
        <w:br/>
        <w:t>  2.7 Physical Evidence .....................................................</w:t>
      </w:r>
      <w:r>
        <w:rPr>
          <w:rFonts w:eastAsia="Times New Roman"/>
          <w:lang w:eastAsia="en-GB"/>
        </w:rPr>
        <w:t>11</w:t>
      </w:r>
    </w:p>
    <w:p w14:paraId="40B8D3C9" w14:textId="2F71909F" w:rsidR="0082321E" w:rsidRPr="0082321E" w:rsidRDefault="0082321E" w:rsidP="0082321E">
      <w:pPr>
        <w:pStyle w:val="Heading3"/>
        <w:rPr>
          <w:rFonts w:eastAsia="Times New Roman"/>
          <w:lang w:eastAsia="en-GB"/>
        </w:rPr>
      </w:pPr>
      <w:r w:rsidRPr="0082321E">
        <w:rPr>
          <w:rFonts w:eastAsia="Times New Roman"/>
          <w:lang w:eastAsia="en-GB"/>
        </w:rPr>
        <w:t>Element 4: Reflective Analysis ...........................................</w:t>
      </w:r>
      <w:r>
        <w:rPr>
          <w:rFonts w:eastAsia="Times New Roman"/>
          <w:lang w:eastAsia="en-GB"/>
        </w:rPr>
        <w:t>12</w:t>
      </w:r>
    </w:p>
    <w:p w14:paraId="0DA1960C" w14:textId="3AFFA12B" w:rsidR="0082321E" w:rsidRPr="0082321E" w:rsidRDefault="0082321E" w:rsidP="0082321E">
      <w:pPr>
        <w:pStyle w:val="Heading3"/>
        <w:rPr>
          <w:rFonts w:eastAsia="Times New Roman"/>
          <w:lang w:eastAsia="en-GB"/>
        </w:rPr>
      </w:pPr>
      <w:r w:rsidRPr="0082321E">
        <w:rPr>
          <w:rFonts w:eastAsia="Times New Roman"/>
          <w:lang w:eastAsia="en-GB"/>
        </w:rPr>
        <w:t>Appendices</w:t>
      </w:r>
      <w:r w:rsidRPr="0082321E">
        <w:rPr>
          <w:rFonts w:eastAsia="Times New Roman"/>
          <w:lang w:eastAsia="en-GB"/>
        </w:rPr>
        <w:br/>
        <w:t>  Appendix A: Element 3 Marketing Strategy Pitch Poster ....................</w:t>
      </w:r>
      <w:r>
        <w:rPr>
          <w:rFonts w:eastAsia="Times New Roman"/>
          <w:lang w:eastAsia="en-GB"/>
        </w:rPr>
        <w:t>13</w:t>
      </w:r>
      <w:r w:rsidRPr="0082321E">
        <w:rPr>
          <w:rFonts w:eastAsia="Times New Roman"/>
          <w:lang w:eastAsia="en-GB"/>
        </w:rPr>
        <w:br/>
        <w:t>  Appendix B: Element 3 Poster Explanation ................................</w:t>
      </w:r>
      <w:r>
        <w:rPr>
          <w:rFonts w:eastAsia="Times New Roman"/>
          <w:lang w:eastAsia="en-GB"/>
        </w:rPr>
        <w:t>14</w:t>
      </w:r>
      <w:r w:rsidRPr="0082321E">
        <w:rPr>
          <w:rFonts w:eastAsia="Times New Roman"/>
          <w:lang w:eastAsia="en-GB"/>
        </w:rPr>
        <w:br/>
        <w:t>  Appendix C: Reference List for Element 3 ................................</w:t>
      </w:r>
      <w:r>
        <w:rPr>
          <w:rFonts w:eastAsia="Times New Roman"/>
          <w:lang w:eastAsia="en-GB"/>
        </w:rPr>
        <w:t>15</w:t>
      </w:r>
    </w:p>
    <w:p w14:paraId="0B05FD8A" w14:textId="79D80868" w:rsidR="0082321E" w:rsidRPr="0082321E" w:rsidRDefault="0082321E" w:rsidP="0082321E">
      <w:pPr>
        <w:pStyle w:val="Heading3"/>
        <w:rPr>
          <w:rFonts w:eastAsia="Times New Roman"/>
          <w:lang w:eastAsia="en-GB"/>
        </w:rPr>
      </w:pPr>
      <w:r w:rsidRPr="0082321E">
        <w:rPr>
          <w:rFonts w:eastAsia="Times New Roman"/>
          <w:lang w:eastAsia="en-GB"/>
        </w:rPr>
        <w:t>Reference List ...........................................................</w:t>
      </w:r>
      <w:r>
        <w:rPr>
          <w:rFonts w:eastAsia="Times New Roman"/>
          <w:lang w:eastAsia="en-GB"/>
        </w:rPr>
        <w:t>16</w:t>
      </w:r>
    </w:p>
    <w:p w14:paraId="6619D42C"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EAAF059"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BCA446D" w14:textId="77777777" w:rsidR="009C6D17" w:rsidRPr="00990C88" w:rsidRDefault="009C6D17" w:rsidP="009C6D1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6A0F409" w14:textId="77777777" w:rsidR="00E9493F" w:rsidRPr="00990C88" w:rsidRDefault="00E9493F" w:rsidP="00905E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639CF42" w14:textId="77777777" w:rsidR="00E9493F" w:rsidRPr="00990C88" w:rsidRDefault="00E9493F" w:rsidP="00905E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30CFBE7" w14:textId="77777777" w:rsidR="00154C67" w:rsidRPr="00990C88" w:rsidRDefault="00154C67" w:rsidP="00905E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70F609" w14:textId="5089018A" w:rsidR="00905E95" w:rsidRPr="00905E95" w:rsidRDefault="00905E95" w:rsidP="00905E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05E95">
        <w:rPr>
          <w:rFonts w:ascii="Times New Roman" w:eastAsia="Times New Roman" w:hAnsi="Times New Roman" w:cs="Times New Roman"/>
          <w:b/>
          <w:bCs/>
          <w:kern w:val="0"/>
          <w:sz w:val="36"/>
          <w:szCs w:val="36"/>
          <w:lang w:eastAsia="en-GB"/>
          <w14:ligatures w14:val="none"/>
        </w:rPr>
        <w:lastRenderedPageBreak/>
        <w:t>Element 1: Strategic Brand Development and STDP Analysis</w:t>
      </w:r>
    </w:p>
    <w:p w14:paraId="539B9FB8" w14:textId="77777777" w:rsidR="00905E95" w:rsidRPr="00905E95" w:rsidRDefault="00905E95"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5E95">
        <w:rPr>
          <w:rFonts w:ascii="Times New Roman" w:eastAsia="Times New Roman" w:hAnsi="Times New Roman" w:cs="Times New Roman"/>
          <w:b/>
          <w:bCs/>
          <w:kern w:val="0"/>
          <w:sz w:val="27"/>
          <w:szCs w:val="27"/>
          <w:lang w:eastAsia="en-GB"/>
          <w14:ligatures w14:val="none"/>
        </w:rPr>
        <w:t>1.1 Company Background and Strategic Rationale</w:t>
      </w:r>
    </w:p>
    <w:p w14:paraId="201FCC08" w14:textId="77777777" w:rsidR="004361CB" w:rsidRPr="00990C88" w:rsidRDefault="004361CB" w:rsidP="004361CB">
      <w:pPr>
        <w:pStyle w:val="NormalWeb"/>
      </w:pPr>
      <w:r w:rsidRPr="00990C88">
        <w:t>Rolex is widely regarded as one of the most prestigious names in the global luxury industry, closely associated with precision engineering, durability, heritage, and exclusivity. Since its establishment in Switzerland in 1905, the brand has consistently built and safeguarded its brand equity through an enduring commitment to exceptional craftsmanship, carefully managed innovation, and highly selective distribution channels (Rolex SA, 2024a). Rather than engaging in aggressive expansion or trend-led diversification, Rolex has followed a long-term brand stewardship strategy that prioritises symbolic value, authenticity, and brand integrity. This disciplined approach is reflected in Interbrand’s (2023) ranking, which positions Rolex among the most valuable luxury brands worldwide.</w:t>
      </w:r>
    </w:p>
    <w:p w14:paraId="7EE324C5" w14:textId="77777777" w:rsidR="004361CB" w:rsidRPr="00990C88" w:rsidRDefault="004361CB" w:rsidP="004361CB">
      <w:pPr>
        <w:pStyle w:val="NormalWeb"/>
      </w:pPr>
      <w:r w:rsidRPr="00990C88">
        <w:t>The broader market environment further strengthens the strategic case for brand extension. The global luxury goods market was valued at approximately 1.5 trillion euros in 2023, with growth increasingly driven by experiential consumption, personalisation, and innovation-focused categories rather than traditional product line expansion (Bain and Company, 2023). At the same time, the global wearable technology market is forecast to surpass 186 billion US dollars by 2030, signalling a shift in consumer expectations toward intelligent products that enhance everyday lifestyles (McKinsey and Company, 2023). Together, these trends highlight a clear opportunity at the intersection of luxury and technology, provided that innovation remains aligned with core luxury brand principles.</w:t>
      </w:r>
    </w:p>
    <w:p w14:paraId="6B069FE9" w14:textId="77777777" w:rsidR="004361CB" w:rsidRPr="00990C88" w:rsidRDefault="004361CB" w:rsidP="004361CB">
      <w:pPr>
        <w:pStyle w:val="NormalWeb"/>
      </w:pPr>
      <w:r w:rsidRPr="00990C88">
        <w:t>In response to these converging developments, Rolex Aurora is proposed as a strategic brand extension into the luxury smart eyewear category. Brand extension theory suggests that established brands can successfully enter new markets when consumers perceive a strong and credible fit between the parent brand and the extension (Aaker, 1990, p. 103). Smart eyewear closely reflects Rolex’s core brand associations of precision, discretion, and functional elegance, making Aurora a strategically coherent evolution of the brand rather than a deviation from its heritage.</w:t>
      </w:r>
    </w:p>
    <w:p w14:paraId="1A730368" w14:textId="0091ADA2" w:rsidR="00A71BC3" w:rsidRPr="00990C88" w:rsidRDefault="00A71BC3" w:rsidP="00A71BC3">
      <w:pPr>
        <w:pStyle w:val="NormalWeb"/>
        <w:jc w:val="center"/>
        <w:rPr>
          <w:i/>
          <w:iCs/>
        </w:rPr>
      </w:pPr>
      <w:r w:rsidRPr="00990C88">
        <w:rPr>
          <w:i/>
          <w:iCs/>
          <w:noProof/>
        </w:rPr>
        <w:lastRenderedPageBreak/>
        <w:drawing>
          <wp:inline distT="0" distB="0" distL="0" distR="0" wp14:anchorId="6FBED4D3" wp14:editId="727CA164">
            <wp:extent cx="4000500" cy="6343650"/>
            <wp:effectExtent l="0" t="0" r="0" b="6350"/>
            <wp:docPr id="399429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29805" name=""/>
                    <pic:cNvPicPr/>
                  </pic:nvPicPr>
                  <pic:blipFill rotWithShape="1">
                    <a:blip r:embed="rId9"/>
                    <a:srcRect b="28428"/>
                    <a:stretch>
                      <a:fillRect/>
                    </a:stretch>
                  </pic:blipFill>
                  <pic:spPr bwMode="auto">
                    <a:xfrm>
                      <a:off x="0" y="0"/>
                      <a:ext cx="4000500" cy="6343650"/>
                    </a:xfrm>
                    <a:prstGeom prst="rect">
                      <a:avLst/>
                    </a:prstGeom>
                    <a:ln>
                      <a:noFill/>
                    </a:ln>
                    <a:extLst>
                      <a:ext uri="{53640926-AAD7-44D8-BBD7-CCE9431645EC}">
                        <a14:shadowObscured xmlns:a14="http://schemas.microsoft.com/office/drawing/2010/main"/>
                      </a:ext>
                    </a:extLst>
                  </pic:spPr>
                </pic:pic>
              </a:graphicData>
            </a:graphic>
          </wp:inline>
        </w:drawing>
      </w:r>
    </w:p>
    <w:p w14:paraId="02C483F1" w14:textId="77777777" w:rsidR="00990C88" w:rsidRPr="00990C88" w:rsidRDefault="00905E95" w:rsidP="00990C88">
      <w:pPr>
        <w:spacing w:before="100" w:beforeAutospacing="1" w:after="100" w:afterAutospacing="1" w:line="240" w:lineRule="auto"/>
        <w:jc w:val="center"/>
        <w:rPr>
          <w:rFonts w:ascii="Times New Roman" w:hAnsi="Times New Roman" w:cs="Times New Roman"/>
          <w:i/>
          <w:iCs/>
        </w:rPr>
      </w:pPr>
      <w:r w:rsidRPr="00905E95">
        <w:rPr>
          <w:rFonts w:ascii="Times New Roman" w:eastAsia="Times New Roman" w:hAnsi="Times New Roman" w:cs="Times New Roman"/>
          <w:i/>
          <w:iCs/>
          <w:kern w:val="0"/>
          <w:lang w:eastAsia="en-GB"/>
          <w14:ligatures w14:val="none"/>
        </w:rPr>
        <w:t>(Figure 1:</w:t>
      </w:r>
      <w:r w:rsidR="00A71BC3" w:rsidRPr="00990C88">
        <w:rPr>
          <w:rFonts w:ascii="Times New Roman" w:hAnsi="Times New Roman" w:cs="Times New Roman"/>
          <w:i/>
          <w:iCs/>
        </w:rPr>
        <w:t xml:space="preserve"> Brand extension pathway from Rolex watches to luxury smart eyewear)</w:t>
      </w:r>
    </w:p>
    <w:p w14:paraId="6CDE66A0" w14:textId="31BB8AB1" w:rsidR="00990C88" w:rsidRPr="00990C88" w:rsidRDefault="00990C88" w:rsidP="00990C88">
      <w:pPr>
        <w:spacing w:before="100" w:beforeAutospacing="1" w:after="100" w:afterAutospacing="1" w:line="240" w:lineRule="auto"/>
        <w:jc w:val="center"/>
        <w:rPr>
          <w:rFonts w:ascii="Times New Roman" w:hAnsi="Times New Roman" w:cs="Times New Roman"/>
        </w:rPr>
      </w:pPr>
      <w:r w:rsidRPr="00990C88">
        <w:rPr>
          <w:rStyle w:val="agcmg"/>
          <w:rFonts w:ascii="Times New Roman" w:hAnsi="Times New Roman" w:cs="Times New Roman"/>
          <w:b/>
          <w:bCs/>
        </w:rPr>
        <w:t>(</w:t>
      </w:r>
      <w:r w:rsidRPr="00990C88">
        <w:rPr>
          <w:rStyle w:val="agcmg"/>
          <w:rFonts w:ascii="Times New Roman" w:hAnsi="Times New Roman" w:cs="Times New Roman"/>
        </w:rPr>
        <w:t>source: self</w:t>
      </w:r>
      <w:r w:rsidRPr="00905E95">
        <w:rPr>
          <w:rFonts w:ascii="Times New Roman" w:eastAsia="Times New Roman" w:hAnsi="Times New Roman" w:cs="Times New Roman"/>
          <w:kern w:val="0"/>
          <w:lang w:eastAsia="en-GB"/>
          <w14:ligatures w14:val="none"/>
        </w:rPr>
        <w:t>)</w:t>
      </w:r>
    </w:p>
    <w:p w14:paraId="35518E39" w14:textId="77777777" w:rsidR="00A71BC3" w:rsidRPr="00905E95" w:rsidRDefault="00A71BC3" w:rsidP="00905E95">
      <w:pPr>
        <w:spacing w:before="100" w:beforeAutospacing="1" w:after="100" w:afterAutospacing="1" w:line="240" w:lineRule="auto"/>
        <w:rPr>
          <w:rFonts w:ascii="Times New Roman" w:eastAsia="Times New Roman" w:hAnsi="Times New Roman" w:cs="Times New Roman"/>
          <w:i/>
          <w:iCs/>
          <w:kern w:val="0"/>
          <w:lang w:eastAsia="en-GB"/>
          <w14:ligatures w14:val="none"/>
        </w:rPr>
      </w:pPr>
    </w:p>
    <w:p w14:paraId="3045521A" w14:textId="77777777" w:rsidR="00905E95" w:rsidRPr="00905E95" w:rsidRDefault="00905E95"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5E95">
        <w:rPr>
          <w:rFonts w:ascii="Times New Roman" w:eastAsia="Times New Roman" w:hAnsi="Times New Roman" w:cs="Times New Roman"/>
          <w:b/>
          <w:bCs/>
          <w:kern w:val="0"/>
          <w:sz w:val="27"/>
          <w:szCs w:val="27"/>
          <w:lang w:eastAsia="en-GB"/>
          <w14:ligatures w14:val="none"/>
        </w:rPr>
        <w:t>1.2 New Brand Concept: Rolex Aurora</w:t>
      </w:r>
    </w:p>
    <w:p w14:paraId="685AC14B" w14:textId="77777777" w:rsidR="004361CB" w:rsidRPr="00990C88" w:rsidRDefault="004361CB" w:rsidP="004361CB">
      <w:pPr>
        <w:pStyle w:val="NormalWeb"/>
      </w:pPr>
      <w:r w:rsidRPr="00990C88">
        <w:t xml:space="preserve">Rolex Aurora is positioned as the introduction of a new luxury category that brings together discreet advanced technology and traditional Swiss craftsmanship. The product incorporates sapphire crystal adaptive lenses and frames made from eighteen-carat gold or platinum, supported by intentionally minimal digital features such as world-time display and subtle notifications. This design approach reflects Rolex’s long-established manufacturing </w:t>
      </w:r>
      <w:r w:rsidRPr="00990C88">
        <w:lastRenderedPageBreak/>
        <w:t>philosophy, which values durability, precision, and refinement over rapid or highly visible technological experimentation (Rolex SA, 2024b).</w:t>
      </w:r>
    </w:p>
    <w:p w14:paraId="7CB65773" w14:textId="77777777" w:rsidR="004361CB" w:rsidRPr="00990C88" w:rsidRDefault="004361CB" w:rsidP="004361CB">
      <w:pPr>
        <w:pStyle w:val="NormalWeb"/>
      </w:pPr>
      <w:r w:rsidRPr="00990C88">
        <w:t>Kapferer (2015, p. 87) emphasises that innovation in the luxury sector should enhance symbolic value rather than pursue novelty for its own sake. Rolex Aurora closely aligns with this principle by treating technology as a discreet facilitator rather than the defining feature of the product. The primary focus remains on timeless aesthetics, exceptional craftsmanship, and emotional appeal. Recent research reinforces this perspective, indicating that modern luxury consumers increasingly favour technologies that integrate seamlessly into their lifestyles without undermining authenticity, design integrity, or brand heritage (Deloitte, 2023).</w:t>
      </w:r>
    </w:p>
    <w:p w14:paraId="7A45C49E" w14:textId="77777777" w:rsidR="004361CB" w:rsidRPr="00990C88" w:rsidRDefault="004361CB" w:rsidP="004361CB">
      <w:pPr>
        <w:pStyle w:val="NormalWeb"/>
      </w:pPr>
      <w:r w:rsidRPr="00990C88">
        <w:t>By deliberately avoiding overt digital prominence, Rolex Aurora strengthens the brand’s core identity while still responding to changing consumer expectations. This balanced approach enables Rolex to pursue innovation in a controlled and credible manner, preserving the cultural and symbolic capital that underpins its long-term success in the global luxury market.</w:t>
      </w:r>
    </w:p>
    <w:p w14:paraId="24EAB7EE" w14:textId="77777777" w:rsidR="00990C88" w:rsidRPr="00990C88" w:rsidRDefault="00990C88" w:rsidP="004361CB">
      <w:pPr>
        <w:pStyle w:val="NormalWeb"/>
      </w:pPr>
    </w:p>
    <w:p w14:paraId="7C05D20A" w14:textId="4BBF6615" w:rsidR="00990C88" w:rsidRPr="00990C88" w:rsidRDefault="00990C88" w:rsidP="004361CB">
      <w:pPr>
        <w:pStyle w:val="NormalWeb"/>
      </w:pPr>
      <w:r w:rsidRPr="00990C88">
        <w:rPr>
          <w:noProof/>
          <w14:ligatures w14:val="standardContextual"/>
        </w:rPr>
        <w:drawing>
          <wp:inline distT="0" distB="0" distL="0" distR="0" wp14:anchorId="08BC1138" wp14:editId="61B0A61D">
            <wp:extent cx="5731510" cy="4298950"/>
            <wp:effectExtent l="0" t="0" r="0" b="6350"/>
            <wp:docPr id="16101862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186236" name="Picture 1610186236"/>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C83822D" w14:textId="77777777" w:rsidR="00990C88" w:rsidRDefault="00990C88" w:rsidP="00990C88">
      <w:pPr>
        <w:spacing w:before="100" w:beforeAutospacing="1" w:after="100" w:afterAutospacing="1" w:line="240" w:lineRule="auto"/>
        <w:jc w:val="center"/>
        <w:rPr>
          <w:rStyle w:val="agcmg"/>
          <w:rFonts w:ascii="Times New Roman" w:hAnsi="Times New Roman" w:cs="Times New Roman"/>
          <w:b/>
          <w:bCs/>
          <w:i/>
          <w:iCs/>
        </w:rPr>
      </w:pPr>
      <w:r w:rsidRPr="00990C88">
        <w:rPr>
          <w:rFonts w:ascii="Times New Roman" w:eastAsia="Times New Roman" w:hAnsi="Times New Roman" w:cs="Times New Roman"/>
          <w:i/>
          <w:iCs/>
          <w:kern w:val="0"/>
          <w:lang w:eastAsia="en-GB"/>
          <w14:ligatures w14:val="none"/>
        </w:rPr>
        <w:t>(</w:t>
      </w:r>
      <w:r w:rsidR="00905E95" w:rsidRPr="00905E95">
        <w:rPr>
          <w:rFonts w:ascii="Times New Roman" w:eastAsia="Times New Roman" w:hAnsi="Times New Roman" w:cs="Times New Roman"/>
          <w:i/>
          <w:iCs/>
          <w:kern w:val="0"/>
          <w:lang w:eastAsia="en-GB"/>
          <w14:ligatures w14:val="none"/>
        </w:rPr>
        <w:t>Figure 2:</w:t>
      </w:r>
      <w:r w:rsidRPr="00990C88">
        <w:rPr>
          <w:rStyle w:val="Heading1Char"/>
          <w:rFonts w:ascii="Times New Roman" w:hAnsi="Times New Roman" w:cs="Times New Roman"/>
          <w:b/>
          <w:bCs/>
          <w:i/>
          <w:iCs/>
        </w:rPr>
        <w:t xml:space="preserve"> </w:t>
      </w:r>
      <w:r w:rsidRPr="00990C88">
        <w:rPr>
          <w:rStyle w:val="agcmg"/>
          <w:rFonts w:ascii="Times New Roman" w:hAnsi="Times New Roman" w:cs="Times New Roman"/>
          <w:b/>
          <w:bCs/>
          <w:i/>
          <w:iCs/>
        </w:rPr>
        <w:t>Balance between heritage craftsmanship and discreet technological innovation</w:t>
      </w:r>
      <w:r>
        <w:rPr>
          <w:rStyle w:val="agcmg"/>
          <w:rFonts w:ascii="Times New Roman" w:hAnsi="Times New Roman" w:cs="Times New Roman"/>
          <w:b/>
          <w:bCs/>
          <w:i/>
          <w:iCs/>
        </w:rPr>
        <w:t>)</w:t>
      </w:r>
    </w:p>
    <w:p w14:paraId="31E7D144" w14:textId="39A93C85" w:rsidR="00905E95" w:rsidRDefault="00990C88" w:rsidP="00990C88">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990C88">
        <w:rPr>
          <w:rStyle w:val="agcmg"/>
          <w:rFonts w:ascii="Times New Roman" w:hAnsi="Times New Roman" w:cs="Times New Roman"/>
          <w:b/>
          <w:bCs/>
        </w:rPr>
        <w:t>(</w:t>
      </w:r>
      <w:r w:rsidRPr="00990C88">
        <w:rPr>
          <w:rStyle w:val="agcmg"/>
          <w:rFonts w:ascii="Times New Roman" w:hAnsi="Times New Roman" w:cs="Times New Roman"/>
        </w:rPr>
        <w:t>source: self</w:t>
      </w:r>
      <w:r w:rsidR="00905E95" w:rsidRPr="00905E95">
        <w:rPr>
          <w:rFonts w:ascii="Times New Roman" w:eastAsia="Times New Roman" w:hAnsi="Times New Roman" w:cs="Times New Roman"/>
          <w:kern w:val="0"/>
          <w:lang w:eastAsia="en-GB"/>
          <w14:ligatures w14:val="none"/>
        </w:rPr>
        <w:t>)</w:t>
      </w:r>
    </w:p>
    <w:p w14:paraId="38FFF74C" w14:textId="77777777" w:rsidR="00990C88" w:rsidRPr="00905E95" w:rsidRDefault="00990C88" w:rsidP="00990C88">
      <w:pPr>
        <w:spacing w:before="100" w:beforeAutospacing="1" w:after="100" w:afterAutospacing="1" w:line="240" w:lineRule="auto"/>
        <w:jc w:val="center"/>
        <w:rPr>
          <w:rFonts w:ascii="Times New Roman" w:hAnsi="Times New Roman" w:cs="Times New Roman"/>
          <w:b/>
          <w:bCs/>
          <w:i/>
          <w:iCs/>
        </w:rPr>
      </w:pPr>
    </w:p>
    <w:p w14:paraId="2553F047" w14:textId="77777777" w:rsidR="00905E95" w:rsidRPr="00905E95" w:rsidRDefault="00905E95"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5E95">
        <w:rPr>
          <w:rFonts w:ascii="Times New Roman" w:eastAsia="Times New Roman" w:hAnsi="Times New Roman" w:cs="Times New Roman"/>
          <w:b/>
          <w:bCs/>
          <w:kern w:val="0"/>
          <w:sz w:val="27"/>
          <w:szCs w:val="27"/>
          <w:lang w:eastAsia="en-GB"/>
          <w14:ligatures w14:val="none"/>
        </w:rPr>
        <w:lastRenderedPageBreak/>
        <w:t>1.3 Market Segmentation</w:t>
      </w:r>
    </w:p>
    <w:p w14:paraId="70323471" w14:textId="77777777" w:rsidR="004361CB" w:rsidRPr="00990C88" w:rsidRDefault="004361CB" w:rsidP="004361CB">
      <w:pPr>
        <w:pStyle w:val="NormalWeb"/>
      </w:pPr>
      <w:r w:rsidRPr="00990C88">
        <w:t>The market for Rolex Aurora is segmented using a combination of demographic, psychographic, geographic, and behavioural criteria, in line with the STDP framework proposed by Kotler and Keller (Kotler and Keller, 2023, p. 259). Demographically, the target segment consists of individuals aged between thirty-five and sixty, characterised by high disposable income, established professional careers, and elevated social standing.</w:t>
      </w:r>
    </w:p>
    <w:p w14:paraId="5112D5BA" w14:textId="528C860D" w:rsidR="004361CB" w:rsidRPr="00990C88" w:rsidRDefault="004361CB" w:rsidP="004361CB">
      <w:pPr>
        <w:pStyle w:val="NormalWeb"/>
      </w:pPr>
      <w:r w:rsidRPr="00990C88">
        <w:t>From a psychographic perspective, these consumers demonstrate a strong orientation towards status, exclusivity, and heritage. They place significant value on symbolic meaning and brand authenticity and are open to innovation only when it aligns with core luxury values rather than mass-market technology trends. Geographically, demand is concentrated in global luxury centres such as Geneva, London, Dubai, New York, and Singapore</w:t>
      </w:r>
      <w:r w:rsidR="0082321E">
        <w:t xml:space="preserve"> </w:t>
      </w:r>
      <w:r w:rsidRPr="00990C88">
        <w:t>locations with high concentrations of high-net-worth individuals and well-developed luxury retail ecosystems.</w:t>
      </w:r>
    </w:p>
    <w:p w14:paraId="5A9E1204" w14:textId="77777777" w:rsidR="004361CB" w:rsidRPr="00990C88" w:rsidRDefault="004361CB" w:rsidP="004361CB">
      <w:pPr>
        <w:pStyle w:val="NormalWeb"/>
      </w:pPr>
      <w:r w:rsidRPr="00990C88">
        <w:t>Behaviourally, the segment comprises loyal luxury consumers alongside selective early adopters of premium innovation. Rolex’s existing customer base is predominantly made up of affluent individuals with strong brand loyalty and high levels of international mobility, which further validates this segmentation approach (Statista, 2024). Within luxury markets, psychographic and behavioural factors are particularly influential, as purchasing decisions are driven more by emotional resonance and symbolic value than by purely functional considerations (Kapferer, 2015).</w:t>
      </w:r>
    </w:p>
    <w:p w14:paraId="329CDAC4" w14:textId="77777777" w:rsidR="00905E95" w:rsidRPr="00905E95" w:rsidRDefault="00905E95"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5E95">
        <w:rPr>
          <w:rFonts w:ascii="Times New Roman" w:eastAsia="Times New Roman" w:hAnsi="Times New Roman" w:cs="Times New Roman"/>
          <w:b/>
          <w:bCs/>
          <w:kern w:val="0"/>
          <w:sz w:val="27"/>
          <w:szCs w:val="27"/>
          <w:lang w:eastAsia="en-GB"/>
          <w14:ligatures w14:val="none"/>
        </w:rPr>
        <w:t>1.4 Targeting Strategy</w:t>
      </w:r>
    </w:p>
    <w:p w14:paraId="185DC292" w14:textId="77777777" w:rsidR="004361CB" w:rsidRPr="00990C88" w:rsidRDefault="004361CB" w:rsidP="004361CB">
      <w:pPr>
        <w:pStyle w:val="NormalWeb"/>
      </w:pPr>
      <w:r w:rsidRPr="00990C88">
        <w:t>Rolex Aurora follows a concentrated niche targeting strategy aimed at high-net-worth individuals and globally mobile professionals. As noted by Kotler et al. (2024, p. 301), niche targeting allows brands to create superior perceived value while safeguarding exclusivity and scarcity, which are core foundations of luxury branding. This strategic choice is fully consistent with Rolex’s long-standing commitment to controlled distribution and selective market presence (Rolex SA, 2024a).</w:t>
      </w:r>
    </w:p>
    <w:p w14:paraId="5FFE1D0D" w14:textId="77777777" w:rsidR="004361CB" w:rsidRDefault="004361CB" w:rsidP="004361CB">
      <w:pPr>
        <w:pStyle w:val="NormalWeb"/>
      </w:pPr>
      <w:r w:rsidRPr="00990C88">
        <w:t>By focusing on a carefully defined and limited audience, Rolex is able to retain strong control over the customer experience, brand communication, and symbolic meaning associated with Aurora. This approach minimises the risk of brand dilution through overexposure and ensures that the product remains positioned as a rare, aspirational luxury offering rather than a widely accessible wearable technology.</w:t>
      </w:r>
    </w:p>
    <w:p w14:paraId="0271B274" w14:textId="0B257AA2" w:rsidR="00411D82" w:rsidRPr="00990C88" w:rsidRDefault="00411D82" w:rsidP="004361CB">
      <w:pPr>
        <w:pStyle w:val="NormalWeb"/>
      </w:pPr>
      <w:r>
        <w:rPr>
          <w:noProof/>
          <w14:ligatures w14:val="standardContextual"/>
        </w:rPr>
        <w:lastRenderedPageBreak/>
        <w:drawing>
          <wp:inline distT="0" distB="0" distL="0" distR="0" wp14:anchorId="37DE5C4A" wp14:editId="45D99CDF">
            <wp:extent cx="5731510" cy="4298950"/>
            <wp:effectExtent l="0" t="0" r="0" b="6350"/>
            <wp:docPr id="10471727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72712" name="Picture 1047172712"/>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B09416E" w14:textId="1F97FAE5" w:rsidR="00905E95" w:rsidRDefault="00905E95" w:rsidP="00411D82">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r w:rsidRPr="00905E95">
        <w:rPr>
          <w:rFonts w:ascii="Times New Roman" w:eastAsia="Times New Roman" w:hAnsi="Times New Roman" w:cs="Times New Roman"/>
          <w:i/>
          <w:iCs/>
          <w:kern w:val="0"/>
          <w:lang w:eastAsia="en-GB"/>
          <w14:ligatures w14:val="none"/>
        </w:rPr>
        <w:t>(Figure 3:</w:t>
      </w:r>
      <w:r w:rsidR="00411D82" w:rsidRPr="00411D82">
        <w:rPr>
          <w:rFonts w:ascii="Helvetica" w:hAnsi="Helvetica" w:cs="Helvetica"/>
          <w:kern w:val="0"/>
        </w:rPr>
        <w:t xml:space="preserve"> </w:t>
      </w:r>
      <w:r w:rsidR="00411D82" w:rsidRPr="00411D82">
        <w:rPr>
          <w:rFonts w:ascii="Times New Roman" w:eastAsia="Times New Roman" w:hAnsi="Times New Roman" w:cs="Times New Roman"/>
          <w:i/>
          <w:iCs/>
          <w:kern w:val="0"/>
          <w:lang w:eastAsia="en-GB"/>
          <w14:ligatures w14:val="none"/>
        </w:rPr>
        <w:t>Niche targeting strategy within the luxury consumer</w:t>
      </w:r>
      <w:r w:rsidR="00411D82">
        <w:rPr>
          <w:rFonts w:ascii="Times New Roman" w:eastAsia="Times New Roman" w:hAnsi="Times New Roman" w:cs="Times New Roman"/>
          <w:i/>
          <w:iCs/>
          <w:kern w:val="0"/>
          <w:lang w:eastAsia="en-GB"/>
          <w14:ligatures w14:val="none"/>
        </w:rPr>
        <w:t xml:space="preserve"> market</w:t>
      </w:r>
      <w:r w:rsidRPr="00905E95">
        <w:rPr>
          <w:rFonts w:ascii="Times New Roman" w:eastAsia="Times New Roman" w:hAnsi="Times New Roman" w:cs="Times New Roman"/>
          <w:i/>
          <w:iCs/>
          <w:kern w:val="0"/>
          <w:lang w:eastAsia="en-GB"/>
          <w14:ligatures w14:val="none"/>
        </w:rPr>
        <w:t>)</w:t>
      </w:r>
    </w:p>
    <w:p w14:paraId="011C48BE" w14:textId="369B449B" w:rsidR="00411D82" w:rsidRPr="00905E95" w:rsidRDefault="00411D82" w:rsidP="00411D82">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990C88">
        <w:rPr>
          <w:rStyle w:val="agcmg"/>
          <w:rFonts w:ascii="Times New Roman" w:hAnsi="Times New Roman" w:cs="Times New Roman"/>
          <w:b/>
          <w:bCs/>
        </w:rPr>
        <w:t>(</w:t>
      </w:r>
      <w:r w:rsidRPr="00990C88">
        <w:rPr>
          <w:rStyle w:val="agcmg"/>
          <w:rFonts w:ascii="Times New Roman" w:hAnsi="Times New Roman" w:cs="Times New Roman"/>
        </w:rPr>
        <w:t>source: self</w:t>
      </w:r>
      <w:r w:rsidRPr="00905E95">
        <w:rPr>
          <w:rFonts w:ascii="Times New Roman" w:eastAsia="Times New Roman" w:hAnsi="Times New Roman" w:cs="Times New Roman"/>
          <w:kern w:val="0"/>
          <w:lang w:eastAsia="en-GB"/>
          <w14:ligatures w14:val="none"/>
        </w:rPr>
        <w:t>)</w:t>
      </w:r>
    </w:p>
    <w:p w14:paraId="5D200A40" w14:textId="77777777" w:rsidR="00905E95" w:rsidRPr="00905E95" w:rsidRDefault="00905E95"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05E95">
        <w:rPr>
          <w:rFonts w:ascii="Times New Roman" w:eastAsia="Times New Roman" w:hAnsi="Times New Roman" w:cs="Times New Roman"/>
          <w:b/>
          <w:bCs/>
          <w:kern w:val="0"/>
          <w:sz w:val="27"/>
          <w:szCs w:val="27"/>
          <w:lang w:eastAsia="en-GB"/>
          <w14:ligatures w14:val="none"/>
        </w:rPr>
        <w:t>1.5 Differentiation and Positioning</w:t>
      </w:r>
    </w:p>
    <w:p w14:paraId="0F5EBEC6" w14:textId="77777777" w:rsidR="00353379" w:rsidRPr="00990C88" w:rsidRDefault="00353379" w:rsidP="00353379">
      <w:pPr>
        <w:pStyle w:val="NormalWeb"/>
      </w:pPr>
      <w:r w:rsidRPr="00990C88">
        <w:t>Rolex Aurora achieves differentiation primarily through the use of exceptional materials, meticulous craftsmanship, controlled scarcity, and strong symbolic meaning, rather than relying on technological superiority alone. Keller’s brand resonance model highlights that, particularly in luxury markets, successful brands build deep emotional connections and offer self-expressive value to consumers (Keller, 2013, p. 112). In this context, Aurora is positioned as the world’s first luxury smart eyewear that harmoniously combines advanced functionality with enduring elegance.</w:t>
      </w:r>
    </w:p>
    <w:p w14:paraId="40C96ABA" w14:textId="77777777" w:rsidR="00353379" w:rsidRPr="00990C88" w:rsidRDefault="00353379" w:rsidP="00353379">
      <w:pPr>
        <w:pStyle w:val="NormalWeb"/>
      </w:pPr>
      <w:r w:rsidRPr="00990C88">
        <w:t>This positioning enables Rolex Aurora to occupy a distinctive perceptual space between traditional luxury accessories and intelligent lifestyle products. By doing so, Rolex avoids direct competition with mass-market technology brands while reinforcing its unique value proposition, brand authenticity, and long-standing commitment to timeless luxury.</w:t>
      </w:r>
    </w:p>
    <w:p w14:paraId="10F8EBDF" w14:textId="77777777" w:rsidR="00905E95" w:rsidRPr="00990C88" w:rsidRDefault="00905E95" w:rsidP="00905E9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B91898F" w14:textId="77777777" w:rsidR="00905E95" w:rsidRDefault="00905E95" w:rsidP="00905E9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9E2757" w14:textId="77777777" w:rsidR="00411D82" w:rsidRPr="00990C88" w:rsidRDefault="00411D82" w:rsidP="00905E9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4E1558F" w14:textId="5562D4FB" w:rsidR="00905E95" w:rsidRPr="00905E95" w:rsidRDefault="00905E95" w:rsidP="00905E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5E95">
        <w:rPr>
          <w:rFonts w:ascii="Times New Roman" w:eastAsia="Times New Roman" w:hAnsi="Times New Roman" w:cs="Times New Roman"/>
          <w:b/>
          <w:bCs/>
          <w:kern w:val="0"/>
          <w:sz w:val="36"/>
          <w:szCs w:val="36"/>
          <w:lang w:eastAsia="en-GB"/>
          <w14:ligatures w14:val="none"/>
        </w:rPr>
        <w:lastRenderedPageBreak/>
        <w:t>Element 2: Marketing Mix Using the 7Ps Framework</w:t>
      </w:r>
    </w:p>
    <w:p w14:paraId="239C1682" w14:textId="77777777" w:rsidR="00905E95" w:rsidRPr="00905E95" w:rsidRDefault="00905E95" w:rsidP="00905E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5E95">
        <w:rPr>
          <w:rFonts w:ascii="Times New Roman" w:eastAsia="Times New Roman" w:hAnsi="Times New Roman" w:cs="Times New Roman"/>
          <w:kern w:val="0"/>
          <w:lang w:eastAsia="en-GB"/>
          <w14:ligatures w14:val="none"/>
        </w:rPr>
        <w:t>This section applies the extended 7Ps marketing mix to translate Rolex Aurora’s strategic positioning into actionable and coherent marketing decisions.</w:t>
      </w:r>
    </w:p>
    <w:p w14:paraId="36183E9C" w14:textId="2E8D7AEF" w:rsidR="00905E95" w:rsidRPr="00905E95" w:rsidRDefault="0082321E"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2.1 </w:t>
      </w:r>
      <w:r w:rsidR="00905E95" w:rsidRPr="00905E95">
        <w:rPr>
          <w:rFonts w:ascii="Times New Roman" w:eastAsia="Times New Roman" w:hAnsi="Times New Roman" w:cs="Times New Roman"/>
          <w:b/>
          <w:bCs/>
          <w:kern w:val="0"/>
          <w:sz w:val="27"/>
          <w:szCs w:val="27"/>
          <w:lang w:eastAsia="en-GB"/>
          <w14:ligatures w14:val="none"/>
        </w:rPr>
        <w:t>Product</w:t>
      </w:r>
    </w:p>
    <w:p w14:paraId="1CA77B42" w14:textId="77777777" w:rsidR="00353379" w:rsidRPr="00990C88" w:rsidRDefault="00353379" w:rsidP="00353379">
      <w:pPr>
        <w:pStyle w:val="NormalWeb"/>
      </w:pPr>
      <w:r w:rsidRPr="00990C88">
        <w:t>Rolex Aurora is conceived as a high-involvement luxury offering that enables the brand to enter a new product category while remaining firmly anchored in its core values of precision, craftsmanship, and exclusivity. Rather than being presented as a technology-led wearable, Aurora is positioned as a refined luxury accessory subtly enhanced by intelligent features. This distinction is particularly important within luxury markets, where symbolic meaning and experiential value often take precedence over pure functional performance (Kapferer, 2015).</w:t>
      </w:r>
    </w:p>
    <w:p w14:paraId="6030415B" w14:textId="77777777" w:rsidR="00353379" w:rsidRPr="00990C88" w:rsidRDefault="00353379" w:rsidP="00353379">
      <w:pPr>
        <w:pStyle w:val="NormalWeb"/>
      </w:pPr>
      <w:r w:rsidRPr="00990C88">
        <w:t>The choice of materials plays a central role in communicating this positioning. Frames crafted from eighteen-carat gold or platinum, combined with sapphire crystal adaptive lenses, reflect Rolex’s long-standing commitment to material excellence and durability (Rolex SA, 2024b). In premium contexts, consumers frequently rely on tangible product cues to assess quality and authenticity (Zeithaml, 1988, p. 14). By foregrounding visible craftsmanship and superior materials, Rolex Aurora delivers immediate and credible signals of luxury and brand legitimacy.</w:t>
      </w:r>
    </w:p>
    <w:p w14:paraId="36482A9C" w14:textId="77777777" w:rsidR="00353379" w:rsidRPr="00990C88" w:rsidRDefault="00353379" w:rsidP="00353379">
      <w:pPr>
        <w:pStyle w:val="NormalWeb"/>
      </w:pPr>
      <w:r w:rsidRPr="00990C88">
        <w:t xml:space="preserve">Technological elements, including micro-OLED displays and a minimalist operating system, are deliberately understated. These features are designed to enhance everyday convenience while preserving aesthetic purity and timeless design. Such restraint aligns with established principles of luxury innovation, which prioritise refinement, continuity, and brand coherence over rapid technological novelty (Kapferer, 2015). In addition, strictly limited annual production reinforces scarcity, strengthening perceived value and fostering emotional attachment, both of which contribute to long-term brand equity (Andreini, </w:t>
      </w:r>
      <w:proofErr w:type="spellStart"/>
      <w:r w:rsidRPr="00990C88">
        <w:t>Pedeliento</w:t>
      </w:r>
      <w:proofErr w:type="spellEnd"/>
      <w:r w:rsidRPr="00990C88">
        <w:t xml:space="preserve"> and Salo, 2024).</w:t>
      </w:r>
    </w:p>
    <w:p w14:paraId="6064DE27" w14:textId="43A78BEF" w:rsidR="00905E95" w:rsidRPr="00905E95" w:rsidRDefault="0082321E"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2.2 </w:t>
      </w:r>
      <w:r w:rsidR="00905E95" w:rsidRPr="00905E95">
        <w:rPr>
          <w:rFonts w:ascii="Times New Roman" w:eastAsia="Times New Roman" w:hAnsi="Times New Roman" w:cs="Times New Roman"/>
          <w:b/>
          <w:bCs/>
          <w:kern w:val="0"/>
          <w:sz w:val="27"/>
          <w:szCs w:val="27"/>
          <w:lang w:eastAsia="en-GB"/>
          <w14:ligatures w14:val="none"/>
        </w:rPr>
        <w:t>Price</w:t>
      </w:r>
    </w:p>
    <w:p w14:paraId="34E69FB6" w14:textId="77777777" w:rsidR="00353379" w:rsidRPr="00990C88" w:rsidRDefault="00353379" w:rsidP="00353379">
      <w:pPr>
        <w:pStyle w:val="NormalWeb"/>
      </w:pPr>
      <w:r w:rsidRPr="00990C88">
        <w:t>Rolex Aurora employs a prestige pricing strategy, with price points ranging from eighteen thousand to thirty thousand pounds, depending on material choice and levels of customisation. Within luxury markets, price operates less as a reflection of production cost and more as a symbolic indicator of exclusivity, superior quality, and social distinction (Kapferer, 2015, p. 145).</w:t>
      </w:r>
    </w:p>
    <w:p w14:paraId="0E89C777" w14:textId="77777777" w:rsidR="00353379" w:rsidRPr="00990C88" w:rsidRDefault="00353379" w:rsidP="00353379">
      <w:pPr>
        <w:pStyle w:val="NormalWeb"/>
      </w:pPr>
      <w:r w:rsidRPr="00990C88">
        <w:t>This pricing approach is fully aligned with Rolex’s long-standing strategic commitment to avoiding discounting and prioritising long-term brand equity over short-term volume-driven sales objectives (Interbrand, 2023). Supporting this logic, research by Boston Consulting Group (2022) indicates that sixty percent of luxury consumers interpret higher prices as signals of authenticity and brand legitimacy, reinforcing the effectiveness of Rolex’s premium positioning.</w:t>
      </w:r>
    </w:p>
    <w:p w14:paraId="56B5C924" w14:textId="77777777" w:rsidR="00353379" w:rsidRPr="00990C88" w:rsidRDefault="00353379" w:rsidP="00353379">
      <w:pPr>
        <w:pStyle w:val="NormalWeb"/>
      </w:pPr>
      <w:r w:rsidRPr="00990C88">
        <w:t xml:space="preserve">Furthermore, elevated pricing enables Rolex to sustain exceptional standards of craftsmanship, personalised service, and comprehensive after-sales support. In this context, </w:t>
      </w:r>
      <w:r w:rsidRPr="00990C88">
        <w:lastRenderedPageBreak/>
        <w:t>price functions not only as a financial mechanism but also as a strategic communication tool that reinforces brand meaning, heritage, and prestige within the ultra-luxury segment.</w:t>
      </w:r>
    </w:p>
    <w:p w14:paraId="261838F8" w14:textId="0B6A07AC" w:rsidR="00E9493F" w:rsidRPr="00990C88" w:rsidRDefault="0082321E" w:rsidP="00E9493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2.3 </w:t>
      </w:r>
      <w:r w:rsidR="00905E95" w:rsidRPr="00905E95">
        <w:rPr>
          <w:rFonts w:ascii="Times New Roman" w:eastAsia="Times New Roman" w:hAnsi="Times New Roman" w:cs="Times New Roman"/>
          <w:b/>
          <w:bCs/>
          <w:kern w:val="0"/>
          <w:sz w:val="27"/>
          <w:szCs w:val="27"/>
          <w:lang w:eastAsia="en-GB"/>
          <w14:ligatures w14:val="none"/>
        </w:rPr>
        <w:t>Place</w:t>
      </w:r>
    </w:p>
    <w:p w14:paraId="7AA0D798" w14:textId="77777777" w:rsidR="00353379" w:rsidRPr="00990C88" w:rsidRDefault="00353379" w:rsidP="00353379">
      <w:pPr>
        <w:pStyle w:val="NormalWeb"/>
      </w:pPr>
      <w:r w:rsidRPr="00990C88">
        <w:t>The distribution of Rolex Aurora is intentionally limited to Rolex flagship boutiques and select authorised retailers, with sales exclusively conducted through appointment-based consultations. According to selective distribution theory, limiting product availability not only enhances brand prestige but also enables brands to maintain greater control over the customer experience, ensuring a premium encounter at every touchpoint (Kotler and Keller, 2023, p. 372).</w:t>
      </w:r>
    </w:p>
    <w:p w14:paraId="077BED5D" w14:textId="77777777" w:rsidR="00353379" w:rsidRPr="00990C88" w:rsidRDefault="00353379" w:rsidP="00353379">
      <w:pPr>
        <w:pStyle w:val="NormalWeb"/>
      </w:pPr>
      <w:r w:rsidRPr="00990C88">
        <w:t>By deliberately excluding e-commerce platforms and third-party technology retailers, Rolex safeguards the product’s exclusivity, ensuring that it is consumed in a more ceremonial and luxurious context. Geographically, Rolex’s distribution strategy is concentrated in major global luxury hubs, strategically placing the product in close proximity to high-net-worth individuals and reinforcing its global presence in key affluent markets.</w:t>
      </w:r>
    </w:p>
    <w:p w14:paraId="355FB474" w14:textId="54640346" w:rsidR="00905E95" w:rsidRPr="00905E95" w:rsidRDefault="0082321E" w:rsidP="00905E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2.4</w:t>
      </w:r>
      <w:r w:rsidR="00905E95" w:rsidRPr="00905E95">
        <w:rPr>
          <w:rFonts w:ascii="Times New Roman" w:eastAsia="Times New Roman" w:hAnsi="Times New Roman" w:cs="Times New Roman"/>
          <w:b/>
          <w:bCs/>
          <w:kern w:val="0"/>
          <w:sz w:val="27"/>
          <w:szCs w:val="27"/>
          <w:lang w:eastAsia="en-GB"/>
          <w14:ligatures w14:val="none"/>
        </w:rPr>
        <w:t>Promotio</w:t>
      </w:r>
      <w:r w:rsidR="00905E95" w:rsidRPr="00990C88">
        <w:rPr>
          <w:rFonts w:ascii="Times New Roman" w:eastAsia="Times New Roman" w:hAnsi="Times New Roman" w:cs="Times New Roman"/>
          <w:b/>
          <w:bCs/>
          <w:kern w:val="0"/>
          <w:sz w:val="27"/>
          <w:szCs w:val="27"/>
          <w:lang w:eastAsia="en-GB"/>
          <w14:ligatures w14:val="none"/>
        </w:rPr>
        <w:t>n</w:t>
      </w:r>
    </w:p>
    <w:p w14:paraId="68168570" w14:textId="77777777" w:rsidR="00353379" w:rsidRPr="00990C88" w:rsidRDefault="00353379" w:rsidP="00353379">
      <w:pPr>
        <w:pStyle w:val="NormalWeb"/>
      </w:pPr>
      <w:r w:rsidRPr="00990C88">
        <w:t>Rolex Aurora’s promotional strategy emphasises selective visibility and immersive engagement over mass-market communication. Integrated marketing communications theory underscores the importance of maintaining consistency across all channels to strengthen and reinforce brand identity (Kotler et al., 2024). Rolex embraces this approach by hosting private unveilings, invitation-only events, and featuring the product in carefully curated luxury media outlets.</w:t>
      </w:r>
    </w:p>
    <w:p w14:paraId="430A0882" w14:textId="77777777" w:rsidR="00353379" w:rsidRPr="00990C88" w:rsidRDefault="00353379" w:rsidP="00353379">
      <w:pPr>
        <w:pStyle w:val="NormalWeb"/>
      </w:pPr>
      <w:r w:rsidRPr="00990C88">
        <w:t>Luxury communication theory cautions that overexposure can dilute a brand's exclusivity and diminish its perceived value (Kapferer, 2015). Consistent with this principle, Rolex avoids celebrity endorsements, instead focusing on narratives of excellence and achievement, which further enhance the brand’s authenticity and timeless appeal (Interbrand, 2023).</w:t>
      </w:r>
    </w:p>
    <w:p w14:paraId="05E0FADB" w14:textId="41FD8AEE" w:rsidR="00846241" w:rsidRPr="00846241" w:rsidRDefault="0082321E"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2.5 </w:t>
      </w:r>
      <w:r w:rsidR="00846241" w:rsidRPr="00846241">
        <w:rPr>
          <w:rFonts w:ascii="Times New Roman" w:eastAsia="Times New Roman" w:hAnsi="Times New Roman" w:cs="Times New Roman"/>
          <w:b/>
          <w:bCs/>
          <w:kern w:val="0"/>
          <w:sz w:val="27"/>
          <w:szCs w:val="27"/>
          <w:lang w:eastAsia="en-GB"/>
          <w14:ligatures w14:val="none"/>
        </w:rPr>
        <w:t>People</w:t>
      </w:r>
    </w:p>
    <w:p w14:paraId="230466D9" w14:textId="77777777" w:rsidR="00846241" w:rsidRPr="00846241" w:rsidRDefault="00846241"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6241">
        <w:rPr>
          <w:rFonts w:ascii="Times New Roman" w:eastAsia="Times New Roman" w:hAnsi="Times New Roman" w:cs="Times New Roman"/>
          <w:kern w:val="0"/>
          <w:lang w:eastAsia="en-GB"/>
          <w14:ligatures w14:val="none"/>
        </w:rPr>
        <w:t>People play a critical role in delivering the Rolex Aurora experience, as luxury value is largely created through personalised service and human interaction. Highly trained brand ambassadors and technical specialists guide clients through private consultations, product customisation, and comprehensive after-sales support, helping to build trust and long-term emotional engagement (Grönroos, 2017; Rolex SA, 2023). These employees act not only as sales professionals but also as custodians of brand heritage, translating Rolex’s values of precision, excellence, and exclusivity into meaningful customer experiences.</w:t>
      </w:r>
    </w:p>
    <w:p w14:paraId="7AEA4AA6" w14:textId="77777777" w:rsidR="00846241" w:rsidRPr="00846241" w:rsidRDefault="00846241"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6241">
        <w:rPr>
          <w:rFonts w:ascii="Times New Roman" w:eastAsia="Times New Roman" w:hAnsi="Times New Roman" w:cs="Times New Roman"/>
          <w:kern w:val="0"/>
          <w:lang w:eastAsia="en-GB"/>
          <w14:ligatures w14:val="none"/>
        </w:rPr>
        <w:t>Extensive training ensures that staff possess both deep product knowledge and the interpersonal skills required for high-involvement luxury purchases. This human element differentiates Rolex Aurora from technology-focused competitors, reinforcing relationship-based value creation and strengthening customer loyalty over time.</w:t>
      </w:r>
    </w:p>
    <w:p w14:paraId="093ECEE0" w14:textId="37CAE921" w:rsidR="00846241" w:rsidRPr="00846241" w:rsidRDefault="00846241" w:rsidP="00846241">
      <w:pPr>
        <w:spacing w:after="0" w:line="240" w:lineRule="auto"/>
        <w:rPr>
          <w:rFonts w:ascii="Times New Roman" w:eastAsia="Times New Roman" w:hAnsi="Times New Roman" w:cs="Times New Roman"/>
          <w:kern w:val="0"/>
          <w:lang w:eastAsia="en-GB"/>
          <w14:ligatures w14:val="none"/>
        </w:rPr>
      </w:pPr>
    </w:p>
    <w:p w14:paraId="4993118F" w14:textId="5C475CC7" w:rsidR="00846241" w:rsidRPr="00846241" w:rsidRDefault="0082321E"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lastRenderedPageBreak/>
        <w:t xml:space="preserve">2.6 </w:t>
      </w:r>
      <w:r w:rsidR="00846241" w:rsidRPr="00846241">
        <w:rPr>
          <w:rFonts w:ascii="Times New Roman" w:eastAsia="Times New Roman" w:hAnsi="Times New Roman" w:cs="Times New Roman"/>
          <w:b/>
          <w:bCs/>
          <w:kern w:val="0"/>
          <w:sz w:val="27"/>
          <w:szCs w:val="27"/>
          <w:lang w:eastAsia="en-GB"/>
          <w14:ligatures w14:val="none"/>
        </w:rPr>
        <w:t>Process</w:t>
      </w:r>
    </w:p>
    <w:p w14:paraId="2A157EE8" w14:textId="77777777" w:rsidR="00846241" w:rsidRPr="00846241" w:rsidRDefault="00846241"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6241">
        <w:rPr>
          <w:rFonts w:ascii="Times New Roman" w:eastAsia="Times New Roman" w:hAnsi="Times New Roman" w:cs="Times New Roman"/>
          <w:kern w:val="0"/>
          <w:lang w:eastAsia="en-GB"/>
          <w14:ligatures w14:val="none"/>
        </w:rPr>
        <w:t>The customer journey for Rolex Aurora is deliberately structured as a premium and immersive process rather than a transactional purchase. It begins with an appointment-based consultation, followed by bespoke configuration, Swiss assembly, and a ceremonial handover. This approach aligns with service-dominant logic, which views value as co-created through active customer participation rather than passively delivered (Vargo and Lusch, 2008).</w:t>
      </w:r>
    </w:p>
    <w:p w14:paraId="15B24999" w14:textId="77777777" w:rsidR="00846241" w:rsidRDefault="00846241"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6241">
        <w:rPr>
          <w:rFonts w:ascii="Times New Roman" w:eastAsia="Times New Roman" w:hAnsi="Times New Roman" w:cs="Times New Roman"/>
          <w:kern w:val="0"/>
          <w:lang w:eastAsia="en-GB"/>
          <w14:ligatures w14:val="none"/>
        </w:rPr>
        <w:t>By involving customers in the configuration and decision-making process, Rolex enhances emotional attachment, perceived ownership, and satisfaction. Post-purchase processes, including maintenance services and personalised follow-up, further reinforce trust and long-term engagement. This carefully designed process transforms the act of purchase into an experience, meeting the elevated expectations associated with ultra-luxury brands.</w:t>
      </w:r>
    </w:p>
    <w:p w14:paraId="6799DAD4" w14:textId="4BBB03CB" w:rsidR="00411D82" w:rsidRDefault="005833DB"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fldChar w:fldCharType="begin"/>
      </w:r>
      <w:r>
        <w:instrText xml:space="preserve"> INCLUDEPICTURE "https://lh3.googleusercontent.com/gg-dl/ABS2GSn-zldKw9FirDD1R6Ahs22VNRVO33yKMvGJdaaIjJwZXm2Ax9HDlHChvbkKN0_pN0N0b8lXYLtwJFlKWaWnXjNLi2XGzwm_TXWXNbhdt_I5ZQF7g-Wi_sYJghYHEZGssOF0GDyysdIKH2UXM1enK9eEb6ZX3GWEUVxiE3wxAQGBfm7-=s1024-rj" \* MERGEFORMATINET </w:instrText>
      </w:r>
      <w:r>
        <w:fldChar w:fldCharType="separate"/>
      </w:r>
      <w:r>
        <w:rPr>
          <w:noProof/>
        </w:rPr>
        <mc:AlternateContent>
          <mc:Choice Requires="wps">
            <w:drawing>
              <wp:inline distT="0" distB="0" distL="0" distR="0" wp14:anchorId="421DE3B5" wp14:editId="06B75A93">
                <wp:extent cx="304800" cy="304800"/>
                <wp:effectExtent l="0" t="0" r="0" b="0"/>
                <wp:docPr id="1125395704" name="Rectangle 5" descr="Image of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EDB9C5" id="Rectangle 5" o:spid="_x0000_s1026" alt="Image of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fldChar w:fldCharType="end"/>
      </w:r>
      <w:r>
        <w:rPr>
          <w:rFonts w:ascii="Times New Roman" w:eastAsia="Times New Roman" w:hAnsi="Times New Roman" w:cs="Times New Roman"/>
          <w:noProof/>
          <w:kern w:val="0"/>
          <w:lang w:eastAsia="en-GB"/>
        </w:rPr>
        <w:drawing>
          <wp:inline distT="0" distB="0" distL="0" distR="0" wp14:anchorId="608D4D4C" wp14:editId="73FF923C">
            <wp:extent cx="5731510" cy="3126105"/>
            <wp:effectExtent l="0" t="0" r="0" b="0"/>
            <wp:docPr id="5537411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41178" name="Picture 55374117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31948531" w14:textId="31CE410A" w:rsidR="00411D82" w:rsidRDefault="00411D82" w:rsidP="005833DB">
      <w:pPr>
        <w:spacing w:before="100" w:beforeAutospacing="1" w:after="100" w:afterAutospacing="1" w:line="240" w:lineRule="auto"/>
        <w:jc w:val="center"/>
        <w:rPr>
          <w:rFonts w:ascii="Times New Roman" w:eastAsia="Times New Roman" w:hAnsi="Times New Roman" w:cs="Times New Roman"/>
          <w:i/>
          <w:iCs/>
          <w:kern w:val="0"/>
          <w:lang w:eastAsia="en-GB"/>
          <w14:ligatures w14:val="none"/>
        </w:rPr>
      </w:pPr>
      <w:r w:rsidRPr="005833DB">
        <w:rPr>
          <w:rFonts w:ascii="Times New Roman" w:eastAsia="Times New Roman" w:hAnsi="Times New Roman" w:cs="Times New Roman"/>
          <w:i/>
          <w:iCs/>
          <w:kern w:val="0"/>
          <w:lang w:eastAsia="en-GB"/>
          <w14:ligatures w14:val="none"/>
        </w:rPr>
        <w:t>(Figure: 4</w:t>
      </w:r>
      <w:r w:rsidR="005833DB" w:rsidRPr="005833DB">
        <w:rPr>
          <w:rFonts w:ascii="Times New Roman" w:eastAsia="Times New Roman" w:hAnsi="Times New Roman" w:cs="Times New Roman"/>
          <w:i/>
          <w:iCs/>
          <w:kern w:val="0"/>
          <w:lang w:eastAsia="en-GB"/>
          <w14:ligatures w14:val="none"/>
        </w:rPr>
        <w:t xml:space="preserve"> </w:t>
      </w:r>
      <w:r w:rsidR="005833DB" w:rsidRPr="005833DB">
        <w:rPr>
          <w:i/>
          <w:iCs/>
        </w:rPr>
        <w:t>Premium customer journey for Rolex Aurora</w:t>
      </w:r>
      <w:r w:rsidRPr="005833DB">
        <w:rPr>
          <w:rFonts w:ascii="Times New Roman" w:eastAsia="Times New Roman" w:hAnsi="Times New Roman" w:cs="Times New Roman"/>
          <w:i/>
          <w:iCs/>
          <w:kern w:val="0"/>
          <w:lang w:eastAsia="en-GB"/>
          <w14:ligatures w14:val="none"/>
        </w:rPr>
        <w:t>)</w:t>
      </w:r>
    </w:p>
    <w:p w14:paraId="6C4641FF" w14:textId="7C60074E" w:rsidR="005833DB" w:rsidRPr="00846241" w:rsidRDefault="005833DB" w:rsidP="005833DB">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990C88">
        <w:rPr>
          <w:rStyle w:val="agcmg"/>
          <w:rFonts w:ascii="Times New Roman" w:hAnsi="Times New Roman" w:cs="Times New Roman"/>
          <w:b/>
          <w:bCs/>
        </w:rPr>
        <w:t>(</w:t>
      </w:r>
      <w:r w:rsidRPr="00990C88">
        <w:rPr>
          <w:rStyle w:val="agcmg"/>
          <w:rFonts w:ascii="Times New Roman" w:hAnsi="Times New Roman" w:cs="Times New Roman"/>
        </w:rPr>
        <w:t>source: self</w:t>
      </w:r>
      <w:r w:rsidRPr="00905E95">
        <w:rPr>
          <w:rFonts w:ascii="Times New Roman" w:eastAsia="Times New Roman" w:hAnsi="Times New Roman" w:cs="Times New Roman"/>
          <w:kern w:val="0"/>
          <w:lang w:eastAsia="en-GB"/>
          <w14:ligatures w14:val="none"/>
        </w:rPr>
        <w:t>)</w:t>
      </w:r>
    </w:p>
    <w:p w14:paraId="73BE38B6" w14:textId="388DED07" w:rsidR="00846241" w:rsidRPr="00846241" w:rsidRDefault="00846241" w:rsidP="00846241">
      <w:pPr>
        <w:spacing w:after="0" w:line="240" w:lineRule="auto"/>
        <w:rPr>
          <w:rFonts w:ascii="Times New Roman" w:eastAsia="Times New Roman" w:hAnsi="Times New Roman" w:cs="Times New Roman"/>
          <w:kern w:val="0"/>
          <w:lang w:eastAsia="en-GB"/>
          <w14:ligatures w14:val="none"/>
        </w:rPr>
      </w:pPr>
    </w:p>
    <w:p w14:paraId="1CE22FBE" w14:textId="77777777" w:rsidR="005833DB" w:rsidRDefault="005833DB"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98989F" w14:textId="77777777" w:rsidR="005833DB" w:rsidRDefault="005833DB"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8E38BCF" w14:textId="77777777" w:rsidR="005833DB" w:rsidRDefault="005833DB"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CDD9A99" w14:textId="77777777" w:rsidR="005833DB" w:rsidRDefault="005833DB"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3929EEB" w14:textId="1CFB1A2A" w:rsidR="00846241" w:rsidRPr="00846241" w:rsidRDefault="0082321E" w:rsidP="0084624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lastRenderedPageBreak/>
        <w:t xml:space="preserve">2.7 </w:t>
      </w:r>
      <w:r w:rsidR="00846241" w:rsidRPr="00846241">
        <w:rPr>
          <w:rFonts w:ascii="Times New Roman" w:eastAsia="Times New Roman" w:hAnsi="Times New Roman" w:cs="Times New Roman"/>
          <w:b/>
          <w:bCs/>
          <w:kern w:val="0"/>
          <w:sz w:val="27"/>
          <w:szCs w:val="27"/>
          <w:lang w:eastAsia="en-GB"/>
          <w14:ligatures w14:val="none"/>
        </w:rPr>
        <w:t>Physical Evidence</w:t>
      </w:r>
    </w:p>
    <w:p w14:paraId="0AE78081" w14:textId="77777777" w:rsidR="00846241" w:rsidRPr="00846241" w:rsidRDefault="00846241"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6241">
        <w:rPr>
          <w:rFonts w:ascii="Times New Roman" w:eastAsia="Times New Roman" w:hAnsi="Times New Roman" w:cs="Times New Roman"/>
          <w:kern w:val="0"/>
          <w:lang w:eastAsia="en-GB"/>
          <w14:ligatures w14:val="none"/>
        </w:rPr>
        <w:t>Physical evidence plays a vital role in reinforcing the luxury positioning of Rolex Aurora at every customer touchpoint. Elements such as premium packaging, certificates of authenticity, bespoke protective cases, and refined in-store environments provide tangible cues that signal quality, trust, and prestige (Bitner, 1992). These physical elements help customers evaluate the product and the brand beyond functional attributes.</w:t>
      </w:r>
    </w:p>
    <w:p w14:paraId="6E399440" w14:textId="77777777" w:rsidR="00846241" w:rsidRPr="00846241" w:rsidRDefault="00846241" w:rsidP="00846241">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6241">
        <w:rPr>
          <w:rFonts w:ascii="Times New Roman" w:eastAsia="Times New Roman" w:hAnsi="Times New Roman" w:cs="Times New Roman"/>
          <w:kern w:val="0"/>
          <w:lang w:eastAsia="en-GB"/>
          <w14:ligatures w14:val="none"/>
        </w:rPr>
        <w:t>Rolex boutiques further enhance perceived value through architectural design, materials, lighting, and atmosphere, all of which reflect the brand’s heritage and exclusivity (Rolex SA, 2024a). Together, these tangible signals strengthen emotional responses, reinforce symbolic value, and complete a cohesive luxury experience that aligns with Rolex’s brand promise.</w:t>
      </w:r>
    </w:p>
    <w:p w14:paraId="612E55A3" w14:textId="77777777" w:rsidR="00846241" w:rsidRPr="00990C88" w:rsidRDefault="00846241" w:rsidP="00353379">
      <w:pPr>
        <w:pStyle w:val="NormalWeb"/>
      </w:pPr>
    </w:p>
    <w:p w14:paraId="5F10E714" w14:textId="77777777" w:rsidR="00CD2D12" w:rsidRPr="00990C88" w:rsidRDefault="00CD2D12" w:rsidP="00154C67">
      <w:pPr>
        <w:pStyle w:val="NormalWeb"/>
        <w:rPr>
          <w:b/>
          <w:bCs/>
          <w:sz w:val="36"/>
          <w:szCs w:val="36"/>
        </w:rPr>
      </w:pPr>
    </w:p>
    <w:p w14:paraId="455FA8DF" w14:textId="77777777" w:rsidR="00CD2D12" w:rsidRPr="00990C88" w:rsidRDefault="00CD2D12" w:rsidP="00154C67">
      <w:pPr>
        <w:pStyle w:val="NormalWeb"/>
        <w:rPr>
          <w:b/>
          <w:bCs/>
          <w:sz w:val="36"/>
          <w:szCs w:val="36"/>
        </w:rPr>
      </w:pPr>
    </w:p>
    <w:p w14:paraId="49B287CC" w14:textId="77777777" w:rsidR="00CD2D12" w:rsidRPr="00990C88" w:rsidRDefault="00CD2D12" w:rsidP="00154C67">
      <w:pPr>
        <w:pStyle w:val="NormalWeb"/>
        <w:rPr>
          <w:b/>
          <w:bCs/>
          <w:sz w:val="36"/>
          <w:szCs w:val="36"/>
        </w:rPr>
      </w:pPr>
    </w:p>
    <w:p w14:paraId="4E967DA0" w14:textId="77777777" w:rsidR="00CD2D12" w:rsidRPr="00990C88" w:rsidRDefault="00CD2D12" w:rsidP="00154C67">
      <w:pPr>
        <w:pStyle w:val="NormalWeb"/>
        <w:rPr>
          <w:b/>
          <w:bCs/>
          <w:sz w:val="36"/>
          <w:szCs w:val="36"/>
        </w:rPr>
      </w:pPr>
    </w:p>
    <w:p w14:paraId="01F0AEEA" w14:textId="77777777" w:rsidR="00CD2D12" w:rsidRPr="00990C88" w:rsidRDefault="00CD2D12" w:rsidP="00154C67">
      <w:pPr>
        <w:pStyle w:val="NormalWeb"/>
        <w:rPr>
          <w:b/>
          <w:bCs/>
          <w:sz w:val="36"/>
          <w:szCs w:val="36"/>
        </w:rPr>
      </w:pPr>
    </w:p>
    <w:p w14:paraId="18DE114C" w14:textId="77777777" w:rsidR="00CD2D12" w:rsidRPr="00990C88" w:rsidRDefault="00CD2D12" w:rsidP="00154C67">
      <w:pPr>
        <w:pStyle w:val="NormalWeb"/>
        <w:rPr>
          <w:b/>
          <w:bCs/>
          <w:sz w:val="36"/>
          <w:szCs w:val="36"/>
        </w:rPr>
      </w:pPr>
    </w:p>
    <w:p w14:paraId="2E1F95D2" w14:textId="77777777" w:rsidR="00CD2D12" w:rsidRDefault="00CD2D12" w:rsidP="00154C67">
      <w:pPr>
        <w:pStyle w:val="NormalWeb"/>
        <w:rPr>
          <w:b/>
          <w:bCs/>
          <w:sz w:val="36"/>
          <w:szCs w:val="36"/>
        </w:rPr>
      </w:pPr>
    </w:p>
    <w:p w14:paraId="6242D4E2" w14:textId="77777777" w:rsidR="005833DB" w:rsidRDefault="005833DB" w:rsidP="00154C67">
      <w:pPr>
        <w:pStyle w:val="NormalWeb"/>
        <w:rPr>
          <w:b/>
          <w:bCs/>
          <w:sz w:val="36"/>
          <w:szCs w:val="36"/>
        </w:rPr>
      </w:pPr>
    </w:p>
    <w:p w14:paraId="13867BC5" w14:textId="77777777" w:rsidR="005833DB" w:rsidRDefault="005833DB" w:rsidP="00154C67">
      <w:pPr>
        <w:pStyle w:val="NormalWeb"/>
        <w:rPr>
          <w:b/>
          <w:bCs/>
          <w:sz w:val="36"/>
          <w:szCs w:val="36"/>
        </w:rPr>
      </w:pPr>
    </w:p>
    <w:p w14:paraId="1FF32329" w14:textId="77777777" w:rsidR="005833DB" w:rsidRDefault="005833DB" w:rsidP="00154C67">
      <w:pPr>
        <w:pStyle w:val="NormalWeb"/>
        <w:rPr>
          <w:b/>
          <w:bCs/>
          <w:sz w:val="36"/>
          <w:szCs w:val="36"/>
        </w:rPr>
      </w:pPr>
    </w:p>
    <w:p w14:paraId="75DCE656" w14:textId="77777777" w:rsidR="005833DB" w:rsidRDefault="005833DB" w:rsidP="00154C67">
      <w:pPr>
        <w:pStyle w:val="NormalWeb"/>
        <w:rPr>
          <w:b/>
          <w:bCs/>
          <w:sz w:val="36"/>
          <w:szCs w:val="36"/>
        </w:rPr>
      </w:pPr>
    </w:p>
    <w:p w14:paraId="0619CCB8" w14:textId="77777777" w:rsidR="005833DB" w:rsidRDefault="005833DB" w:rsidP="00154C67">
      <w:pPr>
        <w:pStyle w:val="NormalWeb"/>
        <w:rPr>
          <w:b/>
          <w:bCs/>
          <w:sz w:val="36"/>
          <w:szCs w:val="36"/>
        </w:rPr>
      </w:pPr>
    </w:p>
    <w:p w14:paraId="7C355E62" w14:textId="77777777" w:rsidR="005833DB" w:rsidRDefault="005833DB" w:rsidP="00154C67">
      <w:pPr>
        <w:pStyle w:val="NormalWeb"/>
        <w:rPr>
          <w:b/>
          <w:bCs/>
          <w:sz w:val="36"/>
          <w:szCs w:val="36"/>
        </w:rPr>
      </w:pPr>
    </w:p>
    <w:p w14:paraId="3D32F5D7" w14:textId="77777777" w:rsidR="005833DB" w:rsidRDefault="005833DB" w:rsidP="00154C67">
      <w:pPr>
        <w:pStyle w:val="NormalWeb"/>
        <w:rPr>
          <w:b/>
          <w:bCs/>
          <w:sz w:val="36"/>
          <w:szCs w:val="36"/>
        </w:rPr>
      </w:pPr>
    </w:p>
    <w:p w14:paraId="04A233D8" w14:textId="252951C7" w:rsidR="00905E95" w:rsidRPr="00905E95" w:rsidRDefault="00905E95" w:rsidP="00154C67">
      <w:pPr>
        <w:pStyle w:val="NormalWeb"/>
      </w:pPr>
      <w:r w:rsidRPr="00905E95">
        <w:rPr>
          <w:b/>
          <w:bCs/>
          <w:sz w:val="36"/>
          <w:szCs w:val="36"/>
        </w:rPr>
        <w:lastRenderedPageBreak/>
        <w:t>Element 4: Reflective Analysis</w:t>
      </w:r>
    </w:p>
    <w:p w14:paraId="5897256B" w14:textId="77777777" w:rsidR="00CD2D12" w:rsidRPr="00990C88" w:rsidRDefault="00CD2D12" w:rsidP="00CD2D12">
      <w:pPr>
        <w:pStyle w:val="NormalWeb"/>
      </w:pPr>
      <w:r w:rsidRPr="00990C88">
        <w:t xml:space="preserve">This assessment provided an opportunity to critically apply marketing theory to the strategic development of a luxury brand extension, using Rolex Aurora as a conceptual product. Through this process, I developed a deeper understanding of how theoretical frameworks such as STDP analysis and the extended marketing mix can be applied within a </w:t>
      </w:r>
      <w:proofErr w:type="gramStart"/>
      <w:r w:rsidRPr="00990C88">
        <w:t>real world</w:t>
      </w:r>
      <w:proofErr w:type="gramEnd"/>
      <w:r w:rsidRPr="00990C88">
        <w:t xml:space="preserve"> luxury context. One of the most significant learning outcomes was recognising the importance of strategic coherence when extending a brand with strong heritage and symbolic value.</w:t>
      </w:r>
    </w:p>
    <w:p w14:paraId="39834D91" w14:textId="20EB3F1E" w:rsidR="00CD2D12" w:rsidRPr="00990C88" w:rsidRDefault="00CD2D12" w:rsidP="00CD2D12">
      <w:pPr>
        <w:pStyle w:val="NormalWeb"/>
      </w:pPr>
      <w:r w:rsidRPr="00990C88">
        <w:t>The development of Rolex Aurora highlighted the complexity of innovation within luxury markets. Unlike mass market branding, luxury innovation requires careful balance between novelty and heritage. This project reinforced the relevance of Kapferer’s luxury brand theory, particularly the idea that innovation must reinforce brand meaning rather than disrupt it. Applying this principle helped me understand why excessive technological emphasis could potentially dilute brand equity, especially for a brand such as Rolex that is strongly associated with timeless craftsmanship (Rolex SA, 2023).</w:t>
      </w:r>
    </w:p>
    <w:p w14:paraId="7D438964" w14:textId="77777777" w:rsidR="00CD2D12" w:rsidRPr="00990C88" w:rsidRDefault="00CD2D12" w:rsidP="00CD2D12">
      <w:pPr>
        <w:pStyle w:val="NormalWeb"/>
      </w:pPr>
      <w:r w:rsidRPr="00990C88">
        <w:t xml:space="preserve">Conducting the STDP analysis enhanced my analytical skills, particularly in segmentation and targeting. I learned that luxury markets rely more heavily on psychographic and behavioural variables than demographic factors alone. Identifying high net worth individuals as the primary target segment required me to think beyond volume driven strategies and focus instead on value creation, exclusivity and </w:t>
      </w:r>
      <w:proofErr w:type="gramStart"/>
      <w:r w:rsidRPr="00990C88">
        <w:t>long term</w:t>
      </w:r>
      <w:proofErr w:type="gramEnd"/>
      <w:r w:rsidRPr="00990C88">
        <w:t xml:space="preserve"> relationship building. This shifted my perspective from traditional mass marketing approaches to a more strategic and selective mindset.</w:t>
      </w:r>
    </w:p>
    <w:p w14:paraId="22FAB9BD" w14:textId="77777777" w:rsidR="00CD2D12" w:rsidRPr="00990C88" w:rsidRDefault="00CD2D12" w:rsidP="00CD2D12">
      <w:pPr>
        <w:pStyle w:val="NormalWeb"/>
      </w:pPr>
      <w:r w:rsidRPr="00990C88">
        <w:t>The marketing mix analysis further strengthened my appreciation of how all elements must work together to support a consistent brand position. Developing the Product and Price strategies demonstrated how material choices and prestige pricing act as signals of quality and authenticity. Similarly, analysing Place, People and Process highlighted the importance of customer experience in luxury branding. I realised that luxury value is often created through service encounters and emotional engagement rather than through the product alone.</w:t>
      </w:r>
    </w:p>
    <w:p w14:paraId="07B45D9B" w14:textId="77777777" w:rsidR="00CD2D12" w:rsidRPr="00990C88" w:rsidRDefault="00CD2D12" w:rsidP="00CD2D12">
      <w:pPr>
        <w:pStyle w:val="NormalWeb"/>
      </w:pPr>
      <w:r w:rsidRPr="00990C88">
        <w:t>Creating the poster for Element 3 and aligning it with the written report improved my ability to communicate complex strategic ideas concisely and visually. This challenged me to prioritise clarity and relevance, which are essential professional skills. The iterative refinement of my work also enhanced my critical thinking and academic writing abilities, particularly in ensuring that arguments were supported by credible theory and corporate evidence.</w:t>
      </w:r>
    </w:p>
    <w:p w14:paraId="2D77C3E6" w14:textId="77777777" w:rsidR="00CD2D12" w:rsidRPr="00990C88" w:rsidRDefault="00CD2D12" w:rsidP="00CD2D12">
      <w:pPr>
        <w:pStyle w:val="NormalWeb"/>
      </w:pPr>
      <w:r w:rsidRPr="00990C88">
        <w:t>Reflecting on this assessment, I recognise that future projects could be strengthened through the incorporation of primary research and deeper competitor analysis. Nevertheless, this module has significantly improved my confidence in applying marketing theory to strategic decision making and has reinforced the importance of combining analytical rigour with creative thinking in postgraduate level marketing practice.</w:t>
      </w:r>
    </w:p>
    <w:p w14:paraId="5072FCF7" w14:textId="77777777" w:rsidR="00887A33" w:rsidRPr="00990C88" w:rsidRDefault="00887A33" w:rsidP="00887A3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A3D11AC" w14:textId="18D8368C" w:rsidR="00154C67" w:rsidRPr="00887A33" w:rsidRDefault="00887A33" w:rsidP="00154C6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87A33">
        <w:rPr>
          <w:rFonts w:ascii="Times New Roman" w:eastAsia="Times New Roman" w:hAnsi="Times New Roman" w:cs="Times New Roman"/>
          <w:b/>
          <w:bCs/>
          <w:kern w:val="0"/>
          <w:sz w:val="36"/>
          <w:szCs w:val="36"/>
          <w:lang w:eastAsia="en-GB"/>
          <w14:ligatures w14:val="none"/>
        </w:rPr>
        <w:lastRenderedPageBreak/>
        <w:t>Appendix</w:t>
      </w:r>
      <w:r w:rsidR="00A47127" w:rsidRPr="00990C88">
        <w:rPr>
          <w:rFonts w:ascii="Times New Roman" w:eastAsia="Times New Roman" w:hAnsi="Times New Roman" w:cs="Times New Roman"/>
          <w:b/>
          <w:bCs/>
          <w:kern w:val="0"/>
          <w:sz w:val="36"/>
          <w:szCs w:val="36"/>
          <w:lang w:eastAsia="en-GB"/>
          <w14:ligatures w14:val="none"/>
        </w:rPr>
        <w:t xml:space="preserve"> A:</w:t>
      </w:r>
      <w:r w:rsidRPr="00887A33">
        <w:rPr>
          <w:rFonts w:ascii="Times New Roman" w:eastAsia="Times New Roman" w:hAnsi="Times New Roman" w:cs="Times New Roman"/>
          <w:b/>
          <w:bCs/>
          <w:kern w:val="0"/>
          <w:sz w:val="36"/>
          <w:szCs w:val="36"/>
          <w:lang w:eastAsia="en-GB"/>
          <w14:ligatures w14:val="none"/>
        </w:rPr>
        <w:t xml:space="preserve"> Element 3 Marketing Strategy Pitch Poster</w:t>
      </w:r>
    </w:p>
    <w:p w14:paraId="47B9DF86" w14:textId="29212A94" w:rsidR="00887A33" w:rsidRPr="00887A33" w:rsidRDefault="00A47127" w:rsidP="00887A33">
      <w:pPr>
        <w:spacing w:after="0" w:line="240" w:lineRule="auto"/>
        <w:rPr>
          <w:rFonts w:ascii="Times New Roman" w:eastAsia="Times New Roman" w:hAnsi="Times New Roman" w:cs="Times New Roman"/>
          <w:kern w:val="0"/>
          <w:lang w:eastAsia="en-GB"/>
          <w14:ligatures w14:val="none"/>
        </w:rPr>
      </w:pPr>
      <w:r w:rsidRPr="00990C88">
        <w:rPr>
          <w:rFonts w:ascii="Times New Roman" w:eastAsia="Times New Roman" w:hAnsi="Times New Roman" w:cs="Times New Roman"/>
          <w:noProof/>
          <w:kern w:val="0"/>
          <w:lang w:eastAsia="en-GB"/>
          <w14:ligatures w14:val="none"/>
        </w:rPr>
        <w:drawing>
          <wp:inline distT="0" distB="0" distL="0" distR="0" wp14:anchorId="786B37C5" wp14:editId="3604B9C5">
            <wp:extent cx="5731510" cy="8105775"/>
            <wp:effectExtent l="0" t="0" r="0" b="0"/>
            <wp:docPr id="1064901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01497" name=""/>
                    <pic:cNvPicPr/>
                  </pic:nvPicPr>
                  <pic:blipFill>
                    <a:blip r:embed="rId13"/>
                    <a:stretch>
                      <a:fillRect/>
                    </a:stretch>
                  </pic:blipFill>
                  <pic:spPr>
                    <a:xfrm>
                      <a:off x="0" y="0"/>
                      <a:ext cx="5731510" cy="8105775"/>
                    </a:xfrm>
                    <a:prstGeom prst="rect">
                      <a:avLst/>
                    </a:prstGeom>
                  </pic:spPr>
                </pic:pic>
              </a:graphicData>
            </a:graphic>
          </wp:inline>
        </w:drawing>
      </w:r>
    </w:p>
    <w:p w14:paraId="5D0CFAEC" w14:textId="23529012" w:rsidR="00887A33" w:rsidRPr="00990C88" w:rsidRDefault="00A47127" w:rsidP="00905E95">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sidRPr="00887A33">
        <w:rPr>
          <w:rFonts w:ascii="Times New Roman" w:eastAsia="Times New Roman" w:hAnsi="Times New Roman" w:cs="Times New Roman"/>
          <w:b/>
          <w:bCs/>
          <w:kern w:val="0"/>
          <w:sz w:val="36"/>
          <w:szCs w:val="36"/>
          <w:lang w:eastAsia="en-GB"/>
          <w14:ligatures w14:val="none"/>
        </w:rPr>
        <w:lastRenderedPageBreak/>
        <w:t>Appendix</w:t>
      </w:r>
      <w:r w:rsidRPr="00990C88">
        <w:rPr>
          <w:rFonts w:ascii="Times New Roman" w:eastAsia="Times New Roman" w:hAnsi="Times New Roman" w:cs="Times New Roman"/>
          <w:b/>
          <w:bCs/>
          <w:kern w:val="0"/>
          <w:sz w:val="36"/>
          <w:szCs w:val="36"/>
          <w:lang w:eastAsia="en-GB"/>
          <w14:ligatures w14:val="none"/>
        </w:rPr>
        <w:t xml:space="preserve"> B:</w:t>
      </w:r>
      <w:r w:rsidRPr="00887A33">
        <w:rPr>
          <w:rFonts w:ascii="Times New Roman" w:eastAsia="Times New Roman" w:hAnsi="Times New Roman" w:cs="Times New Roman"/>
          <w:b/>
          <w:bCs/>
          <w:kern w:val="0"/>
          <w:sz w:val="36"/>
          <w:szCs w:val="36"/>
          <w:lang w:eastAsia="en-GB"/>
          <w14:ligatures w14:val="none"/>
        </w:rPr>
        <w:t xml:space="preserve"> Element 3</w:t>
      </w:r>
      <w:r w:rsidRPr="00990C88">
        <w:rPr>
          <w:rFonts w:ascii="Times New Roman" w:eastAsia="Times New Roman" w:hAnsi="Times New Roman" w:cs="Times New Roman"/>
          <w:b/>
          <w:bCs/>
          <w:kern w:val="0"/>
          <w:sz w:val="36"/>
          <w:szCs w:val="36"/>
          <w:lang w:eastAsia="en-GB"/>
          <w14:ligatures w14:val="none"/>
        </w:rPr>
        <w:t xml:space="preserve"> poster </w:t>
      </w:r>
      <w:r w:rsidR="005833DB" w:rsidRPr="00990C88">
        <w:rPr>
          <w:rFonts w:ascii="Times New Roman" w:eastAsia="Times New Roman" w:hAnsi="Times New Roman" w:cs="Times New Roman"/>
          <w:b/>
          <w:bCs/>
          <w:kern w:val="0"/>
          <w:sz w:val="36"/>
          <w:szCs w:val="36"/>
          <w:lang w:eastAsia="en-GB"/>
          <w14:ligatures w14:val="none"/>
        </w:rPr>
        <w:t>explanation</w:t>
      </w:r>
    </w:p>
    <w:p w14:paraId="391D20A8" w14:textId="27670620" w:rsidR="00887A33" w:rsidRPr="00990C88" w:rsidRDefault="00A47127" w:rsidP="00887A3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90C88">
        <w:rPr>
          <w:rFonts w:ascii="Times New Roman" w:eastAsia="Times New Roman" w:hAnsi="Times New Roman" w:cs="Times New Roman"/>
          <w:b/>
          <w:bCs/>
          <w:noProof/>
          <w:kern w:val="0"/>
          <w:sz w:val="36"/>
          <w:szCs w:val="36"/>
          <w:lang w:eastAsia="en-GB"/>
          <w14:ligatures w14:val="none"/>
        </w:rPr>
        <w:drawing>
          <wp:inline distT="0" distB="0" distL="0" distR="0" wp14:anchorId="57515750" wp14:editId="5EB4F0C1">
            <wp:extent cx="5731510" cy="8105775"/>
            <wp:effectExtent l="0" t="0" r="0" b="0"/>
            <wp:docPr id="312767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67038" name=""/>
                    <pic:cNvPicPr/>
                  </pic:nvPicPr>
                  <pic:blipFill>
                    <a:blip r:embed="rId14"/>
                    <a:stretch>
                      <a:fillRect/>
                    </a:stretch>
                  </pic:blipFill>
                  <pic:spPr>
                    <a:xfrm>
                      <a:off x="0" y="0"/>
                      <a:ext cx="5731510" cy="8105775"/>
                    </a:xfrm>
                    <a:prstGeom prst="rect">
                      <a:avLst/>
                    </a:prstGeom>
                  </pic:spPr>
                </pic:pic>
              </a:graphicData>
            </a:graphic>
          </wp:inline>
        </w:drawing>
      </w:r>
    </w:p>
    <w:p w14:paraId="5183B72C" w14:textId="226637E0" w:rsidR="00887A33" w:rsidRPr="00990C88" w:rsidRDefault="00A47127" w:rsidP="00905E95">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sidRPr="00887A33">
        <w:rPr>
          <w:rFonts w:ascii="Times New Roman" w:eastAsia="Times New Roman" w:hAnsi="Times New Roman" w:cs="Times New Roman"/>
          <w:b/>
          <w:bCs/>
          <w:kern w:val="0"/>
          <w:sz w:val="36"/>
          <w:szCs w:val="36"/>
          <w:lang w:eastAsia="en-GB"/>
          <w14:ligatures w14:val="none"/>
        </w:rPr>
        <w:lastRenderedPageBreak/>
        <w:t>Appendix</w:t>
      </w:r>
      <w:r w:rsidRPr="00990C88">
        <w:rPr>
          <w:rFonts w:ascii="Times New Roman" w:eastAsia="Times New Roman" w:hAnsi="Times New Roman" w:cs="Times New Roman"/>
          <w:b/>
          <w:bCs/>
          <w:kern w:val="0"/>
          <w:sz w:val="36"/>
          <w:szCs w:val="36"/>
          <w:lang w:eastAsia="en-GB"/>
          <w14:ligatures w14:val="none"/>
        </w:rPr>
        <w:t xml:space="preserve"> C:</w:t>
      </w:r>
      <w:r w:rsidRPr="00887A33">
        <w:rPr>
          <w:rFonts w:ascii="Times New Roman" w:eastAsia="Times New Roman" w:hAnsi="Times New Roman" w:cs="Times New Roman"/>
          <w:b/>
          <w:bCs/>
          <w:kern w:val="0"/>
          <w:sz w:val="36"/>
          <w:szCs w:val="36"/>
          <w:lang w:eastAsia="en-GB"/>
          <w14:ligatures w14:val="none"/>
        </w:rPr>
        <w:t xml:space="preserve"> </w:t>
      </w:r>
      <w:r w:rsidRPr="00990C88">
        <w:rPr>
          <w:rFonts w:ascii="Times New Roman" w:eastAsia="Times New Roman" w:hAnsi="Times New Roman" w:cs="Times New Roman"/>
          <w:b/>
          <w:bCs/>
          <w:kern w:val="0"/>
          <w:sz w:val="36"/>
          <w:szCs w:val="36"/>
          <w:lang w:eastAsia="en-GB"/>
          <w14:ligatures w14:val="none"/>
        </w:rPr>
        <w:t xml:space="preserve">reference list of </w:t>
      </w:r>
      <w:r w:rsidRPr="00887A33">
        <w:rPr>
          <w:rFonts w:ascii="Times New Roman" w:eastAsia="Times New Roman" w:hAnsi="Times New Roman" w:cs="Times New Roman"/>
          <w:b/>
          <w:bCs/>
          <w:kern w:val="0"/>
          <w:sz w:val="36"/>
          <w:szCs w:val="36"/>
          <w:lang w:eastAsia="en-GB"/>
          <w14:ligatures w14:val="none"/>
        </w:rPr>
        <w:t>Element 3</w:t>
      </w:r>
    </w:p>
    <w:p w14:paraId="3BB1C771" w14:textId="77777777" w:rsidR="00A47127" w:rsidRPr="00990C88" w:rsidRDefault="00A47127" w:rsidP="00887A3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90C88">
        <w:rPr>
          <w:rFonts w:ascii="Times New Roman" w:eastAsia="Times New Roman" w:hAnsi="Times New Roman" w:cs="Times New Roman"/>
          <w:b/>
          <w:bCs/>
          <w:noProof/>
          <w:kern w:val="0"/>
          <w:sz w:val="36"/>
          <w:szCs w:val="36"/>
          <w:lang w:eastAsia="en-GB"/>
          <w14:ligatures w14:val="none"/>
        </w:rPr>
        <w:drawing>
          <wp:inline distT="0" distB="0" distL="0" distR="0" wp14:anchorId="50E3EA7C" wp14:editId="01FF8D7A">
            <wp:extent cx="5731510" cy="8105775"/>
            <wp:effectExtent l="0" t="0" r="0" b="0"/>
            <wp:docPr id="135515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54957" name=""/>
                    <pic:cNvPicPr/>
                  </pic:nvPicPr>
                  <pic:blipFill>
                    <a:blip r:embed="rId15"/>
                    <a:stretch>
                      <a:fillRect/>
                    </a:stretch>
                  </pic:blipFill>
                  <pic:spPr>
                    <a:xfrm>
                      <a:off x="0" y="0"/>
                      <a:ext cx="5731510" cy="8105775"/>
                    </a:xfrm>
                    <a:prstGeom prst="rect">
                      <a:avLst/>
                    </a:prstGeom>
                  </pic:spPr>
                </pic:pic>
              </a:graphicData>
            </a:graphic>
          </wp:inline>
        </w:drawing>
      </w:r>
    </w:p>
    <w:p w14:paraId="40C0E65B" w14:textId="78E0791F" w:rsidR="00887A33" w:rsidRPr="00887A33" w:rsidRDefault="00887A33" w:rsidP="00887A3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87A33">
        <w:rPr>
          <w:rFonts w:ascii="Times New Roman" w:eastAsia="Times New Roman" w:hAnsi="Times New Roman" w:cs="Times New Roman"/>
          <w:b/>
          <w:bCs/>
          <w:kern w:val="0"/>
          <w:sz w:val="36"/>
          <w:szCs w:val="36"/>
          <w:lang w:eastAsia="en-GB"/>
          <w14:ligatures w14:val="none"/>
        </w:rPr>
        <w:lastRenderedPageBreak/>
        <w:t>Reference</w:t>
      </w:r>
      <w:r w:rsidR="00A47127" w:rsidRPr="00990C88">
        <w:rPr>
          <w:rFonts w:ascii="Times New Roman" w:eastAsia="Times New Roman" w:hAnsi="Times New Roman" w:cs="Times New Roman"/>
          <w:b/>
          <w:bCs/>
          <w:kern w:val="0"/>
          <w:sz w:val="36"/>
          <w:szCs w:val="36"/>
          <w:lang w:eastAsia="en-GB"/>
          <w14:ligatures w14:val="none"/>
        </w:rPr>
        <w:t xml:space="preserve"> list </w:t>
      </w:r>
    </w:p>
    <w:p w14:paraId="04DD7E9E" w14:textId="77777777" w:rsidR="009C6D17" w:rsidRPr="00990C88" w:rsidRDefault="009C6D17" w:rsidP="009C6D17">
      <w:pPr>
        <w:pStyle w:val="NormalWeb"/>
      </w:pPr>
      <w:r w:rsidRPr="00990C88">
        <w:t xml:space="preserve">Aaker, D.A. (1990) </w:t>
      </w:r>
      <w:r w:rsidRPr="00990C88">
        <w:rPr>
          <w:rStyle w:val="Emphasis"/>
          <w:rFonts w:eastAsiaTheme="majorEastAsia"/>
        </w:rPr>
        <w:t>Managing Brand Equity</w:t>
      </w:r>
      <w:r w:rsidRPr="00990C88">
        <w:t>. New York: Free Press.</w:t>
      </w:r>
    </w:p>
    <w:p w14:paraId="404F3988" w14:textId="77777777" w:rsidR="009C6D17" w:rsidRPr="00990C88" w:rsidRDefault="009C6D17" w:rsidP="009C6D17">
      <w:pPr>
        <w:pStyle w:val="NormalWeb"/>
      </w:pPr>
      <w:r w:rsidRPr="00990C88">
        <w:t xml:space="preserve">Andreini, D., </w:t>
      </w:r>
      <w:proofErr w:type="spellStart"/>
      <w:r w:rsidRPr="00990C88">
        <w:t>Pedeliento</w:t>
      </w:r>
      <w:proofErr w:type="spellEnd"/>
      <w:r w:rsidRPr="00990C88">
        <w:t xml:space="preserve">, G. and Salo, J. (2024) How rarity and exclusivity influence perceived value in luxury consumption. </w:t>
      </w:r>
      <w:r w:rsidRPr="00990C88">
        <w:rPr>
          <w:rStyle w:val="Emphasis"/>
          <w:rFonts w:eastAsiaTheme="majorEastAsia"/>
        </w:rPr>
        <w:t>Journal of Brand Management</w:t>
      </w:r>
      <w:r w:rsidRPr="00990C88">
        <w:t>, 31(4), pp. 576–592.</w:t>
      </w:r>
    </w:p>
    <w:p w14:paraId="3A5EF0D8" w14:textId="77777777" w:rsidR="009C6D17" w:rsidRPr="00990C88" w:rsidRDefault="009C6D17" w:rsidP="009C6D17">
      <w:pPr>
        <w:pStyle w:val="NormalWeb"/>
      </w:pPr>
      <w:r w:rsidRPr="00990C88">
        <w:t xml:space="preserve">Bain and Company (2023) </w:t>
      </w:r>
      <w:r w:rsidRPr="00990C88">
        <w:rPr>
          <w:rStyle w:val="Emphasis"/>
          <w:rFonts w:eastAsiaTheme="majorEastAsia"/>
        </w:rPr>
        <w:t>Luxury Goods Worldwide Market Study</w:t>
      </w:r>
      <w:r w:rsidRPr="00990C88">
        <w:t xml:space="preserve">. Available at: </w:t>
      </w:r>
      <w:hyperlink r:id="rId16" w:tgtFrame="_new" w:history="1">
        <w:r w:rsidRPr="00990C88">
          <w:rPr>
            <w:rStyle w:val="Hyperlink"/>
            <w:rFonts w:eastAsiaTheme="majorEastAsia"/>
          </w:rPr>
          <w:t>https://www.bain.com</w:t>
        </w:r>
      </w:hyperlink>
      <w:r w:rsidRPr="00990C88">
        <w:t xml:space="preserve"> (Accessed: 7 December 2025).</w:t>
      </w:r>
    </w:p>
    <w:p w14:paraId="674A7186" w14:textId="77777777" w:rsidR="009C6D17" w:rsidRPr="00990C88" w:rsidRDefault="009C6D17" w:rsidP="009C6D17">
      <w:pPr>
        <w:pStyle w:val="NormalWeb"/>
      </w:pPr>
      <w:r w:rsidRPr="00990C88">
        <w:t xml:space="preserve">Bitner, M.J. (1992) </w:t>
      </w:r>
      <w:proofErr w:type="spellStart"/>
      <w:r w:rsidRPr="00990C88">
        <w:t>Servicescapes</w:t>
      </w:r>
      <w:proofErr w:type="spellEnd"/>
      <w:r w:rsidRPr="00990C88">
        <w:t xml:space="preserve">: The impact of physical surroundings on customers and employees. </w:t>
      </w:r>
      <w:r w:rsidRPr="00990C88">
        <w:rPr>
          <w:rStyle w:val="Emphasis"/>
          <w:rFonts w:eastAsiaTheme="majorEastAsia"/>
        </w:rPr>
        <w:t>Journal of Marketing</w:t>
      </w:r>
      <w:r w:rsidRPr="00990C88">
        <w:t>, 56(2), pp. 57–71.</w:t>
      </w:r>
    </w:p>
    <w:p w14:paraId="2DF20077" w14:textId="77777777" w:rsidR="009C6D17" w:rsidRPr="00990C88" w:rsidRDefault="009C6D17" w:rsidP="009C6D17">
      <w:pPr>
        <w:pStyle w:val="NormalWeb"/>
      </w:pPr>
      <w:r w:rsidRPr="00990C88">
        <w:t xml:space="preserve">Boston Consulting Group (2022) </w:t>
      </w:r>
      <w:r w:rsidRPr="00990C88">
        <w:rPr>
          <w:rStyle w:val="Emphasis"/>
          <w:rFonts w:eastAsiaTheme="majorEastAsia"/>
        </w:rPr>
        <w:t>True Luxury Global Consumer Insight</w:t>
      </w:r>
      <w:r w:rsidRPr="00990C88">
        <w:t xml:space="preserve">. Available at: </w:t>
      </w:r>
      <w:hyperlink r:id="rId17" w:tgtFrame="_new" w:history="1">
        <w:r w:rsidRPr="00990C88">
          <w:rPr>
            <w:rStyle w:val="Hyperlink"/>
            <w:rFonts w:eastAsiaTheme="majorEastAsia"/>
          </w:rPr>
          <w:t>https://www.bcg.com</w:t>
        </w:r>
      </w:hyperlink>
      <w:r w:rsidRPr="00990C88">
        <w:t xml:space="preserve"> (Accessed: 7 December 2025).</w:t>
      </w:r>
    </w:p>
    <w:p w14:paraId="3808A674" w14:textId="77777777" w:rsidR="009C6D17" w:rsidRPr="00990C88" w:rsidRDefault="009C6D17" w:rsidP="009C6D17">
      <w:pPr>
        <w:pStyle w:val="NormalWeb"/>
      </w:pPr>
      <w:r w:rsidRPr="00990C88">
        <w:t xml:space="preserve">Capgemini (2023) </w:t>
      </w:r>
      <w:r w:rsidRPr="00990C88">
        <w:rPr>
          <w:rStyle w:val="Emphasis"/>
          <w:rFonts w:eastAsiaTheme="majorEastAsia"/>
        </w:rPr>
        <w:t>World Wealth Report</w:t>
      </w:r>
      <w:r w:rsidRPr="00990C88">
        <w:t xml:space="preserve">. Available at: </w:t>
      </w:r>
      <w:hyperlink r:id="rId18" w:tgtFrame="_new" w:history="1">
        <w:r w:rsidRPr="00990C88">
          <w:rPr>
            <w:rStyle w:val="Hyperlink"/>
            <w:rFonts w:eastAsiaTheme="majorEastAsia"/>
          </w:rPr>
          <w:t>https://www.capgemini.com</w:t>
        </w:r>
      </w:hyperlink>
      <w:r w:rsidRPr="00990C88">
        <w:t xml:space="preserve"> (Accessed: 7 December 2025).</w:t>
      </w:r>
    </w:p>
    <w:p w14:paraId="3EE68615" w14:textId="77777777" w:rsidR="009C6D17" w:rsidRPr="00990C88" w:rsidRDefault="009C6D17" w:rsidP="009C6D17">
      <w:pPr>
        <w:pStyle w:val="NormalWeb"/>
      </w:pPr>
      <w:r w:rsidRPr="00990C88">
        <w:t xml:space="preserve">Deloitte (2023) </w:t>
      </w:r>
      <w:r w:rsidRPr="00990C88">
        <w:rPr>
          <w:rStyle w:val="Emphasis"/>
          <w:rFonts w:eastAsiaTheme="majorEastAsia"/>
        </w:rPr>
        <w:t>Global Powers of Luxury Goods</w:t>
      </w:r>
      <w:r w:rsidRPr="00990C88">
        <w:t xml:space="preserve">. Available at: </w:t>
      </w:r>
      <w:hyperlink r:id="rId19" w:tgtFrame="_new" w:history="1">
        <w:r w:rsidRPr="00990C88">
          <w:rPr>
            <w:rStyle w:val="Hyperlink"/>
            <w:rFonts w:eastAsiaTheme="majorEastAsia"/>
          </w:rPr>
          <w:t>https://www.deloitte.com</w:t>
        </w:r>
      </w:hyperlink>
      <w:r w:rsidRPr="00990C88">
        <w:t xml:space="preserve"> (Accessed: 7 December 2025).</w:t>
      </w:r>
    </w:p>
    <w:p w14:paraId="2CB2BA95" w14:textId="77777777" w:rsidR="009C6D17" w:rsidRPr="00990C88" w:rsidRDefault="009C6D17" w:rsidP="009C6D17">
      <w:pPr>
        <w:pStyle w:val="NormalWeb"/>
      </w:pPr>
      <w:r w:rsidRPr="00990C88">
        <w:t xml:space="preserve">Grönroos, C. (2017) </w:t>
      </w:r>
      <w:r w:rsidRPr="00990C88">
        <w:rPr>
          <w:rStyle w:val="Emphasis"/>
          <w:rFonts w:eastAsiaTheme="majorEastAsia"/>
        </w:rPr>
        <w:t>Service Management and Marketing</w:t>
      </w:r>
      <w:r w:rsidRPr="00990C88">
        <w:t xml:space="preserve">. 4th </w:t>
      </w:r>
      <w:proofErr w:type="spellStart"/>
      <w:r w:rsidRPr="00990C88">
        <w:t>edn</w:t>
      </w:r>
      <w:proofErr w:type="spellEnd"/>
      <w:r w:rsidRPr="00990C88">
        <w:t>. Chichester: Wiley.</w:t>
      </w:r>
    </w:p>
    <w:p w14:paraId="5FACAFA2" w14:textId="77777777" w:rsidR="009C6D17" w:rsidRPr="00990C88" w:rsidRDefault="009C6D17" w:rsidP="009C6D17">
      <w:pPr>
        <w:pStyle w:val="NormalWeb"/>
      </w:pPr>
      <w:r w:rsidRPr="00990C88">
        <w:t xml:space="preserve">Interbrand (2023) </w:t>
      </w:r>
      <w:r w:rsidRPr="00990C88">
        <w:rPr>
          <w:rStyle w:val="Emphasis"/>
          <w:rFonts w:eastAsiaTheme="majorEastAsia"/>
        </w:rPr>
        <w:t>Best Global Brands: Rolex</w:t>
      </w:r>
      <w:r w:rsidRPr="00990C88">
        <w:t>. Available at: https://www.interbrand.com (Accessed: 7 December 2025).</w:t>
      </w:r>
    </w:p>
    <w:p w14:paraId="7EDABAF5" w14:textId="77777777" w:rsidR="009C6D17" w:rsidRPr="00990C88" w:rsidRDefault="009C6D17" w:rsidP="009C6D17">
      <w:pPr>
        <w:pStyle w:val="NormalWeb"/>
      </w:pPr>
      <w:r w:rsidRPr="00990C88">
        <w:t xml:space="preserve">Kapferer, J.N. (2015) </w:t>
      </w:r>
      <w:r w:rsidRPr="00990C88">
        <w:rPr>
          <w:rStyle w:val="Emphasis"/>
          <w:rFonts w:eastAsiaTheme="majorEastAsia"/>
        </w:rPr>
        <w:t>Kapferer on Luxury: How Luxury Brands Can Grow Yet Remain Rare</w:t>
      </w:r>
      <w:r w:rsidRPr="00990C88">
        <w:t>. London: Kogan Page.</w:t>
      </w:r>
    </w:p>
    <w:p w14:paraId="2843326E" w14:textId="77777777" w:rsidR="009C6D17" w:rsidRPr="00990C88" w:rsidRDefault="009C6D17" w:rsidP="009C6D17">
      <w:pPr>
        <w:pStyle w:val="NormalWeb"/>
      </w:pPr>
      <w:r w:rsidRPr="00990C88">
        <w:t xml:space="preserve">Keller, K.L. (2013) </w:t>
      </w:r>
      <w:r w:rsidRPr="00990C88">
        <w:rPr>
          <w:rStyle w:val="Emphasis"/>
          <w:rFonts w:eastAsiaTheme="majorEastAsia"/>
        </w:rPr>
        <w:t>Strategic Brand Management</w:t>
      </w:r>
      <w:r w:rsidRPr="00990C88">
        <w:t xml:space="preserve">. 4th </w:t>
      </w:r>
      <w:proofErr w:type="spellStart"/>
      <w:r w:rsidRPr="00990C88">
        <w:t>edn</w:t>
      </w:r>
      <w:proofErr w:type="spellEnd"/>
      <w:r w:rsidRPr="00990C88">
        <w:t>. Harlow: Pearson.</w:t>
      </w:r>
    </w:p>
    <w:p w14:paraId="34F26F51" w14:textId="77777777" w:rsidR="009C6D17" w:rsidRPr="00990C88" w:rsidRDefault="009C6D17" w:rsidP="009C6D17">
      <w:pPr>
        <w:pStyle w:val="NormalWeb"/>
      </w:pPr>
      <w:r w:rsidRPr="00990C88">
        <w:t xml:space="preserve">Kotler, P. and Keller, K.L. (2023) </w:t>
      </w:r>
      <w:r w:rsidRPr="00990C88">
        <w:rPr>
          <w:rStyle w:val="Emphasis"/>
          <w:rFonts w:eastAsiaTheme="majorEastAsia"/>
        </w:rPr>
        <w:t>Marketing Management</w:t>
      </w:r>
      <w:r w:rsidRPr="00990C88">
        <w:t xml:space="preserve">. 16th </w:t>
      </w:r>
      <w:proofErr w:type="spellStart"/>
      <w:r w:rsidRPr="00990C88">
        <w:t>edn</w:t>
      </w:r>
      <w:proofErr w:type="spellEnd"/>
      <w:r w:rsidRPr="00990C88">
        <w:t>. Harlow: Pearson.</w:t>
      </w:r>
    </w:p>
    <w:p w14:paraId="53A54998" w14:textId="77777777" w:rsidR="009C6D17" w:rsidRPr="00990C88" w:rsidRDefault="009C6D17" w:rsidP="009C6D17">
      <w:pPr>
        <w:pStyle w:val="NormalWeb"/>
      </w:pPr>
      <w:r w:rsidRPr="00990C88">
        <w:t xml:space="preserve">Kotler, P., Keller, K.L., </w:t>
      </w:r>
      <w:proofErr w:type="spellStart"/>
      <w:r w:rsidRPr="00990C88">
        <w:t>Ancarani</w:t>
      </w:r>
      <w:proofErr w:type="spellEnd"/>
      <w:r w:rsidRPr="00990C88">
        <w:t xml:space="preserve">, F. and Costabile, M. (2024) </w:t>
      </w:r>
      <w:r w:rsidRPr="00990C88">
        <w:rPr>
          <w:rStyle w:val="Emphasis"/>
          <w:rFonts w:eastAsiaTheme="majorEastAsia"/>
        </w:rPr>
        <w:t>Marketing Management</w:t>
      </w:r>
      <w:r w:rsidRPr="00990C88">
        <w:t xml:space="preserve">. Global </w:t>
      </w:r>
      <w:proofErr w:type="spellStart"/>
      <w:r w:rsidRPr="00990C88">
        <w:t>edn</w:t>
      </w:r>
      <w:proofErr w:type="spellEnd"/>
      <w:r w:rsidRPr="00990C88">
        <w:t>. Harlow: Pearson.</w:t>
      </w:r>
    </w:p>
    <w:p w14:paraId="07053DE4" w14:textId="77777777" w:rsidR="009C6D17" w:rsidRPr="00990C88" w:rsidRDefault="009C6D17" w:rsidP="009C6D17">
      <w:pPr>
        <w:pStyle w:val="NormalWeb"/>
      </w:pPr>
      <w:r w:rsidRPr="00990C88">
        <w:t xml:space="preserve">McKinsey and Company (2023) </w:t>
      </w:r>
      <w:r w:rsidRPr="00990C88">
        <w:rPr>
          <w:rStyle w:val="Emphasis"/>
          <w:rFonts w:eastAsiaTheme="majorEastAsia"/>
        </w:rPr>
        <w:t>The Future of Wearable Technology</w:t>
      </w:r>
      <w:r w:rsidRPr="00990C88">
        <w:t xml:space="preserve">. Available at: </w:t>
      </w:r>
      <w:hyperlink r:id="rId20" w:tgtFrame="_new" w:history="1">
        <w:r w:rsidRPr="00990C88">
          <w:rPr>
            <w:rStyle w:val="Hyperlink"/>
            <w:rFonts w:eastAsiaTheme="majorEastAsia"/>
          </w:rPr>
          <w:t>https://www.mckinsey.com</w:t>
        </w:r>
      </w:hyperlink>
      <w:r w:rsidRPr="00990C88">
        <w:t xml:space="preserve"> (Accessed: 7 December 2025).</w:t>
      </w:r>
    </w:p>
    <w:p w14:paraId="6F23F5FE" w14:textId="77777777" w:rsidR="009C6D17" w:rsidRPr="00990C88" w:rsidRDefault="009C6D17" w:rsidP="009C6D17">
      <w:pPr>
        <w:pStyle w:val="NormalWeb"/>
      </w:pPr>
      <w:r w:rsidRPr="00990C88">
        <w:t xml:space="preserve">Rolex SA (2023) </w:t>
      </w:r>
      <w:r w:rsidRPr="00990C88">
        <w:rPr>
          <w:rStyle w:val="Emphasis"/>
          <w:rFonts w:eastAsiaTheme="majorEastAsia"/>
        </w:rPr>
        <w:t>Perpetual Planet Initiative</w:t>
      </w:r>
      <w:r w:rsidRPr="00990C88">
        <w:t xml:space="preserve">. Available at: </w:t>
      </w:r>
      <w:hyperlink r:id="rId21" w:tgtFrame="_new" w:history="1">
        <w:r w:rsidRPr="00990C88">
          <w:rPr>
            <w:rStyle w:val="Hyperlink"/>
            <w:rFonts w:eastAsiaTheme="majorEastAsia"/>
          </w:rPr>
          <w:t>https://www.rolex.org</w:t>
        </w:r>
      </w:hyperlink>
      <w:r w:rsidRPr="00990C88">
        <w:t xml:space="preserve"> (Accessed: 7 December 2025).</w:t>
      </w:r>
    </w:p>
    <w:p w14:paraId="51A10AE2" w14:textId="77777777" w:rsidR="009C6D17" w:rsidRPr="00990C88" w:rsidRDefault="009C6D17" w:rsidP="009C6D17">
      <w:pPr>
        <w:pStyle w:val="NormalWeb"/>
      </w:pPr>
      <w:r w:rsidRPr="00990C88">
        <w:t xml:space="preserve">Rolex SA (2024a) </w:t>
      </w:r>
      <w:r w:rsidRPr="00990C88">
        <w:rPr>
          <w:rStyle w:val="Emphasis"/>
          <w:rFonts w:eastAsiaTheme="majorEastAsia"/>
        </w:rPr>
        <w:t>About Rolex: A Commitment to Excellence</w:t>
      </w:r>
      <w:r w:rsidRPr="00990C88">
        <w:t xml:space="preserve">. Available at: </w:t>
      </w:r>
      <w:hyperlink r:id="rId22" w:tgtFrame="_new" w:history="1">
        <w:r w:rsidRPr="00990C88">
          <w:rPr>
            <w:rStyle w:val="Hyperlink"/>
            <w:rFonts w:eastAsiaTheme="majorEastAsia"/>
          </w:rPr>
          <w:t>https://www.rolex.org</w:t>
        </w:r>
      </w:hyperlink>
      <w:r w:rsidRPr="00990C88">
        <w:t xml:space="preserve"> (Accessed: 7 December 2025).</w:t>
      </w:r>
    </w:p>
    <w:p w14:paraId="2A2B5273" w14:textId="77777777" w:rsidR="009C6D17" w:rsidRPr="00990C88" w:rsidRDefault="009C6D17" w:rsidP="009C6D17">
      <w:pPr>
        <w:pStyle w:val="NormalWeb"/>
      </w:pPr>
      <w:r w:rsidRPr="00990C88">
        <w:t xml:space="preserve">Rolex SA (2024b) </w:t>
      </w:r>
      <w:r w:rsidRPr="00990C88">
        <w:rPr>
          <w:rStyle w:val="Emphasis"/>
          <w:rFonts w:eastAsiaTheme="majorEastAsia"/>
        </w:rPr>
        <w:t>Manufacture and Craftsmanship</w:t>
      </w:r>
      <w:r w:rsidRPr="00990C88">
        <w:t xml:space="preserve">. Available at: </w:t>
      </w:r>
      <w:hyperlink r:id="rId23" w:tgtFrame="_new" w:history="1">
        <w:r w:rsidRPr="00990C88">
          <w:rPr>
            <w:rStyle w:val="Hyperlink"/>
            <w:rFonts w:eastAsiaTheme="majorEastAsia"/>
          </w:rPr>
          <w:t>https://www.rolex.org</w:t>
        </w:r>
      </w:hyperlink>
      <w:r w:rsidRPr="00990C88">
        <w:t xml:space="preserve"> (Accessed: 7 December 2025).</w:t>
      </w:r>
    </w:p>
    <w:p w14:paraId="5B06D127" w14:textId="77777777" w:rsidR="009C6D17" w:rsidRPr="00990C88" w:rsidRDefault="009C6D17" w:rsidP="009C6D17">
      <w:pPr>
        <w:pStyle w:val="NormalWeb"/>
      </w:pPr>
      <w:r w:rsidRPr="00990C88">
        <w:lastRenderedPageBreak/>
        <w:t xml:space="preserve">Statista (2024) </w:t>
      </w:r>
      <w:r w:rsidRPr="00990C88">
        <w:rPr>
          <w:rStyle w:val="Emphasis"/>
          <w:rFonts w:eastAsiaTheme="majorEastAsia"/>
        </w:rPr>
        <w:t>Rolex Brand Value and Global Market Position</w:t>
      </w:r>
      <w:r w:rsidRPr="00990C88">
        <w:t xml:space="preserve">. Available at: </w:t>
      </w:r>
      <w:hyperlink r:id="rId24" w:tgtFrame="_new" w:history="1">
        <w:r w:rsidRPr="00990C88">
          <w:rPr>
            <w:rStyle w:val="Hyperlink"/>
            <w:rFonts w:eastAsiaTheme="majorEastAsia"/>
          </w:rPr>
          <w:t>https://www.statista.com</w:t>
        </w:r>
      </w:hyperlink>
      <w:r w:rsidRPr="00990C88">
        <w:t xml:space="preserve"> (Accessed: 7 December 2025).</w:t>
      </w:r>
    </w:p>
    <w:p w14:paraId="2F92BB08" w14:textId="77777777" w:rsidR="009C6D17" w:rsidRPr="00990C88" w:rsidRDefault="009C6D17" w:rsidP="009C6D17">
      <w:pPr>
        <w:pStyle w:val="NormalWeb"/>
      </w:pPr>
      <w:r w:rsidRPr="00990C88">
        <w:t xml:space="preserve">Vargo, S.L. and Lusch, R.F. (2008) Service dominant logic. </w:t>
      </w:r>
      <w:r w:rsidRPr="00990C88">
        <w:rPr>
          <w:rStyle w:val="Emphasis"/>
          <w:rFonts w:eastAsiaTheme="majorEastAsia"/>
        </w:rPr>
        <w:t>Journal of the Academy of Marketing Science</w:t>
      </w:r>
      <w:r w:rsidRPr="00990C88">
        <w:t>, 36(1), pp. 1–10.</w:t>
      </w:r>
    </w:p>
    <w:p w14:paraId="2B1DF108" w14:textId="77777777" w:rsidR="009C6D17" w:rsidRPr="00990C88" w:rsidRDefault="009C6D17" w:rsidP="009C6D17">
      <w:pPr>
        <w:pStyle w:val="NormalWeb"/>
      </w:pPr>
      <w:r w:rsidRPr="00990C88">
        <w:t xml:space="preserve">Zeithaml, V.A. (1988) Consumer perceptions of price, quality and value. </w:t>
      </w:r>
      <w:r w:rsidRPr="00990C88">
        <w:rPr>
          <w:rStyle w:val="Emphasis"/>
          <w:rFonts w:eastAsiaTheme="majorEastAsia"/>
        </w:rPr>
        <w:t>Journal of Marketing</w:t>
      </w:r>
      <w:r w:rsidRPr="00990C88">
        <w:t>, 52(3), pp. 2–22.</w:t>
      </w:r>
    </w:p>
    <w:p w14:paraId="6B5AD512" w14:textId="77777777" w:rsidR="00035D16" w:rsidRPr="00990C88" w:rsidRDefault="00035D16">
      <w:pPr>
        <w:rPr>
          <w:rFonts w:ascii="Times New Roman" w:hAnsi="Times New Roman" w:cs="Times New Roman"/>
        </w:rPr>
      </w:pPr>
    </w:p>
    <w:sectPr w:rsidR="00035D16" w:rsidRPr="00990C88" w:rsidSect="005833DB">
      <w:footerReference w:type="even" r:id="rId25"/>
      <w:footerReference w:type="default" r:id="rId26"/>
      <w:pgSz w:w="11906" w:h="16838"/>
      <w:pgMar w:top="1440" w:right="1440" w:bottom="1440" w:left="1440" w:header="708" w:footer="708" w:gutter="0"/>
      <w:pgBorders w:offsetFrom="page">
        <w:top w:val="single" w:sz="8" w:space="24" w:color="000000" w:themeColor="text1"/>
        <w:left w:val="single" w:sz="8" w:space="24" w:color="000000" w:themeColor="text1"/>
        <w:bottom w:val="single" w:sz="8" w:space="24" w:color="000000" w:themeColor="text1"/>
        <w:right w:val="single" w:sz="8" w:space="24" w:color="000000" w:themeColor="tex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FE232" w14:textId="77777777" w:rsidR="00595F3E" w:rsidRDefault="00595F3E" w:rsidP="00A47127">
      <w:pPr>
        <w:spacing w:after="0" w:line="240" w:lineRule="auto"/>
      </w:pPr>
      <w:r>
        <w:separator/>
      </w:r>
    </w:p>
  </w:endnote>
  <w:endnote w:type="continuationSeparator" w:id="0">
    <w:p w14:paraId="61C424E1" w14:textId="77777777" w:rsidR="00595F3E" w:rsidRDefault="00595F3E" w:rsidP="00A47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5619844"/>
      <w:docPartObj>
        <w:docPartGallery w:val="Page Numbers (Bottom of Page)"/>
        <w:docPartUnique/>
      </w:docPartObj>
    </w:sdtPr>
    <w:sdtContent>
      <w:p w14:paraId="359FDA95" w14:textId="6FFC8E3A" w:rsidR="005833DB" w:rsidRDefault="005833DB" w:rsidP="00A775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0CEAFE" w14:textId="77777777" w:rsidR="005833DB" w:rsidRDefault="005833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5354877"/>
      <w:docPartObj>
        <w:docPartGallery w:val="Page Numbers (Bottom of Page)"/>
        <w:docPartUnique/>
      </w:docPartObj>
    </w:sdtPr>
    <w:sdtContent>
      <w:p w14:paraId="31176EC8" w14:textId="416A46C2" w:rsidR="005833DB" w:rsidRDefault="005833DB" w:rsidP="00A775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6202F0" w14:textId="77777777" w:rsidR="005833DB" w:rsidRDefault="00583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05159" w14:textId="77777777" w:rsidR="00595F3E" w:rsidRDefault="00595F3E" w:rsidP="00A47127">
      <w:pPr>
        <w:spacing w:after="0" w:line="240" w:lineRule="auto"/>
      </w:pPr>
      <w:r>
        <w:separator/>
      </w:r>
    </w:p>
  </w:footnote>
  <w:footnote w:type="continuationSeparator" w:id="0">
    <w:p w14:paraId="48DE6B5B" w14:textId="77777777" w:rsidR="00595F3E" w:rsidRDefault="00595F3E" w:rsidP="00A47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35EBB"/>
    <w:multiLevelType w:val="multilevel"/>
    <w:tmpl w:val="5224A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786948"/>
    <w:multiLevelType w:val="multilevel"/>
    <w:tmpl w:val="6AE0A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438421">
    <w:abstractNumId w:val="0"/>
  </w:num>
  <w:num w:numId="2" w16cid:durableId="1699508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D16"/>
    <w:rsid w:val="00035D16"/>
    <w:rsid w:val="00131B02"/>
    <w:rsid w:val="00154C67"/>
    <w:rsid w:val="001F1AAA"/>
    <w:rsid w:val="00214424"/>
    <w:rsid w:val="00353379"/>
    <w:rsid w:val="003F670C"/>
    <w:rsid w:val="00411D82"/>
    <w:rsid w:val="004361CB"/>
    <w:rsid w:val="00483C0E"/>
    <w:rsid w:val="005833DB"/>
    <w:rsid w:val="00595F3E"/>
    <w:rsid w:val="007D06AD"/>
    <w:rsid w:val="0082321E"/>
    <w:rsid w:val="00846241"/>
    <w:rsid w:val="00887A33"/>
    <w:rsid w:val="00905E95"/>
    <w:rsid w:val="00990C88"/>
    <w:rsid w:val="009C6D17"/>
    <w:rsid w:val="00A47127"/>
    <w:rsid w:val="00A71BC3"/>
    <w:rsid w:val="00AA18C8"/>
    <w:rsid w:val="00AB2296"/>
    <w:rsid w:val="00C370B3"/>
    <w:rsid w:val="00CD2D12"/>
    <w:rsid w:val="00E9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935ED"/>
  <w15:chartTrackingRefBased/>
  <w15:docId w15:val="{8156E82F-5F59-AE4A-8423-A91892C7F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D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35D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35D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5D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5D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5D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D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D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D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D1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35D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35D1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5D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5D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5D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D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D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D16"/>
    <w:rPr>
      <w:rFonts w:eastAsiaTheme="majorEastAsia" w:cstheme="majorBidi"/>
      <w:color w:val="272727" w:themeColor="text1" w:themeTint="D8"/>
    </w:rPr>
  </w:style>
  <w:style w:type="paragraph" w:styleId="Title">
    <w:name w:val="Title"/>
    <w:basedOn w:val="Normal"/>
    <w:next w:val="Normal"/>
    <w:link w:val="TitleChar"/>
    <w:uiPriority w:val="10"/>
    <w:qFormat/>
    <w:rsid w:val="00035D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D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D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D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D16"/>
    <w:pPr>
      <w:spacing w:before="160"/>
      <w:jc w:val="center"/>
    </w:pPr>
    <w:rPr>
      <w:i/>
      <w:iCs/>
      <w:color w:val="404040" w:themeColor="text1" w:themeTint="BF"/>
    </w:rPr>
  </w:style>
  <w:style w:type="character" w:customStyle="1" w:styleId="QuoteChar">
    <w:name w:val="Quote Char"/>
    <w:basedOn w:val="DefaultParagraphFont"/>
    <w:link w:val="Quote"/>
    <w:uiPriority w:val="29"/>
    <w:rsid w:val="00035D16"/>
    <w:rPr>
      <w:i/>
      <w:iCs/>
      <w:color w:val="404040" w:themeColor="text1" w:themeTint="BF"/>
    </w:rPr>
  </w:style>
  <w:style w:type="paragraph" w:styleId="ListParagraph">
    <w:name w:val="List Paragraph"/>
    <w:basedOn w:val="Normal"/>
    <w:uiPriority w:val="34"/>
    <w:qFormat/>
    <w:rsid w:val="00035D16"/>
    <w:pPr>
      <w:ind w:left="720"/>
      <w:contextualSpacing/>
    </w:pPr>
  </w:style>
  <w:style w:type="character" w:styleId="IntenseEmphasis">
    <w:name w:val="Intense Emphasis"/>
    <w:basedOn w:val="DefaultParagraphFont"/>
    <w:uiPriority w:val="21"/>
    <w:qFormat/>
    <w:rsid w:val="00035D16"/>
    <w:rPr>
      <w:i/>
      <w:iCs/>
      <w:color w:val="2F5496" w:themeColor="accent1" w:themeShade="BF"/>
    </w:rPr>
  </w:style>
  <w:style w:type="paragraph" w:styleId="IntenseQuote">
    <w:name w:val="Intense Quote"/>
    <w:basedOn w:val="Normal"/>
    <w:next w:val="Normal"/>
    <w:link w:val="IntenseQuoteChar"/>
    <w:uiPriority w:val="30"/>
    <w:qFormat/>
    <w:rsid w:val="00035D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5D16"/>
    <w:rPr>
      <w:i/>
      <w:iCs/>
      <w:color w:val="2F5496" w:themeColor="accent1" w:themeShade="BF"/>
    </w:rPr>
  </w:style>
  <w:style w:type="character" w:styleId="IntenseReference">
    <w:name w:val="Intense Reference"/>
    <w:basedOn w:val="DefaultParagraphFont"/>
    <w:uiPriority w:val="32"/>
    <w:qFormat/>
    <w:rsid w:val="00035D16"/>
    <w:rPr>
      <w:b/>
      <w:bCs/>
      <w:smallCaps/>
      <w:color w:val="2F5496" w:themeColor="accent1" w:themeShade="BF"/>
      <w:spacing w:val="5"/>
    </w:rPr>
  </w:style>
  <w:style w:type="paragraph" w:styleId="NormalWeb">
    <w:name w:val="Normal (Web)"/>
    <w:basedOn w:val="Normal"/>
    <w:uiPriority w:val="99"/>
    <w:unhideWhenUsed/>
    <w:rsid w:val="00035D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35D16"/>
    <w:rPr>
      <w:b/>
      <w:bCs/>
    </w:rPr>
  </w:style>
  <w:style w:type="character" w:styleId="Emphasis">
    <w:name w:val="Emphasis"/>
    <w:basedOn w:val="DefaultParagraphFont"/>
    <w:uiPriority w:val="20"/>
    <w:qFormat/>
    <w:rsid w:val="00035D16"/>
    <w:rPr>
      <w:i/>
      <w:iCs/>
    </w:rPr>
  </w:style>
  <w:style w:type="character" w:styleId="Hyperlink">
    <w:name w:val="Hyperlink"/>
    <w:basedOn w:val="DefaultParagraphFont"/>
    <w:uiPriority w:val="99"/>
    <w:unhideWhenUsed/>
    <w:rsid w:val="00035D16"/>
    <w:rPr>
      <w:color w:val="0000FF"/>
      <w:u w:val="single"/>
    </w:rPr>
  </w:style>
  <w:style w:type="paragraph" w:styleId="Header">
    <w:name w:val="header"/>
    <w:basedOn w:val="Normal"/>
    <w:link w:val="HeaderChar"/>
    <w:uiPriority w:val="99"/>
    <w:unhideWhenUsed/>
    <w:rsid w:val="00A47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127"/>
  </w:style>
  <w:style w:type="paragraph" w:styleId="Footer">
    <w:name w:val="footer"/>
    <w:basedOn w:val="Normal"/>
    <w:link w:val="FooterChar"/>
    <w:uiPriority w:val="99"/>
    <w:unhideWhenUsed/>
    <w:rsid w:val="00A47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127"/>
  </w:style>
  <w:style w:type="paragraph" w:styleId="TOCHeading">
    <w:name w:val="TOC Heading"/>
    <w:basedOn w:val="Heading1"/>
    <w:next w:val="Normal"/>
    <w:uiPriority w:val="39"/>
    <w:unhideWhenUsed/>
    <w:qFormat/>
    <w:rsid w:val="00154C6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54C67"/>
    <w:pPr>
      <w:spacing w:before="120" w:after="0"/>
    </w:pPr>
    <w:rPr>
      <w:rFonts w:cstheme="minorHAnsi"/>
      <w:b/>
      <w:bCs/>
      <w:i/>
      <w:iCs/>
    </w:rPr>
  </w:style>
  <w:style w:type="paragraph" w:styleId="TOC2">
    <w:name w:val="toc 2"/>
    <w:basedOn w:val="Normal"/>
    <w:next w:val="Normal"/>
    <w:autoRedefine/>
    <w:uiPriority w:val="39"/>
    <w:unhideWhenUsed/>
    <w:rsid w:val="00154C67"/>
    <w:pPr>
      <w:spacing w:before="120" w:after="0"/>
      <w:ind w:left="240"/>
    </w:pPr>
    <w:rPr>
      <w:rFonts w:cstheme="minorHAnsi"/>
      <w:b/>
      <w:bCs/>
      <w:sz w:val="22"/>
      <w:szCs w:val="22"/>
    </w:rPr>
  </w:style>
  <w:style w:type="paragraph" w:styleId="TOC3">
    <w:name w:val="toc 3"/>
    <w:basedOn w:val="Normal"/>
    <w:next w:val="Normal"/>
    <w:autoRedefine/>
    <w:uiPriority w:val="39"/>
    <w:unhideWhenUsed/>
    <w:rsid w:val="00154C67"/>
    <w:pPr>
      <w:spacing w:after="0"/>
      <w:ind w:left="480"/>
    </w:pPr>
    <w:rPr>
      <w:rFonts w:cstheme="minorHAnsi"/>
      <w:sz w:val="20"/>
      <w:szCs w:val="20"/>
    </w:rPr>
  </w:style>
  <w:style w:type="paragraph" w:styleId="TOC4">
    <w:name w:val="toc 4"/>
    <w:basedOn w:val="Normal"/>
    <w:next w:val="Normal"/>
    <w:autoRedefine/>
    <w:uiPriority w:val="39"/>
    <w:semiHidden/>
    <w:unhideWhenUsed/>
    <w:rsid w:val="00154C67"/>
    <w:pPr>
      <w:spacing w:after="0"/>
      <w:ind w:left="720"/>
    </w:pPr>
    <w:rPr>
      <w:rFonts w:cstheme="minorHAnsi"/>
      <w:sz w:val="20"/>
      <w:szCs w:val="20"/>
    </w:rPr>
  </w:style>
  <w:style w:type="paragraph" w:styleId="TOC5">
    <w:name w:val="toc 5"/>
    <w:basedOn w:val="Normal"/>
    <w:next w:val="Normal"/>
    <w:autoRedefine/>
    <w:uiPriority w:val="39"/>
    <w:semiHidden/>
    <w:unhideWhenUsed/>
    <w:rsid w:val="00154C67"/>
    <w:pPr>
      <w:spacing w:after="0"/>
      <w:ind w:left="960"/>
    </w:pPr>
    <w:rPr>
      <w:rFonts w:cstheme="minorHAnsi"/>
      <w:sz w:val="20"/>
      <w:szCs w:val="20"/>
    </w:rPr>
  </w:style>
  <w:style w:type="paragraph" w:styleId="TOC6">
    <w:name w:val="toc 6"/>
    <w:basedOn w:val="Normal"/>
    <w:next w:val="Normal"/>
    <w:autoRedefine/>
    <w:uiPriority w:val="39"/>
    <w:semiHidden/>
    <w:unhideWhenUsed/>
    <w:rsid w:val="00154C67"/>
    <w:pPr>
      <w:spacing w:after="0"/>
      <w:ind w:left="1200"/>
    </w:pPr>
    <w:rPr>
      <w:rFonts w:cstheme="minorHAnsi"/>
      <w:sz w:val="20"/>
      <w:szCs w:val="20"/>
    </w:rPr>
  </w:style>
  <w:style w:type="paragraph" w:styleId="TOC7">
    <w:name w:val="toc 7"/>
    <w:basedOn w:val="Normal"/>
    <w:next w:val="Normal"/>
    <w:autoRedefine/>
    <w:uiPriority w:val="39"/>
    <w:semiHidden/>
    <w:unhideWhenUsed/>
    <w:rsid w:val="00154C67"/>
    <w:pPr>
      <w:spacing w:after="0"/>
      <w:ind w:left="1440"/>
    </w:pPr>
    <w:rPr>
      <w:rFonts w:cstheme="minorHAnsi"/>
      <w:sz w:val="20"/>
      <w:szCs w:val="20"/>
    </w:rPr>
  </w:style>
  <w:style w:type="paragraph" w:styleId="TOC8">
    <w:name w:val="toc 8"/>
    <w:basedOn w:val="Normal"/>
    <w:next w:val="Normal"/>
    <w:autoRedefine/>
    <w:uiPriority w:val="39"/>
    <w:semiHidden/>
    <w:unhideWhenUsed/>
    <w:rsid w:val="00154C67"/>
    <w:pPr>
      <w:spacing w:after="0"/>
      <w:ind w:left="1680"/>
    </w:pPr>
    <w:rPr>
      <w:rFonts w:cstheme="minorHAnsi"/>
      <w:sz w:val="20"/>
      <w:szCs w:val="20"/>
    </w:rPr>
  </w:style>
  <w:style w:type="paragraph" w:styleId="TOC9">
    <w:name w:val="toc 9"/>
    <w:basedOn w:val="Normal"/>
    <w:next w:val="Normal"/>
    <w:autoRedefine/>
    <w:uiPriority w:val="39"/>
    <w:semiHidden/>
    <w:unhideWhenUsed/>
    <w:rsid w:val="00154C67"/>
    <w:pPr>
      <w:spacing w:after="0"/>
      <w:ind w:left="1920"/>
    </w:pPr>
    <w:rPr>
      <w:rFonts w:cstheme="minorHAnsi"/>
      <w:sz w:val="20"/>
      <w:szCs w:val="20"/>
    </w:rPr>
  </w:style>
  <w:style w:type="character" w:customStyle="1" w:styleId="agcmg">
    <w:name w:val="a_gcmg"/>
    <w:basedOn w:val="DefaultParagraphFont"/>
    <w:rsid w:val="00990C88"/>
  </w:style>
  <w:style w:type="character" w:styleId="PageNumber">
    <w:name w:val="page number"/>
    <w:basedOn w:val="DefaultParagraphFont"/>
    <w:uiPriority w:val="99"/>
    <w:semiHidden/>
    <w:unhideWhenUsed/>
    <w:rsid w:val="005833DB"/>
  </w:style>
  <w:style w:type="paragraph" w:styleId="NoSpacing">
    <w:name w:val="No Spacing"/>
    <w:uiPriority w:val="1"/>
    <w:qFormat/>
    <w:rsid w:val="008232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hyperlink" Target="https://www.capgemini.com"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rolex.or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cg.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ain.com" TargetMode="External"/><Relationship Id="rId20" Type="http://schemas.openxmlformats.org/officeDocument/2006/relationships/hyperlink" Target="https://www.mckinse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statista.com" TargetMode="Externa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www.rolex.org"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deloitt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hyperlink" Target="https://www.rolex.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F51D4-3D8F-1147-AB51-2F2FB4DFF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3473</Words>
  <Characters>19797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Yadav Shubham</dc:creator>
  <cp:keywords/>
  <dc:description/>
  <cp:lastModifiedBy>Yadav Shubham</cp:lastModifiedBy>
  <cp:revision>2</cp:revision>
  <dcterms:created xsi:type="dcterms:W3CDTF">2025-12-16T22:52:00Z</dcterms:created>
  <dcterms:modified xsi:type="dcterms:W3CDTF">2025-12-16T22:52:00Z</dcterms:modified>
</cp:coreProperties>
</file>