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1B116" w14:textId="77777777" w:rsidR="003A62F2" w:rsidRDefault="003A62F2" w:rsidP="00B92E13">
      <w:pPr>
        <w:jc w:val="center"/>
        <w:rPr>
          <w:rFonts w:ascii="Times New Roman" w:hAnsi="Times New Roman" w:cs="Times New Roman"/>
          <w:b/>
          <w:bCs/>
          <w:sz w:val="28"/>
          <w:szCs w:val="28"/>
        </w:rPr>
      </w:pPr>
    </w:p>
    <w:p w14:paraId="705703DF" w14:textId="77777777" w:rsidR="003A62F2" w:rsidRDefault="003A62F2" w:rsidP="00B92E13">
      <w:pPr>
        <w:jc w:val="center"/>
        <w:rPr>
          <w:rFonts w:ascii="Times New Roman" w:hAnsi="Times New Roman" w:cs="Times New Roman"/>
          <w:b/>
          <w:bCs/>
          <w:sz w:val="28"/>
          <w:szCs w:val="28"/>
        </w:rPr>
      </w:pPr>
    </w:p>
    <w:p w14:paraId="0C0918FE" w14:textId="77777777" w:rsidR="003A62F2" w:rsidRDefault="003A62F2" w:rsidP="00B92E13">
      <w:pPr>
        <w:jc w:val="center"/>
        <w:rPr>
          <w:rFonts w:ascii="Times New Roman" w:hAnsi="Times New Roman" w:cs="Times New Roman"/>
          <w:b/>
          <w:bCs/>
          <w:sz w:val="28"/>
          <w:szCs w:val="28"/>
        </w:rPr>
      </w:pPr>
    </w:p>
    <w:p w14:paraId="4BA4373B" w14:textId="77777777" w:rsidR="003A62F2" w:rsidRDefault="003A62F2" w:rsidP="00B92E13">
      <w:pPr>
        <w:jc w:val="center"/>
        <w:rPr>
          <w:rFonts w:ascii="Times New Roman" w:hAnsi="Times New Roman" w:cs="Times New Roman"/>
          <w:b/>
          <w:bCs/>
          <w:sz w:val="28"/>
          <w:szCs w:val="28"/>
        </w:rPr>
      </w:pPr>
    </w:p>
    <w:p w14:paraId="5410A7DE" w14:textId="77777777" w:rsidR="003A62F2" w:rsidRDefault="003A62F2" w:rsidP="00B92E13">
      <w:pPr>
        <w:jc w:val="center"/>
        <w:rPr>
          <w:rFonts w:ascii="Times New Roman" w:hAnsi="Times New Roman" w:cs="Times New Roman"/>
          <w:b/>
          <w:bCs/>
          <w:sz w:val="28"/>
          <w:szCs w:val="28"/>
        </w:rPr>
      </w:pPr>
    </w:p>
    <w:p w14:paraId="3A72FDE8" w14:textId="77777777" w:rsidR="003A62F2" w:rsidRDefault="003A62F2" w:rsidP="00B92E13">
      <w:pPr>
        <w:jc w:val="center"/>
        <w:rPr>
          <w:rFonts w:ascii="Times New Roman" w:hAnsi="Times New Roman" w:cs="Times New Roman"/>
          <w:b/>
          <w:bCs/>
          <w:sz w:val="28"/>
          <w:szCs w:val="28"/>
        </w:rPr>
      </w:pPr>
    </w:p>
    <w:p w14:paraId="1A36B2AD" w14:textId="77777777" w:rsidR="003A62F2" w:rsidRDefault="003A62F2" w:rsidP="00B92E13">
      <w:pPr>
        <w:jc w:val="center"/>
        <w:rPr>
          <w:rFonts w:ascii="Times New Roman" w:hAnsi="Times New Roman" w:cs="Times New Roman"/>
          <w:b/>
          <w:bCs/>
          <w:sz w:val="28"/>
          <w:szCs w:val="28"/>
        </w:rPr>
      </w:pPr>
    </w:p>
    <w:p w14:paraId="09833B77" w14:textId="5CB7300C" w:rsidR="0085363F" w:rsidRPr="0085363F" w:rsidRDefault="00B92E13" w:rsidP="0085363F">
      <w:pPr>
        <w:jc w:val="center"/>
        <w:rPr>
          <w:rFonts w:ascii="Times New Roman" w:hAnsi="Times New Roman" w:cs="Times New Roman"/>
          <w:b/>
          <w:bCs/>
          <w:i/>
          <w:iCs/>
        </w:rPr>
      </w:pPr>
      <w:r w:rsidRPr="0085363F">
        <w:rPr>
          <w:rFonts w:ascii="Times New Roman" w:hAnsi="Times New Roman" w:cs="Times New Roman"/>
          <w:b/>
          <w:bCs/>
          <w:i/>
          <w:iCs/>
        </w:rPr>
        <w:t xml:space="preserve">Module: </w:t>
      </w:r>
      <w:r w:rsidR="0085363F" w:rsidRPr="0085363F">
        <w:rPr>
          <w:rFonts w:ascii="Times New Roman" w:hAnsi="Times New Roman" w:cs="Times New Roman"/>
          <w:b/>
          <w:bCs/>
          <w:i/>
          <w:iCs/>
        </w:rPr>
        <w:t>Management Accounting for Managers</w:t>
      </w:r>
      <w:r w:rsidRPr="0085363F">
        <w:rPr>
          <w:rFonts w:ascii="Times New Roman" w:hAnsi="Times New Roman" w:cs="Times New Roman"/>
          <w:b/>
          <w:bCs/>
          <w:i/>
          <w:iCs/>
        </w:rPr>
        <w:br/>
        <w:t>Programme: BA (Hons) Business Management</w:t>
      </w:r>
      <w:r w:rsidRPr="0085363F">
        <w:rPr>
          <w:rFonts w:ascii="Times New Roman" w:hAnsi="Times New Roman" w:cs="Times New Roman"/>
          <w:b/>
          <w:bCs/>
          <w:i/>
          <w:iCs/>
        </w:rPr>
        <w:br/>
        <w:t xml:space="preserve">Module Code: </w:t>
      </w:r>
      <w:r w:rsidR="0085363F" w:rsidRPr="0085363F">
        <w:rPr>
          <w:rFonts w:ascii="Times New Roman" w:hAnsi="Times New Roman" w:cs="Times New Roman"/>
          <w:b/>
          <w:bCs/>
          <w:i/>
          <w:iCs/>
        </w:rPr>
        <w:t>LCBB5010</w:t>
      </w:r>
      <w:r w:rsidR="0085363F" w:rsidRPr="0085363F">
        <w:rPr>
          <w:rFonts w:ascii="Times New Roman" w:hAnsi="Times New Roman" w:cs="Times New Roman"/>
          <w:b/>
          <w:bCs/>
          <w:i/>
          <w:iCs/>
        </w:rPr>
        <w:tab/>
      </w:r>
    </w:p>
    <w:p w14:paraId="7B6162DB" w14:textId="031CC65C" w:rsidR="00B92E13" w:rsidRPr="0085363F" w:rsidRDefault="0085363F" w:rsidP="0085363F">
      <w:pPr>
        <w:jc w:val="center"/>
        <w:rPr>
          <w:rFonts w:ascii="Times New Roman" w:hAnsi="Times New Roman" w:cs="Times New Roman"/>
          <w:b/>
          <w:bCs/>
          <w:i/>
          <w:iCs/>
        </w:rPr>
      </w:pPr>
      <w:r w:rsidRPr="0085363F">
        <w:rPr>
          <w:rFonts w:ascii="Times New Roman" w:hAnsi="Times New Roman" w:cs="Times New Roman"/>
          <w:b/>
          <w:bCs/>
          <w:i/>
          <w:iCs/>
        </w:rPr>
        <w:t xml:space="preserve">Assignment </w:t>
      </w:r>
      <w:r w:rsidRPr="0085363F">
        <w:rPr>
          <w:rFonts w:ascii="Times New Roman" w:hAnsi="Times New Roman" w:cs="Times New Roman"/>
          <w:b/>
          <w:bCs/>
          <w:i/>
          <w:iCs/>
        </w:rPr>
        <w:t>Title:</w:t>
      </w:r>
      <w:r w:rsidR="00B92E13" w:rsidRPr="0085363F">
        <w:rPr>
          <w:rFonts w:ascii="Times New Roman" w:hAnsi="Times New Roman" w:cs="Times New Roman"/>
          <w:b/>
          <w:bCs/>
          <w:i/>
          <w:iCs/>
        </w:rPr>
        <w:t xml:space="preserve"> </w:t>
      </w:r>
      <w:r w:rsidRPr="0085363F">
        <w:rPr>
          <w:rFonts w:ascii="Times New Roman" w:hAnsi="Times New Roman" w:cs="Times New Roman"/>
          <w:b/>
          <w:bCs/>
          <w:i/>
          <w:iCs/>
        </w:rPr>
        <w:t>Component 1: Coursework: Individual Report</w:t>
      </w:r>
    </w:p>
    <w:p w14:paraId="621A6504" w14:textId="5E00D9BC" w:rsidR="00B92E13" w:rsidRPr="0085363F" w:rsidRDefault="00B92E13" w:rsidP="00B92E13">
      <w:pPr>
        <w:jc w:val="center"/>
        <w:rPr>
          <w:rFonts w:ascii="Times New Roman" w:hAnsi="Times New Roman" w:cs="Times New Roman"/>
          <w:b/>
          <w:bCs/>
          <w:i/>
          <w:iCs/>
        </w:rPr>
      </w:pPr>
      <w:r w:rsidRPr="0085363F">
        <w:rPr>
          <w:rFonts w:ascii="Times New Roman" w:hAnsi="Times New Roman" w:cs="Times New Roman"/>
          <w:b/>
          <w:bCs/>
          <w:i/>
          <w:iCs/>
        </w:rPr>
        <w:t xml:space="preserve">Student Name: </w:t>
      </w:r>
      <w:r w:rsidR="003A62F2" w:rsidRPr="0085363F">
        <w:rPr>
          <w:rFonts w:ascii="Times New Roman" w:hAnsi="Times New Roman" w:cs="Times New Roman"/>
          <w:b/>
          <w:bCs/>
          <w:i/>
          <w:iCs/>
        </w:rPr>
        <w:t>Muhammad Shakil</w:t>
      </w:r>
      <w:r w:rsidRPr="0085363F">
        <w:rPr>
          <w:rFonts w:ascii="Times New Roman" w:hAnsi="Times New Roman" w:cs="Times New Roman"/>
          <w:b/>
          <w:bCs/>
          <w:i/>
          <w:iCs/>
        </w:rPr>
        <w:br/>
        <w:t xml:space="preserve">Student ID: </w:t>
      </w:r>
      <w:r w:rsidR="003A62F2" w:rsidRPr="0085363F">
        <w:rPr>
          <w:rFonts w:ascii="Times New Roman" w:hAnsi="Times New Roman" w:cs="Times New Roman"/>
          <w:b/>
          <w:bCs/>
          <w:i/>
          <w:iCs/>
        </w:rPr>
        <w:t>2416380</w:t>
      </w:r>
    </w:p>
    <w:p w14:paraId="7A74BB81" w14:textId="57494075" w:rsidR="00B92E13" w:rsidRDefault="00B92E13">
      <w:pPr>
        <w:rPr>
          <w:sz w:val="28"/>
          <w:szCs w:val="28"/>
        </w:rPr>
      </w:pPr>
      <w:r>
        <w:rPr>
          <w:sz w:val="28"/>
          <w:szCs w:val="28"/>
        </w:rPr>
        <w:br w:type="page"/>
      </w:r>
    </w:p>
    <w:p w14:paraId="4E5574BF" w14:textId="77777777" w:rsidR="00184207" w:rsidRPr="00184207" w:rsidRDefault="00184207" w:rsidP="00184207">
      <w:pPr>
        <w:jc w:val="both"/>
        <w:rPr>
          <w:rFonts w:ascii="Times New Roman" w:hAnsi="Times New Roman" w:cs="Times New Roman"/>
          <w:b/>
          <w:bCs/>
        </w:rPr>
      </w:pPr>
      <w:r w:rsidRPr="00184207">
        <w:rPr>
          <w:rFonts w:ascii="Times New Roman" w:hAnsi="Times New Roman" w:cs="Times New Roman"/>
          <w:b/>
          <w:bCs/>
        </w:rPr>
        <w:lastRenderedPageBreak/>
        <w:t>Introduction</w:t>
      </w:r>
    </w:p>
    <w:p w14:paraId="3A5DB30D" w14:textId="2E86185E" w:rsidR="003646FE" w:rsidRPr="003646FE" w:rsidRDefault="003646FE" w:rsidP="003646FE">
      <w:pPr>
        <w:jc w:val="both"/>
        <w:rPr>
          <w:rFonts w:ascii="Times New Roman" w:hAnsi="Times New Roman" w:cs="Times New Roman"/>
        </w:rPr>
      </w:pPr>
      <w:r w:rsidRPr="003646FE">
        <w:rPr>
          <w:rFonts w:ascii="Times New Roman" w:hAnsi="Times New Roman" w:cs="Times New Roman"/>
        </w:rPr>
        <w:t>Netflix, Inc. is a publicly listed global entertainment service provider of streaming services to its members in over 190 countries. Its business is providing television programs, movies and games in various languages and genres under subscription programs. Netflix is a large international company, and its 2025 Annual Report notes that it achieved $44.8 billion of revenue in 2025, indicating the size of Netflix's operations and its growth in the global streaming market (Netflix, Inc., 2026).</w:t>
      </w:r>
    </w:p>
    <w:p w14:paraId="45CA00E1" w14:textId="37AACCF8" w:rsidR="00184207" w:rsidRPr="00184207" w:rsidRDefault="003646FE" w:rsidP="003646FE">
      <w:pPr>
        <w:jc w:val="both"/>
        <w:rPr>
          <w:rFonts w:ascii="Times New Roman" w:hAnsi="Times New Roman" w:cs="Times New Roman"/>
        </w:rPr>
      </w:pPr>
      <w:r w:rsidRPr="003646FE">
        <w:rPr>
          <w:rFonts w:ascii="Times New Roman" w:hAnsi="Times New Roman" w:cs="Times New Roman"/>
        </w:rPr>
        <w:t>Netflix's management accounting is important to managers as they must have accurate financial and non-financial information to make decisions regarding subscription pricing, spending on content, and technology investment and international growth. This is particularly significant in the streaming sector, where content is very expensive and competition and demand are fierce. Management Accounting assists the Managers in planning budgets, controlling costs, measuring and monitoring performance and making better long-term decision in the interest of protecting the profitability of the business and its growth (AICPA and CIMA, 2026).</w:t>
      </w:r>
    </w:p>
    <w:p w14:paraId="13878226" w14:textId="77777777" w:rsidR="003646FE" w:rsidRPr="003646FE" w:rsidRDefault="003646FE" w:rsidP="003646FE">
      <w:pPr>
        <w:jc w:val="both"/>
        <w:rPr>
          <w:rFonts w:ascii="Times New Roman" w:hAnsi="Times New Roman" w:cs="Times New Roman"/>
          <w:b/>
          <w:bCs/>
        </w:rPr>
      </w:pPr>
      <w:r w:rsidRPr="003646FE">
        <w:rPr>
          <w:rFonts w:ascii="Times New Roman" w:hAnsi="Times New Roman" w:cs="Times New Roman"/>
          <w:b/>
          <w:bCs/>
        </w:rPr>
        <w:t>Cost Analysis and Business Model</w:t>
      </w:r>
    </w:p>
    <w:p w14:paraId="0B9BEDE4" w14:textId="329465CD" w:rsidR="003646FE" w:rsidRPr="003646FE" w:rsidRDefault="003646FE" w:rsidP="003646FE">
      <w:pPr>
        <w:jc w:val="both"/>
        <w:rPr>
          <w:rFonts w:ascii="Times New Roman" w:hAnsi="Times New Roman" w:cs="Times New Roman"/>
        </w:rPr>
      </w:pPr>
      <w:r w:rsidRPr="003646FE">
        <w:rPr>
          <w:rFonts w:ascii="Times New Roman" w:hAnsi="Times New Roman" w:cs="Times New Roman"/>
        </w:rPr>
        <w:t>Unlike Amazon and Apple, Netflix can't be regarded as a physical goods or hardware company. Its main revenue comes from paid streaming memberships, in which consumers pay recurring fees for access to movies, shows, documentaries, games and more. Netflix has also been increasing advertising revenue in recent years with its advertising plan, but membership fees are the primary source of income. Although this is a subscription-based VOD model, it enables Netflix to generate recurring revenue, it also forces them to continually invest in content to maintain their member base and attract new customers (Ahmed, 2023). The table below can be used to make a graph that shows how much Netflix generates in streaming revenue in 2025 by region:</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31"/>
        <w:gridCol w:w="2391"/>
      </w:tblGrid>
      <w:tr w:rsidR="003646FE" w:rsidRPr="003646FE" w14:paraId="3CB7255B" w14:textId="77777777" w:rsidTr="00AC2E09">
        <w:trPr>
          <w:tblHeader/>
          <w:tblCellSpacing w:w="15" w:type="dxa"/>
        </w:trPr>
        <w:tc>
          <w:tcPr>
            <w:tcW w:w="0" w:type="auto"/>
            <w:vAlign w:val="center"/>
            <w:hideMark/>
          </w:tcPr>
          <w:p w14:paraId="0ED365C2"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Region</w:t>
            </w:r>
          </w:p>
        </w:tc>
        <w:tc>
          <w:tcPr>
            <w:tcW w:w="0" w:type="auto"/>
            <w:vAlign w:val="center"/>
            <w:hideMark/>
          </w:tcPr>
          <w:p w14:paraId="5EF37407"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2025 streaming revenue</w:t>
            </w:r>
          </w:p>
        </w:tc>
      </w:tr>
      <w:tr w:rsidR="003646FE" w:rsidRPr="003646FE" w14:paraId="4FF3C882" w14:textId="77777777" w:rsidTr="00AC2E09">
        <w:trPr>
          <w:tblCellSpacing w:w="15" w:type="dxa"/>
        </w:trPr>
        <w:tc>
          <w:tcPr>
            <w:tcW w:w="0" w:type="auto"/>
            <w:vAlign w:val="center"/>
            <w:hideMark/>
          </w:tcPr>
          <w:p w14:paraId="5920F4B7"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United States and Canada</w:t>
            </w:r>
          </w:p>
        </w:tc>
        <w:tc>
          <w:tcPr>
            <w:tcW w:w="0" w:type="auto"/>
            <w:vAlign w:val="center"/>
            <w:hideMark/>
          </w:tcPr>
          <w:p w14:paraId="6058F675"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$19.957 billion</w:t>
            </w:r>
          </w:p>
        </w:tc>
      </w:tr>
      <w:tr w:rsidR="003646FE" w:rsidRPr="003646FE" w14:paraId="643AE36B" w14:textId="77777777" w:rsidTr="00AC2E09">
        <w:trPr>
          <w:tblCellSpacing w:w="15" w:type="dxa"/>
        </w:trPr>
        <w:tc>
          <w:tcPr>
            <w:tcW w:w="0" w:type="auto"/>
            <w:vAlign w:val="center"/>
            <w:hideMark/>
          </w:tcPr>
          <w:p w14:paraId="5660138B"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Europe, Middle East and Africa</w:t>
            </w:r>
          </w:p>
        </w:tc>
        <w:tc>
          <w:tcPr>
            <w:tcW w:w="0" w:type="auto"/>
            <w:vAlign w:val="center"/>
            <w:hideMark/>
          </w:tcPr>
          <w:p w14:paraId="3EDAA00D"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$14.515 billion</w:t>
            </w:r>
          </w:p>
        </w:tc>
      </w:tr>
      <w:tr w:rsidR="003646FE" w:rsidRPr="003646FE" w14:paraId="7C7621AC" w14:textId="77777777" w:rsidTr="00AC2E09">
        <w:trPr>
          <w:tblCellSpacing w:w="15" w:type="dxa"/>
        </w:trPr>
        <w:tc>
          <w:tcPr>
            <w:tcW w:w="0" w:type="auto"/>
            <w:vAlign w:val="center"/>
            <w:hideMark/>
          </w:tcPr>
          <w:p w14:paraId="423371C3"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Latin America</w:t>
            </w:r>
          </w:p>
        </w:tc>
        <w:tc>
          <w:tcPr>
            <w:tcW w:w="0" w:type="auto"/>
            <w:vAlign w:val="center"/>
            <w:hideMark/>
          </w:tcPr>
          <w:p w14:paraId="4AA02346"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$5.358 billion</w:t>
            </w:r>
          </w:p>
        </w:tc>
      </w:tr>
      <w:tr w:rsidR="003646FE" w:rsidRPr="003646FE" w14:paraId="54B86F56" w14:textId="77777777" w:rsidTr="00AC2E09">
        <w:trPr>
          <w:tblCellSpacing w:w="15" w:type="dxa"/>
        </w:trPr>
        <w:tc>
          <w:tcPr>
            <w:tcW w:w="0" w:type="auto"/>
            <w:vAlign w:val="center"/>
            <w:hideMark/>
          </w:tcPr>
          <w:p w14:paraId="5AF6BD3E"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Asia-Pacific</w:t>
            </w:r>
          </w:p>
        </w:tc>
        <w:tc>
          <w:tcPr>
            <w:tcW w:w="0" w:type="auto"/>
            <w:vAlign w:val="center"/>
            <w:hideMark/>
          </w:tcPr>
          <w:p w14:paraId="46C6D3CE"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$5.354 billion</w:t>
            </w:r>
          </w:p>
        </w:tc>
      </w:tr>
      <w:tr w:rsidR="003646FE" w:rsidRPr="003646FE" w14:paraId="316ABC5C" w14:textId="77777777" w:rsidTr="00AC2E09">
        <w:trPr>
          <w:tblCellSpacing w:w="15" w:type="dxa"/>
        </w:trPr>
        <w:tc>
          <w:tcPr>
            <w:tcW w:w="0" w:type="auto"/>
            <w:vAlign w:val="center"/>
            <w:hideMark/>
          </w:tcPr>
          <w:p w14:paraId="4294067E"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Total streaming revenue</w:t>
            </w:r>
          </w:p>
        </w:tc>
        <w:tc>
          <w:tcPr>
            <w:tcW w:w="0" w:type="auto"/>
            <w:vAlign w:val="center"/>
            <w:hideMark/>
          </w:tcPr>
          <w:p w14:paraId="43C9D7DB" w14:textId="77777777" w:rsidR="003646FE" w:rsidRPr="00AC2E09" w:rsidRDefault="003646FE" w:rsidP="00AC2E09">
            <w:pPr>
              <w:jc w:val="center"/>
              <w:rPr>
                <w:rFonts w:ascii="Times New Roman" w:hAnsi="Times New Roman" w:cs="Times New Roman"/>
              </w:rPr>
            </w:pPr>
            <w:r w:rsidRPr="00AC2E09">
              <w:rPr>
                <w:rFonts w:ascii="Times New Roman" w:hAnsi="Times New Roman" w:cs="Times New Roman"/>
              </w:rPr>
              <w:t>$45.183 billion</w:t>
            </w:r>
          </w:p>
        </w:tc>
      </w:tr>
    </w:tbl>
    <w:p w14:paraId="56CAC745" w14:textId="6D8047B0" w:rsidR="003646FE" w:rsidRPr="003646FE" w:rsidRDefault="003646FE" w:rsidP="003646FE">
      <w:pPr>
        <w:jc w:val="both"/>
        <w:rPr>
          <w:rFonts w:ascii="Times New Roman" w:hAnsi="Times New Roman" w:cs="Times New Roman"/>
        </w:rPr>
      </w:pPr>
      <w:r w:rsidRPr="003646FE">
        <w:rPr>
          <w:rFonts w:ascii="Times New Roman" w:hAnsi="Times New Roman" w:cs="Times New Roman"/>
        </w:rPr>
        <w:t xml:space="preserve"> </w:t>
      </w:r>
      <w:r w:rsidRPr="003646FE">
        <w:rPr>
          <w:rFonts w:ascii="Times New Roman" w:hAnsi="Times New Roman" w:cs="Times New Roman"/>
        </w:rPr>
        <w:t xml:space="preserve">Data on Netflix's 2025 revenues indicates that the United States and Canada continued to be its primary region, although Europe, Middle East and Africa also played a significant role. Latin America and Asia-Pacific were smaller in </w:t>
      </w:r>
      <w:proofErr w:type="gramStart"/>
      <w:r w:rsidRPr="003646FE">
        <w:rPr>
          <w:rFonts w:ascii="Times New Roman" w:hAnsi="Times New Roman" w:cs="Times New Roman"/>
        </w:rPr>
        <w:t>value</w:t>
      </w:r>
      <w:proofErr w:type="gramEnd"/>
      <w:r w:rsidRPr="003646FE">
        <w:rPr>
          <w:rFonts w:ascii="Times New Roman" w:hAnsi="Times New Roman" w:cs="Times New Roman"/>
        </w:rPr>
        <w:t xml:space="preserve"> but the regions nonetheless held significance as they provide Netflix space for future international expansion. Total revenue increased from $39.001 billion in 2024 to $45.183 billion in 2025, which was a 16% increase. Netflix explained that this increase was mainly due to growth in memberships, price increases </w:t>
      </w:r>
      <w:r w:rsidRPr="003646FE">
        <w:rPr>
          <w:rFonts w:ascii="Times New Roman" w:hAnsi="Times New Roman" w:cs="Times New Roman"/>
        </w:rPr>
        <w:lastRenderedPageBreak/>
        <w:t>and higher advertising revenue (Netflix, Inc., 2026). The table below can be used to generate a second graph that illustrates Netflix's cost categories for the major portion of its costs for 2025:</w:t>
      </w:r>
    </w:p>
    <w:tbl>
      <w:tblPr>
        <w:tblW w:w="0" w:type="auto"/>
        <w:jc w:val="center"/>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85"/>
        <w:gridCol w:w="1430"/>
      </w:tblGrid>
      <w:tr w:rsidR="003646FE" w:rsidRPr="003646FE" w14:paraId="3C1777A0" w14:textId="77777777" w:rsidTr="00AC2E09">
        <w:trPr>
          <w:tblHeader/>
          <w:tblCellSpacing w:w="15" w:type="dxa"/>
          <w:jc w:val="center"/>
        </w:trPr>
        <w:tc>
          <w:tcPr>
            <w:tcW w:w="0" w:type="auto"/>
            <w:vAlign w:val="center"/>
            <w:hideMark/>
          </w:tcPr>
          <w:p w14:paraId="06A5D795" w14:textId="77777777" w:rsidR="003646FE" w:rsidRPr="00AC2E09" w:rsidRDefault="003646FE" w:rsidP="00AC2E09">
            <w:pPr>
              <w:jc w:val="center"/>
              <w:rPr>
                <w:rFonts w:ascii="Times New Roman" w:hAnsi="Times New Roman" w:cs="Times New Roman"/>
                <w:b/>
                <w:bCs/>
                <w:sz w:val="22"/>
                <w:szCs w:val="22"/>
              </w:rPr>
            </w:pPr>
            <w:r w:rsidRPr="00AC2E09">
              <w:rPr>
                <w:rFonts w:ascii="Times New Roman" w:hAnsi="Times New Roman" w:cs="Times New Roman"/>
                <w:b/>
                <w:bCs/>
                <w:sz w:val="22"/>
                <w:szCs w:val="22"/>
              </w:rPr>
              <w:t>Cost category</w:t>
            </w:r>
          </w:p>
        </w:tc>
        <w:tc>
          <w:tcPr>
            <w:tcW w:w="0" w:type="auto"/>
            <w:vAlign w:val="center"/>
            <w:hideMark/>
          </w:tcPr>
          <w:p w14:paraId="234C2AEC" w14:textId="77777777" w:rsidR="003646FE" w:rsidRPr="00AC2E09" w:rsidRDefault="003646FE" w:rsidP="00AC2E09">
            <w:pPr>
              <w:jc w:val="center"/>
              <w:rPr>
                <w:rFonts w:ascii="Times New Roman" w:hAnsi="Times New Roman" w:cs="Times New Roman"/>
                <w:b/>
                <w:bCs/>
                <w:sz w:val="22"/>
                <w:szCs w:val="22"/>
              </w:rPr>
            </w:pPr>
            <w:r w:rsidRPr="00AC2E09">
              <w:rPr>
                <w:rFonts w:ascii="Times New Roman" w:hAnsi="Times New Roman" w:cs="Times New Roman"/>
                <w:b/>
                <w:bCs/>
                <w:sz w:val="22"/>
                <w:szCs w:val="22"/>
              </w:rPr>
              <w:t>2025 amount</w:t>
            </w:r>
          </w:p>
        </w:tc>
      </w:tr>
      <w:tr w:rsidR="003646FE" w:rsidRPr="003646FE" w14:paraId="1C064E47" w14:textId="77777777" w:rsidTr="00AC2E09">
        <w:trPr>
          <w:tblCellSpacing w:w="15" w:type="dxa"/>
          <w:jc w:val="center"/>
        </w:trPr>
        <w:tc>
          <w:tcPr>
            <w:tcW w:w="0" w:type="auto"/>
            <w:vAlign w:val="center"/>
            <w:hideMark/>
          </w:tcPr>
          <w:p w14:paraId="6B55116F"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Cost of revenues</w:t>
            </w:r>
          </w:p>
        </w:tc>
        <w:tc>
          <w:tcPr>
            <w:tcW w:w="0" w:type="auto"/>
            <w:vAlign w:val="center"/>
            <w:hideMark/>
          </w:tcPr>
          <w:p w14:paraId="398AC723"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$23.275 billion</w:t>
            </w:r>
          </w:p>
        </w:tc>
      </w:tr>
      <w:tr w:rsidR="003646FE" w:rsidRPr="003646FE" w14:paraId="6D7523C9" w14:textId="77777777" w:rsidTr="00AC2E09">
        <w:trPr>
          <w:tblCellSpacing w:w="15" w:type="dxa"/>
          <w:jc w:val="center"/>
        </w:trPr>
        <w:tc>
          <w:tcPr>
            <w:tcW w:w="0" w:type="auto"/>
            <w:vAlign w:val="center"/>
            <w:hideMark/>
          </w:tcPr>
          <w:p w14:paraId="38F5B4FD"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Sales and marketing</w:t>
            </w:r>
          </w:p>
        </w:tc>
        <w:tc>
          <w:tcPr>
            <w:tcW w:w="0" w:type="auto"/>
            <w:vAlign w:val="center"/>
            <w:hideMark/>
          </w:tcPr>
          <w:p w14:paraId="452D146B"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$3.301 billion</w:t>
            </w:r>
          </w:p>
        </w:tc>
      </w:tr>
      <w:tr w:rsidR="003646FE" w:rsidRPr="003646FE" w14:paraId="6F19D51D" w14:textId="77777777" w:rsidTr="00AC2E09">
        <w:trPr>
          <w:tblCellSpacing w:w="15" w:type="dxa"/>
          <w:jc w:val="center"/>
        </w:trPr>
        <w:tc>
          <w:tcPr>
            <w:tcW w:w="0" w:type="auto"/>
            <w:vAlign w:val="center"/>
            <w:hideMark/>
          </w:tcPr>
          <w:p w14:paraId="41EACAD5"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Technology and development</w:t>
            </w:r>
          </w:p>
        </w:tc>
        <w:tc>
          <w:tcPr>
            <w:tcW w:w="0" w:type="auto"/>
            <w:vAlign w:val="center"/>
            <w:hideMark/>
          </w:tcPr>
          <w:p w14:paraId="67742E1C"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$3.391 billion</w:t>
            </w:r>
          </w:p>
        </w:tc>
      </w:tr>
      <w:tr w:rsidR="003646FE" w:rsidRPr="003646FE" w14:paraId="76C0213B" w14:textId="77777777" w:rsidTr="00AC2E09">
        <w:trPr>
          <w:tblCellSpacing w:w="15" w:type="dxa"/>
          <w:jc w:val="center"/>
        </w:trPr>
        <w:tc>
          <w:tcPr>
            <w:tcW w:w="0" w:type="auto"/>
            <w:vAlign w:val="center"/>
            <w:hideMark/>
          </w:tcPr>
          <w:p w14:paraId="4D11BDC8"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General and administrative</w:t>
            </w:r>
          </w:p>
        </w:tc>
        <w:tc>
          <w:tcPr>
            <w:tcW w:w="0" w:type="auto"/>
            <w:vAlign w:val="center"/>
            <w:hideMark/>
          </w:tcPr>
          <w:p w14:paraId="3CAA926D"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$1.888 billion</w:t>
            </w:r>
          </w:p>
        </w:tc>
      </w:tr>
    </w:tbl>
    <w:p w14:paraId="5F23E2E1" w14:textId="6C9227A1" w:rsidR="003646FE" w:rsidRPr="003646FE" w:rsidRDefault="003646FE" w:rsidP="003646FE">
      <w:pPr>
        <w:jc w:val="both"/>
        <w:rPr>
          <w:rFonts w:ascii="Times New Roman" w:hAnsi="Times New Roman" w:cs="Times New Roman"/>
        </w:rPr>
      </w:pPr>
      <w:r w:rsidRPr="003646FE">
        <w:rPr>
          <w:rFonts w:ascii="Times New Roman" w:hAnsi="Times New Roman" w:cs="Times New Roman"/>
        </w:rPr>
        <w:t xml:space="preserve"> </w:t>
      </w:r>
      <w:r w:rsidRPr="003646FE">
        <w:rPr>
          <w:rFonts w:ascii="Times New Roman" w:hAnsi="Times New Roman" w:cs="Times New Roman"/>
        </w:rPr>
        <w:t>The largest cost area for Netflix is cost of revenues. This primarily consists of content amortisation, which is the idea behind Netflix to spread the cost of films and programmes across the time frame where it expects customers to be viewing them. Netflix also puts in this area content licensing, production costs, streaming delivery costs, payment processing and customer service. It's logical, as Netflix won't sustain its customers if it doesn't have a robust and constantly renewed catalogue of shows. Netflix also has fixed and variable costs. Variable costs are costs that vary as activity levels vary and fixed costs remain fairly constant over a reasonable range of activity. Variable costs for Netflix include some streaming delivery costs, payment processing costs, production costs and marketing campaigns associated with new releases. Technology development, staff costs, platform infrastructure, offices and corporate administration are all considered fixed or semi-fixed costs. Such cost positions require Netflix to manage the costs of content and technology carefully, as high fixed costs can be problematic if revenue growth declines (The Open University, n.d.). Netflix's challenge, from a management accounting perspective, is to manage growth and costs. While investing more money in content can be useful to bring in members, not all content will yield the same return. As such, managers must weigh the cost of the content against the hours of viewing, member retention, regional revenue and advertising opportunities before authorizing larger production budgets. This matters to video streaming companies because they rely on the quality and diversity of their video content, but production costs are a major factor in profitability and too high of production costs decreases profits if there is not sufficient subscription revenue and advertising revenue (Zhang, 2025).</w:t>
      </w:r>
    </w:p>
    <w:p w14:paraId="2AE2AF55" w14:textId="2A773A8C" w:rsidR="003646FE" w:rsidRPr="003646FE" w:rsidRDefault="003646FE" w:rsidP="003646FE">
      <w:pPr>
        <w:jc w:val="both"/>
        <w:rPr>
          <w:rFonts w:ascii="Times New Roman" w:hAnsi="Times New Roman" w:cs="Times New Roman"/>
          <w:b/>
          <w:bCs/>
        </w:rPr>
      </w:pPr>
      <w:r w:rsidRPr="003646FE">
        <w:rPr>
          <w:rFonts w:ascii="Times New Roman" w:hAnsi="Times New Roman" w:cs="Times New Roman"/>
          <w:b/>
          <w:bCs/>
        </w:rPr>
        <w:t>Budgeting and Financial Planning</w:t>
      </w:r>
    </w:p>
    <w:p w14:paraId="6AC23974" w14:textId="77777777" w:rsidR="003646FE" w:rsidRPr="003646FE" w:rsidRDefault="003646FE" w:rsidP="003646FE">
      <w:pPr>
        <w:jc w:val="both"/>
        <w:rPr>
          <w:rFonts w:ascii="Times New Roman" w:hAnsi="Times New Roman" w:cs="Times New Roman"/>
        </w:rPr>
      </w:pPr>
      <w:r w:rsidRPr="003646FE">
        <w:rPr>
          <w:rFonts w:ascii="Times New Roman" w:hAnsi="Times New Roman" w:cs="Times New Roman"/>
        </w:rPr>
        <w:t>Netflix's budgeting is crucial because the company needs to make big wagers on content, technology, marketing and international operations before it can gauge viewer reactions. This type of business can have a fluctuating income throughout the year, from audience, exchange rates, advertising and competition, and a fixed annual budget may be too small. A more appropriate method is a rolling or flexible budgeting approach as it enables managers to revise their plans as the actual results deviate from the initial budgets (AICPA and CIMA, 2018).</w:t>
      </w:r>
    </w:p>
    <w:p w14:paraId="53C758FA" w14:textId="38230942" w:rsidR="003646FE" w:rsidRPr="003646FE" w:rsidRDefault="003646FE" w:rsidP="003646FE">
      <w:pPr>
        <w:jc w:val="both"/>
        <w:rPr>
          <w:rFonts w:ascii="Times New Roman" w:hAnsi="Times New Roman" w:cs="Times New Roman"/>
        </w:rPr>
      </w:pPr>
      <w:r w:rsidRPr="003646FE">
        <w:rPr>
          <w:rFonts w:ascii="Times New Roman" w:hAnsi="Times New Roman" w:cs="Times New Roman"/>
        </w:rPr>
        <w:t xml:space="preserve">You can use Google Finance to get a sense of the company's current financial standing, as well as compare recent financial performance. Netflix's own shareholder letter Q1 2026, however, is more reliable in terms of the actual operating expenses since it's published directly by Netflix </w:t>
      </w:r>
      <w:r w:rsidRPr="003646FE">
        <w:rPr>
          <w:rFonts w:ascii="Times New Roman" w:hAnsi="Times New Roman" w:cs="Times New Roman"/>
        </w:rPr>
        <w:lastRenderedPageBreak/>
        <w:t xml:space="preserve">for their investors. Netflix's revenue rose by 16% year-on-year for the quarter ending in 2026 Q1, to $3.9 billion, while operating income rose $0.8 billion to $4.0 billion and operating margin rose to 32.3%. That indicates that the increased spending was still being done in a way that safeguarded </w:t>
      </w:r>
      <w:proofErr w:type="gramStart"/>
      <w:r w:rsidRPr="003646FE">
        <w:rPr>
          <w:rFonts w:ascii="Times New Roman" w:hAnsi="Times New Roman" w:cs="Times New Roman"/>
        </w:rPr>
        <w:t>profitability..</w:t>
      </w:r>
      <w:proofErr w:type="gramEnd"/>
    </w:p>
    <w:tbl>
      <w:tblPr>
        <w:tblW w:w="0" w:type="auto"/>
        <w:jc w:val="center"/>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8"/>
        <w:gridCol w:w="1205"/>
        <w:gridCol w:w="1210"/>
      </w:tblGrid>
      <w:tr w:rsidR="003646FE" w:rsidRPr="003646FE" w14:paraId="6684C9AF" w14:textId="77777777" w:rsidTr="00AC2E09">
        <w:trPr>
          <w:tblHeader/>
          <w:tblCellSpacing w:w="15" w:type="dxa"/>
          <w:jc w:val="center"/>
        </w:trPr>
        <w:tc>
          <w:tcPr>
            <w:tcW w:w="0" w:type="auto"/>
            <w:vAlign w:val="center"/>
            <w:hideMark/>
          </w:tcPr>
          <w:p w14:paraId="21AD5879" w14:textId="77777777" w:rsidR="003646FE" w:rsidRPr="00AC2E09" w:rsidRDefault="003646FE" w:rsidP="00AC2E09">
            <w:pPr>
              <w:jc w:val="center"/>
              <w:rPr>
                <w:rFonts w:ascii="Times New Roman" w:hAnsi="Times New Roman" w:cs="Times New Roman"/>
                <w:b/>
                <w:bCs/>
                <w:sz w:val="22"/>
                <w:szCs w:val="22"/>
              </w:rPr>
            </w:pPr>
            <w:r w:rsidRPr="00AC2E09">
              <w:rPr>
                <w:rFonts w:ascii="Times New Roman" w:hAnsi="Times New Roman" w:cs="Times New Roman"/>
                <w:b/>
                <w:bCs/>
                <w:sz w:val="22"/>
                <w:szCs w:val="22"/>
              </w:rPr>
              <w:t>Measure</w:t>
            </w:r>
          </w:p>
        </w:tc>
        <w:tc>
          <w:tcPr>
            <w:tcW w:w="0" w:type="auto"/>
            <w:vAlign w:val="center"/>
            <w:hideMark/>
          </w:tcPr>
          <w:p w14:paraId="1227D1C8" w14:textId="77777777" w:rsidR="003646FE" w:rsidRPr="00AC2E09" w:rsidRDefault="003646FE" w:rsidP="00AC2E09">
            <w:pPr>
              <w:jc w:val="center"/>
              <w:rPr>
                <w:rFonts w:ascii="Times New Roman" w:hAnsi="Times New Roman" w:cs="Times New Roman"/>
                <w:b/>
                <w:bCs/>
                <w:sz w:val="22"/>
                <w:szCs w:val="22"/>
              </w:rPr>
            </w:pPr>
            <w:r w:rsidRPr="00AC2E09">
              <w:rPr>
                <w:rFonts w:ascii="Times New Roman" w:hAnsi="Times New Roman" w:cs="Times New Roman"/>
                <w:b/>
                <w:bCs/>
                <w:sz w:val="22"/>
                <w:szCs w:val="22"/>
              </w:rPr>
              <w:t>Q1 2025</w:t>
            </w:r>
          </w:p>
        </w:tc>
        <w:tc>
          <w:tcPr>
            <w:tcW w:w="0" w:type="auto"/>
            <w:vAlign w:val="center"/>
            <w:hideMark/>
          </w:tcPr>
          <w:p w14:paraId="1CA7A57F" w14:textId="77777777" w:rsidR="003646FE" w:rsidRPr="00AC2E09" w:rsidRDefault="003646FE" w:rsidP="00AC2E09">
            <w:pPr>
              <w:jc w:val="center"/>
              <w:rPr>
                <w:rFonts w:ascii="Times New Roman" w:hAnsi="Times New Roman" w:cs="Times New Roman"/>
                <w:b/>
                <w:bCs/>
                <w:sz w:val="22"/>
                <w:szCs w:val="22"/>
              </w:rPr>
            </w:pPr>
            <w:r w:rsidRPr="00AC2E09">
              <w:rPr>
                <w:rFonts w:ascii="Times New Roman" w:hAnsi="Times New Roman" w:cs="Times New Roman"/>
                <w:b/>
                <w:bCs/>
                <w:sz w:val="22"/>
                <w:szCs w:val="22"/>
              </w:rPr>
              <w:t>Q1 2026</w:t>
            </w:r>
          </w:p>
        </w:tc>
      </w:tr>
      <w:tr w:rsidR="003646FE" w:rsidRPr="003646FE" w14:paraId="59FED10B" w14:textId="77777777" w:rsidTr="00AC2E09">
        <w:trPr>
          <w:tblCellSpacing w:w="15" w:type="dxa"/>
          <w:jc w:val="center"/>
        </w:trPr>
        <w:tc>
          <w:tcPr>
            <w:tcW w:w="0" w:type="auto"/>
            <w:vAlign w:val="center"/>
            <w:hideMark/>
          </w:tcPr>
          <w:p w14:paraId="0F3A2288"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Revenue</w:t>
            </w:r>
          </w:p>
        </w:tc>
        <w:tc>
          <w:tcPr>
            <w:tcW w:w="0" w:type="auto"/>
            <w:vAlign w:val="center"/>
            <w:hideMark/>
          </w:tcPr>
          <w:p w14:paraId="444B7AB9"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$10.5 billion</w:t>
            </w:r>
          </w:p>
        </w:tc>
        <w:tc>
          <w:tcPr>
            <w:tcW w:w="0" w:type="auto"/>
            <w:vAlign w:val="center"/>
            <w:hideMark/>
          </w:tcPr>
          <w:p w14:paraId="1EAFD158"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$12.3 billion</w:t>
            </w:r>
          </w:p>
        </w:tc>
      </w:tr>
      <w:tr w:rsidR="003646FE" w:rsidRPr="003646FE" w14:paraId="4B8114B8" w14:textId="77777777" w:rsidTr="00AC2E09">
        <w:trPr>
          <w:tblCellSpacing w:w="15" w:type="dxa"/>
          <w:jc w:val="center"/>
        </w:trPr>
        <w:tc>
          <w:tcPr>
            <w:tcW w:w="0" w:type="auto"/>
            <w:vAlign w:val="center"/>
            <w:hideMark/>
          </w:tcPr>
          <w:p w14:paraId="1FA6760E"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Operating income</w:t>
            </w:r>
          </w:p>
        </w:tc>
        <w:tc>
          <w:tcPr>
            <w:tcW w:w="0" w:type="auto"/>
            <w:vAlign w:val="center"/>
            <w:hideMark/>
          </w:tcPr>
          <w:p w14:paraId="500BAF82"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$3.4 billion</w:t>
            </w:r>
          </w:p>
        </w:tc>
        <w:tc>
          <w:tcPr>
            <w:tcW w:w="0" w:type="auto"/>
            <w:vAlign w:val="center"/>
            <w:hideMark/>
          </w:tcPr>
          <w:p w14:paraId="6B58DF72"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$4.0 billion</w:t>
            </w:r>
          </w:p>
        </w:tc>
      </w:tr>
      <w:tr w:rsidR="003646FE" w:rsidRPr="003646FE" w14:paraId="13018AC8" w14:textId="77777777" w:rsidTr="00AC2E09">
        <w:trPr>
          <w:tblCellSpacing w:w="15" w:type="dxa"/>
          <w:jc w:val="center"/>
        </w:trPr>
        <w:tc>
          <w:tcPr>
            <w:tcW w:w="0" w:type="auto"/>
            <w:vAlign w:val="center"/>
            <w:hideMark/>
          </w:tcPr>
          <w:p w14:paraId="3204BDDF"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Operating margin</w:t>
            </w:r>
          </w:p>
        </w:tc>
        <w:tc>
          <w:tcPr>
            <w:tcW w:w="0" w:type="auto"/>
            <w:vAlign w:val="center"/>
            <w:hideMark/>
          </w:tcPr>
          <w:p w14:paraId="7AF4E47B"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31.7%</w:t>
            </w:r>
          </w:p>
        </w:tc>
        <w:tc>
          <w:tcPr>
            <w:tcW w:w="0" w:type="auto"/>
            <w:vAlign w:val="center"/>
            <w:hideMark/>
          </w:tcPr>
          <w:p w14:paraId="1FEE4609"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32.3%</w:t>
            </w:r>
          </w:p>
        </w:tc>
      </w:tr>
    </w:tbl>
    <w:p w14:paraId="5FA31508" w14:textId="77777777" w:rsidR="003646FE" w:rsidRPr="003646FE" w:rsidRDefault="003646FE" w:rsidP="003646FE">
      <w:pPr>
        <w:jc w:val="both"/>
        <w:rPr>
          <w:rFonts w:ascii="Times New Roman" w:hAnsi="Times New Roman" w:cs="Times New Roman"/>
        </w:rPr>
      </w:pPr>
      <w:r w:rsidRPr="003646FE">
        <w:rPr>
          <w:rFonts w:ascii="Times New Roman" w:hAnsi="Times New Roman" w:cs="Times New Roman"/>
        </w:rPr>
        <w:t>This table can be represented as a clustered column chart for revenue and operating income, and as a small line chart for operating margin.</w:t>
      </w:r>
    </w:p>
    <w:p w14:paraId="0E6ACD25" w14:textId="04541D4B" w:rsidR="003646FE" w:rsidRPr="003646FE" w:rsidRDefault="003646FE" w:rsidP="003646FE">
      <w:pPr>
        <w:jc w:val="both"/>
        <w:rPr>
          <w:rFonts w:ascii="Times New Roman" w:hAnsi="Times New Roman" w:cs="Times New Roman"/>
        </w:rPr>
      </w:pPr>
      <w:r w:rsidRPr="003646FE">
        <w:rPr>
          <w:rFonts w:ascii="Times New Roman" w:hAnsi="Times New Roman" w:cs="Times New Roman"/>
        </w:rPr>
        <w:t xml:space="preserve">Higher costs can be a positive effect, as it can help Netflix grow, so the operating expense increase shouldn't be looked at as purely a negative. The company has been putting money into content, advertising and technology to bolster its streaming platform and add to its monetisation. S&amp;P Global Market Intelligence stated that Netflix's growth outlook for 2026 was tied to membership growth, advertising, monetisation and gaming, indicating that budget decisions must </w:t>
      </w:r>
      <w:r w:rsidRPr="003646FE">
        <w:rPr>
          <w:rFonts w:ascii="Times New Roman" w:hAnsi="Times New Roman" w:cs="Times New Roman"/>
        </w:rPr>
        <w:t>consider</w:t>
      </w:r>
      <w:r w:rsidRPr="003646FE">
        <w:rPr>
          <w:rFonts w:ascii="Times New Roman" w:hAnsi="Times New Roman" w:cs="Times New Roman"/>
        </w:rPr>
        <w:t>, not only the impact on costs, but also the benefits of future revenue streams (S&amp;P Global Market Intelligence, 2026).</w:t>
      </w:r>
    </w:p>
    <w:p w14:paraId="3E51E4B9" w14:textId="23E894A1" w:rsidR="003646FE" w:rsidRPr="003646FE" w:rsidRDefault="003646FE" w:rsidP="003646FE">
      <w:pPr>
        <w:jc w:val="both"/>
        <w:rPr>
          <w:rFonts w:ascii="Times New Roman" w:hAnsi="Times New Roman" w:cs="Times New Roman"/>
        </w:rPr>
      </w:pPr>
      <w:r w:rsidRPr="003646FE">
        <w:rPr>
          <w:rFonts w:ascii="Times New Roman" w:hAnsi="Times New Roman" w:cs="Times New Roman"/>
        </w:rPr>
        <w:t xml:space="preserve">Netflix's primary budgeting challenge is finding out how much to invest in shows without damaging profit margins. Content spending may be necessary to get and keep </w:t>
      </w:r>
      <w:r w:rsidRPr="003646FE">
        <w:rPr>
          <w:rFonts w:ascii="Times New Roman" w:hAnsi="Times New Roman" w:cs="Times New Roman"/>
        </w:rPr>
        <w:t>subscribers but</w:t>
      </w:r>
      <w:r w:rsidRPr="003646FE">
        <w:rPr>
          <w:rFonts w:ascii="Times New Roman" w:hAnsi="Times New Roman" w:cs="Times New Roman"/>
        </w:rPr>
        <w:t xml:space="preserve"> may be dangerous if the new programmes fail to create sufficient viewing, subscription or advertising revenue. Netflix should thus allow management accounting information, including viewing hours, regional revenues and production cost per title as well as subscriber retention to flow into budget decisions. This would allow managers to better assess the creative value against business value before approving future projects (Zhang, 2025).</w:t>
      </w:r>
    </w:p>
    <w:p w14:paraId="7271649E" w14:textId="77777777" w:rsidR="003646FE" w:rsidRPr="003646FE" w:rsidRDefault="003646FE" w:rsidP="003646FE">
      <w:pPr>
        <w:jc w:val="both"/>
        <w:rPr>
          <w:rFonts w:ascii="Times New Roman" w:hAnsi="Times New Roman" w:cs="Times New Roman"/>
          <w:b/>
          <w:bCs/>
        </w:rPr>
      </w:pPr>
      <w:r w:rsidRPr="003646FE">
        <w:rPr>
          <w:rFonts w:ascii="Times New Roman" w:hAnsi="Times New Roman" w:cs="Times New Roman"/>
          <w:b/>
          <w:bCs/>
        </w:rPr>
        <w:t>4. Performance Measurement and Decision-Making</w:t>
      </w:r>
    </w:p>
    <w:p w14:paraId="26AEF132" w14:textId="77777777" w:rsidR="003646FE" w:rsidRPr="003646FE" w:rsidRDefault="003646FE" w:rsidP="003646FE">
      <w:pPr>
        <w:jc w:val="both"/>
        <w:rPr>
          <w:rFonts w:ascii="Times New Roman" w:hAnsi="Times New Roman" w:cs="Times New Roman"/>
        </w:rPr>
      </w:pPr>
      <w:r w:rsidRPr="003646FE">
        <w:rPr>
          <w:rFonts w:ascii="Times New Roman" w:hAnsi="Times New Roman" w:cs="Times New Roman"/>
        </w:rPr>
        <w:t>Netflix relies on performance measure because they can't just look at revenue to measure success. It also should learn about engagement, membership behaviour, and advertising growth and customer retention. Forecasting is helpful for managers in streaming in planning content budgets, prices and marketing campaigns in advance of subscriber trends changing too significantly (Khattak, Patel and Hassan, 2026).</w:t>
      </w:r>
    </w:p>
    <w:p w14:paraId="180E768A" w14:textId="2067DF29" w:rsidR="003646FE" w:rsidRDefault="003646FE" w:rsidP="003646FE">
      <w:pPr>
        <w:jc w:val="both"/>
        <w:rPr>
          <w:rFonts w:ascii="Times New Roman" w:hAnsi="Times New Roman" w:cs="Times New Roman"/>
        </w:rPr>
      </w:pPr>
      <w:r w:rsidRPr="003646FE">
        <w:rPr>
          <w:rFonts w:ascii="Times New Roman" w:hAnsi="Times New Roman" w:cs="Times New Roman"/>
        </w:rPr>
        <w:t>The KPI's for Netflix for 2025 can be represented in a graph from the following table:</w:t>
      </w:r>
    </w:p>
    <w:p w14:paraId="4778E175" w14:textId="77777777" w:rsidR="003646FE" w:rsidRDefault="003646FE" w:rsidP="003646FE">
      <w:pPr>
        <w:jc w:val="both"/>
        <w:rPr>
          <w:rFonts w:ascii="Times New Roman" w:hAnsi="Times New Roman" w:cs="Times New Roman"/>
        </w:rPr>
      </w:pPr>
    </w:p>
    <w:p w14:paraId="34F70AA6" w14:textId="77777777" w:rsidR="003646FE" w:rsidRDefault="003646FE" w:rsidP="003646FE">
      <w:pPr>
        <w:jc w:val="both"/>
        <w:rPr>
          <w:rFonts w:ascii="Times New Roman" w:hAnsi="Times New Roman" w:cs="Times New Roman"/>
        </w:rPr>
      </w:pPr>
    </w:p>
    <w:p w14:paraId="676E21AA" w14:textId="77777777" w:rsidR="003646FE" w:rsidRPr="003646FE" w:rsidRDefault="003646FE" w:rsidP="003646FE">
      <w:pPr>
        <w:jc w:val="both"/>
        <w:rPr>
          <w:rFonts w:ascii="Times New Roman" w:hAnsi="Times New Roman" w:cs="Times New Roman"/>
        </w:rPr>
      </w:pP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19"/>
        <w:gridCol w:w="1601"/>
      </w:tblGrid>
      <w:tr w:rsidR="003646FE" w:rsidRPr="003646FE" w14:paraId="219670C3" w14:textId="77777777" w:rsidTr="00AC2E09">
        <w:trPr>
          <w:tblHeader/>
          <w:tblCellSpacing w:w="15" w:type="dxa"/>
        </w:trPr>
        <w:tc>
          <w:tcPr>
            <w:tcW w:w="0" w:type="auto"/>
            <w:vAlign w:val="center"/>
            <w:hideMark/>
          </w:tcPr>
          <w:p w14:paraId="7DE64261" w14:textId="77777777" w:rsidR="003646FE" w:rsidRPr="00AC2E09" w:rsidRDefault="003646FE" w:rsidP="00AC2E09">
            <w:pPr>
              <w:jc w:val="center"/>
              <w:rPr>
                <w:rFonts w:ascii="Times New Roman" w:hAnsi="Times New Roman" w:cs="Times New Roman"/>
                <w:b/>
                <w:bCs/>
                <w:sz w:val="22"/>
                <w:szCs w:val="22"/>
              </w:rPr>
            </w:pPr>
            <w:r w:rsidRPr="00AC2E09">
              <w:rPr>
                <w:rFonts w:ascii="Times New Roman" w:hAnsi="Times New Roman" w:cs="Times New Roman"/>
                <w:b/>
                <w:bCs/>
                <w:sz w:val="22"/>
                <w:szCs w:val="22"/>
              </w:rPr>
              <w:lastRenderedPageBreak/>
              <w:t>KPI</w:t>
            </w:r>
          </w:p>
        </w:tc>
        <w:tc>
          <w:tcPr>
            <w:tcW w:w="0" w:type="auto"/>
            <w:vAlign w:val="center"/>
            <w:hideMark/>
          </w:tcPr>
          <w:p w14:paraId="058D8791" w14:textId="77777777" w:rsidR="003646FE" w:rsidRPr="00AC2E09" w:rsidRDefault="003646FE" w:rsidP="00AC2E09">
            <w:pPr>
              <w:jc w:val="center"/>
              <w:rPr>
                <w:rFonts w:ascii="Times New Roman" w:hAnsi="Times New Roman" w:cs="Times New Roman"/>
                <w:b/>
                <w:bCs/>
                <w:sz w:val="22"/>
                <w:szCs w:val="22"/>
              </w:rPr>
            </w:pPr>
            <w:r w:rsidRPr="00AC2E09">
              <w:rPr>
                <w:rFonts w:ascii="Times New Roman" w:hAnsi="Times New Roman" w:cs="Times New Roman"/>
                <w:b/>
                <w:bCs/>
                <w:sz w:val="22"/>
                <w:szCs w:val="22"/>
              </w:rPr>
              <w:t>Netflix figure</w:t>
            </w:r>
          </w:p>
        </w:tc>
      </w:tr>
      <w:tr w:rsidR="003646FE" w:rsidRPr="003646FE" w14:paraId="4A85FAA7" w14:textId="77777777" w:rsidTr="00AC2E09">
        <w:trPr>
          <w:tblCellSpacing w:w="15" w:type="dxa"/>
        </w:trPr>
        <w:tc>
          <w:tcPr>
            <w:tcW w:w="0" w:type="auto"/>
            <w:vAlign w:val="center"/>
            <w:hideMark/>
          </w:tcPr>
          <w:p w14:paraId="2370AD54"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Annual revenue</w:t>
            </w:r>
          </w:p>
        </w:tc>
        <w:tc>
          <w:tcPr>
            <w:tcW w:w="0" w:type="auto"/>
            <w:vAlign w:val="center"/>
            <w:hideMark/>
          </w:tcPr>
          <w:p w14:paraId="34B623BE"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$45.2 billion</w:t>
            </w:r>
          </w:p>
        </w:tc>
      </w:tr>
      <w:tr w:rsidR="003646FE" w:rsidRPr="003646FE" w14:paraId="62237BC1" w14:textId="77777777" w:rsidTr="00AC2E09">
        <w:trPr>
          <w:tblCellSpacing w:w="15" w:type="dxa"/>
        </w:trPr>
        <w:tc>
          <w:tcPr>
            <w:tcW w:w="0" w:type="auto"/>
            <w:vAlign w:val="center"/>
            <w:hideMark/>
          </w:tcPr>
          <w:p w14:paraId="10EDAF37"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Operating margin</w:t>
            </w:r>
          </w:p>
        </w:tc>
        <w:tc>
          <w:tcPr>
            <w:tcW w:w="0" w:type="auto"/>
            <w:vAlign w:val="center"/>
            <w:hideMark/>
          </w:tcPr>
          <w:p w14:paraId="09677C98"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29.5%</w:t>
            </w:r>
          </w:p>
        </w:tc>
      </w:tr>
      <w:tr w:rsidR="003646FE" w:rsidRPr="003646FE" w14:paraId="7D4A2F78" w14:textId="77777777" w:rsidTr="00AC2E09">
        <w:trPr>
          <w:tblCellSpacing w:w="15" w:type="dxa"/>
        </w:trPr>
        <w:tc>
          <w:tcPr>
            <w:tcW w:w="0" w:type="auto"/>
            <w:vAlign w:val="center"/>
            <w:hideMark/>
          </w:tcPr>
          <w:p w14:paraId="064F7F39"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Advertising revenue</w:t>
            </w:r>
          </w:p>
        </w:tc>
        <w:tc>
          <w:tcPr>
            <w:tcW w:w="0" w:type="auto"/>
            <w:vAlign w:val="center"/>
            <w:hideMark/>
          </w:tcPr>
          <w:p w14:paraId="32D05499"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Over $1.5 billion</w:t>
            </w:r>
          </w:p>
        </w:tc>
      </w:tr>
      <w:tr w:rsidR="003646FE" w:rsidRPr="003646FE" w14:paraId="3F6318F3" w14:textId="77777777" w:rsidTr="00AC2E09">
        <w:trPr>
          <w:tblCellSpacing w:w="15" w:type="dxa"/>
        </w:trPr>
        <w:tc>
          <w:tcPr>
            <w:tcW w:w="0" w:type="auto"/>
            <w:vAlign w:val="center"/>
            <w:hideMark/>
          </w:tcPr>
          <w:p w14:paraId="220C1026"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Paid memberships</w:t>
            </w:r>
          </w:p>
        </w:tc>
        <w:tc>
          <w:tcPr>
            <w:tcW w:w="0" w:type="auto"/>
            <w:vAlign w:val="center"/>
            <w:hideMark/>
          </w:tcPr>
          <w:p w14:paraId="43D43787"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Over 325 million</w:t>
            </w:r>
          </w:p>
        </w:tc>
      </w:tr>
      <w:tr w:rsidR="003646FE" w:rsidRPr="003646FE" w14:paraId="35DD038D" w14:textId="77777777" w:rsidTr="00AC2E09">
        <w:trPr>
          <w:tblCellSpacing w:w="15" w:type="dxa"/>
        </w:trPr>
        <w:tc>
          <w:tcPr>
            <w:tcW w:w="0" w:type="auto"/>
            <w:vAlign w:val="center"/>
            <w:hideMark/>
          </w:tcPr>
          <w:p w14:paraId="57C0F320"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Viewing hours in H2 2025</w:t>
            </w:r>
          </w:p>
        </w:tc>
        <w:tc>
          <w:tcPr>
            <w:tcW w:w="0" w:type="auto"/>
            <w:vAlign w:val="center"/>
            <w:hideMark/>
          </w:tcPr>
          <w:p w14:paraId="203BEC17" w14:textId="77777777" w:rsidR="003646FE" w:rsidRPr="00AC2E09" w:rsidRDefault="003646FE" w:rsidP="00AC2E09">
            <w:pPr>
              <w:jc w:val="center"/>
              <w:rPr>
                <w:rFonts w:ascii="Times New Roman" w:hAnsi="Times New Roman" w:cs="Times New Roman"/>
                <w:sz w:val="22"/>
                <w:szCs w:val="22"/>
              </w:rPr>
            </w:pPr>
            <w:r w:rsidRPr="00AC2E09">
              <w:rPr>
                <w:rFonts w:ascii="Times New Roman" w:hAnsi="Times New Roman" w:cs="Times New Roman"/>
                <w:sz w:val="22"/>
                <w:szCs w:val="22"/>
              </w:rPr>
              <w:t>96 billion hours</w:t>
            </w:r>
          </w:p>
        </w:tc>
      </w:tr>
    </w:tbl>
    <w:p w14:paraId="1EF31317" w14:textId="77777777" w:rsidR="003646FE" w:rsidRPr="003646FE" w:rsidRDefault="003646FE" w:rsidP="003646FE">
      <w:pPr>
        <w:jc w:val="both"/>
        <w:rPr>
          <w:rFonts w:ascii="Times New Roman" w:hAnsi="Times New Roman" w:cs="Times New Roman"/>
        </w:rPr>
      </w:pPr>
      <w:r w:rsidRPr="003646FE">
        <w:rPr>
          <w:rFonts w:ascii="Times New Roman" w:hAnsi="Times New Roman" w:cs="Times New Roman"/>
        </w:rPr>
        <w:t>Looking at the table, Netflix's performance was solid not just from the financial perspective, but also from other aspects. Revenue and operating margin are indicators of profitability and memberships and viewing hours are indicators of audience strength. Advertising revenue also has grown in significance as Netflix seeks to diversify away from subscription fees. These KPIs should be displayed in a bar chart, where revenue, advertising revenue and viewing hours are displayed separately, due to the different units.</w:t>
      </w:r>
    </w:p>
    <w:p w14:paraId="6E3014EC" w14:textId="10402B3A" w:rsidR="003646FE" w:rsidRPr="003646FE" w:rsidRDefault="003646FE" w:rsidP="003646FE">
      <w:pPr>
        <w:jc w:val="both"/>
        <w:rPr>
          <w:rFonts w:ascii="Times New Roman" w:hAnsi="Times New Roman" w:cs="Times New Roman"/>
        </w:rPr>
      </w:pPr>
      <w:r w:rsidRPr="003646FE">
        <w:rPr>
          <w:rFonts w:ascii="Times New Roman" w:hAnsi="Times New Roman" w:cs="Times New Roman"/>
        </w:rPr>
        <w:t xml:space="preserve">This performance data can be correlated to strategic decisions made by Netflix. For instance, in June 2025, Nielsen reported that Netflix accounted for 8.3% of total TV usage in the United </w:t>
      </w:r>
      <w:r w:rsidRPr="003646FE">
        <w:rPr>
          <w:rFonts w:ascii="Times New Roman" w:hAnsi="Times New Roman" w:cs="Times New Roman"/>
        </w:rPr>
        <w:t>States and</w:t>
      </w:r>
      <w:r w:rsidRPr="003646FE">
        <w:rPr>
          <w:rFonts w:ascii="Times New Roman" w:hAnsi="Times New Roman" w:cs="Times New Roman"/>
        </w:rPr>
        <w:t xml:space="preserve"> became a top-three media distributor for the first time. Audiences data can be used to inform investment in original programming, live content and advertising, as it indicates if Netflix is gaining consumers' attention over other media outlets (Nielsen, 2025).</w:t>
      </w:r>
    </w:p>
    <w:p w14:paraId="459F8B15" w14:textId="77777777" w:rsidR="003646FE" w:rsidRPr="003646FE" w:rsidRDefault="003646FE" w:rsidP="003646FE">
      <w:pPr>
        <w:jc w:val="both"/>
        <w:rPr>
          <w:rFonts w:ascii="Times New Roman" w:hAnsi="Times New Roman" w:cs="Times New Roman"/>
        </w:rPr>
      </w:pPr>
      <w:r w:rsidRPr="003646FE">
        <w:rPr>
          <w:rFonts w:ascii="Times New Roman" w:hAnsi="Times New Roman" w:cs="Times New Roman"/>
        </w:rPr>
        <w:t>Personalisation is another critical factor for Netflix, as the company must help users discover content fast from a massive library. Studies of recommendation systems for Netflix indicate that personalised recommendations are likely to boost engagement more than less targeted recommendation techniques. This is significant for management decision-making as it can lead to higher retention rates, lower risk of cancellation, and higher returns on content investments (</w:t>
      </w:r>
      <w:proofErr w:type="spellStart"/>
      <w:r w:rsidRPr="003646FE">
        <w:rPr>
          <w:rFonts w:ascii="Times New Roman" w:hAnsi="Times New Roman" w:cs="Times New Roman"/>
        </w:rPr>
        <w:t>Zielnicki</w:t>
      </w:r>
      <w:proofErr w:type="spellEnd"/>
      <w:r w:rsidRPr="003646FE">
        <w:rPr>
          <w:rFonts w:ascii="Times New Roman" w:hAnsi="Times New Roman" w:cs="Times New Roman"/>
        </w:rPr>
        <w:t xml:space="preserve"> et al., 2025).</w:t>
      </w:r>
    </w:p>
    <w:p w14:paraId="3C62D483" w14:textId="14A78D75" w:rsidR="003646FE" w:rsidRPr="003646FE" w:rsidRDefault="003646FE" w:rsidP="003646FE">
      <w:pPr>
        <w:jc w:val="both"/>
        <w:rPr>
          <w:rFonts w:ascii="Times New Roman" w:hAnsi="Times New Roman" w:cs="Times New Roman"/>
        </w:rPr>
      </w:pPr>
      <w:r w:rsidRPr="003646FE">
        <w:rPr>
          <w:rFonts w:ascii="Times New Roman" w:hAnsi="Times New Roman" w:cs="Times New Roman"/>
        </w:rPr>
        <w:t>Netflix's performance data, overall, is a solid business, but one that has its legs held out in front of it because of their high spending on content and competition. By linking financial KPIs, including operating margin, to non-financial KPIs like viewing hours, memberships and audience share, management accounting can help. This provides a clearer foundation for managers to make decisions on pricing, content budgets, advertising growth and international expansion.</w:t>
      </w:r>
    </w:p>
    <w:p w14:paraId="1C00A7B6" w14:textId="77777777" w:rsidR="003646FE" w:rsidRPr="003646FE" w:rsidRDefault="003646FE" w:rsidP="003646FE">
      <w:pPr>
        <w:jc w:val="both"/>
        <w:rPr>
          <w:rFonts w:ascii="Times New Roman" w:hAnsi="Times New Roman" w:cs="Times New Roman"/>
          <w:b/>
          <w:bCs/>
        </w:rPr>
      </w:pPr>
      <w:r w:rsidRPr="003646FE">
        <w:rPr>
          <w:rFonts w:ascii="Times New Roman" w:hAnsi="Times New Roman" w:cs="Times New Roman"/>
          <w:b/>
          <w:bCs/>
        </w:rPr>
        <w:t>5. Sustainability and Ethical Considerations</w:t>
      </w:r>
    </w:p>
    <w:p w14:paraId="602EB53A" w14:textId="134257D2" w:rsidR="003646FE" w:rsidRDefault="003646FE" w:rsidP="003646FE">
      <w:pPr>
        <w:jc w:val="both"/>
        <w:rPr>
          <w:rFonts w:ascii="Times New Roman" w:hAnsi="Times New Roman" w:cs="Times New Roman"/>
        </w:rPr>
      </w:pPr>
      <w:r w:rsidRPr="003646FE">
        <w:rPr>
          <w:rFonts w:ascii="Times New Roman" w:hAnsi="Times New Roman" w:cs="Times New Roman"/>
        </w:rPr>
        <w:t>Sustainability is important for Netflix because the company’s environmental impact does not only come from offices. It is also generated through movie or series shooting, travelling, energy consumption, cloud-based service and providers. The Netflix 2024 ESG Report disclosed 1,129,124 metric tons of CO2e of total target-based emissions and that 100% of their electricity was covered with renewable energy. This can be reported as a small bar chart, as this will help to link environmental data with management reporting</w:t>
      </w:r>
      <w:r>
        <w:rPr>
          <w:rFonts w:ascii="Times New Roman" w:hAnsi="Times New Roman" w:cs="Times New Roman"/>
        </w:rPr>
        <w:t>.</w:t>
      </w:r>
    </w:p>
    <w:p w14:paraId="2478F958" w14:textId="77777777" w:rsidR="003646FE" w:rsidRDefault="003646FE" w:rsidP="003646FE">
      <w:pPr>
        <w:jc w:val="both"/>
        <w:rPr>
          <w:rFonts w:ascii="Times New Roman" w:hAnsi="Times New Roman" w:cs="Times New Roman"/>
        </w:rPr>
      </w:pPr>
    </w:p>
    <w:p w14:paraId="09380EDA" w14:textId="77777777" w:rsidR="003646FE" w:rsidRPr="003646FE" w:rsidRDefault="003646FE" w:rsidP="003646FE">
      <w:pPr>
        <w:jc w:val="both"/>
        <w:rPr>
          <w:rFonts w:ascii="Times New Roman" w:hAnsi="Times New Roman" w:cs="Times New Roman"/>
        </w:rPr>
      </w:pP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27"/>
        <w:gridCol w:w="2572"/>
      </w:tblGrid>
      <w:tr w:rsidR="003646FE" w:rsidRPr="003646FE" w14:paraId="4D22BFA8" w14:textId="77777777" w:rsidTr="003646FE">
        <w:trPr>
          <w:tblHeader/>
          <w:tblCellSpacing w:w="15" w:type="dxa"/>
        </w:trPr>
        <w:tc>
          <w:tcPr>
            <w:tcW w:w="0" w:type="auto"/>
            <w:vAlign w:val="center"/>
            <w:hideMark/>
          </w:tcPr>
          <w:p w14:paraId="7AEB502D" w14:textId="77777777" w:rsidR="003646FE" w:rsidRPr="003646FE" w:rsidRDefault="003646FE" w:rsidP="003646FE">
            <w:pPr>
              <w:jc w:val="center"/>
              <w:rPr>
                <w:rFonts w:ascii="Times New Roman" w:hAnsi="Times New Roman" w:cs="Times New Roman"/>
                <w:b/>
                <w:bCs/>
                <w:sz w:val="22"/>
                <w:szCs w:val="22"/>
              </w:rPr>
            </w:pPr>
            <w:r w:rsidRPr="003646FE">
              <w:rPr>
                <w:rFonts w:ascii="Times New Roman" w:hAnsi="Times New Roman" w:cs="Times New Roman"/>
                <w:b/>
                <w:bCs/>
                <w:sz w:val="22"/>
                <w:szCs w:val="22"/>
              </w:rPr>
              <w:t>Sustainability measure</w:t>
            </w:r>
          </w:p>
        </w:tc>
        <w:tc>
          <w:tcPr>
            <w:tcW w:w="0" w:type="auto"/>
            <w:vAlign w:val="center"/>
            <w:hideMark/>
          </w:tcPr>
          <w:p w14:paraId="306FD3F2" w14:textId="77777777" w:rsidR="003646FE" w:rsidRPr="003646FE" w:rsidRDefault="003646FE" w:rsidP="003646FE">
            <w:pPr>
              <w:jc w:val="center"/>
              <w:rPr>
                <w:rFonts w:ascii="Times New Roman" w:hAnsi="Times New Roman" w:cs="Times New Roman"/>
                <w:b/>
                <w:bCs/>
                <w:sz w:val="22"/>
                <w:szCs w:val="22"/>
              </w:rPr>
            </w:pPr>
            <w:r w:rsidRPr="003646FE">
              <w:rPr>
                <w:rFonts w:ascii="Times New Roman" w:hAnsi="Times New Roman" w:cs="Times New Roman"/>
                <w:b/>
                <w:bCs/>
                <w:sz w:val="22"/>
                <w:szCs w:val="22"/>
              </w:rPr>
              <w:t>2024 figure</w:t>
            </w:r>
          </w:p>
        </w:tc>
      </w:tr>
      <w:tr w:rsidR="003646FE" w:rsidRPr="003646FE" w14:paraId="585F8D95" w14:textId="77777777" w:rsidTr="003646FE">
        <w:trPr>
          <w:tblCellSpacing w:w="15" w:type="dxa"/>
        </w:trPr>
        <w:tc>
          <w:tcPr>
            <w:tcW w:w="0" w:type="auto"/>
            <w:vAlign w:val="center"/>
            <w:hideMark/>
          </w:tcPr>
          <w:p w14:paraId="491F7A94" w14:textId="77777777" w:rsidR="003646FE" w:rsidRPr="003646FE" w:rsidRDefault="003646FE" w:rsidP="003646FE">
            <w:pPr>
              <w:jc w:val="center"/>
              <w:rPr>
                <w:rFonts w:ascii="Times New Roman" w:hAnsi="Times New Roman" w:cs="Times New Roman"/>
                <w:sz w:val="22"/>
                <w:szCs w:val="22"/>
              </w:rPr>
            </w:pPr>
            <w:r w:rsidRPr="003646FE">
              <w:rPr>
                <w:rFonts w:ascii="Times New Roman" w:hAnsi="Times New Roman" w:cs="Times New Roman"/>
                <w:sz w:val="22"/>
                <w:szCs w:val="22"/>
              </w:rPr>
              <w:t>Target-based emissions</w:t>
            </w:r>
          </w:p>
        </w:tc>
        <w:tc>
          <w:tcPr>
            <w:tcW w:w="0" w:type="auto"/>
            <w:vAlign w:val="center"/>
            <w:hideMark/>
          </w:tcPr>
          <w:p w14:paraId="57AE64D8" w14:textId="77777777" w:rsidR="003646FE" w:rsidRPr="003646FE" w:rsidRDefault="003646FE" w:rsidP="003646FE">
            <w:pPr>
              <w:jc w:val="center"/>
              <w:rPr>
                <w:rFonts w:ascii="Times New Roman" w:hAnsi="Times New Roman" w:cs="Times New Roman"/>
                <w:sz w:val="22"/>
                <w:szCs w:val="22"/>
              </w:rPr>
            </w:pPr>
            <w:r w:rsidRPr="003646FE">
              <w:rPr>
                <w:rFonts w:ascii="Times New Roman" w:hAnsi="Times New Roman" w:cs="Times New Roman"/>
                <w:sz w:val="22"/>
                <w:szCs w:val="22"/>
              </w:rPr>
              <w:t>1,129,124 metric tons CO2e</w:t>
            </w:r>
          </w:p>
        </w:tc>
      </w:tr>
      <w:tr w:rsidR="003646FE" w:rsidRPr="003646FE" w14:paraId="46D70497" w14:textId="77777777" w:rsidTr="003646FE">
        <w:trPr>
          <w:tblCellSpacing w:w="15" w:type="dxa"/>
        </w:trPr>
        <w:tc>
          <w:tcPr>
            <w:tcW w:w="0" w:type="auto"/>
            <w:vAlign w:val="center"/>
            <w:hideMark/>
          </w:tcPr>
          <w:p w14:paraId="64C7622C" w14:textId="77777777" w:rsidR="003646FE" w:rsidRPr="003646FE" w:rsidRDefault="003646FE" w:rsidP="003646FE">
            <w:pPr>
              <w:jc w:val="center"/>
              <w:rPr>
                <w:rFonts w:ascii="Times New Roman" w:hAnsi="Times New Roman" w:cs="Times New Roman"/>
                <w:sz w:val="22"/>
                <w:szCs w:val="22"/>
              </w:rPr>
            </w:pPr>
            <w:r w:rsidRPr="003646FE">
              <w:rPr>
                <w:rFonts w:ascii="Times New Roman" w:hAnsi="Times New Roman" w:cs="Times New Roman"/>
                <w:sz w:val="22"/>
                <w:szCs w:val="22"/>
              </w:rPr>
              <w:t>Renewable electricity</w:t>
            </w:r>
          </w:p>
        </w:tc>
        <w:tc>
          <w:tcPr>
            <w:tcW w:w="0" w:type="auto"/>
            <w:vAlign w:val="center"/>
            <w:hideMark/>
          </w:tcPr>
          <w:p w14:paraId="500E120B" w14:textId="77777777" w:rsidR="003646FE" w:rsidRPr="003646FE" w:rsidRDefault="003646FE" w:rsidP="003646FE">
            <w:pPr>
              <w:jc w:val="center"/>
              <w:rPr>
                <w:rFonts w:ascii="Times New Roman" w:hAnsi="Times New Roman" w:cs="Times New Roman"/>
                <w:sz w:val="22"/>
                <w:szCs w:val="22"/>
              </w:rPr>
            </w:pPr>
            <w:r w:rsidRPr="003646FE">
              <w:rPr>
                <w:rFonts w:ascii="Times New Roman" w:hAnsi="Times New Roman" w:cs="Times New Roman"/>
                <w:sz w:val="22"/>
                <w:szCs w:val="22"/>
              </w:rPr>
              <w:t>100%</w:t>
            </w:r>
          </w:p>
        </w:tc>
      </w:tr>
      <w:tr w:rsidR="003646FE" w:rsidRPr="003646FE" w14:paraId="7493AE95" w14:textId="77777777" w:rsidTr="003646FE">
        <w:trPr>
          <w:tblCellSpacing w:w="15" w:type="dxa"/>
        </w:trPr>
        <w:tc>
          <w:tcPr>
            <w:tcW w:w="0" w:type="auto"/>
            <w:vAlign w:val="center"/>
            <w:hideMark/>
          </w:tcPr>
          <w:p w14:paraId="41D7F178" w14:textId="77777777" w:rsidR="003646FE" w:rsidRPr="003646FE" w:rsidRDefault="003646FE" w:rsidP="003646FE">
            <w:pPr>
              <w:jc w:val="center"/>
              <w:rPr>
                <w:rFonts w:ascii="Times New Roman" w:hAnsi="Times New Roman" w:cs="Times New Roman"/>
                <w:sz w:val="22"/>
                <w:szCs w:val="22"/>
              </w:rPr>
            </w:pPr>
            <w:r w:rsidRPr="003646FE">
              <w:rPr>
                <w:rFonts w:ascii="Times New Roman" w:hAnsi="Times New Roman" w:cs="Times New Roman"/>
                <w:sz w:val="22"/>
                <w:szCs w:val="22"/>
              </w:rPr>
              <w:t>Employees</w:t>
            </w:r>
          </w:p>
        </w:tc>
        <w:tc>
          <w:tcPr>
            <w:tcW w:w="0" w:type="auto"/>
            <w:vAlign w:val="center"/>
            <w:hideMark/>
          </w:tcPr>
          <w:p w14:paraId="14574F8E" w14:textId="77777777" w:rsidR="003646FE" w:rsidRPr="003646FE" w:rsidRDefault="003646FE" w:rsidP="003646FE">
            <w:pPr>
              <w:jc w:val="center"/>
              <w:rPr>
                <w:rFonts w:ascii="Times New Roman" w:hAnsi="Times New Roman" w:cs="Times New Roman"/>
                <w:sz w:val="22"/>
                <w:szCs w:val="22"/>
              </w:rPr>
            </w:pPr>
            <w:r w:rsidRPr="003646FE">
              <w:rPr>
                <w:rFonts w:ascii="Times New Roman" w:hAnsi="Times New Roman" w:cs="Times New Roman"/>
                <w:sz w:val="22"/>
                <w:szCs w:val="22"/>
              </w:rPr>
              <w:t>14,000</w:t>
            </w:r>
          </w:p>
        </w:tc>
      </w:tr>
    </w:tbl>
    <w:p w14:paraId="55992410" w14:textId="77777777" w:rsidR="003646FE" w:rsidRPr="003646FE" w:rsidRDefault="003646FE" w:rsidP="003646FE">
      <w:pPr>
        <w:jc w:val="both"/>
        <w:rPr>
          <w:rFonts w:ascii="Times New Roman" w:hAnsi="Times New Roman" w:cs="Times New Roman"/>
        </w:rPr>
      </w:pPr>
      <w:r w:rsidRPr="003646FE">
        <w:rPr>
          <w:rFonts w:ascii="Times New Roman" w:hAnsi="Times New Roman" w:cs="Times New Roman"/>
        </w:rPr>
        <w:t>That translates to Netflix, for management accounting, not treating sustainability as a stand-alone PR exercise. Environmental management accounting can assist the managers to uncover costs related to the environment, to make comparisons between production options and to integrate carbon information into investment decisions. This can be beneficial for Netflix, as location, transportation, energy and studio infrastructure choices can influence the overall production expenses and environmental impact (</w:t>
      </w:r>
      <w:proofErr w:type="spellStart"/>
      <w:r w:rsidRPr="003646FE">
        <w:rPr>
          <w:rFonts w:ascii="Times New Roman" w:hAnsi="Times New Roman" w:cs="Times New Roman"/>
        </w:rPr>
        <w:t>Swalih</w:t>
      </w:r>
      <w:proofErr w:type="spellEnd"/>
      <w:r w:rsidRPr="003646FE">
        <w:rPr>
          <w:rFonts w:ascii="Times New Roman" w:hAnsi="Times New Roman" w:cs="Times New Roman"/>
        </w:rPr>
        <w:t xml:space="preserve"> et al., 2024).</w:t>
      </w:r>
    </w:p>
    <w:p w14:paraId="6F095C57" w14:textId="061FCE3A" w:rsidR="003646FE" w:rsidRPr="003646FE" w:rsidRDefault="003646FE" w:rsidP="003646FE">
      <w:pPr>
        <w:jc w:val="both"/>
        <w:rPr>
          <w:rFonts w:ascii="Times New Roman" w:hAnsi="Times New Roman" w:cs="Times New Roman"/>
        </w:rPr>
      </w:pPr>
      <w:r w:rsidRPr="003646FE">
        <w:rPr>
          <w:rFonts w:ascii="Times New Roman" w:hAnsi="Times New Roman" w:cs="Times New Roman"/>
        </w:rPr>
        <w:t>Also,</w:t>
      </w:r>
      <w:r w:rsidRPr="003646FE">
        <w:rPr>
          <w:rFonts w:ascii="Times New Roman" w:hAnsi="Times New Roman" w:cs="Times New Roman"/>
        </w:rPr>
        <w:t xml:space="preserve"> there are moral problems in the supply chain of Netflix. The company has numerous suppliers and production partners in various countries, and the reduction in costs must not result in unsafe, dishonest or irresponsible working habits. Netflix's Supplier Code of Conduct states that suppliers are expected to conduct their business in a responsible, safe, honest and ethical way, and that Netflix will consider supplier compliance in supplier selection (Netflix, Inc., 2023).</w:t>
      </w:r>
    </w:p>
    <w:p w14:paraId="4B553334" w14:textId="55287056" w:rsidR="003646FE" w:rsidRPr="003646FE" w:rsidRDefault="003646FE" w:rsidP="003646FE">
      <w:pPr>
        <w:jc w:val="both"/>
        <w:rPr>
          <w:rFonts w:ascii="Times New Roman" w:hAnsi="Times New Roman" w:cs="Times New Roman"/>
        </w:rPr>
      </w:pPr>
      <w:r w:rsidRPr="003646FE">
        <w:rPr>
          <w:rFonts w:ascii="Times New Roman" w:hAnsi="Times New Roman" w:cs="Times New Roman"/>
        </w:rPr>
        <w:t>Pricing is another ethical consideration since Netflix offers a variety of plans, including plans with ads and premium plans. Raising prices may help to boost revenue, but it has to be done carefully so that customers will still be happy about the value of the service. Accounting ethics perspective: Managers should rely on the reliable data and not massage the cost/performance information to support decisions that could result in lost trust of customers (AICPA and CIMA, 2020).</w:t>
      </w:r>
    </w:p>
    <w:p w14:paraId="1350A03C" w14:textId="0D374736" w:rsidR="003646FE" w:rsidRPr="003646FE" w:rsidRDefault="003646FE" w:rsidP="003646FE">
      <w:pPr>
        <w:jc w:val="both"/>
        <w:rPr>
          <w:rFonts w:ascii="Times New Roman" w:hAnsi="Times New Roman" w:cs="Times New Roman"/>
          <w:b/>
          <w:bCs/>
        </w:rPr>
      </w:pPr>
      <w:r w:rsidRPr="003646FE">
        <w:rPr>
          <w:rFonts w:ascii="Times New Roman" w:hAnsi="Times New Roman" w:cs="Times New Roman"/>
          <w:b/>
          <w:bCs/>
        </w:rPr>
        <w:t>Conclusion and Recommendations</w:t>
      </w:r>
    </w:p>
    <w:p w14:paraId="5EEF8EBD" w14:textId="18F4010C" w:rsidR="003646FE" w:rsidRPr="003646FE" w:rsidRDefault="003646FE" w:rsidP="003646FE">
      <w:pPr>
        <w:jc w:val="both"/>
        <w:rPr>
          <w:rFonts w:ascii="Times New Roman" w:hAnsi="Times New Roman" w:cs="Times New Roman"/>
        </w:rPr>
      </w:pPr>
      <w:r w:rsidRPr="003646FE">
        <w:rPr>
          <w:rFonts w:ascii="Times New Roman" w:hAnsi="Times New Roman" w:cs="Times New Roman"/>
        </w:rPr>
        <w:t xml:space="preserve">In conclusion, the management accounting information provided by Netflix is critical as they need to balance subscriber growth, investments into content, advertising revenues, and operating margin. As demonstrated in the previous analysis, Netflix boasts a recurrent-revenue model that will be successful if content and technology expenditures are driving sufficient customer retention and engagement. Strategic management accounting is beneficial here, as it links internal cost data with broader market and competitor conditions, as opposed to just </w:t>
      </w:r>
      <w:r w:rsidRPr="003646FE">
        <w:rPr>
          <w:rFonts w:ascii="Times New Roman" w:hAnsi="Times New Roman" w:cs="Times New Roman"/>
        </w:rPr>
        <w:t>short-term</w:t>
      </w:r>
      <w:r w:rsidRPr="003646FE">
        <w:rPr>
          <w:rFonts w:ascii="Times New Roman" w:hAnsi="Times New Roman" w:cs="Times New Roman"/>
        </w:rPr>
        <w:t xml:space="preserve"> accounting data (</w:t>
      </w:r>
      <w:proofErr w:type="spellStart"/>
      <w:r w:rsidRPr="003646FE">
        <w:rPr>
          <w:rFonts w:ascii="Times New Roman" w:hAnsi="Times New Roman" w:cs="Times New Roman"/>
        </w:rPr>
        <w:t>Ojra</w:t>
      </w:r>
      <w:proofErr w:type="spellEnd"/>
      <w:r w:rsidRPr="003646FE">
        <w:rPr>
          <w:rFonts w:ascii="Times New Roman" w:hAnsi="Times New Roman" w:cs="Times New Roman"/>
        </w:rPr>
        <w:t xml:space="preserve">, </w:t>
      </w:r>
      <w:proofErr w:type="spellStart"/>
      <w:r w:rsidRPr="003646FE">
        <w:rPr>
          <w:rFonts w:ascii="Times New Roman" w:hAnsi="Times New Roman" w:cs="Times New Roman"/>
        </w:rPr>
        <w:t>Opute</w:t>
      </w:r>
      <w:proofErr w:type="spellEnd"/>
      <w:r w:rsidRPr="003646FE">
        <w:rPr>
          <w:rFonts w:ascii="Times New Roman" w:hAnsi="Times New Roman" w:cs="Times New Roman"/>
        </w:rPr>
        <w:t xml:space="preserve"> and </w:t>
      </w:r>
      <w:proofErr w:type="spellStart"/>
      <w:r w:rsidRPr="003646FE">
        <w:rPr>
          <w:rFonts w:ascii="Times New Roman" w:hAnsi="Times New Roman" w:cs="Times New Roman"/>
        </w:rPr>
        <w:t>Alsolmi</w:t>
      </w:r>
      <w:proofErr w:type="spellEnd"/>
      <w:r w:rsidRPr="003646FE">
        <w:rPr>
          <w:rFonts w:ascii="Times New Roman" w:hAnsi="Times New Roman" w:cs="Times New Roman"/>
        </w:rPr>
        <w:t>, 2021).</w:t>
      </w:r>
    </w:p>
    <w:p w14:paraId="3DBFE42B" w14:textId="2743C2BA" w:rsidR="003646FE" w:rsidRPr="003646FE" w:rsidRDefault="003646FE" w:rsidP="003646FE">
      <w:pPr>
        <w:jc w:val="both"/>
        <w:rPr>
          <w:rFonts w:ascii="Times New Roman" w:hAnsi="Times New Roman" w:cs="Times New Roman"/>
        </w:rPr>
      </w:pPr>
      <w:r w:rsidRPr="003646FE">
        <w:rPr>
          <w:rFonts w:ascii="Times New Roman" w:hAnsi="Times New Roman" w:cs="Times New Roman"/>
        </w:rPr>
        <w:t xml:space="preserve">Netflix should be advised to adopt rolling budgets for programme expenditure, since programme demand and performance can shift rapidly. Second, Netflix should look at the number of viewing hours, retention and advertising potential, and then assess the cost of the content before giving the thumbs up. Lastly, production budgets should factor in sustainability costs for the financial and environmental impacts of a production. This would assist Netflix in </w:t>
      </w:r>
      <w:r w:rsidRPr="003646FE">
        <w:rPr>
          <w:rFonts w:ascii="Times New Roman" w:hAnsi="Times New Roman" w:cs="Times New Roman"/>
        </w:rPr>
        <w:lastRenderedPageBreak/>
        <w:t>making decisions that are good for profitability, competitiveness and long-term value (Nga, 2023).</w:t>
      </w:r>
    </w:p>
    <w:p w14:paraId="3A401048" w14:textId="7EC3A91A" w:rsidR="007662AE" w:rsidRDefault="007662AE" w:rsidP="00184207">
      <w:pPr>
        <w:jc w:val="both"/>
        <w:rPr>
          <w:rFonts w:ascii="Times New Roman" w:hAnsi="Times New Roman" w:cs="Times New Roman"/>
        </w:rPr>
      </w:pPr>
      <w:r>
        <w:rPr>
          <w:rFonts w:ascii="Times New Roman" w:hAnsi="Times New Roman" w:cs="Times New Roman"/>
        </w:rPr>
        <w:br w:type="page"/>
      </w:r>
    </w:p>
    <w:p w14:paraId="315AA5E4" w14:textId="0C9C0EA1" w:rsidR="00B92E13" w:rsidRDefault="007662AE" w:rsidP="00B92E13">
      <w:pPr>
        <w:jc w:val="both"/>
        <w:rPr>
          <w:rFonts w:ascii="Times New Roman" w:hAnsi="Times New Roman" w:cs="Times New Roman"/>
          <w:b/>
          <w:bCs/>
        </w:rPr>
      </w:pPr>
      <w:r w:rsidRPr="007662AE">
        <w:rPr>
          <w:rFonts w:ascii="Times New Roman" w:hAnsi="Times New Roman" w:cs="Times New Roman"/>
          <w:b/>
          <w:bCs/>
        </w:rPr>
        <w:lastRenderedPageBreak/>
        <w:t>References</w:t>
      </w:r>
      <w:r>
        <w:rPr>
          <w:rFonts w:ascii="Times New Roman" w:hAnsi="Times New Roman" w:cs="Times New Roman"/>
          <w:b/>
          <w:bCs/>
        </w:rPr>
        <w:t>:</w:t>
      </w:r>
    </w:p>
    <w:p w14:paraId="444E9914" w14:textId="4CC07921"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Ahmed, J.U. (2023) ‘Netflix: Subscription-based video-on-demand channel’, </w:t>
      </w:r>
      <w:r w:rsidRPr="003646FE">
        <w:rPr>
          <w:rFonts w:ascii="Times New Roman" w:hAnsi="Times New Roman" w:cs="Times New Roman"/>
          <w:i/>
          <w:iCs/>
        </w:rPr>
        <w:t>SAGE Business Cases</w:t>
      </w:r>
      <w:r w:rsidRPr="003646FE">
        <w:rPr>
          <w:rFonts w:ascii="Times New Roman" w:hAnsi="Times New Roman" w:cs="Times New Roman"/>
        </w:rPr>
        <w:t xml:space="preserve">. Available at: </w:t>
      </w:r>
      <w:hyperlink r:id="rId4" w:tgtFrame="_new" w:history="1">
        <w:r w:rsidRPr="003646FE">
          <w:rPr>
            <w:rStyle w:val="Hyperlink"/>
            <w:rFonts w:ascii="Times New Roman" w:hAnsi="Times New Roman" w:cs="Times New Roman"/>
          </w:rPr>
          <w:t>https://journals.sagepub.com/doi/10.1177/25166042231172892</w:t>
        </w:r>
      </w:hyperlink>
      <w:r w:rsidRPr="003646FE">
        <w:rPr>
          <w:rFonts w:ascii="Times New Roman" w:hAnsi="Times New Roman" w:cs="Times New Roman"/>
        </w:rPr>
        <w:t xml:space="preserve"> </w:t>
      </w:r>
    </w:p>
    <w:p w14:paraId="16536D49" w14:textId="0EF3BEBC"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AICPA and CIMA (2018) </w:t>
      </w:r>
      <w:r w:rsidRPr="003646FE">
        <w:rPr>
          <w:rFonts w:ascii="Times New Roman" w:hAnsi="Times New Roman" w:cs="Times New Roman"/>
          <w:i/>
          <w:iCs/>
        </w:rPr>
        <w:t>Welcome to management and budgetary control</w:t>
      </w:r>
      <w:r w:rsidRPr="003646FE">
        <w:rPr>
          <w:rFonts w:ascii="Times New Roman" w:hAnsi="Times New Roman" w:cs="Times New Roman"/>
        </w:rPr>
        <w:t xml:space="preserve">. Available at: </w:t>
      </w:r>
      <w:hyperlink r:id="rId5" w:tgtFrame="_new" w:history="1">
        <w:r w:rsidRPr="003646FE">
          <w:rPr>
            <w:rStyle w:val="Hyperlink"/>
            <w:rFonts w:ascii="Times New Roman" w:hAnsi="Times New Roman" w:cs="Times New Roman"/>
          </w:rPr>
          <w:t>https://www.aicpa-cima.com/resources/article/welcome-to-management-and-budgetary-control</w:t>
        </w:r>
      </w:hyperlink>
      <w:r w:rsidRPr="003646FE">
        <w:rPr>
          <w:rFonts w:ascii="Times New Roman" w:hAnsi="Times New Roman" w:cs="Times New Roman"/>
        </w:rPr>
        <w:t xml:space="preserve"> </w:t>
      </w:r>
    </w:p>
    <w:p w14:paraId="199434E8" w14:textId="37E8DA4F"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AICPA and CIMA (2020) </w:t>
      </w:r>
      <w:r w:rsidRPr="003646FE">
        <w:rPr>
          <w:rFonts w:ascii="Times New Roman" w:hAnsi="Times New Roman" w:cs="Times New Roman"/>
          <w:i/>
          <w:iCs/>
        </w:rPr>
        <w:t>Code of Ethics at a glance</w:t>
      </w:r>
      <w:r w:rsidRPr="003646FE">
        <w:rPr>
          <w:rFonts w:ascii="Times New Roman" w:hAnsi="Times New Roman" w:cs="Times New Roman"/>
        </w:rPr>
        <w:t xml:space="preserve">. Available at: </w:t>
      </w:r>
      <w:hyperlink r:id="rId6" w:tgtFrame="_new" w:history="1">
        <w:r w:rsidRPr="003646FE">
          <w:rPr>
            <w:rStyle w:val="Hyperlink"/>
            <w:rFonts w:ascii="Times New Roman" w:hAnsi="Times New Roman" w:cs="Times New Roman"/>
          </w:rPr>
          <w:t>https://www.aicpa-cima.com/resources/landing/code-of-ethics-at-a-glance</w:t>
        </w:r>
      </w:hyperlink>
      <w:r w:rsidRPr="003646FE">
        <w:rPr>
          <w:rFonts w:ascii="Times New Roman" w:hAnsi="Times New Roman" w:cs="Times New Roman"/>
        </w:rPr>
        <w:t xml:space="preserve"> </w:t>
      </w:r>
    </w:p>
    <w:p w14:paraId="65BE6246" w14:textId="7B0BE263"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AICPA and CIMA (2026) </w:t>
      </w:r>
      <w:r w:rsidRPr="003646FE">
        <w:rPr>
          <w:rFonts w:ascii="Times New Roman" w:hAnsi="Times New Roman" w:cs="Times New Roman"/>
          <w:i/>
          <w:iCs/>
        </w:rPr>
        <w:t>GMAP – Global Management Accounting Principles</w:t>
      </w:r>
      <w:r w:rsidRPr="003646FE">
        <w:rPr>
          <w:rFonts w:ascii="Times New Roman" w:hAnsi="Times New Roman" w:cs="Times New Roman"/>
        </w:rPr>
        <w:t xml:space="preserve">. 2nd </w:t>
      </w:r>
      <w:proofErr w:type="spellStart"/>
      <w:r w:rsidRPr="003646FE">
        <w:rPr>
          <w:rFonts w:ascii="Times New Roman" w:hAnsi="Times New Roman" w:cs="Times New Roman"/>
        </w:rPr>
        <w:t>edn</w:t>
      </w:r>
      <w:proofErr w:type="spellEnd"/>
      <w:r w:rsidRPr="003646FE">
        <w:rPr>
          <w:rFonts w:ascii="Times New Roman" w:hAnsi="Times New Roman" w:cs="Times New Roman"/>
        </w:rPr>
        <w:t xml:space="preserve">. Available at: </w:t>
      </w:r>
      <w:hyperlink r:id="rId7" w:tgtFrame="_new" w:history="1">
        <w:r w:rsidRPr="003646FE">
          <w:rPr>
            <w:rStyle w:val="Hyperlink"/>
            <w:rFonts w:ascii="Times New Roman" w:hAnsi="Times New Roman" w:cs="Times New Roman"/>
          </w:rPr>
          <w:t>https://www.aicpa-cima.com/resources/download/gmap-global-accounting-principles</w:t>
        </w:r>
      </w:hyperlink>
      <w:r w:rsidRPr="003646FE">
        <w:rPr>
          <w:rFonts w:ascii="Times New Roman" w:hAnsi="Times New Roman" w:cs="Times New Roman"/>
        </w:rPr>
        <w:t xml:space="preserve"> </w:t>
      </w:r>
    </w:p>
    <w:p w14:paraId="53CD07E5" w14:textId="1C086028"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Choudhary, S. and Singh, A. (2025) ‘A critical review of budget control strategies for effective financial management in organizations’, </w:t>
      </w:r>
      <w:r w:rsidRPr="003646FE">
        <w:rPr>
          <w:rFonts w:ascii="Times New Roman" w:hAnsi="Times New Roman" w:cs="Times New Roman"/>
          <w:i/>
          <w:iCs/>
        </w:rPr>
        <w:t>American Journal of Finance and Business Management</w:t>
      </w:r>
      <w:r w:rsidRPr="003646FE">
        <w:rPr>
          <w:rFonts w:ascii="Times New Roman" w:hAnsi="Times New Roman" w:cs="Times New Roman"/>
        </w:rPr>
        <w:t xml:space="preserve">, 4(1), pp. 1–9. Available at: </w:t>
      </w:r>
      <w:hyperlink r:id="rId8" w:history="1">
        <w:r w:rsidRPr="00F677F7">
          <w:rPr>
            <w:rStyle w:val="Hyperlink"/>
            <w:rFonts w:ascii="Times New Roman" w:hAnsi="Times New Roman" w:cs="Times New Roman"/>
          </w:rPr>
          <w:t>https://doi.org/10.58425/ajfbm.v4i1.364</w:t>
        </w:r>
      </w:hyperlink>
      <w:r>
        <w:rPr>
          <w:rFonts w:ascii="Times New Roman" w:hAnsi="Times New Roman" w:cs="Times New Roman"/>
        </w:rPr>
        <w:t xml:space="preserve"> </w:t>
      </w:r>
      <w:r w:rsidRPr="003646FE">
        <w:rPr>
          <w:rFonts w:ascii="Times New Roman" w:hAnsi="Times New Roman" w:cs="Times New Roman"/>
        </w:rPr>
        <w:t xml:space="preserve"> </w:t>
      </w:r>
    </w:p>
    <w:p w14:paraId="7BB4CEAE" w14:textId="132CB00F"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Khattak, M.A., Patel, P. and Hassan, B. (2026) ‘Subscriber growth forecasting in the streaming industry: A Netflix case study’, in </w:t>
      </w:r>
      <w:r w:rsidRPr="003646FE">
        <w:rPr>
          <w:rFonts w:ascii="Times New Roman" w:hAnsi="Times New Roman" w:cs="Times New Roman"/>
          <w:i/>
          <w:iCs/>
        </w:rPr>
        <w:t>Innovations in Information and Decision Sciences</w:t>
      </w:r>
      <w:r w:rsidRPr="003646FE">
        <w:rPr>
          <w:rFonts w:ascii="Times New Roman" w:hAnsi="Times New Roman" w:cs="Times New Roman"/>
        </w:rPr>
        <w:t xml:space="preserve">. Cham: Springer, pp. 227–237. Available at: </w:t>
      </w:r>
      <w:hyperlink r:id="rId9" w:history="1">
        <w:r w:rsidRPr="00F677F7">
          <w:rPr>
            <w:rStyle w:val="Hyperlink"/>
            <w:rFonts w:ascii="Times New Roman" w:hAnsi="Times New Roman" w:cs="Times New Roman"/>
          </w:rPr>
          <w:t>https://doi.org/10.1007/978-3-032-12830-0_20</w:t>
        </w:r>
      </w:hyperlink>
      <w:r>
        <w:rPr>
          <w:rFonts w:ascii="Times New Roman" w:hAnsi="Times New Roman" w:cs="Times New Roman"/>
        </w:rPr>
        <w:t xml:space="preserve"> </w:t>
      </w:r>
      <w:r w:rsidRPr="003646FE">
        <w:rPr>
          <w:rFonts w:ascii="Times New Roman" w:hAnsi="Times New Roman" w:cs="Times New Roman"/>
        </w:rPr>
        <w:t xml:space="preserve"> </w:t>
      </w:r>
    </w:p>
    <w:p w14:paraId="6269D807" w14:textId="2F89D7E4"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Netflix, Inc. (2023) </w:t>
      </w:r>
      <w:r w:rsidRPr="003646FE">
        <w:rPr>
          <w:rFonts w:ascii="Times New Roman" w:hAnsi="Times New Roman" w:cs="Times New Roman"/>
          <w:i/>
          <w:iCs/>
        </w:rPr>
        <w:t>Netflix Supplier Code of Conduct</w:t>
      </w:r>
      <w:r w:rsidRPr="003646FE">
        <w:rPr>
          <w:rFonts w:ascii="Times New Roman" w:hAnsi="Times New Roman" w:cs="Times New Roman"/>
        </w:rPr>
        <w:t xml:space="preserve">. Available at: </w:t>
      </w:r>
      <w:hyperlink r:id="rId10" w:tgtFrame="_new" w:history="1">
        <w:r w:rsidRPr="003646FE">
          <w:rPr>
            <w:rStyle w:val="Hyperlink"/>
            <w:rFonts w:ascii="Times New Roman" w:hAnsi="Times New Roman" w:cs="Times New Roman"/>
          </w:rPr>
          <w:t>https://s22.q4cdn.com/959853165/files/doc_downloads/governance_docs/2023/06/netflix-supplier-code-of-conduct_june-19-2023.pdf</w:t>
        </w:r>
      </w:hyperlink>
      <w:r w:rsidRPr="003646FE">
        <w:rPr>
          <w:rFonts w:ascii="Times New Roman" w:hAnsi="Times New Roman" w:cs="Times New Roman"/>
        </w:rPr>
        <w:t xml:space="preserve"> </w:t>
      </w:r>
    </w:p>
    <w:p w14:paraId="11917743" w14:textId="562C189F"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Netflix, Inc. (2025) </w:t>
      </w:r>
      <w:r w:rsidRPr="003646FE">
        <w:rPr>
          <w:rFonts w:ascii="Times New Roman" w:hAnsi="Times New Roman" w:cs="Times New Roman"/>
          <w:i/>
          <w:iCs/>
        </w:rPr>
        <w:t>2024 Netflix Environmental, Social and Governance Report</w:t>
      </w:r>
      <w:r w:rsidRPr="003646FE">
        <w:rPr>
          <w:rFonts w:ascii="Times New Roman" w:hAnsi="Times New Roman" w:cs="Times New Roman"/>
        </w:rPr>
        <w:t xml:space="preserve">. Available at: </w:t>
      </w:r>
      <w:hyperlink r:id="rId11" w:tgtFrame="_new" w:history="1">
        <w:r w:rsidRPr="003646FE">
          <w:rPr>
            <w:rStyle w:val="Hyperlink"/>
            <w:rFonts w:ascii="Times New Roman" w:hAnsi="Times New Roman" w:cs="Times New Roman"/>
          </w:rPr>
          <w:t>https://s22.q4cdn.com/959853165/files/doc_downloads/2025/6/2024-Netflix-Environmental-Social-Governance-Report.pdf</w:t>
        </w:r>
      </w:hyperlink>
      <w:r w:rsidRPr="003646FE">
        <w:rPr>
          <w:rFonts w:ascii="Times New Roman" w:hAnsi="Times New Roman" w:cs="Times New Roman"/>
        </w:rPr>
        <w:t xml:space="preserve"> </w:t>
      </w:r>
    </w:p>
    <w:p w14:paraId="1498FC57" w14:textId="74B980F2"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Netflix, Inc. (2026a) </w:t>
      </w:r>
      <w:r w:rsidRPr="003646FE">
        <w:rPr>
          <w:rFonts w:ascii="Times New Roman" w:hAnsi="Times New Roman" w:cs="Times New Roman"/>
          <w:i/>
          <w:iCs/>
        </w:rPr>
        <w:t>Form 10-K for the fiscal year ended December 31, 2025</w:t>
      </w:r>
      <w:r w:rsidRPr="003646FE">
        <w:rPr>
          <w:rFonts w:ascii="Times New Roman" w:hAnsi="Times New Roman" w:cs="Times New Roman"/>
        </w:rPr>
        <w:t xml:space="preserve">. Available at: </w:t>
      </w:r>
      <w:hyperlink r:id="rId12" w:tgtFrame="_new" w:history="1">
        <w:r w:rsidRPr="003646FE">
          <w:rPr>
            <w:rStyle w:val="Hyperlink"/>
            <w:rFonts w:ascii="Times New Roman" w:hAnsi="Times New Roman" w:cs="Times New Roman"/>
          </w:rPr>
          <w:t>https://www.sec.gov/Archives/edgar/data/1065280/000106528026000034/nflx-20251231.htm</w:t>
        </w:r>
      </w:hyperlink>
      <w:r w:rsidRPr="003646FE">
        <w:rPr>
          <w:rFonts w:ascii="Times New Roman" w:hAnsi="Times New Roman" w:cs="Times New Roman"/>
        </w:rPr>
        <w:t xml:space="preserve"> </w:t>
      </w:r>
    </w:p>
    <w:p w14:paraId="4C155585" w14:textId="0B94C76B"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Netflix, Inc. (2026b) </w:t>
      </w:r>
      <w:r w:rsidRPr="003646FE">
        <w:rPr>
          <w:rFonts w:ascii="Times New Roman" w:hAnsi="Times New Roman" w:cs="Times New Roman"/>
          <w:i/>
          <w:iCs/>
        </w:rPr>
        <w:t>Q1 2026 Shareholder Letter</w:t>
      </w:r>
      <w:r w:rsidRPr="003646FE">
        <w:rPr>
          <w:rFonts w:ascii="Times New Roman" w:hAnsi="Times New Roman" w:cs="Times New Roman"/>
        </w:rPr>
        <w:t xml:space="preserve">. Available at: </w:t>
      </w:r>
      <w:hyperlink r:id="rId13" w:tgtFrame="_new" w:history="1">
        <w:r w:rsidRPr="003646FE">
          <w:rPr>
            <w:rStyle w:val="Hyperlink"/>
            <w:rFonts w:ascii="Times New Roman" w:hAnsi="Times New Roman" w:cs="Times New Roman"/>
          </w:rPr>
          <w:t>https://s22.q4cdn.com/959853165/files/doc_financials/2026/q1/FINAL-Q1-26-Shareholder-Letter.pdf</w:t>
        </w:r>
      </w:hyperlink>
      <w:r w:rsidRPr="003646FE">
        <w:rPr>
          <w:rFonts w:ascii="Times New Roman" w:hAnsi="Times New Roman" w:cs="Times New Roman"/>
        </w:rPr>
        <w:t xml:space="preserve"> </w:t>
      </w:r>
    </w:p>
    <w:p w14:paraId="697EA6D5" w14:textId="65B2FEF4"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Netflix, Inc. (2026c) </w:t>
      </w:r>
      <w:r w:rsidRPr="003646FE">
        <w:rPr>
          <w:rFonts w:ascii="Times New Roman" w:hAnsi="Times New Roman" w:cs="Times New Roman"/>
          <w:i/>
          <w:iCs/>
        </w:rPr>
        <w:t>Q4 2025 Shareholder Letter</w:t>
      </w:r>
      <w:r w:rsidRPr="003646FE">
        <w:rPr>
          <w:rFonts w:ascii="Times New Roman" w:hAnsi="Times New Roman" w:cs="Times New Roman"/>
        </w:rPr>
        <w:t xml:space="preserve">. Available at: </w:t>
      </w:r>
      <w:hyperlink r:id="rId14" w:tgtFrame="_new" w:history="1">
        <w:r w:rsidRPr="003646FE">
          <w:rPr>
            <w:rStyle w:val="Hyperlink"/>
            <w:rFonts w:ascii="Times New Roman" w:hAnsi="Times New Roman" w:cs="Times New Roman"/>
          </w:rPr>
          <w:t>https://s22.q4cdn.com/959853165/files/doc_financials/2025/q4/FINAL-Q4-25-Shareholder-Letter.pdf</w:t>
        </w:r>
      </w:hyperlink>
      <w:r w:rsidRPr="003646FE">
        <w:rPr>
          <w:rFonts w:ascii="Times New Roman" w:hAnsi="Times New Roman" w:cs="Times New Roman"/>
        </w:rPr>
        <w:t xml:space="preserve"> </w:t>
      </w:r>
    </w:p>
    <w:p w14:paraId="3AD31936" w14:textId="1EEBC17E"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Nga, P.T.T. (2023) ‘Strategic management accounting application – Some discussions for the tourism business’, in Castanho, R.A., Franco, M. and Gómez, J.M.N. (eds.) </w:t>
      </w:r>
      <w:r w:rsidRPr="003646FE">
        <w:rPr>
          <w:rFonts w:ascii="Times New Roman" w:hAnsi="Times New Roman" w:cs="Times New Roman"/>
          <w:i/>
          <w:iCs/>
        </w:rPr>
        <w:t>Post-COVID Tourism: Tendencies and Management Approaches</w:t>
      </w:r>
      <w:r w:rsidRPr="003646FE">
        <w:rPr>
          <w:rFonts w:ascii="Times New Roman" w:hAnsi="Times New Roman" w:cs="Times New Roman"/>
        </w:rPr>
        <w:t xml:space="preserve">. London: </w:t>
      </w:r>
      <w:proofErr w:type="spellStart"/>
      <w:r w:rsidRPr="003646FE">
        <w:rPr>
          <w:rFonts w:ascii="Times New Roman" w:hAnsi="Times New Roman" w:cs="Times New Roman"/>
        </w:rPr>
        <w:t>IntechOpen</w:t>
      </w:r>
      <w:proofErr w:type="spellEnd"/>
      <w:r w:rsidRPr="003646FE">
        <w:rPr>
          <w:rFonts w:ascii="Times New Roman" w:hAnsi="Times New Roman" w:cs="Times New Roman"/>
        </w:rPr>
        <w:t xml:space="preserve">. Available at: </w:t>
      </w:r>
      <w:hyperlink r:id="rId15" w:tgtFrame="_new" w:history="1">
        <w:r w:rsidRPr="003646FE">
          <w:rPr>
            <w:rStyle w:val="Hyperlink"/>
            <w:rFonts w:ascii="Times New Roman" w:hAnsi="Times New Roman" w:cs="Times New Roman"/>
          </w:rPr>
          <w:t>https://www.intechopen.com/chapters/87452</w:t>
        </w:r>
      </w:hyperlink>
      <w:r w:rsidRPr="003646FE">
        <w:rPr>
          <w:rFonts w:ascii="Times New Roman" w:hAnsi="Times New Roman" w:cs="Times New Roman"/>
        </w:rPr>
        <w:t xml:space="preserve"> </w:t>
      </w:r>
    </w:p>
    <w:p w14:paraId="4F7B12AB" w14:textId="556AB2FF" w:rsidR="003646FE" w:rsidRPr="003646FE" w:rsidRDefault="003646FE" w:rsidP="003646FE">
      <w:pPr>
        <w:rPr>
          <w:rFonts w:ascii="Times New Roman" w:hAnsi="Times New Roman" w:cs="Times New Roman"/>
        </w:rPr>
      </w:pPr>
      <w:r w:rsidRPr="003646FE">
        <w:rPr>
          <w:rFonts w:ascii="Times New Roman" w:hAnsi="Times New Roman" w:cs="Times New Roman"/>
        </w:rPr>
        <w:lastRenderedPageBreak/>
        <w:t xml:space="preserve">Nielsen (2025) </w:t>
      </w:r>
      <w:r w:rsidRPr="003646FE">
        <w:rPr>
          <w:rFonts w:ascii="Times New Roman" w:hAnsi="Times New Roman" w:cs="Times New Roman"/>
          <w:i/>
          <w:iCs/>
        </w:rPr>
        <w:t>Netflix breaks into top 3 media distributors for the first time in Nielsen’s June 2025 Media Distributor Gauge</w:t>
      </w:r>
      <w:r w:rsidRPr="003646FE">
        <w:rPr>
          <w:rFonts w:ascii="Times New Roman" w:hAnsi="Times New Roman" w:cs="Times New Roman"/>
        </w:rPr>
        <w:t xml:space="preserve">. Available at: </w:t>
      </w:r>
      <w:hyperlink r:id="rId16" w:tgtFrame="_new" w:history="1">
        <w:r w:rsidRPr="003646FE">
          <w:rPr>
            <w:rStyle w:val="Hyperlink"/>
            <w:rFonts w:ascii="Times New Roman" w:hAnsi="Times New Roman" w:cs="Times New Roman"/>
          </w:rPr>
          <w:t>https://www.nielsen.com/news-center/2025/netflix-breaks-into-top-3-media-distributors-for-the-first-time-in-nielsens-june-2025-media-distributor-gauge/</w:t>
        </w:r>
      </w:hyperlink>
      <w:r w:rsidRPr="003646FE">
        <w:rPr>
          <w:rFonts w:ascii="Times New Roman" w:hAnsi="Times New Roman" w:cs="Times New Roman"/>
        </w:rPr>
        <w:t xml:space="preserve"> </w:t>
      </w:r>
    </w:p>
    <w:p w14:paraId="3F881319" w14:textId="7961D1A0" w:rsidR="003646FE" w:rsidRPr="003646FE" w:rsidRDefault="003646FE" w:rsidP="003646FE">
      <w:pPr>
        <w:rPr>
          <w:rFonts w:ascii="Times New Roman" w:hAnsi="Times New Roman" w:cs="Times New Roman"/>
        </w:rPr>
      </w:pPr>
      <w:proofErr w:type="spellStart"/>
      <w:r w:rsidRPr="003646FE">
        <w:rPr>
          <w:rFonts w:ascii="Times New Roman" w:hAnsi="Times New Roman" w:cs="Times New Roman"/>
        </w:rPr>
        <w:t>Ojra</w:t>
      </w:r>
      <w:proofErr w:type="spellEnd"/>
      <w:r w:rsidRPr="003646FE">
        <w:rPr>
          <w:rFonts w:ascii="Times New Roman" w:hAnsi="Times New Roman" w:cs="Times New Roman"/>
        </w:rPr>
        <w:t xml:space="preserve">, J., </w:t>
      </w:r>
      <w:proofErr w:type="spellStart"/>
      <w:r w:rsidRPr="003646FE">
        <w:rPr>
          <w:rFonts w:ascii="Times New Roman" w:hAnsi="Times New Roman" w:cs="Times New Roman"/>
        </w:rPr>
        <w:t>Opute</w:t>
      </w:r>
      <w:proofErr w:type="spellEnd"/>
      <w:r w:rsidRPr="003646FE">
        <w:rPr>
          <w:rFonts w:ascii="Times New Roman" w:hAnsi="Times New Roman" w:cs="Times New Roman"/>
        </w:rPr>
        <w:t xml:space="preserve">, A.P. and </w:t>
      </w:r>
      <w:proofErr w:type="spellStart"/>
      <w:r w:rsidRPr="003646FE">
        <w:rPr>
          <w:rFonts w:ascii="Times New Roman" w:hAnsi="Times New Roman" w:cs="Times New Roman"/>
        </w:rPr>
        <w:t>Alsolmi</w:t>
      </w:r>
      <w:proofErr w:type="spellEnd"/>
      <w:r w:rsidRPr="003646FE">
        <w:rPr>
          <w:rFonts w:ascii="Times New Roman" w:hAnsi="Times New Roman" w:cs="Times New Roman"/>
        </w:rPr>
        <w:t xml:space="preserve">, M.M. (2021) ‘Strategic management accounting and performance implications: A literature review and research agenda’, </w:t>
      </w:r>
      <w:r w:rsidRPr="003646FE">
        <w:rPr>
          <w:rFonts w:ascii="Times New Roman" w:hAnsi="Times New Roman" w:cs="Times New Roman"/>
          <w:i/>
          <w:iCs/>
        </w:rPr>
        <w:t>Future Business Journal</w:t>
      </w:r>
      <w:r w:rsidRPr="003646FE">
        <w:rPr>
          <w:rFonts w:ascii="Times New Roman" w:hAnsi="Times New Roman" w:cs="Times New Roman"/>
        </w:rPr>
        <w:t xml:space="preserve">, 7(1), article 64. Available at: </w:t>
      </w:r>
      <w:hyperlink r:id="rId17" w:tgtFrame="_new" w:history="1">
        <w:r w:rsidRPr="003646FE">
          <w:rPr>
            <w:rStyle w:val="Hyperlink"/>
            <w:rFonts w:ascii="Times New Roman" w:hAnsi="Times New Roman" w:cs="Times New Roman"/>
          </w:rPr>
          <w:t>https://doi.org/10.1186/s43093-021-00109-1</w:t>
        </w:r>
      </w:hyperlink>
      <w:r w:rsidRPr="003646FE">
        <w:rPr>
          <w:rFonts w:ascii="Times New Roman" w:hAnsi="Times New Roman" w:cs="Times New Roman"/>
        </w:rPr>
        <w:t xml:space="preserve"> </w:t>
      </w:r>
    </w:p>
    <w:p w14:paraId="62516BEA" w14:textId="38B3E408"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S&amp;P Global Market Intelligence (2026) </w:t>
      </w:r>
      <w:r w:rsidRPr="003646FE">
        <w:rPr>
          <w:rFonts w:ascii="Times New Roman" w:hAnsi="Times New Roman" w:cs="Times New Roman"/>
          <w:i/>
          <w:iCs/>
        </w:rPr>
        <w:t>Netflix earnings preview: Q1 2026</w:t>
      </w:r>
      <w:r w:rsidRPr="003646FE">
        <w:rPr>
          <w:rFonts w:ascii="Times New Roman" w:hAnsi="Times New Roman" w:cs="Times New Roman"/>
        </w:rPr>
        <w:t xml:space="preserve">. Available at: </w:t>
      </w:r>
      <w:hyperlink r:id="rId18" w:tgtFrame="_new" w:history="1">
        <w:r w:rsidRPr="003646FE">
          <w:rPr>
            <w:rStyle w:val="Hyperlink"/>
            <w:rFonts w:ascii="Times New Roman" w:hAnsi="Times New Roman" w:cs="Times New Roman"/>
          </w:rPr>
          <w:t>https://www.spglobal.com/market-intelligence/en/news-insights/research/2026/04/netflix-earnings-preview-q1-2026</w:t>
        </w:r>
      </w:hyperlink>
      <w:r w:rsidRPr="003646FE">
        <w:rPr>
          <w:rFonts w:ascii="Times New Roman" w:hAnsi="Times New Roman" w:cs="Times New Roman"/>
        </w:rPr>
        <w:t xml:space="preserve"> </w:t>
      </w:r>
    </w:p>
    <w:p w14:paraId="68A5D4EF" w14:textId="59396E22"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Swalih, M.M., Adarsha, K., </w:t>
      </w:r>
      <w:proofErr w:type="spellStart"/>
      <w:r w:rsidRPr="003646FE">
        <w:rPr>
          <w:rFonts w:ascii="Times New Roman" w:hAnsi="Times New Roman" w:cs="Times New Roman"/>
        </w:rPr>
        <w:t>Sulphey</w:t>
      </w:r>
      <w:proofErr w:type="spellEnd"/>
      <w:r w:rsidRPr="003646FE">
        <w:rPr>
          <w:rFonts w:ascii="Times New Roman" w:hAnsi="Times New Roman" w:cs="Times New Roman"/>
        </w:rPr>
        <w:t xml:space="preserve">, M.M., Gupta, S., Tiwari, A.K. and Sari, U. (2024) ‘Environmental management accounting for strategic decision-making: A systematic literature review’, </w:t>
      </w:r>
      <w:r w:rsidRPr="003646FE">
        <w:rPr>
          <w:rFonts w:ascii="Times New Roman" w:hAnsi="Times New Roman" w:cs="Times New Roman"/>
          <w:i/>
          <w:iCs/>
        </w:rPr>
        <w:t>Business Strategy and the Environment</w:t>
      </w:r>
      <w:r w:rsidRPr="003646FE">
        <w:rPr>
          <w:rFonts w:ascii="Times New Roman" w:hAnsi="Times New Roman" w:cs="Times New Roman"/>
        </w:rPr>
        <w:t xml:space="preserve">. Available at: </w:t>
      </w:r>
      <w:hyperlink r:id="rId19" w:tgtFrame="_new" w:history="1">
        <w:r w:rsidRPr="003646FE">
          <w:rPr>
            <w:rStyle w:val="Hyperlink"/>
            <w:rFonts w:ascii="Times New Roman" w:hAnsi="Times New Roman" w:cs="Times New Roman"/>
          </w:rPr>
          <w:t>https://onlinelibrary.wiley.com/doi/full/10.1002/bse.3828</w:t>
        </w:r>
      </w:hyperlink>
      <w:r w:rsidRPr="003646FE">
        <w:rPr>
          <w:rFonts w:ascii="Times New Roman" w:hAnsi="Times New Roman" w:cs="Times New Roman"/>
        </w:rPr>
        <w:t xml:space="preserve"> </w:t>
      </w:r>
    </w:p>
    <w:p w14:paraId="3CE6C85D" w14:textId="0B42ECD7"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The Open University (n.d.) </w:t>
      </w:r>
      <w:r w:rsidRPr="003646FE">
        <w:rPr>
          <w:rFonts w:ascii="Times New Roman" w:hAnsi="Times New Roman" w:cs="Times New Roman"/>
          <w:i/>
          <w:iCs/>
        </w:rPr>
        <w:t>Fundamentals of cost accounting and environmental management accounting: Variable and fixed costs</w:t>
      </w:r>
      <w:r w:rsidRPr="003646FE">
        <w:rPr>
          <w:rFonts w:ascii="Times New Roman" w:hAnsi="Times New Roman" w:cs="Times New Roman"/>
        </w:rPr>
        <w:t xml:space="preserve">. Available at: </w:t>
      </w:r>
      <w:hyperlink r:id="rId20" w:tgtFrame="_new" w:history="1">
        <w:r w:rsidRPr="003646FE">
          <w:rPr>
            <w:rStyle w:val="Hyperlink"/>
            <w:rFonts w:ascii="Times New Roman" w:hAnsi="Times New Roman" w:cs="Times New Roman"/>
          </w:rPr>
          <w:t>https://www.open.edu/openlearn/money-business/fundamentals-cost-accounting-and-environmental-management-accounting/content-section-3.1</w:t>
        </w:r>
      </w:hyperlink>
      <w:r w:rsidRPr="003646FE">
        <w:rPr>
          <w:rFonts w:ascii="Times New Roman" w:hAnsi="Times New Roman" w:cs="Times New Roman"/>
        </w:rPr>
        <w:t xml:space="preserve"> </w:t>
      </w:r>
    </w:p>
    <w:p w14:paraId="7CA17511" w14:textId="589015C1"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Zhang, Z. and Hua, Z. (2025) ‘Balancing revenue streams in online video platforms: The impact of original content provision on business model selection’, </w:t>
      </w:r>
      <w:r w:rsidRPr="003646FE">
        <w:rPr>
          <w:rFonts w:ascii="Times New Roman" w:hAnsi="Times New Roman" w:cs="Times New Roman"/>
          <w:i/>
          <w:iCs/>
        </w:rPr>
        <w:t>Journal of Theoretical and Applied Electronic Commerce Research</w:t>
      </w:r>
      <w:r w:rsidRPr="003646FE">
        <w:rPr>
          <w:rFonts w:ascii="Times New Roman" w:hAnsi="Times New Roman" w:cs="Times New Roman"/>
        </w:rPr>
        <w:t xml:space="preserve">, 20(2), article 98. Available at: </w:t>
      </w:r>
      <w:hyperlink r:id="rId21" w:history="1">
        <w:r w:rsidRPr="00F677F7">
          <w:rPr>
            <w:rStyle w:val="Hyperlink"/>
            <w:rFonts w:ascii="Times New Roman" w:hAnsi="Times New Roman" w:cs="Times New Roman"/>
          </w:rPr>
          <w:t>https://doi.org/10.3390/jtaer20020098</w:t>
        </w:r>
      </w:hyperlink>
      <w:r>
        <w:rPr>
          <w:rFonts w:ascii="Times New Roman" w:hAnsi="Times New Roman" w:cs="Times New Roman"/>
        </w:rPr>
        <w:t xml:space="preserve"> </w:t>
      </w:r>
    </w:p>
    <w:p w14:paraId="591512D9" w14:textId="4FD95B2B" w:rsidR="003646FE" w:rsidRPr="003646FE" w:rsidRDefault="003646FE" w:rsidP="003646FE">
      <w:pPr>
        <w:rPr>
          <w:rFonts w:ascii="Times New Roman" w:hAnsi="Times New Roman" w:cs="Times New Roman"/>
        </w:rPr>
      </w:pPr>
      <w:r w:rsidRPr="003646FE">
        <w:rPr>
          <w:rFonts w:ascii="Times New Roman" w:hAnsi="Times New Roman" w:cs="Times New Roman"/>
        </w:rPr>
        <w:t xml:space="preserve">Zielnicki, K., </w:t>
      </w:r>
      <w:proofErr w:type="spellStart"/>
      <w:r w:rsidRPr="003646FE">
        <w:rPr>
          <w:rFonts w:ascii="Times New Roman" w:hAnsi="Times New Roman" w:cs="Times New Roman"/>
        </w:rPr>
        <w:t>Aridor</w:t>
      </w:r>
      <w:proofErr w:type="spellEnd"/>
      <w:r w:rsidRPr="003646FE">
        <w:rPr>
          <w:rFonts w:ascii="Times New Roman" w:hAnsi="Times New Roman" w:cs="Times New Roman"/>
        </w:rPr>
        <w:t xml:space="preserve">, G., </w:t>
      </w:r>
      <w:proofErr w:type="spellStart"/>
      <w:r w:rsidRPr="003646FE">
        <w:rPr>
          <w:rFonts w:ascii="Times New Roman" w:hAnsi="Times New Roman" w:cs="Times New Roman"/>
        </w:rPr>
        <w:t>Bibaut</w:t>
      </w:r>
      <w:proofErr w:type="spellEnd"/>
      <w:r w:rsidRPr="003646FE">
        <w:rPr>
          <w:rFonts w:ascii="Times New Roman" w:hAnsi="Times New Roman" w:cs="Times New Roman"/>
        </w:rPr>
        <w:t xml:space="preserve">, A., Tran, A., Chou, W. and Kallus, N. (2025) </w:t>
      </w:r>
      <w:r w:rsidRPr="003646FE">
        <w:rPr>
          <w:rFonts w:ascii="Times New Roman" w:hAnsi="Times New Roman" w:cs="Times New Roman"/>
          <w:i/>
          <w:iCs/>
        </w:rPr>
        <w:t>The value of personalized recommendations: Evidence from Netflix</w:t>
      </w:r>
      <w:r w:rsidRPr="003646FE">
        <w:rPr>
          <w:rFonts w:ascii="Times New Roman" w:hAnsi="Times New Roman" w:cs="Times New Roman"/>
        </w:rPr>
        <w:t xml:space="preserve">. </w:t>
      </w:r>
      <w:proofErr w:type="spellStart"/>
      <w:r w:rsidRPr="003646FE">
        <w:rPr>
          <w:rFonts w:ascii="Times New Roman" w:hAnsi="Times New Roman" w:cs="Times New Roman"/>
        </w:rPr>
        <w:t>CESifo</w:t>
      </w:r>
      <w:proofErr w:type="spellEnd"/>
      <w:r w:rsidRPr="003646FE">
        <w:rPr>
          <w:rFonts w:ascii="Times New Roman" w:hAnsi="Times New Roman" w:cs="Times New Roman"/>
        </w:rPr>
        <w:t xml:space="preserve"> Working Paper No. 12257. Available at: </w:t>
      </w:r>
      <w:hyperlink r:id="rId22" w:history="1">
        <w:r w:rsidRPr="00F677F7">
          <w:rPr>
            <w:rStyle w:val="Hyperlink"/>
            <w:rFonts w:ascii="Times New Roman" w:hAnsi="Times New Roman" w:cs="Times New Roman"/>
          </w:rPr>
          <w:t>https://www.ssrn.com/abstract=5741805</w:t>
        </w:r>
      </w:hyperlink>
      <w:r>
        <w:rPr>
          <w:rFonts w:ascii="Times New Roman" w:hAnsi="Times New Roman" w:cs="Times New Roman"/>
        </w:rPr>
        <w:t xml:space="preserve"> </w:t>
      </w:r>
    </w:p>
    <w:p w14:paraId="7D0982AD" w14:textId="77777777" w:rsidR="007662AE" w:rsidRPr="00B92E13" w:rsidRDefault="007662AE" w:rsidP="003646FE">
      <w:pPr>
        <w:rPr>
          <w:rFonts w:ascii="Times New Roman" w:hAnsi="Times New Roman" w:cs="Times New Roman"/>
        </w:rPr>
      </w:pPr>
    </w:p>
    <w:p w14:paraId="303AB800" w14:textId="77777777" w:rsidR="00DE0BE5" w:rsidRPr="00B92E13" w:rsidRDefault="00DE0BE5" w:rsidP="00B92E13">
      <w:pPr>
        <w:jc w:val="both"/>
        <w:rPr>
          <w:rFonts w:ascii="Times New Roman" w:hAnsi="Times New Roman" w:cs="Times New Roman"/>
        </w:rPr>
      </w:pPr>
    </w:p>
    <w:sectPr w:rsidR="00DE0BE5" w:rsidRPr="00B92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E13"/>
    <w:rsid w:val="000704B4"/>
    <w:rsid w:val="000876BA"/>
    <w:rsid w:val="00184207"/>
    <w:rsid w:val="002C68A2"/>
    <w:rsid w:val="002E578D"/>
    <w:rsid w:val="002E6CC5"/>
    <w:rsid w:val="00336AA6"/>
    <w:rsid w:val="003646FE"/>
    <w:rsid w:val="0037547D"/>
    <w:rsid w:val="00394996"/>
    <w:rsid w:val="003A62F2"/>
    <w:rsid w:val="003B7834"/>
    <w:rsid w:val="00503BD5"/>
    <w:rsid w:val="00575352"/>
    <w:rsid w:val="006411C4"/>
    <w:rsid w:val="0070591B"/>
    <w:rsid w:val="007662AE"/>
    <w:rsid w:val="0085363F"/>
    <w:rsid w:val="00866CEF"/>
    <w:rsid w:val="009475EE"/>
    <w:rsid w:val="009E681C"/>
    <w:rsid w:val="00AC2E09"/>
    <w:rsid w:val="00B92E13"/>
    <w:rsid w:val="00C5541F"/>
    <w:rsid w:val="00C82804"/>
    <w:rsid w:val="00CA2D61"/>
    <w:rsid w:val="00D45403"/>
    <w:rsid w:val="00D77F87"/>
    <w:rsid w:val="00D840B1"/>
    <w:rsid w:val="00DE0BE5"/>
    <w:rsid w:val="00DE4873"/>
    <w:rsid w:val="00E77CF2"/>
    <w:rsid w:val="00E81CE4"/>
    <w:rsid w:val="00F53DAA"/>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21E61"/>
  <w15:chartTrackingRefBased/>
  <w15:docId w15:val="{C91ED85C-1F28-437C-9009-8741560E9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E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2E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E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E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E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E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E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E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E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E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E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E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E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E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E13"/>
    <w:rPr>
      <w:rFonts w:eastAsiaTheme="majorEastAsia" w:cstheme="majorBidi"/>
      <w:color w:val="272727" w:themeColor="text1" w:themeTint="D8"/>
    </w:rPr>
  </w:style>
  <w:style w:type="paragraph" w:styleId="Title">
    <w:name w:val="Title"/>
    <w:basedOn w:val="Normal"/>
    <w:next w:val="Normal"/>
    <w:link w:val="TitleChar"/>
    <w:uiPriority w:val="10"/>
    <w:qFormat/>
    <w:rsid w:val="00B92E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E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E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E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E13"/>
    <w:pPr>
      <w:spacing w:before="160"/>
      <w:jc w:val="center"/>
    </w:pPr>
    <w:rPr>
      <w:i/>
      <w:iCs/>
      <w:color w:val="404040" w:themeColor="text1" w:themeTint="BF"/>
    </w:rPr>
  </w:style>
  <w:style w:type="character" w:customStyle="1" w:styleId="QuoteChar">
    <w:name w:val="Quote Char"/>
    <w:basedOn w:val="DefaultParagraphFont"/>
    <w:link w:val="Quote"/>
    <w:uiPriority w:val="29"/>
    <w:rsid w:val="00B92E13"/>
    <w:rPr>
      <w:i/>
      <w:iCs/>
      <w:color w:val="404040" w:themeColor="text1" w:themeTint="BF"/>
    </w:rPr>
  </w:style>
  <w:style w:type="paragraph" w:styleId="ListParagraph">
    <w:name w:val="List Paragraph"/>
    <w:basedOn w:val="Normal"/>
    <w:uiPriority w:val="34"/>
    <w:qFormat/>
    <w:rsid w:val="00B92E13"/>
    <w:pPr>
      <w:ind w:left="720"/>
      <w:contextualSpacing/>
    </w:pPr>
  </w:style>
  <w:style w:type="character" w:styleId="IntenseEmphasis">
    <w:name w:val="Intense Emphasis"/>
    <w:basedOn w:val="DefaultParagraphFont"/>
    <w:uiPriority w:val="21"/>
    <w:qFormat/>
    <w:rsid w:val="00B92E13"/>
    <w:rPr>
      <w:i/>
      <w:iCs/>
      <w:color w:val="0F4761" w:themeColor="accent1" w:themeShade="BF"/>
    </w:rPr>
  </w:style>
  <w:style w:type="paragraph" w:styleId="IntenseQuote">
    <w:name w:val="Intense Quote"/>
    <w:basedOn w:val="Normal"/>
    <w:next w:val="Normal"/>
    <w:link w:val="IntenseQuoteChar"/>
    <w:uiPriority w:val="30"/>
    <w:qFormat/>
    <w:rsid w:val="00B92E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E13"/>
    <w:rPr>
      <w:i/>
      <w:iCs/>
      <w:color w:val="0F4761" w:themeColor="accent1" w:themeShade="BF"/>
    </w:rPr>
  </w:style>
  <w:style w:type="character" w:styleId="IntenseReference">
    <w:name w:val="Intense Reference"/>
    <w:basedOn w:val="DefaultParagraphFont"/>
    <w:uiPriority w:val="32"/>
    <w:qFormat/>
    <w:rsid w:val="00B92E13"/>
    <w:rPr>
      <w:b/>
      <w:bCs/>
      <w:smallCaps/>
      <w:color w:val="0F4761" w:themeColor="accent1" w:themeShade="BF"/>
      <w:spacing w:val="5"/>
    </w:rPr>
  </w:style>
  <w:style w:type="character" w:styleId="Hyperlink">
    <w:name w:val="Hyperlink"/>
    <w:basedOn w:val="DefaultParagraphFont"/>
    <w:uiPriority w:val="99"/>
    <w:unhideWhenUsed/>
    <w:rsid w:val="007662AE"/>
    <w:rPr>
      <w:color w:val="467886" w:themeColor="hyperlink"/>
      <w:u w:val="single"/>
    </w:rPr>
  </w:style>
  <w:style w:type="character" w:styleId="UnresolvedMention">
    <w:name w:val="Unresolved Mention"/>
    <w:basedOn w:val="DefaultParagraphFont"/>
    <w:uiPriority w:val="99"/>
    <w:semiHidden/>
    <w:unhideWhenUsed/>
    <w:rsid w:val="007662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425/ajfbm.v4i1.364" TargetMode="External"/><Relationship Id="rId13" Type="http://schemas.openxmlformats.org/officeDocument/2006/relationships/hyperlink" Target="https://s22.q4cdn.com/959853165/files/doc_financials/2026/q1/FINAL-Q1-26-Shareholder-Letter.pdf?utm_source=chatgpt.com" TargetMode="External"/><Relationship Id="rId18" Type="http://schemas.openxmlformats.org/officeDocument/2006/relationships/hyperlink" Target="https://www.spglobal.com/market-intelligence/en/news-insights/research/2026/04/netflix-earnings-preview-q1-2026?utm_source=chatgpt.com" TargetMode="External"/><Relationship Id="rId3" Type="http://schemas.openxmlformats.org/officeDocument/2006/relationships/webSettings" Target="webSettings.xml"/><Relationship Id="rId21" Type="http://schemas.openxmlformats.org/officeDocument/2006/relationships/hyperlink" Target="https://doi.org/10.3390/jtaer20020098" TargetMode="External"/><Relationship Id="rId7" Type="http://schemas.openxmlformats.org/officeDocument/2006/relationships/hyperlink" Target="https://www.aicpa-cima.com/resources/download/gmap-global-accounting-principles?utm_source=chatgpt.com" TargetMode="External"/><Relationship Id="rId12" Type="http://schemas.openxmlformats.org/officeDocument/2006/relationships/hyperlink" Target="https://www.sec.gov/Archives/edgar/data/1065280/000106528026000034/nflx-20251231.htm?utm_source=chatgpt.com" TargetMode="External"/><Relationship Id="rId17" Type="http://schemas.openxmlformats.org/officeDocument/2006/relationships/hyperlink" Target="https://doi.org/10.1186/s43093-021-00109-1" TargetMode="External"/><Relationship Id="rId2" Type="http://schemas.openxmlformats.org/officeDocument/2006/relationships/settings" Target="settings.xml"/><Relationship Id="rId16" Type="http://schemas.openxmlformats.org/officeDocument/2006/relationships/hyperlink" Target="https://www.nielsen.com/news-center/2025/netflix-breaks-into-top-3-media-distributors-for-the-first-time-in-nielsens-june-2025-media-distributor-gauge/?utm_source=chatgpt.com" TargetMode="External"/><Relationship Id="rId20" Type="http://schemas.openxmlformats.org/officeDocument/2006/relationships/hyperlink" Target="https://www.open.edu/openlearn/money-business/fundamentals-cost-accounting-and-environmental-management-accounting/content-section-3.1?utm_source=chatgpt.com" TargetMode="External"/><Relationship Id="rId1" Type="http://schemas.openxmlformats.org/officeDocument/2006/relationships/styles" Target="styles.xml"/><Relationship Id="rId6" Type="http://schemas.openxmlformats.org/officeDocument/2006/relationships/hyperlink" Target="https://www.aicpa-cima.com/resources/landing/code-of-ethics-at-a-glance?utm_source=chatgpt.com" TargetMode="External"/><Relationship Id="rId11" Type="http://schemas.openxmlformats.org/officeDocument/2006/relationships/hyperlink" Target="https://s22.q4cdn.com/959853165/files/doc_downloads/2025/6/2024-Netflix-Environmental-Social-Governance-Report.pdf?utm_source=chatgpt.com" TargetMode="External"/><Relationship Id="rId24" Type="http://schemas.openxmlformats.org/officeDocument/2006/relationships/theme" Target="theme/theme1.xml"/><Relationship Id="rId5" Type="http://schemas.openxmlformats.org/officeDocument/2006/relationships/hyperlink" Target="https://www.aicpa-cima.com/resources/article/welcome-to-management-and-budgetary-control?utm_source=chatgpt.com" TargetMode="External"/><Relationship Id="rId15" Type="http://schemas.openxmlformats.org/officeDocument/2006/relationships/hyperlink" Target="https://www.intechopen.com/chapters/87452?utm_source=chatgpt.com" TargetMode="External"/><Relationship Id="rId23" Type="http://schemas.openxmlformats.org/officeDocument/2006/relationships/fontTable" Target="fontTable.xml"/><Relationship Id="rId10" Type="http://schemas.openxmlformats.org/officeDocument/2006/relationships/hyperlink" Target="https://s22.q4cdn.com/959853165/files/doc_downloads/governance_docs/2023/06/netflix-supplier-code-of-conduct_june-19-2023.pdf?utm_source=chatgpt.com" TargetMode="External"/><Relationship Id="rId19" Type="http://schemas.openxmlformats.org/officeDocument/2006/relationships/hyperlink" Target="https://onlinelibrary.wiley.com/doi/full/10.1002/bse.3828?utm_source=chatgpt.com" TargetMode="External"/><Relationship Id="rId4" Type="http://schemas.openxmlformats.org/officeDocument/2006/relationships/hyperlink" Target="https://journals.sagepub.com/doi/10.1177/25166042231172892?utm_source=chatgpt.com" TargetMode="External"/><Relationship Id="rId9" Type="http://schemas.openxmlformats.org/officeDocument/2006/relationships/hyperlink" Target="https://doi.org/10.1007/978-3-032-12830-0_20" TargetMode="External"/><Relationship Id="rId14" Type="http://schemas.openxmlformats.org/officeDocument/2006/relationships/hyperlink" Target="https://s22.q4cdn.com/959853165/files/doc_financials/2025/q4/FINAL-Q4-25-Shareholder-Letter.pdf?utm_source=chatgpt.com" TargetMode="External"/><Relationship Id="rId22" Type="http://schemas.openxmlformats.org/officeDocument/2006/relationships/hyperlink" Target="https://www.ssrn.com/abstract=57418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TotalTime>
  <Pages>9</Pages>
  <Words>3054</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Shakil</dc:creator>
  <cp:keywords/>
  <dc:description/>
  <cp:lastModifiedBy>Muhammad Shakil</cp:lastModifiedBy>
  <cp:revision>14</cp:revision>
  <dcterms:created xsi:type="dcterms:W3CDTF">2026-02-27T05:44:00Z</dcterms:created>
  <dcterms:modified xsi:type="dcterms:W3CDTF">2026-06-27T08:05:00Z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2026-02-27T06:04:14Z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9194333c-dffa-43d5-9e84-73a50340db09</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