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word/diagrams/data4.xml" ContentType="application/vnd.openxmlformats-officedocument.drawingml.diagramData+xml"/>
  <Override PartName="/word/diagrams/colors4.xml" ContentType="application/vnd.openxmlformats-officedocument.drawingml.diagramColors+xml"/>
  <Override PartName="/word/diagrams/colors5.xml" ContentType="application/vnd.openxmlformats-officedocument.drawingml.diagramColor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Override PartName="/word/diagrams/drawing5.xml" ContentType="application/vnd.ms-office.drawingml.diagramDrawing+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diagrams/drawing4.xml" ContentType="application/vnd.ms-office.drawingml.diagramDrawing+xml"/>
  <Override PartName="/word/diagrams/drawing3.xml" ContentType="application/vnd.ms-office.drawingml.diagramDrawing+xml"/>
  <Override PartName="/word/settings.xml" ContentType="application/vnd.openxmlformats-officedocument.wordprocessingml.settings+xml"/>
  <Override PartName="/word/diagrams/drawing2.xml" ContentType="application/vnd.ms-office.drawingml.diagramDrawing+xml"/>
  <Override PartName="/word/diagrams/drawing1.xml" ContentType="application/vnd.ms-office.drawingml.diagramDrawing+xml"/>
  <Override PartName="/word/diagrams/layout5.xml" ContentType="application/vnd.openxmlformats-officedocument.drawingml.diagramLayout+xml"/>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Override PartName="/word/diagrams/layout4.xml" ContentType="application/vnd.openxmlformats-officedocument.drawingml.diagramLayout+xml"/>
  <Override PartName="/word/diagrams/quickStyle5.xml" ContentType="application/vnd.openxmlformats-officedocument.drawingml.diagramStyl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diagrams/quickStyle4.xml" ContentType="application/vnd.openxmlformats-officedocument.drawingml.diagramStyle+xml"/>
  <Override PartName="/word/diagrams/data5.xml" ContentType="application/vnd.openxmlformats-officedocument.drawingml.diagramData+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0585" w:rsidRDefault="00A40585">
      <w:r>
        <w:rPr>
          <w:noProof/>
        </w:rPr>
        <w:drawing>
          <wp:anchor distT="0" distB="0" distL="114300" distR="114300" simplePos="0" relativeHeight="251666432" behindDoc="0" locked="0" layoutInCell="1" allowOverlap="1">
            <wp:simplePos x="0" y="0"/>
            <wp:positionH relativeFrom="margin">
              <wp:posOffset>1438275</wp:posOffset>
            </wp:positionH>
            <wp:positionV relativeFrom="paragraph">
              <wp:posOffset>80645</wp:posOffset>
            </wp:positionV>
            <wp:extent cx="3040380" cy="1112520"/>
            <wp:effectExtent l="0" t="0" r="7620" b="0"/>
            <wp:wrapThrough wrapText="bothSides">
              <wp:wrapPolygon edited="0">
                <wp:start x="0" y="0"/>
                <wp:lineTo x="0" y="21082"/>
                <wp:lineTo x="21519" y="21082"/>
                <wp:lineTo x="21519" y="0"/>
                <wp:lineTo x="0" y="0"/>
              </wp:wrapPolygon>
            </wp:wrapThrough>
            <wp:docPr id="280246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t="16241" b="17894"/>
                    <a:stretch>
                      <a:fillRect/>
                    </a:stretch>
                  </pic:blipFill>
                  <pic:spPr bwMode="auto">
                    <a:xfrm>
                      <a:off x="0" y="0"/>
                      <a:ext cx="3040380" cy="111252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p>
    <w:p w:rsidR="00A40585" w:rsidRDefault="00A40585"/>
    <w:p w:rsidR="00A40585" w:rsidRPr="00A40585" w:rsidRDefault="00A40585" w:rsidP="00A40585">
      <w:pPr>
        <w:rPr>
          <w:lang w:val="en-GB"/>
        </w:rPr>
      </w:pPr>
    </w:p>
    <w:p w:rsidR="00A40585" w:rsidRPr="00A40585" w:rsidRDefault="00A40585" w:rsidP="00A40585">
      <w:pPr>
        <w:rPr>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63"/>
        <w:gridCol w:w="3087"/>
        <w:gridCol w:w="2465"/>
        <w:gridCol w:w="2061"/>
      </w:tblGrid>
      <w:tr w:rsidR="00A40585" w:rsidRPr="00A40585" w:rsidTr="00A40585">
        <w:tc>
          <w:tcPr>
            <w:tcW w:w="1025" w:type="pct"/>
            <w:tcBorders>
              <w:top w:val="single" w:sz="4" w:space="0" w:color="auto"/>
              <w:left w:val="single" w:sz="4" w:space="0" w:color="auto"/>
              <w:bottom w:val="single" w:sz="4" w:space="0" w:color="auto"/>
              <w:right w:val="single" w:sz="4" w:space="0" w:color="auto"/>
            </w:tcBorders>
            <w:shd w:val="pct15" w:color="auto" w:fill="auto"/>
            <w:hideMark/>
          </w:tcPr>
          <w:p w:rsidR="00A40585" w:rsidRPr="00A40585" w:rsidRDefault="00A40585" w:rsidP="00A40585">
            <w:pPr>
              <w:rPr>
                <w:b/>
                <w:lang w:val="en-GB"/>
              </w:rPr>
            </w:pPr>
            <w:r w:rsidRPr="00A40585">
              <w:rPr>
                <w:b/>
                <w:lang w:val="en-GB"/>
              </w:rPr>
              <w:t>Student name:</w:t>
            </w:r>
          </w:p>
        </w:tc>
        <w:tc>
          <w:tcPr>
            <w:tcW w:w="1612" w:type="pct"/>
            <w:tcBorders>
              <w:top w:val="single" w:sz="4" w:space="0" w:color="auto"/>
              <w:left w:val="single" w:sz="4" w:space="0" w:color="auto"/>
              <w:bottom w:val="single" w:sz="4" w:space="0" w:color="auto"/>
              <w:right w:val="single" w:sz="4" w:space="0" w:color="auto"/>
            </w:tcBorders>
          </w:tcPr>
          <w:p w:rsidR="00A40585" w:rsidRPr="00A40585" w:rsidRDefault="00FA2BF0" w:rsidP="00A40585">
            <w:pPr>
              <w:rPr>
                <w:b/>
                <w:lang w:val="en-GB"/>
              </w:rPr>
            </w:pPr>
            <w:r>
              <w:rPr>
                <w:b/>
                <w:lang w:val="en-GB"/>
              </w:rPr>
              <w:t>Mohammed Jabed Mia</w:t>
            </w:r>
          </w:p>
        </w:tc>
        <w:tc>
          <w:tcPr>
            <w:tcW w:w="1287" w:type="pct"/>
            <w:tcBorders>
              <w:top w:val="single" w:sz="4" w:space="0" w:color="auto"/>
              <w:left w:val="single" w:sz="4" w:space="0" w:color="auto"/>
              <w:bottom w:val="single" w:sz="4" w:space="0" w:color="auto"/>
              <w:right w:val="single" w:sz="4" w:space="0" w:color="auto"/>
            </w:tcBorders>
            <w:shd w:val="clear" w:color="auto" w:fill="D9D9D9"/>
            <w:hideMark/>
          </w:tcPr>
          <w:p w:rsidR="00A40585" w:rsidRPr="00A40585" w:rsidRDefault="00A40585" w:rsidP="00A40585">
            <w:pPr>
              <w:rPr>
                <w:b/>
                <w:lang w:val="en-GB"/>
              </w:rPr>
            </w:pPr>
            <w:r w:rsidRPr="00A40585">
              <w:rPr>
                <w:b/>
                <w:lang w:val="en-GB"/>
              </w:rPr>
              <w:t>Student ID number:</w:t>
            </w:r>
          </w:p>
        </w:tc>
        <w:tc>
          <w:tcPr>
            <w:tcW w:w="1075" w:type="pct"/>
            <w:tcBorders>
              <w:top w:val="single" w:sz="4" w:space="0" w:color="auto"/>
              <w:left w:val="single" w:sz="4" w:space="0" w:color="auto"/>
              <w:bottom w:val="single" w:sz="4" w:space="0" w:color="auto"/>
              <w:right w:val="single" w:sz="4" w:space="0" w:color="auto"/>
            </w:tcBorders>
          </w:tcPr>
          <w:p w:rsidR="00A40585" w:rsidRPr="00A40585" w:rsidRDefault="00FA2BF0" w:rsidP="00A40585">
            <w:pPr>
              <w:rPr>
                <w:b/>
                <w:lang w:val="en-GB"/>
              </w:rPr>
            </w:pPr>
            <w:r>
              <w:rPr>
                <w:b/>
                <w:lang w:val="en-GB"/>
              </w:rPr>
              <w:t>2423742</w:t>
            </w:r>
          </w:p>
        </w:tc>
      </w:tr>
      <w:tr w:rsidR="00A40585" w:rsidRPr="00A40585" w:rsidTr="00A40585">
        <w:tc>
          <w:tcPr>
            <w:tcW w:w="1025" w:type="pct"/>
            <w:tcBorders>
              <w:top w:val="single" w:sz="4" w:space="0" w:color="auto"/>
              <w:left w:val="single" w:sz="4" w:space="0" w:color="auto"/>
              <w:bottom w:val="single" w:sz="4" w:space="0" w:color="auto"/>
              <w:right w:val="single" w:sz="4" w:space="0" w:color="auto"/>
            </w:tcBorders>
            <w:shd w:val="pct15" w:color="auto" w:fill="auto"/>
            <w:hideMark/>
          </w:tcPr>
          <w:p w:rsidR="00A40585" w:rsidRPr="00A40585" w:rsidRDefault="00A40585" w:rsidP="00A40585">
            <w:pPr>
              <w:rPr>
                <w:b/>
                <w:lang w:val="en-GB"/>
              </w:rPr>
            </w:pPr>
            <w:r w:rsidRPr="00A40585">
              <w:rPr>
                <w:b/>
                <w:lang w:val="en-GB"/>
              </w:rPr>
              <w:t>Programme:</w:t>
            </w:r>
          </w:p>
        </w:tc>
        <w:tc>
          <w:tcPr>
            <w:tcW w:w="3975" w:type="pct"/>
            <w:gridSpan w:val="3"/>
            <w:tcBorders>
              <w:top w:val="single" w:sz="4" w:space="0" w:color="auto"/>
              <w:left w:val="single" w:sz="4" w:space="0" w:color="auto"/>
              <w:bottom w:val="single" w:sz="4" w:space="0" w:color="auto"/>
              <w:right w:val="single" w:sz="4" w:space="0" w:color="auto"/>
            </w:tcBorders>
            <w:hideMark/>
          </w:tcPr>
          <w:p w:rsidR="00A40585" w:rsidRPr="00A40585" w:rsidRDefault="00A40585" w:rsidP="00A40585">
            <w:pPr>
              <w:rPr>
                <w:b/>
                <w:lang w:val="en-GB"/>
              </w:rPr>
            </w:pPr>
            <w:r w:rsidRPr="00A40585">
              <w:rPr>
                <w:b/>
                <w:lang w:val="en-GB"/>
              </w:rPr>
              <w:t>MSc Engineering Project Management</w:t>
            </w:r>
          </w:p>
        </w:tc>
      </w:tr>
      <w:tr w:rsidR="00A40585" w:rsidRPr="00A40585" w:rsidTr="00A40585">
        <w:tc>
          <w:tcPr>
            <w:tcW w:w="1025" w:type="pct"/>
            <w:tcBorders>
              <w:top w:val="single" w:sz="4" w:space="0" w:color="auto"/>
              <w:left w:val="single" w:sz="4" w:space="0" w:color="auto"/>
              <w:bottom w:val="single" w:sz="4" w:space="0" w:color="auto"/>
              <w:right w:val="single" w:sz="4" w:space="0" w:color="auto"/>
            </w:tcBorders>
            <w:shd w:val="pct15" w:color="auto" w:fill="auto"/>
            <w:hideMark/>
          </w:tcPr>
          <w:p w:rsidR="00A40585" w:rsidRPr="00A40585" w:rsidRDefault="00A40585" w:rsidP="00A40585">
            <w:pPr>
              <w:rPr>
                <w:b/>
                <w:lang w:val="en-GB"/>
              </w:rPr>
            </w:pPr>
            <w:r w:rsidRPr="00A40585">
              <w:rPr>
                <w:b/>
                <w:lang w:val="en-GB"/>
              </w:rPr>
              <w:t>Module:</w:t>
            </w:r>
          </w:p>
        </w:tc>
        <w:tc>
          <w:tcPr>
            <w:tcW w:w="3975" w:type="pct"/>
            <w:gridSpan w:val="3"/>
            <w:tcBorders>
              <w:top w:val="single" w:sz="4" w:space="0" w:color="auto"/>
              <w:left w:val="single" w:sz="4" w:space="0" w:color="auto"/>
              <w:bottom w:val="single" w:sz="4" w:space="0" w:color="auto"/>
              <w:right w:val="single" w:sz="4" w:space="0" w:color="auto"/>
            </w:tcBorders>
            <w:hideMark/>
          </w:tcPr>
          <w:p w:rsidR="00A40585" w:rsidRPr="00A40585" w:rsidRDefault="00A40585" w:rsidP="00A40585">
            <w:pPr>
              <w:rPr>
                <w:b/>
                <w:lang w:val="en-GB"/>
              </w:rPr>
            </w:pPr>
            <w:r w:rsidRPr="00A40585">
              <w:rPr>
                <w:b/>
                <w:lang w:val="en-GB"/>
              </w:rPr>
              <w:t>Quality Management in an Operational Environment</w:t>
            </w:r>
          </w:p>
        </w:tc>
      </w:tr>
      <w:tr w:rsidR="00A40585" w:rsidRPr="00A40585" w:rsidTr="00A40585">
        <w:tc>
          <w:tcPr>
            <w:tcW w:w="1025" w:type="pct"/>
            <w:tcBorders>
              <w:top w:val="single" w:sz="4" w:space="0" w:color="auto"/>
              <w:left w:val="single" w:sz="4" w:space="0" w:color="auto"/>
              <w:bottom w:val="single" w:sz="4" w:space="0" w:color="auto"/>
              <w:right w:val="single" w:sz="4" w:space="0" w:color="auto"/>
            </w:tcBorders>
            <w:shd w:val="pct15" w:color="auto" w:fill="auto"/>
            <w:hideMark/>
          </w:tcPr>
          <w:p w:rsidR="00A40585" w:rsidRPr="00A40585" w:rsidRDefault="00A40585" w:rsidP="00A40585">
            <w:pPr>
              <w:rPr>
                <w:b/>
                <w:lang w:val="en-GB"/>
              </w:rPr>
            </w:pPr>
            <w:r w:rsidRPr="00A40585">
              <w:rPr>
                <w:b/>
                <w:lang w:val="en-GB"/>
              </w:rPr>
              <w:t>Module code:</w:t>
            </w:r>
          </w:p>
        </w:tc>
        <w:tc>
          <w:tcPr>
            <w:tcW w:w="1612" w:type="pct"/>
            <w:tcBorders>
              <w:top w:val="single" w:sz="4" w:space="0" w:color="auto"/>
              <w:left w:val="single" w:sz="4" w:space="0" w:color="auto"/>
              <w:bottom w:val="single" w:sz="4" w:space="0" w:color="auto"/>
              <w:right w:val="single" w:sz="4" w:space="0" w:color="auto"/>
            </w:tcBorders>
            <w:hideMark/>
          </w:tcPr>
          <w:p w:rsidR="00A40585" w:rsidRPr="00A40585" w:rsidRDefault="00A40585" w:rsidP="00A40585">
            <w:pPr>
              <w:rPr>
                <w:b/>
                <w:lang w:val="en-GB"/>
              </w:rPr>
            </w:pPr>
            <w:r w:rsidRPr="00A40585">
              <w:rPr>
                <w:b/>
                <w:lang w:val="en-GB"/>
              </w:rPr>
              <w:t>ACEA 70</w:t>
            </w:r>
            <w:r>
              <w:rPr>
                <w:b/>
                <w:lang w:val="en-GB"/>
              </w:rPr>
              <w:t>12</w:t>
            </w:r>
          </w:p>
        </w:tc>
        <w:tc>
          <w:tcPr>
            <w:tcW w:w="1287" w:type="pct"/>
            <w:tcBorders>
              <w:top w:val="single" w:sz="4" w:space="0" w:color="auto"/>
              <w:left w:val="single" w:sz="4" w:space="0" w:color="auto"/>
              <w:bottom w:val="single" w:sz="4" w:space="0" w:color="auto"/>
              <w:right w:val="single" w:sz="4" w:space="0" w:color="auto"/>
            </w:tcBorders>
            <w:shd w:val="clear" w:color="auto" w:fill="D9D9D9"/>
            <w:hideMark/>
          </w:tcPr>
          <w:p w:rsidR="00A40585" w:rsidRPr="00A40585" w:rsidRDefault="00A40585" w:rsidP="00A40585">
            <w:pPr>
              <w:rPr>
                <w:b/>
                <w:lang w:val="en-GB"/>
              </w:rPr>
            </w:pPr>
            <w:r w:rsidRPr="00A40585">
              <w:rPr>
                <w:b/>
                <w:lang w:val="en-GB"/>
              </w:rPr>
              <w:t>Contribution to Overall Module Assessment (%):</w:t>
            </w:r>
          </w:p>
        </w:tc>
        <w:tc>
          <w:tcPr>
            <w:tcW w:w="1075" w:type="pct"/>
            <w:tcBorders>
              <w:top w:val="single" w:sz="4" w:space="0" w:color="auto"/>
              <w:left w:val="single" w:sz="4" w:space="0" w:color="auto"/>
              <w:bottom w:val="single" w:sz="4" w:space="0" w:color="auto"/>
              <w:right w:val="single" w:sz="4" w:space="0" w:color="auto"/>
            </w:tcBorders>
            <w:hideMark/>
          </w:tcPr>
          <w:p w:rsidR="00A40585" w:rsidRPr="00A40585" w:rsidRDefault="00A40585" w:rsidP="00A40585">
            <w:pPr>
              <w:rPr>
                <w:b/>
                <w:lang w:val="en-GB"/>
              </w:rPr>
            </w:pPr>
            <w:r w:rsidRPr="00A40585">
              <w:rPr>
                <w:b/>
                <w:lang w:val="en-GB"/>
              </w:rPr>
              <w:t>50%</w:t>
            </w:r>
          </w:p>
        </w:tc>
      </w:tr>
      <w:tr w:rsidR="00A40585" w:rsidRPr="00A40585" w:rsidTr="00A40585">
        <w:tc>
          <w:tcPr>
            <w:tcW w:w="1025" w:type="pct"/>
            <w:tcBorders>
              <w:top w:val="single" w:sz="4" w:space="0" w:color="auto"/>
              <w:left w:val="single" w:sz="4" w:space="0" w:color="auto"/>
              <w:bottom w:val="single" w:sz="4" w:space="0" w:color="auto"/>
              <w:right w:val="single" w:sz="4" w:space="0" w:color="auto"/>
            </w:tcBorders>
            <w:shd w:val="pct15" w:color="auto" w:fill="auto"/>
            <w:hideMark/>
          </w:tcPr>
          <w:p w:rsidR="00A40585" w:rsidRPr="00A40585" w:rsidRDefault="00A40585" w:rsidP="00A40585">
            <w:pPr>
              <w:rPr>
                <w:b/>
                <w:lang w:val="en-GB"/>
              </w:rPr>
            </w:pPr>
            <w:r w:rsidRPr="00A40585">
              <w:rPr>
                <w:b/>
                <w:lang w:val="en-GB"/>
              </w:rPr>
              <w:t>Lecturer:</w:t>
            </w:r>
          </w:p>
        </w:tc>
        <w:tc>
          <w:tcPr>
            <w:tcW w:w="1612" w:type="pct"/>
            <w:tcBorders>
              <w:top w:val="single" w:sz="4" w:space="0" w:color="auto"/>
              <w:left w:val="single" w:sz="4" w:space="0" w:color="auto"/>
              <w:bottom w:val="single" w:sz="4" w:space="0" w:color="auto"/>
              <w:right w:val="single" w:sz="4" w:space="0" w:color="auto"/>
            </w:tcBorders>
            <w:hideMark/>
          </w:tcPr>
          <w:p w:rsidR="00A40585" w:rsidRPr="00A40585" w:rsidRDefault="00A40585" w:rsidP="00A40585">
            <w:pPr>
              <w:rPr>
                <w:b/>
                <w:lang w:val="en-GB"/>
              </w:rPr>
            </w:pPr>
            <w:r w:rsidRPr="00A40585">
              <w:rPr>
                <w:b/>
                <w:lang w:val="en-GB"/>
              </w:rPr>
              <w:t>Andrew Thorn</w:t>
            </w:r>
          </w:p>
        </w:tc>
        <w:tc>
          <w:tcPr>
            <w:tcW w:w="1287" w:type="pct"/>
            <w:tcBorders>
              <w:top w:val="single" w:sz="4" w:space="0" w:color="auto"/>
              <w:left w:val="single" w:sz="4" w:space="0" w:color="auto"/>
              <w:bottom w:val="single" w:sz="4" w:space="0" w:color="auto"/>
              <w:right w:val="single" w:sz="4" w:space="0" w:color="auto"/>
            </w:tcBorders>
            <w:shd w:val="clear" w:color="auto" w:fill="D9D9D9"/>
            <w:hideMark/>
          </w:tcPr>
          <w:p w:rsidR="00A40585" w:rsidRPr="00A40585" w:rsidRDefault="00A40585" w:rsidP="00A40585">
            <w:pPr>
              <w:rPr>
                <w:b/>
                <w:lang w:val="en-GB"/>
              </w:rPr>
            </w:pPr>
            <w:r w:rsidRPr="00A40585">
              <w:rPr>
                <w:b/>
                <w:lang w:val="en-GB"/>
              </w:rPr>
              <w:t>Internal Verifier:</w:t>
            </w:r>
          </w:p>
        </w:tc>
        <w:tc>
          <w:tcPr>
            <w:tcW w:w="1075" w:type="pct"/>
            <w:tcBorders>
              <w:top w:val="single" w:sz="4" w:space="0" w:color="auto"/>
              <w:left w:val="single" w:sz="4" w:space="0" w:color="auto"/>
              <w:bottom w:val="single" w:sz="4" w:space="0" w:color="auto"/>
              <w:right w:val="single" w:sz="4" w:space="0" w:color="auto"/>
            </w:tcBorders>
            <w:hideMark/>
          </w:tcPr>
          <w:p w:rsidR="00A40585" w:rsidRPr="00A40585" w:rsidRDefault="00A40585" w:rsidP="00A40585">
            <w:pPr>
              <w:rPr>
                <w:b/>
                <w:lang w:val="en-GB"/>
              </w:rPr>
            </w:pPr>
            <w:r w:rsidRPr="00A40585">
              <w:rPr>
                <w:b/>
                <w:lang w:val="en-GB"/>
              </w:rPr>
              <w:t>Kelvin Lake</w:t>
            </w:r>
          </w:p>
        </w:tc>
      </w:tr>
      <w:tr w:rsidR="00A40585" w:rsidRPr="00A40585" w:rsidTr="00A40585">
        <w:tc>
          <w:tcPr>
            <w:tcW w:w="1025" w:type="pct"/>
            <w:tcBorders>
              <w:top w:val="single" w:sz="4" w:space="0" w:color="auto"/>
              <w:left w:val="single" w:sz="4" w:space="0" w:color="auto"/>
              <w:bottom w:val="single" w:sz="4" w:space="0" w:color="auto"/>
              <w:right w:val="single" w:sz="4" w:space="0" w:color="auto"/>
            </w:tcBorders>
            <w:shd w:val="pct15" w:color="auto" w:fill="auto"/>
            <w:hideMark/>
          </w:tcPr>
          <w:p w:rsidR="00A40585" w:rsidRPr="00A40585" w:rsidRDefault="00A40585" w:rsidP="00A40585">
            <w:pPr>
              <w:rPr>
                <w:b/>
                <w:lang w:val="en-GB"/>
              </w:rPr>
            </w:pPr>
            <w:r w:rsidRPr="00A40585">
              <w:rPr>
                <w:b/>
                <w:lang w:val="en-GB"/>
              </w:rPr>
              <w:t>Assignment Title:</w:t>
            </w:r>
          </w:p>
        </w:tc>
        <w:tc>
          <w:tcPr>
            <w:tcW w:w="1612" w:type="pct"/>
            <w:tcBorders>
              <w:top w:val="single" w:sz="4" w:space="0" w:color="auto"/>
              <w:left w:val="single" w:sz="4" w:space="0" w:color="auto"/>
              <w:bottom w:val="single" w:sz="4" w:space="0" w:color="auto"/>
              <w:right w:val="single" w:sz="4" w:space="0" w:color="auto"/>
            </w:tcBorders>
            <w:hideMark/>
          </w:tcPr>
          <w:p w:rsidR="00A40585" w:rsidRPr="00A40585" w:rsidRDefault="00A40585" w:rsidP="00A40585">
            <w:pPr>
              <w:rPr>
                <w:b/>
                <w:lang w:val="en-GB"/>
              </w:rPr>
            </w:pPr>
            <w:r w:rsidRPr="00A40585">
              <w:rPr>
                <w:b/>
                <w:lang w:val="en-GB"/>
              </w:rPr>
              <w:t>The impact of product recalls on businesses and projects</w:t>
            </w:r>
          </w:p>
        </w:tc>
        <w:tc>
          <w:tcPr>
            <w:tcW w:w="1287" w:type="pct"/>
            <w:tcBorders>
              <w:top w:val="single" w:sz="4" w:space="0" w:color="auto"/>
              <w:left w:val="single" w:sz="4" w:space="0" w:color="auto"/>
              <w:bottom w:val="single" w:sz="4" w:space="0" w:color="auto"/>
              <w:right w:val="single" w:sz="4" w:space="0" w:color="auto"/>
            </w:tcBorders>
            <w:shd w:val="pct15" w:color="auto" w:fill="auto"/>
            <w:hideMark/>
          </w:tcPr>
          <w:p w:rsidR="00A40585" w:rsidRPr="00A40585" w:rsidRDefault="00A40585" w:rsidP="00A40585">
            <w:pPr>
              <w:rPr>
                <w:b/>
                <w:lang w:val="en-GB"/>
              </w:rPr>
            </w:pPr>
            <w:r w:rsidRPr="00A40585">
              <w:rPr>
                <w:b/>
                <w:lang w:val="en-GB"/>
              </w:rPr>
              <w:t>Word count (or equivalent):</w:t>
            </w:r>
          </w:p>
        </w:tc>
        <w:tc>
          <w:tcPr>
            <w:tcW w:w="1075" w:type="pct"/>
            <w:tcBorders>
              <w:top w:val="single" w:sz="4" w:space="0" w:color="auto"/>
              <w:left w:val="single" w:sz="4" w:space="0" w:color="auto"/>
              <w:bottom w:val="single" w:sz="4" w:space="0" w:color="auto"/>
              <w:right w:val="single" w:sz="4" w:space="0" w:color="auto"/>
            </w:tcBorders>
            <w:hideMark/>
          </w:tcPr>
          <w:p w:rsidR="00A40585" w:rsidRPr="00A40585" w:rsidRDefault="00A40585" w:rsidP="00A40585">
            <w:pPr>
              <w:rPr>
                <w:b/>
                <w:lang w:val="en-GB"/>
              </w:rPr>
            </w:pPr>
            <w:r w:rsidRPr="00A40585">
              <w:rPr>
                <w:b/>
                <w:lang w:val="en-GB"/>
              </w:rPr>
              <w:t>3,000</w:t>
            </w:r>
          </w:p>
        </w:tc>
      </w:tr>
      <w:tr w:rsidR="00A40585" w:rsidRPr="00A40585" w:rsidTr="00A40585">
        <w:tc>
          <w:tcPr>
            <w:tcW w:w="1025" w:type="pct"/>
            <w:tcBorders>
              <w:top w:val="single" w:sz="4" w:space="0" w:color="auto"/>
              <w:left w:val="single" w:sz="4" w:space="0" w:color="auto"/>
              <w:bottom w:val="single" w:sz="4" w:space="0" w:color="auto"/>
              <w:right w:val="single" w:sz="4" w:space="0" w:color="auto"/>
            </w:tcBorders>
            <w:shd w:val="pct15" w:color="auto" w:fill="auto"/>
            <w:hideMark/>
          </w:tcPr>
          <w:p w:rsidR="00A40585" w:rsidRPr="00A40585" w:rsidRDefault="00A40585" w:rsidP="00A40585">
            <w:pPr>
              <w:rPr>
                <w:b/>
                <w:lang w:val="en-GB"/>
              </w:rPr>
            </w:pPr>
            <w:r w:rsidRPr="00A40585">
              <w:rPr>
                <w:b/>
                <w:lang w:val="en-GB"/>
              </w:rPr>
              <w:t>Title</w:t>
            </w:r>
          </w:p>
        </w:tc>
        <w:tc>
          <w:tcPr>
            <w:tcW w:w="3975" w:type="pct"/>
            <w:gridSpan w:val="3"/>
            <w:tcBorders>
              <w:top w:val="single" w:sz="4" w:space="0" w:color="auto"/>
              <w:left w:val="single" w:sz="4" w:space="0" w:color="auto"/>
              <w:bottom w:val="single" w:sz="4" w:space="0" w:color="auto"/>
              <w:right w:val="single" w:sz="4" w:space="0" w:color="auto"/>
            </w:tcBorders>
            <w:hideMark/>
          </w:tcPr>
          <w:p w:rsidR="00A40585" w:rsidRPr="00A40585" w:rsidRDefault="00A40585" w:rsidP="00A40585">
            <w:pPr>
              <w:jc w:val="center"/>
              <w:rPr>
                <w:b/>
                <w:bCs/>
                <w:sz w:val="32"/>
                <w:szCs w:val="28"/>
              </w:rPr>
            </w:pPr>
            <w:r w:rsidRPr="00A40585">
              <w:rPr>
                <w:b/>
                <w:bCs/>
                <w:lang w:val="en-GB"/>
              </w:rPr>
              <w:t>The Impact of Product Recalls on Businesses and Projects: The Samsung Galaxy Note 7 Recall</w:t>
            </w:r>
          </w:p>
        </w:tc>
      </w:tr>
      <w:tr w:rsidR="00A40585" w:rsidRPr="00A40585" w:rsidTr="00A40585">
        <w:tc>
          <w:tcPr>
            <w:tcW w:w="1025" w:type="pct"/>
            <w:tcBorders>
              <w:top w:val="single" w:sz="4" w:space="0" w:color="auto"/>
              <w:left w:val="single" w:sz="4" w:space="0" w:color="auto"/>
              <w:bottom w:val="single" w:sz="4" w:space="0" w:color="auto"/>
              <w:right w:val="single" w:sz="4" w:space="0" w:color="auto"/>
            </w:tcBorders>
            <w:shd w:val="pct15" w:color="auto" w:fill="auto"/>
            <w:hideMark/>
          </w:tcPr>
          <w:p w:rsidR="00A40585" w:rsidRPr="00A40585" w:rsidRDefault="00A40585" w:rsidP="00A40585">
            <w:pPr>
              <w:rPr>
                <w:b/>
                <w:lang w:val="en-GB"/>
              </w:rPr>
            </w:pPr>
            <w:r w:rsidRPr="00A40585">
              <w:rPr>
                <w:b/>
                <w:lang w:val="en-GB"/>
              </w:rPr>
              <w:t>Submission deadline:</w:t>
            </w:r>
          </w:p>
        </w:tc>
        <w:tc>
          <w:tcPr>
            <w:tcW w:w="1612" w:type="pct"/>
            <w:tcBorders>
              <w:top w:val="single" w:sz="4" w:space="0" w:color="auto"/>
              <w:left w:val="single" w:sz="4" w:space="0" w:color="auto"/>
              <w:bottom w:val="single" w:sz="4" w:space="0" w:color="auto"/>
              <w:right w:val="single" w:sz="4" w:space="0" w:color="auto"/>
            </w:tcBorders>
            <w:hideMark/>
          </w:tcPr>
          <w:p w:rsidR="00A40585" w:rsidRPr="00A40585" w:rsidRDefault="00A40585" w:rsidP="00A40585">
            <w:pPr>
              <w:rPr>
                <w:bCs/>
                <w:lang w:val="en-GB"/>
              </w:rPr>
            </w:pPr>
            <w:r w:rsidRPr="00A40585">
              <w:rPr>
                <w:bCs/>
                <w:lang w:val="en-GB"/>
              </w:rPr>
              <w:t>10/10/2025</w:t>
            </w:r>
          </w:p>
        </w:tc>
        <w:tc>
          <w:tcPr>
            <w:tcW w:w="1287" w:type="pct"/>
            <w:tcBorders>
              <w:top w:val="single" w:sz="4" w:space="0" w:color="auto"/>
              <w:left w:val="single" w:sz="4" w:space="0" w:color="auto"/>
              <w:bottom w:val="single" w:sz="4" w:space="0" w:color="auto"/>
              <w:right w:val="single" w:sz="4" w:space="0" w:color="auto"/>
            </w:tcBorders>
            <w:shd w:val="pct15" w:color="auto" w:fill="auto"/>
            <w:hideMark/>
          </w:tcPr>
          <w:p w:rsidR="00A40585" w:rsidRPr="00A40585" w:rsidRDefault="00A40585" w:rsidP="00A40585">
            <w:pPr>
              <w:rPr>
                <w:b/>
                <w:lang w:val="en-GB"/>
              </w:rPr>
            </w:pPr>
            <w:r w:rsidRPr="00A40585">
              <w:rPr>
                <w:b/>
                <w:lang w:val="en-GB"/>
              </w:rPr>
              <w:t>Return date of provisional marks &amp; written feedback:</w:t>
            </w:r>
          </w:p>
        </w:tc>
        <w:tc>
          <w:tcPr>
            <w:tcW w:w="1075" w:type="pct"/>
            <w:tcBorders>
              <w:top w:val="single" w:sz="4" w:space="0" w:color="auto"/>
              <w:left w:val="single" w:sz="4" w:space="0" w:color="auto"/>
              <w:bottom w:val="single" w:sz="4" w:space="0" w:color="auto"/>
              <w:right w:val="single" w:sz="4" w:space="0" w:color="auto"/>
            </w:tcBorders>
          </w:tcPr>
          <w:p w:rsidR="00A40585" w:rsidRPr="00A40585" w:rsidRDefault="00A40585" w:rsidP="00A40585">
            <w:pPr>
              <w:rPr>
                <w:bCs/>
                <w:lang w:val="en-GB"/>
              </w:rPr>
            </w:pPr>
            <w:r w:rsidRPr="00A40585">
              <w:rPr>
                <w:bCs/>
                <w:lang w:val="en-GB"/>
              </w:rPr>
              <w:t>07/11/2025</w:t>
            </w:r>
          </w:p>
        </w:tc>
      </w:tr>
    </w:tbl>
    <w:p w:rsidR="00A40585" w:rsidRPr="00A40585" w:rsidRDefault="00A40585" w:rsidP="00A40585">
      <w:pPr>
        <w:rPr>
          <w:lang w:val="en-GB"/>
        </w:rPr>
      </w:pPr>
    </w:p>
    <w:sdt>
      <w:sdtPr>
        <w:id w:val="-89698061"/>
        <w:docPartObj>
          <w:docPartGallery w:val="Cover Pages"/>
          <w:docPartUnique/>
        </w:docPartObj>
      </w:sdtPr>
      <w:sdtContent>
        <w:p w:rsidR="004027E9" w:rsidRDefault="004027E9"/>
        <w:p w:rsidR="00DB7BA1" w:rsidRDefault="004027E9">
          <w:pPr>
            <w:spacing w:before="0" w:line="259" w:lineRule="auto"/>
            <w:jc w:val="left"/>
          </w:pPr>
          <w:r>
            <w:br w:type="page"/>
          </w:r>
        </w:p>
      </w:sdtContent>
    </w:sdt>
    <w:p w:rsidR="006931DF" w:rsidRPr="006931DF" w:rsidRDefault="006931DF" w:rsidP="006931DF">
      <w:pPr>
        <w:pStyle w:val="Heading1"/>
      </w:pPr>
      <w:bookmarkStart w:id="0" w:name="_Toc210871181"/>
      <w:r w:rsidRPr="006931DF">
        <w:lastRenderedPageBreak/>
        <w:t>Abstract</w:t>
      </w:r>
      <w:bookmarkEnd w:id="0"/>
    </w:p>
    <w:p w:rsidR="006931DF" w:rsidRPr="006931DF" w:rsidRDefault="006931DF" w:rsidP="006931DF">
      <w:r w:rsidRPr="006931DF">
        <w:t>This report critically analyses the Samsung Galaxy Note 7 smartphone product recall in 2016 using the perspective of quality cost management and crisis recovery theory. It combines prevention-appraisal-failure (PAF) and total quality control (TQC) models in order to understand recall mechanisms, economic consequences and trust restoration mechanisms. Drawing on current literature, the analysis illustrates how the crisis management of prevention-orientated investments, digital quality systems and transparent communication becomes long-term resilience. The research concludes that the combination of sustainability, insurance, and stakeholder engagement into quality cost models can help firms to transform weaknesses into strategic opportunities for continuous improvement practices, credit/reputation restoration, and sustainable competition in the global marketplace.</w:t>
      </w:r>
    </w:p>
    <w:p w:rsidR="00DB7BA1" w:rsidRDefault="00DB7BA1">
      <w:pPr>
        <w:spacing w:before="0" w:line="259" w:lineRule="auto"/>
        <w:jc w:val="left"/>
      </w:pPr>
      <w:r>
        <w:br w:type="page"/>
      </w:r>
    </w:p>
    <w:sdt>
      <w:sdtPr>
        <w:rPr>
          <w:rFonts w:ascii="Times New Roman" w:eastAsiaTheme="minorHAnsi" w:hAnsi="Times New Roman" w:cs="Times New Roman"/>
          <w:b/>
          <w:bCs/>
          <w:color w:val="auto"/>
          <w:kern w:val="2"/>
          <w:sz w:val="28"/>
          <w:szCs w:val="28"/>
        </w:rPr>
        <w:id w:val="-204177062"/>
        <w:docPartObj>
          <w:docPartGallery w:val="Table of Contents"/>
          <w:docPartUnique/>
        </w:docPartObj>
      </w:sdtPr>
      <w:sdtEndPr>
        <w:rPr>
          <w:rFonts w:cstheme="minorBidi"/>
          <w:noProof/>
          <w:sz w:val="24"/>
          <w:szCs w:val="22"/>
        </w:rPr>
      </w:sdtEndPr>
      <w:sdtContent>
        <w:p w:rsidR="007B615E" w:rsidRPr="007B615E" w:rsidRDefault="007B615E">
          <w:pPr>
            <w:pStyle w:val="TOCHeading"/>
            <w:rPr>
              <w:rFonts w:ascii="Times New Roman" w:hAnsi="Times New Roman" w:cs="Times New Roman"/>
              <w:b/>
              <w:bCs/>
              <w:sz w:val="28"/>
              <w:szCs w:val="28"/>
            </w:rPr>
          </w:pPr>
          <w:r w:rsidRPr="007B615E">
            <w:rPr>
              <w:rFonts w:ascii="Times New Roman" w:hAnsi="Times New Roman" w:cs="Times New Roman"/>
              <w:b/>
              <w:bCs/>
              <w:sz w:val="28"/>
              <w:szCs w:val="28"/>
            </w:rPr>
            <w:t>Table of Contents</w:t>
          </w:r>
        </w:p>
        <w:p w:rsidR="007B615E" w:rsidRDefault="00C15837">
          <w:pPr>
            <w:pStyle w:val="TOC1"/>
            <w:tabs>
              <w:tab w:val="right" w:leader="dot" w:pos="9350"/>
            </w:tabs>
            <w:rPr>
              <w:noProof/>
            </w:rPr>
          </w:pPr>
          <w:r w:rsidRPr="00C15837">
            <w:fldChar w:fldCharType="begin"/>
          </w:r>
          <w:r w:rsidR="007B615E">
            <w:instrText xml:space="preserve"> TOC \o "1-3" \h \z \u </w:instrText>
          </w:r>
          <w:r w:rsidRPr="00C15837">
            <w:fldChar w:fldCharType="separate"/>
          </w:r>
          <w:hyperlink w:anchor="_Toc210871181" w:history="1">
            <w:r w:rsidR="007B615E" w:rsidRPr="00026584">
              <w:rPr>
                <w:rStyle w:val="Hyperlink"/>
                <w:noProof/>
              </w:rPr>
              <w:t>Abstract</w:t>
            </w:r>
            <w:r w:rsidR="007B615E">
              <w:rPr>
                <w:noProof/>
                <w:webHidden/>
              </w:rPr>
              <w:tab/>
            </w:r>
            <w:r>
              <w:rPr>
                <w:noProof/>
                <w:webHidden/>
              </w:rPr>
              <w:fldChar w:fldCharType="begin"/>
            </w:r>
            <w:r w:rsidR="007B615E">
              <w:rPr>
                <w:noProof/>
                <w:webHidden/>
              </w:rPr>
              <w:instrText xml:space="preserve"> PAGEREF _Toc210871181 \h </w:instrText>
            </w:r>
            <w:r>
              <w:rPr>
                <w:noProof/>
                <w:webHidden/>
              </w:rPr>
            </w:r>
            <w:r>
              <w:rPr>
                <w:noProof/>
                <w:webHidden/>
              </w:rPr>
              <w:fldChar w:fldCharType="separate"/>
            </w:r>
            <w:r w:rsidR="007B615E">
              <w:rPr>
                <w:noProof/>
                <w:webHidden/>
              </w:rPr>
              <w:t>2</w:t>
            </w:r>
            <w:r>
              <w:rPr>
                <w:noProof/>
                <w:webHidden/>
              </w:rPr>
              <w:fldChar w:fldCharType="end"/>
            </w:r>
          </w:hyperlink>
        </w:p>
        <w:p w:rsidR="007B615E" w:rsidRDefault="00C15837">
          <w:pPr>
            <w:pStyle w:val="TOC1"/>
            <w:tabs>
              <w:tab w:val="right" w:leader="dot" w:pos="9350"/>
            </w:tabs>
            <w:rPr>
              <w:noProof/>
            </w:rPr>
          </w:pPr>
          <w:hyperlink w:anchor="_Toc210871182" w:history="1">
            <w:r w:rsidR="007B615E" w:rsidRPr="00026584">
              <w:rPr>
                <w:rStyle w:val="Hyperlink"/>
                <w:noProof/>
              </w:rPr>
              <w:t>Introduction</w:t>
            </w:r>
            <w:r w:rsidR="007B615E">
              <w:rPr>
                <w:noProof/>
                <w:webHidden/>
              </w:rPr>
              <w:tab/>
            </w:r>
            <w:r>
              <w:rPr>
                <w:noProof/>
                <w:webHidden/>
              </w:rPr>
              <w:fldChar w:fldCharType="begin"/>
            </w:r>
            <w:r w:rsidR="007B615E">
              <w:rPr>
                <w:noProof/>
                <w:webHidden/>
              </w:rPr>
              <w:instrText xml:space="preserve"> PAGEREF _Toc210871182 \h </w:instrText>
            </w:r>
            <w:r>
              <w:rPr>
                <w:noProof/>
                <w:webHidden/>
              </w:rPr>
            </w:r>
            <w:r>
              <w:rPr>
                <w:noProof/>
                <w:webHidden/>
              </w:rPr>
              <w:fldChar w:fldCharType="separate"/>
            </w:r>
            <w:r w:rsidR="007B615E">
              <w:rPr>
                <w:noProof/>
                <w:webHidden/>
              </w:rPr>
              <w:t>4</w:t>
            </w:r>
            <w:r>
              <w:rPr>
                <w:noProof/>
                <w:webHidden/>
              </w:rPr>
              <w:fldChar w:fldCharType="end"/>
            </w:r>
          </w:hyperlink>
        </w:p>
        <w:p w:rsidR="007B615E" w:rsidRDefault="00C15837">
          <w:pPr>
            <w:pStyle w:val="TOC1"/>
            <w:tabs>
              <w:tab w:val="right" w:leader="dot" w:pos="9350"/>
            </w:tabs>
            <w:rPr>
              <w:noProof/>
            </w:rPr>
          </w:pPr>
          <w:hyperlink w:anchor="_Toc210871183" w:history="1">
            <w:r w:rsidR="007B615E" w:rsidRPr="00026584">
              <w:rPr>
                <w:rStyle w:val="Hyperlink"/>
                <w:noProof/>
              </w:rPr>
              <w:t>Product Recall Process</w:t>
            </w:r>
            <w:r w:rsidR="007B615E">
              <w:rPr>
                <w:noProof/>
                <w:webHidden/>
              </w:rPr>
              <w:tab/>
            </w:r>
            <w:r>
              <w:rPr>
                <w:noProof/>
                <w:webHidden/>
              </w:rPr>
              <w:fldChar w:fldCharType="begin"/>
            </w:r>
            <w:r w:rsidR="007B615E">
              <w:rPr>
                <w:noProof/>
                <w:webHidden/>
              </w:rPr>
              <w:instrText xml:space="preserve"> PAGEREF _Toc210871183 \h </w:instrText>
            </w:r>
            <w:r>
              <w:rPr>
                <w:noProof/>
                <w:webHidden/>
              </w:rPr>
            </w:r>
            <w:r>
              <w:rPr>
                <w:noProof/>
                <w:webHidden/>
              </w:rPr>
              <w:fldChar w:fldCharType="separate"/>
            </w:r>
            <w:r w:rsidR="007B615E">
              <w:rPr>
                <w:noProof/>
                <w:webHidden/>
              </w:rPr>
              <w:t>5</w:t>
            </w:r>
            <w:r>
              <w:rPr>
                <w:noProof/>
                <w:webHidden/>
              </w:rPr>
              <w:fldChar w:fldCharType="end"/>
            </w:r>
          </w:hyperlink>
        </w:p>
        <w:p w:rsidR="007B615E" w:rsidRDefault="00C15837">
          <w:pPr>
            <w:pStyle w:val="TOC1"/>
            <w:tabs>
              <w:tab w:val="right" w:leader="dot" w:pos="9350"/>
            </w:tabs>
            <w:rPr>
              <w:noProof/>
            </w:rPr>
          </w:pPr>
          <w:hyperlink w:anchor="_Toc210871184" w:history="1">
            <w:r w:rsidR="007B615E" w:rsidRPr="00026584">
              <w:rPr>
                <w:rStyle w:val="Hyperlink"/>
                <w:noProof/>
              </w:rPr>
              <w:t>Costs Associated with Product Recalls and Controls</w:t>
            </w:r>
            <w:r w:rsidR="007B615E">
              <w:rPr>
                <w:noProof/>
                <w:webHidden/>
              </w:rPr>
              <w:tab/>
            </w:r>
            <w:r>
              <w:rPr>
                <w:noProof/>
                <w:webHidden/>
              </w:rPr>
              <w:fldChar w:fldCharType="begin"/>
            </w:r>
            <w:r w:rsidR="007B615E">
              <w:rPr>
                <w:noProof/>
                <w:webHidden/>
              </w:rPr>
              <w:instrText xml:space="preserve"> PAGEREF _Toc210871184 \h </w:instrText>
            </w:r>
            <w:r>
              <w:rPr>
                <w:noProof/>
                <w:webHidden/>
              </w:rPr>
            </w:r>
            <w:r>
              <w:rPr>
                <w:noProof/>
                <w:webHidden/>
              </w:rPr>
              <w:fldChar w:fldCharType="separate"/>
            </w:r>
            <w:r w:rsidR="007B615E">
              <w:rPr>
                <w:noProof/>
                <w:webHidden/>
              </w:rPr>
              <w:t>8</w:t>
            </w:r>
            <w:r>
              <w:rPr>
                <w:noProof/>
                <w:webHidden/>
              </w:rPr>
              <w:fldChar w:fldCharType="end"/>
            </w:r>
          </w:hyperlink>
        </w:p>
        <w:p w:rsidR="007B615E" w:rsidRDefault="00C15837">
          <w:pPr>
            <w:pStyle w:val="TOC1"/>
            <w:tabs>
              <w:tab w:val="right" w:leader="dot" w:pos="9350"/>
            </w:tabs>
            <w:rPr>
              <w:noProof/>
            </w:rPr>
          </w:pPr>
          <w:hyperlink w:anchor="_Toc210871185" w:history="1">
            <w:r w:rsidR="007B615E" w:rsidRPr="00026584">
              <w:rPr>
                <w:rStyle w:val="Hyperlink"/>
                <w:noProof/>
              </w:rPr>
              <w:t>Restoring Customer Confidence</w:t>
            </w:r>
            <w:r w:rsidR="007B615E">
              <w:rPr>
                <w:noProof/>
                <w:webHidden/>
              </w:rPr>
              <w:tab/>
            </w:r>
            <w:r>
              <w:rPr>
                <w:noProof/>
                <w:webHidden/>
              </w:rPr>
              <w:fldChar w:fldCharType="begin"/>
            </w:r>
            <w:r w:rsidR="007B615E">
              <w:rPr>
                <w:noProof/>
                <w:webHidden/>
              </w:rPr>
              <w:instrText xml:space="preserve"> PAGEREF _Toc210871185 \h </w:instrText>
            </w:r>
            <w:r>
              <w:rPr>
                <w:noProof/>
                <w:webHidden/>
              </w:rPr>
            </w:r>
            <w:r>
              <w:rPr>
                <w:noProof/>
                <w:webHidden/>
              </w:rPr>
              <w:fldChar w:fldCharType="separate"/>
            </w:r>
            <w:r w:rsidR="007B615E">
              <w:rPr>
                <w:noProof/>
                <w:webHidden/>
              </w:rPr>
              <w:t>13</w:t>
            </w:r>
            <w:r>
              <w:rPr>
                <w:noProof/>
                <w:webHidden/>
              </w:rPr>
              <w:fldChar w:fldCharType="end"/>
            </w:r>
          </w:hyperlink>
        </w:p>
        <w:p w:rsidR="007B615E" w:rsidRDefault="00C15837">
          <w:pPr>
            <w:pStyle w:val="TOC1"/>
            <w:tabs>
              <w:tab w:val="right" w:leader="dot" w:pos="9350"/>
            </w:tabs>
            <w:rPr>
              <w:noProof/>
            </w:rPr>
          </w:pPr>
          <w:hyperlink w:anchor="_Toc210871186" w:history="1">
            <w:r w:rsidR="007B615E" w:rsidRPr="00026584">
              <w:rPr>
                <w:rStyle w:val="Hyperlink"/>
                <w:noProof/>
              </w:rPr>
              <w:t>Conclusion</w:t>
            </w:r>
            <w:r w:rsidR="007B615E">
              <w:rPr>
                <w:noProof/>
                <w:webHidden/>
              </w:rPr>
              <w:tab/>
            </w:r>
            <w:r>
              <w:rPr>
                <w:noProof/>
                <w:webHidden/>
              </w:rPr>
              <w:fldChar w:fldCharType="begin"/>
            </w:r>
            <w:r w:rsidR="007B615E">
              <w:rPr>
                <w:noProof/>
                <w:webHidden/>
              </w:rPr>
              <w:instrText xml:space="preserve"> PAGEREF _Toc210871186 \h </w:instrText>
            </w:r>
            <w:r>
              <w:rPr>
                <w:noProof/>
                <w:webHidden/>
              </w:rPr>
            </w:r>
            <w:r>
              <w:rPr>
                <w:noProof/>
                <w:webHidden/>
              </w:rPr>
              <w:fldChar w:fldCharType="separate"/>
            </w:r>
            <w:r w:rsidR="007B615E">
              <w:rPr>
                <w:noProof/>
                <w:webHidden/>
              </w:rPr>
              <w:t>15</w:t>
            </w:r>
            <w:r>
              <w:rPr>
                <w:noProof/>
                <w:webHidden/>
              </w:rPr>
              <w:fldChar w:fldCharType="end"/>
            </w:r>
          </w:hyperlink>
        </w:p>
        <w:p w:rsidR="007B615E" w:rsidRDefault="00C15837">
          <w:pPr>
            <w:pStyle w:val="TOC1"/>
            <w:tabs>
              <w:tab w:val="right" w:leader="dot" w:pos="9350"/>
            </w:tabs>
            <w:rPr>
              <w:noProof/>
            </w:rPr>
          </w:pPr>
          <w:hyperlink w:anchor="_Toc210871187" w:history="1">
            <w:r w:rsidR="007B615E" w:rsidRPr="00026584">
              <w:rPr>
                <w:rStyle w:val="Hyperlink"/>
                <w:noProof/>
              </w:rPr>
              <w:t>References</w:t>
            </w:r>
            <w:r w:rsidR="007B615E">
              <w:rPr>
                <w:noProof/>
                <w:webHidden/>
              </w:rPr>
              <w:tab/>
            </w:r>
            <w:r>
              <w:rPr>
                <w:noProof/>
                <w:webHidden/>
              </w:rPr>
              <w:fldChar w:fldCharType="begin"/>
            </w:r>
            <w:r w:rsidR="007B615E">
              <w:rPr>
                <w:noProof/>
                <w:webHidden/>
              </w:rPr>
              <w:instrText xml:space="preserve"> PAGEREF _Toc210871187 \h </w:instrText>
            </w:r>
            <w:r>
              <w:rPr>
                <w:noProof/>
                <w:webHidden/>
              </w:rPr>
            </w:r>
            <w:r>
              <w:rPr>
                <w:noProof/>
                <w:webHidden/>
              </w:rPr>
              <w:fldChar w:fldCharType="separate"/>
            </w:r>
            <w:r w:rsidR="007B615E">
              <w:rPr>
                <w:noProof/>
                <w:webHidden/>
              </w:rPr>
              <w:t>15</w:t>
            </w:r>
            <w:r>
              <w:rPr>
                <w:noProof/>
                <w:webHidden/>
              </w:rPr>
              <w:fldChar w:fldCharType="end"/>
            </w:r>
          </w:hyperlink>
        </w:p>
        <w:p w:rsidR="007B615E" w:rsidRDefault="00C15837">
          <w:r>
            <w:rPr>
              <w:b/>
              <w:bCs/>
              <w:noProof/>
            </w:rPr>
            <w:fldChar w:fldCharType="end"/>
          </w:r>
        </w:p>
      </w:sdtContent>
    </w:sdt>
    <w:p w:rsidR="007B615E" w:rsidRPr="007B615E" w:rsidRDefault="007B615E">
      <w:pPr>
        <w:pStyle w:val="TableofFigures"/>
        <w:tabs>
          <w:tab w:val="right" w:leader="dot" w:pos="9350"/>
        </w:tabs>
        <w:rPr>
          <w:b/>
          <w:bCs/>
          <w:color w:val="2F5496" w:themeColor="accent1" w:themeShade="BF"/>
          <w:sz w:val="28"/>
          <w:szCs w:val="24"/>
        </w:rPr>
      </w:pPr>
      <w:r w:rsidRPr="007B615E">
        <w:rPr>
          <w:b/>
          <w:bCs/>
          <w:color w:val="2F5496" w:themeColor="accent1" w:themeShade="BF"/>
          <w:sz w:val="28"/>
          <w:szCs w:val="24"/>
        </w:rPr>
        <w:t>List of Figures</w:t>
      </w:r>
    </w:p>
    <w:p w:rsidR="007B615E" w:rsidRDefault="00C15837">
      <w:pPr>
        <w:pStyle w:val="TableofFigures"/>
        <w:tabs>
          <w:tab w:val="right" w:leader="dot" w:pos="9350"/>
        </w:tabs>
        <w:rPr>
          <w:noProof/>
        </w:rPr>
      </w:pPr>
      <w:r>
        <w:fldChar w:fldCharType="begin"/>
      </w:r>
      <w:r w:rsidR="007B615E">
        <w:instrText xml:space="preserve"> TOC \h \z \c "Table" </w:instrText>
      </w:r>
      <w:r>
        <w:fldChar w:fldCharType="separate"/>
      </w:r>
      <w:hyperlink w:anchor="_Toc210871200" w:history="1">
        <w:r w:rsidR="007B615E" w:rsidRPr="00A53403">
          <w:rPr>
            <w:rStyle w:val="Hyperlink"/>
            <w:noProof/>
          </w:rPr>
          <w:t>Table 1: Product Recall Statistics by Industry 2022-2023</w:t>
        </w:r>
        <w:r w:rsidR="007B615E">
          <w:rPr>
            <w:noProof/>
            <w:webHidden/>
          </w:rPr>
          <w:tab/>
        </w:r>
        <w:r>
          <w:rPr>
            <w:noProof/>
            <w:webHidden/>
          </w:rPr>
          <w:fldChar w:fldCharType="begin"/>
        </w:r>
        <w:r w:rsidR="007B615E">
          <w:rPr>
            <w:noProof/>
            <w:webHidden/>
          </w:rPr>
          <w:instrText xml:space="preserve"> PAGEREF _Toc210871200 \h </w:instrText>
        </w:r>
        <w:r>
          <w:rPr>
            <w:noProof/>
            <w:webHidden/>
          </w:rPr>
        </w:r>
        <w:r>
          <w:rPr>
            <w:noProof/>
            <w:webHidden/>
          </w:rPr>
          <w:fldChar w:fldCharType="separate"/>
        </w:r>
        <w:r w:rsidR="007B615E">
          <w:rPr>
            <w:noProof/>
            <w:webHidden/>
          </w:rPr>
          <w:t>4</w:t>
        </w:r>
        <w:r>
          <w:rPr>
            <w:noProof/>
            <w:webHidden/>
          </w:rPr>
          <w:fldChar w:fldCharType="end"/>
        </w:r>
      </w:hyperlink>
    </w:p>
    <w:p w:rsidR="007B615E" w:rsidRDefault="00C15837">
      <w:pPr>
        <w:spacing w:before="0" w:line="259" w:lineRule="auto"/>
        <w:jc w:val="left"/>
      </w:pPr>
      <w:r>
        <w:fldChar w:fldCharType="end"/>
      </w:r>
    </w:p>
    <w:p w:rsidR="007B615E" w:rsidRPr="007B615E" w:rsidRDefault="007B615E">
      <w:pPr>
        <w:spacing w:before="0" w:line="259" w:lineRule="auto"/>
        <w:jc w:val="left"/>
        <w:rPr>
          <w:b/>
          <w:bCs/>
          <w:color w:val="2F5496" w:themeColor="accent1" w:themeShade="BF"/>
          <w:sz w:val="28"/>
          <w:szCs w:val="24"/>
        </w:rPr>
      </w:pPr>
      <w:r w:rsidRPr="007B615E">
        <w:rPr>
          <w:b/>
          <w:bCs/>
          <w:color w:val="2F5496" w:themeColor="accent1" w:themeShade="BF"/>
          <w:sz w:val="28"/>
          <w:szCs w:val="24"/>
        </w:rPr>
        <w:t>List of Tables</w:t>
      </w:r>
    </w:p>
    <w:p w:rsidR="007B615E" w:rsidRDefault="00C15837">
      <w:pPr>
        <w:pStyle w:val="TableofFigures"/>
        <w:tabs>
          <w:tab w:val="right" w:leader="dot" w:pos="9350"/>
        </w:tabs>
        <w:rPr>
          <w:rFonts w:asciiTheme="minorHAnsi" w:eastAsiaTheme="minorEastAsia" w:hAnsiTheme="minorHAnsi"/>
          <w:noProof/>
          <w:szCs w:val="24"/>
        </w:rPr>
      </w:pPr>
      <w:r>
        <w:fldChar w:fldCharType="begin"/>
      </w:r>
      <w:r w:rsidR="007B615E">
        <w:instrText xml:space="preserve"> TOC \h \z \c "Figure" </w:instrText>
      </w:r>
      <w:r>
        <w:fldChar w:fldCharType="separate"/>
      </w:r>
      <w:hyperlink w:anchor="_Toc210871210" w:history="1">
        <w:r w:rsidR="007B615E" w:rsidRPr="00A56B46">
          <w:rPr>
            <w:rStyle w:val="Hyperlink"/>
            <w:noProof/>
          </w:rPr>
          <w:t>Figure 1: Samsung Recall Costs (The National, 2016)</w:t>
        </w:r>
        <w:r w:rsidR="007B615E">
          <w:rPr>
            <w:noProof/>
            <w:webHidden/>
          </w:rPr>
          <w:tab/>
        </w:r>
        <w:r>
          <w:rPr>
            <w:noProof/>
            <w:webHidden/>
          </w:rPr>
          <w:fldChar w:fldCharType="begin"/>
        </w:r>
        <w:r w:rsidR="007B615E">
          <w:rPr>
            <w:noProof/>
            <w:webHidden/>
          </w:rPr>
          <w:instrText xml:space="preserve"> PAGEREF _Toc210871210 \h </w:instrText>
        </w:r>
        <w:r>
          <w:rPr>
            <w:noProof/>
            <w:webHidden/>
          </w:rPr>
        </w:r>
        <w:r>
          <w:rPr>
            <w:noProof/>
            <w:webHidden/>
          </w:rPr>
          <w:fldChar w:fldCharType="separate"/>
        </w:r>
        <w:r w:rsidR="007B615E">
          <w:rPr>
            <w:noProof/>
            <w:webHidden/>
          </w:rPr>
          <w:t>9</w:t>
        </w:r>
        <w:r>
          <w:rPr>
            <w:noProof/>
            <w:webHidden/>
          </w:rPr>
          <w:fldChar w:fldCharType="end"/>
        </w:r>
      </w:hyperlink>
    </w:p>
    <w:p w:rsidR="007B615E" w:rsidRDefault="00C15837">
      <w:pPr>
        <w:pStyle w:val="TableofFigures"/>
        <w:tabs>
          <w:tab w:val="right" w:leader="dot" w:pos="9350"/>
        </w:tabs>
        <w:rPr>
          <w:rFonts w:asciiTheme="minorHAnsi" w:eastAsiaTheme="minorEastAsia" w:hAnsiTheme="minorHAnsi"/>
          <w:noProof/>
          <w:szCs w:val="24"/>
        </w:rPr>
      </w:pPr>
      <w:hyperlink w:anchor="_Toc210871211" w:history="1">
        <w:r w:rsidR="007B615E" w:rsidRPr="00A56B46">
          <w:rPr>
            <w:rStyle w:val="Hyperlink"/>
            <w:noProof/>
          </w:rPr>
          <w:t>Figure 2: Sustainability and End-of-Life Costs</w:t>
        </w:r>
        <w:r w:rsidR="007B615E">
          <w:rPr>
            <w:noProof/>
            <w:webHidden/>
          </w:rPr>
          <w:tab/>
        </w:r>
        <w:r>
          <w:rPr>
            <w:noProof/>
            <w:webHidden/>
          </w:rPr>
          <w:fldChar w:fldCharType="begin"/>
        </w:r>
        <w:r w:rsidR="007B615E">
          <w:rPr>
            <w:noProof/>
            <w:webHidden/>
          </w:rPr>
          <w:instrText xml:space="preserve"> PAGEREF _Toc210871211 \h </w:instrText>
        </w:r>
        <w:r>
          <w:rPr>
            <w:noProof/>
            <w:webHidden/>
          </w:rPr>
        </w:r>
        <w:r>
          <w:rPr>
            <w:noProof/>
            <w:webHidden/>
          </w:rPr>
          <w:fldChar w:fldCharType="separate"/>
        </w:r>
        <w:r w:rsidR="007B615E">
          <w:rPr>
            <w:noProof/>
            <w:webHidden/>
          </w:rPr>
          <w:t>11</w:t>
        </w:r>
        <w:r>
          <w:rPr>
            <w:noProof/>
            <w:webHidden/>
          </w:rPr>
          <w:fldChar w:fldCharType="end"/>
        </w:r>
      </w:hyperlink>
    </w:p>
    <w:p w:rsidR="007B615E" w:rsidRDefault="00C15837">
      <w:pPr>
        <w:pStyle w:val="TableofFigures"/>
        <w:tabs>
          <w:tab w:val="right" w:leader="dot" w:pos="9350"/>
        </w:tabs>
        <w:rPr>
          <w:rFonts w:asciiTheme="minorHAnsi" w:eastAsiaTheme="minorEastAsia" w:hAnsiTheme="minorHAnsi"/>
          <w:noProof/>
          <w:szCs w:val="24"/>
        </w:rPr>
      </w:pPr>
      <w:hyperlink w:anchor="_Toc210871212" w:history="1">
        <w:r w:rsidR="007B615E" w:rsidRPr="00A56B46">
          <w:rPr>
            <w:rStyle w:val="Hyperlink"/>
            <w:noProof/>
          </w:rPr>
          <w:t>Figure 3: Operational and Technological Levers for Cost Control</w:t>
        </w:r>
        <w:r w:rsidR="007B615E">
          <w:rPr>
            <w:noProof/>
            <w:webHidden/>
          </w:rPr>
          <w:tab/>
        </w:r>
        <w:r>
          <w:rPr>
            <w:noProof/>
            <w:webHidden/>
          </w:rPr>
          <w:fldChar w:fldCharType="begin"/>
        </w:r>
        <w:r w:rsidR="007B615E">
          <w:rPr>
            <w:noProof/>
            <w:webHidden/>
          </w:rPr>
          <w:instrText xml:space="preserve"> PAGEREF _Toc210871212 \h </w:instrText>
        </w:r>
        <w:r>
          <w:rPr>
            <w:noProof/>
            <w:webHidden/>
          </w:rPr>
        </w:r>
        <w:r>
          <w:rPr>
            <w:noProof/>
            <w:webHidden/>
          </w:rPr>
          <w:fldChar w:fldCharType="separate"/>
        </w:r>
        <w:r w:rsidR="007B615E">
          <w:rPr>
            <w:noProof/>
            <w:webHidden/>
          </w:rPr>
          <w:t>12</w:t>
        </w:r>
        <w:r>
          <w:rPr>
            <w:noProof/>
            <w:webHidden/>
          </w:rPr>
          <w:fldChar w:fldCharType="end"/>
        </w:r>
      </w:hyperlink>
    </w:p>
    <w:p w:rsidR="007B615E" w:rsidRDefault="00C15837">
      <w:pPr>
        <w:pStyle w:val="TableofFigures"/>
        <w:tabs>
          <w:tab w:val="right" w:leader="dot" w:pos="9350"/>
        </w:tabs>
        <w:rPr>
          <w:rFonts w:asciiTheme="minorHAnsi" w:eastAsiaTheme="minorEastAsia" w:hAnsiTheme="minorHAnsi"/>
          <w:noProof/>
          <w:szCs w:val="24"/>
        </w:rPr>
      </w:pPr>
      <w:hyperlink w:anchor="_Toc210871213" w:history="1">
        <w:r w:rsidR="007B615E" w:rsidRPr="00A56B46">
          <w:rPr>
            <w:rStyle w:val="Hyperlink"/>
            <w:noProof/>
          </w:rPr>
          <w:t>Figure 4: Narrative &amp; Brand Recovery Costs</w:t>
        </w:r>
        <w:r w:rsidR="007B615E">
          <w:rPr>
            <w:noProof/>
            <w:webHidden/>
          </w:rPr>
          <w:tab/>
        </w:r>
        <w:r>
          <w:rPr>
            <w:noProof/>
            <w:webHidden/>
          </w:rPr>
          <w:fldChar w:fldCharType="begin"/>
        </w:r>
        <w:r w:rsidR="007B615E">
          <w:rPr>
            <w:noProof/>
            <w:webHidden/>
          </w:rPr>
          <w:instrText xml:space="preserve"> PAGEREF _Toc210871213 \h </w:instrText>
        </w:r>
        <w:r>
          <w:rPr>
            <w:noProof/>
            <w:webHidden/>
          </w:rPr>
        </w:r>
        <w:r>
          <w:rPr>
            <w:noProof/>
            <w:webHidden/>
          </w:rPr>
          <w:fldChar w:fldCharType="separate"/>
        </w:r>
        <w:r w:rsidR="007B615E">
          <w:rPr>
            <w:noProof/>
            <w:webHidden/>
          </w:rPr>
          <w:t>12</w:t>
        </w:r>
        <w:r>
          <w:rPr>
            <w:noProof/>
            <w:webHidden/>
          </w:rPr>
          <w:fldChar w:fldCharType="end"/>
        </w:r>
      </w:hyperlink>
    </w:p>
    <w:p w:rsidR="007B615E" w:rsidRDefault="00C15837">
      <w:pPr>
        <w:pStyle w:val="TableofFigures"/>
        <w:tabs>
          <w:tab w:val="right" w:leader="dot" w:pos="9350"/>
        </w:tabs>
        <w:rPr>
          <w:rFonts w:asciiTheme="minorHAnsi" w:eastAsiaTheme="minorEastAsia" w:hAnsiTheme="minorHAnsi"/>
          <w:noProof/>
          <w:szCs w:val="24"/>
        </w:rPr>
      </w:pPr>
      <w:hyperlink w:anchor="_Toc210871214" w:history="1">
        <w:r w:rsidR="007B615E" w:rsidRPr="00A56B46">
          <w:rPr>
            <w:rStyle w:val="Hyperlink"/>
            <w:noProof/>
          </w:rPr>
          <w:t>Figure 5: Samsung-Specific Recovery Signals</w:t>
        </w:r>
        <w:r w:rsidR="007B615E">
          <w:rPr>
            <w:noProof/>
            <w:webHidden/>
          </w:rPr>
          <w:tab/>
        </w:r>
        <w:r>
          <w:rPr>
            <w:noProof/>
            <w:webHidden/>
          </w:rPr>
          <w:fldChar w:fldCharType="begin"/>
        </w:r>
        <w:r w:rsidR="007B615E">
          <w:rPr>
            <w:noProof/>
            <w:webHidden/>
          </w:rPr>
          <w:instrText xml:space="preserve"> PAGEREF _Toc210871214 \h </w:instrText>
        </w:r>
        <w:r>
          <w:rPr>
            <w:noProof/>
            <w:webHidden/>
          </w:rPr>
        </w:r>
        <w:r>
          <w:rPr>
            <w:noProof/>
            <w:webHidden/>
          </w:rPr>
          <w:fldChar w:fldCharType="separate"/>
        </w:r>
        <w:r w:rsidR="007B615E">
          <w:rPr>
            <w:noProof/>
            <w:webHidden/>
          </w:rPr>
          <w:t>14</w:t>
        </w:r>
        <w:r>
          <w:rPr>
            <w:noProof/>
            <w:webHidden/>
          </w:rPr>
          <w:fldChar w:fldCharType="end"/>
        </w:r>
      </w:hyperlink>
    </w:p>
    <w:p w:rsidR="00DB7BA1" w:rsidRDefault="00C15837">
      <w:pPr>
        <w:spacing w:before="0" w:line="259" w:lineRule="auto"/>
        <w:jc w:val="left"/>
      </w:pPr>
      <w:r>
        <w:fldChar w:fldCharType="end"/>
      </w:r>
      <w:r w:rsidR="00DB7BA1">
        <w:br w:type="page"/>
      </w:r>
    </w:p>
    <w:p w:rsidR="00FC2944" w:rsidRPr="00FC2944" w:rsidRDefault="00FC2944" w:rsidP="00FC2944">
      <w:pPr>
        <w:pStyle w:val="Heading1"/>
      </w:pPr>
      <w:bookmarkStart w:id="1" w:name="_Toc210871182"/>
      <w:r w:rsidRPr="00FC2944">
        <w:lastRenderedPageBreak/>
        <w:t>Introduction</w:t>
      </w:r>
      <w:bookmarkEnd w:id="1"/>
    </w:p>
    <w:p w:rsidR="00FC2944" w:rsidRDefault="00FC2944" w:rsidP="00FC2944">
      <w:r w:rsidRPr="00FC2944">
        <w:t>The Samsung Galaxy Note 7 recall of 2016 is still relevant as one of the most impactful product safety incidents in modern technology, marking a turning point in understanding the economics of quality management. The official Samsung recall portalreported that Samsung had recalled 2.5 million units globally due to unacceptable quality issues, which was previously reported by Moynihan (2016), revealing key deficiencies in product design and supply-chain co-ordination. Further research confirmed a direct link between battery failures (such as separator separation and cell distortion) and fires (BBC News, 2017; Loveridge et al., 2018). The recall eventually cost Samsung more than 5.3 billion USD, according to Arab News (2020) and The National (2016) and created many reputational and regulatory impacts.</w:t>
      </w:r>
    </w:p>
    <w:p w:rsidR="009522ED" w:rsidRDefault="009522ED" w:rsidP="009522ED">
      <w:pPr>
        <w:pStyle w:val="Caption"/>
        <w:keepNext/>
      </w:pPr>
      <w:bookmarkStart w:id="2" w:name="_Toc210871200"/>
      <w:r>
        <w:t xml:space="preserve">Table </w:t>
      </w:r>
      <w:r w:rsidR="00C15837">
        <w:fldChar w:fldCharType="begin"/>
      </w:r>
      <w:r w:rsidR="000F5AE5">
        <w:instrText xml:space="preserve"> SEQ Table \* ARABIC </w:instrText>
      </w:r>
      <w:r w:rsidR="00C15837">
        <w:fldChar w:fldCharType="separate"/>
      </w:r>
      <w:r>
        <w:rPr>
          <w:noProof/>
        </w:rPr>
        <w:t>1</w:t>
      </w:r>
      <w:r w:rsidR="00C15837">
        <w:rPr>
          <w:noProof/>
        </w:rPr>
        <w:fldChar w:fldCharType="end"/>
      </w:r>
      <w:r>
        <w:t xml:space="preserve">: </w:t>
      </w:r>
      <w:r w:rsidRPr="00C23616">
        <w:t>Product Recall Statistics by Industry 2022-2023</w:t>
      </w:r>
      <w:bookmarkEnd w:id="2"/>
    </w:p>
    <w:tbl>
      <w:tblPr>
        <w:tblStyle w:val="GridTable1Light"/>
        <w:tblW w:w="9355" w:type="dxa"/>
        <w:jc w:val="center"/>
        <w:tblLook w:val="04A0"/>
      </w:tblPr>
      <w:tblGrid>
        <w:gridCol w:w="2698"/>
        <w:gridCol w:w="2337"/>
        <w:gridCol w:w="1980"/>
        <w:gridCol w:w="2340"/>
      </w:tblGrid>
      <w:tr w:rsidR="009522ED" w:rsidRPr="009522ED" w:rsidTr="009522ED">
        <w:trPr>
          <w:cnfStyle w:val="100000000000"/>
          <w:trHeight w:val="293"/>
          <w:jc w:val="center"/>
        </w:trPr>
        <w:tc>
          <w:tcPr>
            <w:cnfStyle w:val="001000000000"/>
            <w:tcW w:w="2698" w:type="dxa"/>
            <w:noWrap/>
            <w:hideMark/>
          </w:tcPr>
          <w:p w:rsidR="009522ED" w:rsidRPr="009522ED" w:rsidRDefault="009522ED" w:rsidP="009522ED">
            <w:pPr>
              <w:jc w:val="center"/>
              <w:rPr>
                <w:szCs w:val="20"/>
              </w:rPr>
            </w:pPr>
            <w:r w:rsidRPr="009522ED">
              <w:rPr>
                <w:szCs w:val="20"/>
              </w:rPr>
              <w:t>Industry Sector</w:t>
            </w:r>
          </w:p>
        </w:tc>
        <w:tc>
          <w:tcPr>
            <w:tcW w:w="2337" w:type="dxa"/>
            <w:noWrap/>
            <w:hideMark/>
          </w:tcPr>
          <w:p w:rsidR="009522ED" w:rsidRPr="009522ED" w:rsidRDefault="009522ED" w:rsidP="009522ED">
            <w:pPr>
              <w:jc w:val="center"/>
              <w:cnfStyle w:val="100000000000"/>
              <w:rPr>
                <w:szCs w:val="20"/>
              </w:rPr>
            </w:pPr>
            <w:r w:rsidRPr="009522ED">
              <w:rPr>
                <w:szCs w:val="20"/>
              </w:rPr>
              <w:t>Number of Recalls (2022-2023)</w:t>
            </w:r>
          </w:p>
        </w:tc>
        <w:tc>
          <w:tcPr>
            <w:tcW w:w="1980" w:type="dxa"/>
            <w:noWrap/>
            <w:hideMark/>
          </w:tcPr>
          <w:p w:rsidR="009522ED" w:rsidRPr="009522ED" w:rsidRDefault="009522ED" w:rsidP="009522ED">
            <w:pPr>
              <w:jc w:val="center"/>
              <w:cnfStyle w:val="100000000000"/>
              <w:rPr>
                <w:szCs w:val="20"/>
              </w:rPr>
            </w:pPr>
            <w:r w:rsidRPr="009522ED">
              <w:rPr>
                <w:szCs w:val="20"/>
              </w:rPr>
              <w:t>Average Cost per Recall</w:t>
            </w:r>
          </w:p>
        </w:tc>
        <w:tc>
          <w:tcPr>
            <w:tcW w:w="2340" w:type="dxa"/>
            <w:noWrap/>
            <w:hideMark/>
          </w:tcPr>
          <w:p w:rsidR="009522ED" w:rsidRPr="009522ED" w:rsidRDefault="009522ED" w:rsidP="009522ED">
            <w:pPr>
              <w:jc w:val="center"/>
              <w:cnfStyle w:val="100000000000"/>
              <w:rPr>
                <w:szCs w:val="20"/>
              </w:rPr>
            </w:pPr>
            <w:r w:rsidRPr="009522ED">
              <w:rPr>
                <w:szCs w:val="20"/>
              </w:rPr>
              <w:t>Units Recalled</w:t>
            </w:r>
          </w:p>
        </w:tc>
      </w:tr>
      <w:tr w:rsidR="009522ED" w:rsidRPr="009522ED" w:rsidTr="009522ED">
        <w:trPr>
          <w:trHeight w:val="293"/>
          <w:jc w:val="center"/>
        </w:trPr>
        <w:tc>
          <w:tcPr>
            <w:cnfStyle w:val="001000000000"/>
            <w:tcW w:w="2698" w:type="dxa"/>
            <w:noWrap/>
            <w:hideMark/>
          </w:tcPr>
          <w:p w:rsidR="009522ED" w:rsidRPr="009522ED" w:rsidRDefault="009522ED" w:rsidP="009522ED">
            <w:pPr>
              <w:jc w:val="center"/>
              <w:rPr>
                <w:szCs w:val="20"/>
              </w:rPr>
            </w:pPr>
            <w:r w:rsidRPr="009522ED">
              <w:rPr>
                <w:szCs w:val="20"/>
              </w:rPr>
              <w:t>Consumer Electronics</w:t>
            </w:r>
          </w:p>
        </w:tc>
        <w:tc>
          <w:tcPr>
            <w:tcW w:w="2337" w:type="dxa"/>
            <w:noWrap/>
            <w:hideMark/>
          </w:tcPr>
          <w:p w:rsidR="009522ED" w:rsidRPr="009522ED" w:rsidRDefault="009522ED" w:rsidP="009522ED">
            <w:pPr>
              <w:jc w:val="center"/>
              <w:cnfStyle w:val="000000000000"/>
              <w:rPr>
                <w:szCs w:val="20"/>
              </w:rPr>
            </w:pPr>
            <w:r w:rsidRPr="009522ED">
              <w:rPr>
                <w:szCs w:val="20"/>
              </w:rPr>
              <w:t>43 (2022)</w:t>
            </w:r>
          </w:p>
        </w:tc>
        <w:tc>
          <w:tcPr>
            <w:tcW w:w="1980" w:type="dxa"/>
            <w:noWrap/>
            <w:hideMark/>
          </w:tcPr>
          <w:p w:rsidR="009522ED" w:rsidRPr="009522ED" w:rsidRDefault="009522ED" w:rsidP="009522ED">
            <w:pPr>
              <w:jc w:val="center"/>
              <w:cnfStyle w:val="000000000000"/>
              <w:rPr>
                <w:szCs w:val="20"/>
              </w:rPr>
            </w:pPr>
            <w:r w:rsidRPr="009522ED">
              <w:rPr>
                <w:szCs w:val="20"/>
              </w:rPr>
              <w:t>$195.3M(CRC Group, 2022)</w:t>
            </w:r>
          </w:p>
        </w:tc>
        <w:tc>
          <w:tcPr>
            <w:tcW w:w="2340" w:type="dxa"/>
            <w:noWrap/>
            <w:hideMark/>
          </w:tcPr>
          <w:p w:rsidR="009522ED" w:rsidRPr="009522ED" w:rsidRDefault="009522ED" w:rsidP="009522ED">
            <w:pPr>
              <w:jc w:val="center"/>
              <w:cnfStyle w:val="000000000000"/>
              <w:rPr>
                <w:szCs w:val="20"/>
              </w:rPr>
            </w:pPr>
            <w:r w:rsidRPr="009522ED">
              <w:rPr>
                <w:szCs w:val="20"/>
              </w:rPr>
              <w:t>8.5M units</w:t>
            </w:r>
          </w:p>
        </w:tc>
      </w:tr>
      <w:tr w:rsidR="009522ED" w:rsidRPr="009522ED" w:rsidTr="009522ED">
        <w:trPr>
          <w:trHeight w:val="293"/>
          <w:jc w:val="center"/>
        </w:trPr>
        <w:tc>
          <w:tcPr>
            <w:cnfStyle w:val="001000000000"/>
            <w:tcW w:w="2698" w:type="dxa"/>
            <w:noWrap/>
            <w:hideMark/>
          </w:tcPr>
          <w:p w:rsidR="009522ED" w:rsidRPr="009522ED" w:rsidRDefault="009522ED" w:rsidP="009522ED">
            <w:pPr>
              <w:jc w:val="center"/>
              <w:rPr>
                <w:szCs w:val="20"/>
              </w:rPr>
            </w:pPr>
            <w:r w:rsidRPr="009522ED">
              <w:rPr>
                <w:szCs w:val="20"/>
              </w:rPr>
              <w:t>Food &amp; Beverage (FDA)</w:t>
            </w:r>
          </w:p>
        </w:tc>
        <w:tc>
          <w:tcPr>
            <w:tcW w:w="2337" w:type="dxa"/>
            <w:noWrap/>
            <w:hideMark/>
          </w:tcPr>
          <w:p w:rsidR="009522ED" w:rsidRPr="009522ED" w:rsidRDefault="009522ED" w:rsidP="009522ED">
            <w:pPr>
              <w:jc w:val="center"/>
              <w:cnfStyle w:val="000000000000"/>
              <w:rPr>
                <w:szCs w:val="20"/>
              </w:rPr>
            </w:pPr>
            <w:r w:rsidRPr="009522ED">
              <w:rPr>
                <w:szCs w:val="20"/>
              </w:rPr>
              <w:t>506 (2023)</w:t>
            </w:r>
          </w:p>
        </w:tc>
        <w:tc>
          <w:tcPr>
            <w:tcW w:w="1980" w:type="dxa"/>
            <w:noWrap/>
            <w:hideMark/>
          </w:tcPr>
          <w:p w:rsidR="009522ED" w:rsidRPr="009522ED" w:rsidRDefault="009522ED" w:rsidP="009522ED">
            <w:pPr>
              <w:jc w:val="center"/>
              <w:cnfStyle w:val="000000000000"/>
              <w:rPr>
                <w:szCs w:val="20"/>
              </w:rPr>
            </w:pPr>
            <w:r w:rsidRPr="009522ED">
              <w:rPr>
                <w:szCs w:val="20"/>
              </w:rPr>
              <w:t>$12.5M</w:t>
            </w:r>
          </w:p>
        </w:tc>
        <w:tc>
          <w:tcPr>
            <w:tcW w:w="2340" w:type="dxa"/>
            <w:noWrap/>
            <w:hideMark/>
          </w:tcPr>
          <w:p w:rsidR="009522ED" w:rsidRPr="009522ED" w:rsidRDefault="009522ED" w:rsidP="009522ED">
            <w:pPr>
              <w:jc w:val="center"/>
              <w:cnfStyle w:val="000000000000"/>
              <w:rPr>
                <w:szCs w:val="20"/>
              </w:rPr>
            </w:pPr>
            <w:r w:rsidRPr="009522ED">
              <w:rPr>
                <w:szCs w:val="20"/>
              </w:rPr>
              <w:t>416M units</w:t>
            </w:r>
          </w:p>
        </w:tc>
      </w:tr>
      <w:tr w:rsidR="009522ED" w:rsidRPr="009522ED" w:rsidTr="009522ED">
        <w:trPr>
          <w:trHeight w:val="293"/>
          <w:jc w:val="center"/>
        </w:trPr>
        <w:tc>
          <w:tcPr>
            <w:cnfStyle w:val="001000000000"/>
            <w:tcW w:w="2698" w:type="dxa"/>
            <w:noWrap/>
            <w:hideMark/>
          </w:tcPr>
          <w:p w:rsidR="009522ED" w:rsidRPr="009522ED" w:rsidRDefault="009522ED" w:rsidP="009522ED">
            <w:pPr>
              <w:jc w:val="center"/>
              <w:rPr>
                <w:szCs w:val="20"/>
              </w:rPr>
            </w:pPr>
            <w:r w:rsidRPr="009522ED">
              <w:rPr>
                <w:szCs w:val="20"/>
              </w:rPr>
              <w:t>Consumer Products (CPSC)</w:t>
            </w:r>
          </w:p>
        </w:tc>
        <w:tc>
          <w:tcPr>
            <w:tcW w:w="2337" w:type="dxa"/>
            <w:noWrap/>
            <w:hideMark/>
          </w:tcPr>
          <w:p w:rsidR="009522ED" w:rsidRPr="009522ED" w:rsidRDefault="009522ED" w:rsidP="009522ED">
            <w:pPr>
              <w:jc w:val="center"/>
              <w:cnfStyle w:val="000000000000"/>
              <w:rPr>
                <w:szCs w:val="20"/>
              </w:rPr>
            </w:pPr>
            <w:r w:rsidRPr="009522ED">
              <w:rPr>
                <w:szCs w:val="20"/>
              </w:rPr>
              <w:t>322 (2023)</w:t>
            </w:r>
          </w:p>
        </w:tc>
        <w:tc>
          <w:tcPr>
            <w:tcW w:w="1980" w:type="dxa"/>
            <w:noWrap/>
            <w:hideMark/>
          </w:tcPr>
          <w:p w:rsidR="009522ED" w:rsidRPr="009522ED" w:rsidRDefault="009522ED" w:rsidP="009522ED">
            <w:pPr>
              <w:jc w:val="center"/>
              <w:cnfStyle w:val="000000000000"/>
              <w:rPr>
                <w:szCs w:val="20"/>
              </w:rPr>
            </w:pPr>
            <w:r w:rsidRPr="009522ED">
              <w:rPr>
                <w:szCs w:val="20"/>
              </w:rPr>
              <w:t>$3.2M</w:t>
            </w:r>
            <w:r w:rsidR="00756BDA" w:rsidRPr="00756BDA">
              <w:rPr>
                <w:szCs w:val="20"/>
              </w:rPr>
              <w:t>(Morgan &amp; Morgan, 2023)</w:t>
            </w:r>
          </w:p>
        </w:tc>
        <w:tc>
          <w:tcPr>
            <w:tcW w:w="2340" w:type="dxa"/>
            <w:noWrap/>
            <w:hideMark/>
          </w:tcPr>
          <w:p w:rsidR="009522ED" w:rsidRPr="009522ED" w:rsidRDefault="009522ED" w:rsidP="009522ED">
            <w:pPr>
              <w:jc w:val="center"/>
              <w:cnfStyle w:val="000000000000"/>
              <w:rPr>
                <w:szCs w:val="20"/>
              </w:rPr>
            </w:pPr>
            <w:r w:rsidRPr="009522ED">
              <w:rPr>
                <w:szCs w:val="20"/>
              </w:rPr>
              <w:t>135.2M units</w:t>
            </w:r>
          </w:p>
        </w:tc>
      </w:tr>
      <w:tr w:rsidR="009522ED" w:rsidRPr="009522ED" w:rsidTr="009522ED">
        <w:trPr>
          <w:trHeight w:val="293"/>
          <w:jc w:val="center"/>
        </w:trPr>
        <w:tc>
          <w:tcPr>
            <w:cnfStyle w:val="001000000000"/>
            <w:tcW w:w="2698" w:type="dxa"/>
            <w:noWrap/>
            <w:hideMark/>
          </w:tcPr>
          <w:p w:rsidR="009522ED" w:rsidRPr="009522ED" w:rsidRDefault="009522ED" w:rsidP="009522ED">
            <w:pPr>
              <w:jc w:val="center"/>
              <w:rPr>
                <w:szCs w:val="20"/>
              </w:rPr>
            </w:pPr>
            <w:r w:rsidRPr="009522ED">
              <w:rPr>
                <w:szCs w:val="20"/>
              </w:rPr>
              <w:t>Medical Devices</w:t>
            </w:r>
          </w:p>
        </w:tc>
        <w:tc>
          <w:tcPr>
            <w:tcW w:w="2337" w:type="dxa"/>
            <w:noWrap/>
            <w:hideMark/>
          </w:tcPr>
          <w:p w:rsidR="009522ED" w:rsidRPr="009522ED" w:rsidRDefault="009522ED" w:rsidP="009522ED">
            <w:pPr>
              <w:jc w:val="center"/>
              <w:cnfStyle w:val="000000000000"/>
              <w:rPr>
                <w:szCs w:val="20"/>
              </w:rPr>
            </w:pPr>
            <w:r w:rsidRPr="009522ED">
              <w:rPr>
                <w:szCs w:val="20"/>
              </w:rPr>
              <w:t>234 (2022)</w:t>
            </w:r>
          </w:p>
        </w:tc>
        <w:tc>
          <w:tcPr>
            <w:tcW w:w="1980" w:type="dxa"/>
            <w:noWrap/>
            <w:hideMark/>
          </w:tcPr>
          <w:p w:rsidR="009522ED" w:rsidRPr="009522ED" w:rsidRDefault="009522ED" w:rsidP="00756BDA">
            <w:pPr>
              <w:jc w:val="center"/>
              <w:cnfStyle w:val="000000000000"/>
              <w:rPr>
                <w:szCs w:val="20"/>
              </w:rPr>
            </w:pPr>
            <w:r w:rsidRPr="009522ED">
              <w:rPr>
                <w:szCs w:val="20"/>
              </w:rPr>
              <w:t>$18.7M</w:t>
            </w:r>
            <w:r w:rsidR="00756BDA" w:rsidRPr="00756BDA">
              <w:rPr>
                <w:szCs w:val="20"/>
              </w:rPr>
              <w:t>(AON, 2023)</w:t>
            </w:r>
          </w:p>
        </w:tc>
        <w:tc>
          <w:tcPr>
            <w:tcW w:w="2340" w:type="dxa"/>
            <w:noWrap/>
            <w:hideMark/>
          </w:tcPr>
          <w:p w:rsidR="009522ED" w:rsidRPr="009522ED" w:rsidRDefault="009522ED" w:rsidP="009522ED">
            <w:pPr>
              <w:jc w:val="center"/>
              <w:cnfStyle w:val="000000000000"/>
              <w:rPr>
                <w:szCs w:val="20"/>
              </w:rPr>
            </w:pPr>
            <w:r w:rsidRPr="009522ED">
              <w:rPr>
                <w:szCs w:val="20"/>
              </w:rPr>
              <w:t>3.2M units</w:t>
            </w:r>
          </w:p>
        </w:tc>
      </w:tr>
      <w:tr w:rsidR="009522ED" w:rsidRPr="009522ED" w:rsidTr="009522ED">
        <w:trPr>
          <w:trHeight w:val="755"/>
          <w:jc w:val="center"/>
        </w:trPr>
        <w:tc>
          <w:tcPr>
            <w:cnfStyle w:val="001000000000"/>
            <w:tcW w:w="2698" w:type="dxa"/>
            <w:noWrap/>
            <w:hideMark/>
          </w:tcPr>
          <w:p w:rsidR="009522ED" w:rsidRPr="009522ED" w:rsidRDefault="009522ED" w:rsidP="009522ED">
            <w:pPr>
              <w:jc w:val="center"/>
              <w:rPr>
                <w:szCs w:val="20"/>
              </w:rPr>
            </w:pPr>
            <w:r w:rsidRPr="009522ED">
              <w:rPr>
                <w:szCs w:val="20"/>
              </w:rPr>
              <w:t>Automotive</w:t>
            </w:r>
          </w:p>
        </w:tc>
        <w:tc>
          <w:tcPr>
            <w:tcW w:w="2337" w:type="dxa"/>
            <w:noWrap/>
            <w:hideMark/>
          </w:tcPr>
          <w:p w:rsidR="009522ED" w:rsidRPr="009522ED" w:rsidRDefault="009522ED" w:rsidP="009522ED">
            <w:pPr>
              <w:jc w:val="center"/>
              <w:cnfStyle w:val="000000000000"/>
              <w:rPr>
                <w:szCs w:val="20"/>
              </w:rPr>
            </w:pPr>
            <w:r w:rsidRPr="009522ED">
              <w:rPr>
                <w:szCs w:val="20"/>
              </w:rPr>
              <w:t>916 (2023)</w:t>
            </w:r>
          </w:p>
        </w:tc>
        <w:tc>
          <w:tcPr>
            <w:tcW w:w="1980" w:type="dxa"/>
            <w:noWrap/>
            <w:hideMark/>
          </w:tcPr>
          <w:p w:rsidR="009522ED" w:rsidRPr="009522ED" w:rsidRDefault="009522ED" w:rsidP="009522ED">
            <w:pPr>
              <w:jc w:val="center"/>
              <w:cnfStyle w:val="000000000000"/>
              <w:rPr>
                <w:szCs w:val="20"/>
              </w:rPr>
            </w:pPr>
            <w:r w:rsidRPr="009522ED">
              <w:rPr>
                <w:szCs w:val="20"/>
              </w:rPr>
              <w:t>$85.2M</w:t>
            </w:r>
          </w:p>
        </w:tc>
        <w:tc>
          <w:tcPr>
            <w:tcW w:w="2340" w:type="dxa"/>
            <w:noWrap/>
            <w:hideMark/>
          </w:tcPr>
          <w:p w:rsidR="009522ED" w:rsidRPr="009522ED" w:rsidRDefault="009522ED" w:rsidP="009522ED">
            <w:pPr>
              <w:jc w:val="center"/>
              <w:cnfStyle w:val="000000000000"/>
              <w:rPr>
                <w:szCs w:val="20"/>
              </w:rPr>
            </w:pPr>
            <w:r w:rsidRPr="009522ED">
              <w:rPr>
                <w:szCs w:val="20"/>
              </w:rPr>
              <w:t>38.4M units</w:t>
            </w:r>
          </w:p>
        </w:tc>
      </w:tr>
    </w:tbl>
    <w:p w:rsidR="00FC2944" w:rsidRPr="00FC2944" w:rsidRDefault="00FC2944" w:rsidP="00FC2944">
      <w:r w:rsidRPr="00FC2944">
        <w:t xml:space="preserve">From a management perspective, the Note 7 situation correlates closely with the framework of total quality management (Evans and Lindsay, 2019; Dale et al., 2016) and cost-of-quality models, which define quality-related expenditures as prevention, appraisal and failure costs (Asada et al., 2021; Bris et al., 2022). These theory-based frameworks provide important understanding of the path from internal control failures at Samsung and how they were translated into external brand and financial damage. The event is clearly complex and involves the interrelated dynamics of operational risk, governance and communication failure as reported in </w:t>
      </w:r>
      <w:r w:rsidRPr="00FC2944">
        <w:lastRenderedPageBreak/>
        <w:t>the Harvard Business School case (Lee et al., 2017). More hesitantly, Yang et al. (2022) use this evidence on consumer indignation in the product-harm crises being shaped by the ability of firms to manage moral and relational trust. The increase of product recalls in the world indicates that this kind of analysis is still up-to-date (Morgan and Morgan, 2023).</w:t>
      </w:r>
    </w:p>
    <w:p w:rsidR="00DB7BA1" w:rsidRPr="00DB7BA1" w:rsidRDefault="00DB7BA1" w:rsidP="00FC2944">
      <w:pPr>
        <w:pStyle w:val="Heading1"/>
      </w:pPr>
      <w:bookmarkStart w:id="3" w:name="_Toc210871183"/>
      <w:r w:rsidRPr="00DB7BA1">
        <w:t>Product Recall Process</w:t>
      </w:r>
      <w:bookmarkEnd w:id="3"/>
    </w:p>
    <w:p w:rsidR="00DB7BA1" w:rsidRPr="00DB7BA1" w:rsidRDefault="00DB7BA1" w:rsidP="00DB7BA1">
      <w:r w:rsidRPr="00DB7BA1">
        <w:t>The recall of the 2016 Samsung Galaxy Note 7 has been one of the most researched industrial disasters in history and has shown us the dangers of failing to ensure good governance and technical payment and the critical importance of an adequate supply chain integration. Using quality cost and total quality management (TQM) theory, a five-stage recall process critically evaluating prevention, appraisal and failure costs while correcting to operational and governance realities is developed in this section (Asada et al., 2021; Dale et al., 2016).</w:t>
      </w:r>
    </w:p>
    <w:p w:rsidR="00DB7BA1" w:rsidRPr="00DB7BA1" w:rsidRDefault="00DB7BA1" w:rsidP="00DB7BA1">
      <w:pPr>
        <w:rPr>
          <w:b/>
          <w:bCs/>
        </w:rPr>
      </w:pPr>
      <w:r w:rsidRPr="00DB7BA1">
        <w:rPr>
          <w:b/>
          <w:bCs/>
        </w:rPr>
        <w:t>Stage 1: Detection, Triage and Governance</w:t>
      </w:r>
    </w:p>
    <w:p w:rsidR="00DB7BA1" w:rsidRPr="00DB7BA1" w:rsidRDefault="00DB7BA1" w:rsidP="00DB7BA1">
      <w:r w:rsidRPr="00DB7BA1">
        <w:t>The crisis originated when various reports of battery fires developed within weeks following the debut of Samsung, which chose to press on with a voluntary recall scheme for 2.5 million devices (Moynihan, 2016; BBC News, 2017; Samsung, 2016). Though the company acted quickly, the internal escalation process exposed disjointed governing and unclear accountability (Lee et al., 2017). Applying the Investment Logic Mapping (ILM) framework illuminates the potential application of structured problem-benefit-response mapping that could have been used for faster executive action and stronger clarification of trade-offs between safety, cost, and brand protection (State of Queensland, 2021).</w:t>
      </w:r>
    </w:p>
    <w:p w:rsidR="00DB7BA1" w:rsidRPr="00DB7BA1" w:rsidRDefault="00DB7BA1" w:rsidP="00DB7BA1">
      <w:r w:rsidRPr="00DB7BA1">
        <w:t>Samsung's inability to invest in early warning analytics also contributed to the delay. Hei, Sarkani and Fossaceca (2021) prove that customer reviews mining can be used to detect increasing defects and Ilyas and Sharifi (2025) demonstrate that sentiment analysis from social media can be adopted for real-time safety issues monitoring. Samsung relied mostly on consumer complaints, failing to pick up early predictive signals. This disconnect between the realm of technological ability and intelligence provides a measure of the governance gap that exists in fast-paced innovation environments.</w:t>
      </w:r>
    </w:p>
    <w:p w:rsidR="00DB7BA1" w:rsidRPr="00DB7BA1" w:rsidRDefault="00DB7BA1" w:rsidP="00DB7BA1">
      <w:pPr>
        <w:rPr>
          <w:b/>
          <w:bCs/>
        </w:rPr>
      </w:pPr>
      <w:r w:rsidRPr="00DB7BA1">
        <w:rPr>
          <w:b/>
          <w:bCs/>
        </w:rPr>
        <w:t>Stage 2: Containment and Stakeholders Coordination</w:t>
      </w:r>
    </w:p>
    <w:p w:rsidR="00DB7BA1" w:rsidRPr="00DB7BA1" w:rsidRDefault="00DB7BA1" w:rsidP="00DB7BA1">
      <w:r w:rsidRPr="00DB7BA1">
        <w:lastRenderedPageBreak/>
        <w:t>After the initial recall, replacement devices also failed, with Samsung having to halt production altogether (BBC News, 2017). A process of containment demonstrated the lack of communication between departments and regulators. TQM principles stress cross-functional integration between design, operations and suppliers (Dale et al., 2016). In Samsung's case, the crisis team operated in silos, resulting in prices being inconsistent and lacking coordination in decision-making; information would be lost and not be effectively communicated.</w:t>
      </w:r>
    </w:p>
    <w:p w:rsidR="00DB7BA1" w:rsidRPr="00DB7BA1" w:rsidRDefault="00DB7BA1" w:rsidP="00DB7BA1">
      <w:r w:rsidRPr="00DB7BA1">
        <w:t>Regulatory alignment was another weakness also. The U.S. Consumer Product Safety Commission called an official product recall after Samsung's voluntary action and it led to confusion in global markets (Strategic RISK, 2016). Abbas (2023) argues that the stakeholders must work together to gain legitimacy during times of crises and the potential for a consistent message could not sustain customer, carrier and regulatory confidence. ILM principles could have set out rules of decision-making and rules of escalation for better clarity and accountability.</w:t>
      </w:r>
    </w:p>
    <w:p w:rsidR="00DB7BA1" w:rsidRPr="00DB7BA1" w:rsidRDefault="00DB7BA1" w:rsidP="00DB7BA1">
      <w:r w:rsidRPr="00DB7BA1">
        <w:t>The supply chain dimension was also equally critical. Samsung was relying heavily on its affiliate supplier, Samsung SDI, and not vetting well the second supplier, Amperex Technology. Zou et al. (2023) point out that effective recall management can power supplier innovation if it is done in collaboration. However, Samsung initially drew its suppliers over a punishment that delayed collective learning. This supports the argument by Evans and Lindsay (2019), which saw supplier quality partnerships at the centre of sustainable quality systems.</w:t>
      </w:r>
    </w:p>
    <w:p w:rsidR="00DB7BA1" w:rsidRPr="00DB7BA1" w:rsidRDefault="00DB7BA1" w:rsidP="00DB7BA1">
      <w:pPr>
        <w:rPr>
          <w:b/>
          <w:bCs/>
        </w:rPr>
      </w:pPr>
      <w:r w:rsidRPr="00DB7BA1">
        <w:rPr>
          <w:b/>
          <w:bCs/>
        </w:rPr>
        <w:t>Stage 3: Root Cause and Technical Strictness</w:t>
      </w:r>
    </w:p>
    <w:p w:rsidR="00DB7BA1" w:rsidRPr="00DB7BA1" w:rsidRDefault="00DB7BA1" w:rsidP="00DB7BA1">
      <w:r w:rsidRPr="00DB7BA1">
        <w:t>Technical analyses revealed two primary causes: design pressure inducing battery cell deformation and manufacturing defects in the form of combusts and inaccurate welds (Loveridge et al., 2018 and BBC News, 2017). These results agree with those of Christensen et al. (2021), who state that lithium-ion cells are sensitive to mechanical compression and poor thermal management. Hazelwood and Pecht (2021) believe that both rigors safety testing against abuse and life cycle validation are key aspects of the safety of electronics.</w:t>
      </w:r>
    </w:p>
    <w:p w:rsidR="00DB7BA1" w:rsidRPr="00DB7BA1" w:rsidRDefault="00DB7BA1" w:rsidP="00DB7BA1">
      <w:r w:rsidRPr="00DB7BA1">
        <w:t xml:space="preserve">From a cost of quality point of view, Samsung had underinvested in prevention costs, especially in the design verification and supplier assurance. Asada et al. (2021) state that prevention spending gives exponential savings by preventing external failures. The company focused on product speed and thinness rather than strong testing, an example of what Schonberger (2014) </w:t>
      </w:r>
      <w:r w:rsidRPr="00DB7BA1">
        <w:lastRenderedPageBreak/>
        <w:t>calls the "efficiency fallacy", in which short-term efficiency compromises defect prevention. A returned cost balance with a prevention focus would have minimised recall extent and reputational loss.</w:t>
      </w:r>
    </w:p>
    <w:p w:rsidR="00DB7BA1" w:rsidRPr="00DB7BA1" w:rsidRDefault="00DB7BA1" w:rsidP="00DB7BA1">
      <w:pPr>
        <w:rPr>
          <w:b/>
          <w:bCs/>
        </w:rPr>
      </w:pPr>
      <w:r w:rsidRPr="00DB7BA1">
        <w:rPr>
          <w:b/>
          <w:bCs/>
        </w:rPr>
        <w:t>Stage 4: Remedy Engineering &amp; Supply Chain Execution</w:t>
      </w:r>
    </w:p>
    <w:p w:rsidR="00DB7BA1" w:rsidRPr="00DB7BA1" w:rsidRDefault="00DB7BA1" w:rsidP="00DB7BA1">
      <w:r w:rsidRPr="00DB7BA1">
        <w:t>The second recall phase involved coordination worldwideto gather and disable millions of devices. Samsung designed fireproof packaging and implemented air transport restrictions (Samsung, 2016). CRC Group (2022) note that the combined makeup of operational bottlenecks such as limited logistics capacity and inconsistent carrier compliance is often the defining characteristic of recall success and, in many instances, failure. Samsung's approach covered all areas but it was not fully traceable and vivid in all regions.</w:t>
      </w:r>
    </w:p>
    <w:p w:rsidR="00DB7BA1" w:rsidRPr="00DB7BA1" w:rsidRDefault="00DB7BA1" w:rsidP="00DB7BA1">
      <w:r w:rsidRPr="00DB7BA1">
        <w:t>Dale et al. (2016) suggests that recall execution is a direct measurement of quality management system maturity. Samsung's patchy systems hindered the communication of information between customer service, logistics and the engineering department. Activity-based costing possibly could identify the major cost drivers in the recall operations, e.g., communication, transport, and inspection, which will support the more efficient management consideration. (Evans and Lindsay, 2019). Zou et al. (2023) conclude that recalls can lead to innovation because along the supply chain, suppliers are included in solution development. Samsung later institutionalised this approach with its eight-point battery safety protocol, which required suppliers to work with Galaxy device makers.</w:t>
      </w:r>
    </w:p>
    <w:p w:rsidR="00DB7BA1" w:rsidRPr="00DB7BA1" w:rsidRDefault="00DB7BA1" w:rsidP="00DB7BA1">
      <w:r w:rsidRPr="00DB7BA1">
        <w:t>According to Landau (2022) and Broussard (2025), managers need to ensure that TQM principles are available to every level of the organisation. Samsung's choice to publish safety protocols and testing outcomes to the public translated some abstraction in quality concepts to practical learning, which is a signpost of cultural reform.</w:t>
      </w:r>
    </w:p>
    <w:p w:rsidR="00DB7BA1" w:rsidRPr="00DB7BA1" w:rsidRDefault="00DB7BA1" w:rsidP="00DB7BA1">
      <w:pPr>
        <w:rPr>
          <w:b/>
          <w:bCs/>
        </w:rPr>
      </w:pPr>
      <w:r w:rsidRPr="00DB7BA1">
        <w:rPr>
          <w:b/>
          <w:bCs/>
        </w:rPr>
        <w:t>Stage 5: Communication, Verification and Learning</w:t>
      </w:r>
    </w:p>
    <w:p w:rsidR="00DB7BA1" w:rsidRPr="00DB7BA1" w:rsidRDefault="00DB7BA1" w:rsidP="00DB7BA1">
      <w:r w:rsidRPr="00DB7BA1">
        <w:t xml:space="preserve">Recalling functions depends upon customer conformity and trust. Raithel, Hock and Mafael (2023) for example, demonstrate the difference achieved by simple communication with consumers and clear instructions about how to return the products to the company: the participation is better. Technically accurate but emotionally distant messages for their early recall were confusing and led to low return rates from Samsung. Strategic RISK (2016) calls this </w:t>
      </w:r>
      <w:r w:rsidRPr="00DB7BA1">
        <w:lastRenderedPageBreak/>
        <w:t>asymmetric information failure, where technical data translates into being overshadowed by reassurance. However, later public apologies and direct engagement won back trust (Abbas, 2023).</w:t>
      </w:r>
    </w:p>
    <w:p w:rsidR="00DB7BA1" w:rsidRPr="00DB7BA1" w:rsidRDefault="00DB7BA1" w:rsidP="00DB7BA1">
      <w:r w:rsidRPr="00DB7BA1">
        <w:t>Institutionally, Samsung established a Battery Advisory Group and started external audits (Novark Services, 2025). These reforms transformed the company from being reactive to learning and preventive - capture the philosophy of Schonberger's (2014) zero defects. Cost-wise,– capturing the firm saved spending on prevention and appraisal activities in order to minimise future external failures.</w:t>
      </w:r>
    </w:p>
    <w:p w:rsidR="00DB7BA1" w:rsidRPr="00DB7BA1" w:rsidRDefault="00DB7BA1" w:rsidP="00DB7BA1">
      <w:pPr>
        <w:rPr>
          <w:b/>
          <w:bCs/>
        </w:rPr>
      </w:pPr>
      <w:r w:rsidRPr="00DB7BA1">
        <w:rPr>
          <w:b/>
          <w:bCs/>
        </w:rPr>
        <w:t>Critical Evaluation</w:t>
      </w:r>
    </w:p>
    <w:p w:rsidR="00DB7BA1" w:rsidRPr="00DB7BA1" w:rsidRDefault="00DB7BA1" w:rsidP="00DB7BA1">
      <w:r w:rsidRPr="00DB7BA1">
        <w:t>The crisis with the Samsung Note 7 shows that there needs to be an integration of governance logic, supply chain coordination and technical precision for effective recall management. Governance tools such as ILM (State of Queensland, 2021) may help institutionalise structured decision-making, and real-time analytics (Hei et al., 2021; Ilyas and Sharifi, 2025) may help detect in a predictive way. The recall supports Evans and Lindsay's (2019) argument that organisational learning capability is the hallmark of long-term resilience.</w:t>
      </w:r>
    </w:p>
    <w:p w:rsidR="00DB7BA1" w:rsidRDefault="00DB7BA1" w:rsidP="00DB7BA1">
      <w:r w:rsidRPr="00DB7BA1">
        <w:t>Ultimately the case demonstrates that prevention costs should be considered strategic investments and not overheads. Combining transparent communication, supplier collaboration and data-driven data monitors recalls are turned from reactive disasters into possibilities of continuous improvement and reputation recovery. Samsung's experience thereby advances the theory of TQM because it connects quality cost models to adaptive governance and systemic learning.</w:t>
      </w:r>
    </w:p>
    <w:p w:rsidR="003166D2" w:rsidRDefault="003166D2" w:rsidP="003166D2">
      <w:pPr>
        <w:pStyle w:val="Heading1"/>
      </w:pPr>
      <w:bookmarkStart w:id="4" w:name="_Toc210871184"/>
      <w:r w:rsidRPr="003166D2">
        <w:t>Costs Associated with Product Recalls and Controls</w:t>
      </w:r>
      <w:bookmarkEnd w:id="4"/>
    </w:p>
    <w:p w:rsidR="003166D2" w:rsidRPr="003166D2" w:rsidRDefault="003166D2" w:rsidP="003166D2">
      <w:pPr>
        <w:rPr>
          <w:b/>
          <w:bCs/>
        </w:rPr>
      </w:pPr>
      <w:r w:rsidRPr="003166D2">
        <w:rPr>
          <w:b/>
          <w:bCs/>
        </w:rPr>
        <w:t>Overview and Framework</w:t>
      </w:r>
    </w:p>
    <w:p w:rsidR="003166D2" w:rsidRPr="003166D2" w:rsidRDefault="003166D2" w:rsidP="003166D2">
      <w:r w:rsidRPr="003166D2">
        <w:t xml:space="preserve">The Samsung Galaxy Note 7 recall provides a good example of how quality failures give rise to huge direct and indirect costs that are far more than money lost. Applying the Prevention, Appraisal, and Failure (PAF) model and Juran's Total Quality Cost (TQC) framework to understand the relationship among prevention costs (PC), appraisal costs (AC), internal failure costs (IFC), and external failure costs (EFC) in large-scale crises (Dale et al., 2016; Evans and </w:t>
      </w:r>
      <w:r w:rsidRPr="003166D2">
        <w:lastRenderedPageBreak/>
        <w:t>Lindsay, 2019; Asada et al., 2021). In order to fully capture the financial and strategic impact, the analysis must also take into account other categories such as exceeding requirements, loss of image and lost opportunity. The Note 7 recall highlights how such costs stack up and how such mechanisms as sustainability and insurance can soften their impact.</w:t>
      </w:r>
    </w:p>
    <w:p w:rsidR="003166D2" w:rsidRPr="00756BDA" w:rsidRDefault="003166D2" w:rsidP="003166D2">
      <w:pPr>
        <w:rPr>
          <w:b/>
          <w:bCs/>
        </w:rPr>
      </w:pPr>
      <w:r w:rsidRPr="003166D2">
        <w:rPr>
          <w:b/>
          <w:bCs/>
        </w:rPr>
        <w:t>Direct Impact and Indirect Impact on Finance</w:t>
      </w:r>
    </w:p>
    <w:p w:rsidR="003166D2" w:rsidRDefault="003166D2" w:rsidP="003166D2">
      <w:pPr>
        <w:keepNext/>
      </w:pPr>
      <w:r>
        <w:rPr>
          <w:noProof/>
        </w:rPr>
        <w:drawing>
          <wp:inline distT="0" distB="0" distL="0" distR="0">
            <wp:extent cx="5890260" cy="1988820"/>
            <wp:effectExtent l="19050" t="0" r="15240" b="0"/>
            <wp:docPr id="102516665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3166D2" w:rsidRDefault="003166D2" w:rsidP="003166D2">
      <w:pPr>
        <w:pStyle w:val="Caption"/>
      </w:pPr>
      <w:bookmarkStart w:id="5" w:name="_Toc210871210"/>
      <w:r>
        <w:t xml:space="preserve">Figure </w:t>
      </w:r>
      <w:r w:rsidR="00C15837">
        <w:fldChar w:fldCharType="begin"/>
      </w:r>
      <w:r w:rsidR="000F5AE5">
        <w:instrText xml:space="preserve"> SEQ Figure \* ARABIC </w:instrText>
      </w:r>
      <w:r w:rsidR="00C15837">
        <w:fldChar w:fldCharType="separate"/>
      </w:r>
      <w:r w:rsidR="00E75E9E">
        <w:rPr>
          <w:noProof/>
        </w:rPr>
        <w:t>1</w:t>
      </w:r>
      <w:r w:rsidR="00C15837">
        <w:rPr>
          <w:noProof/>
        </w:rPr>
        <w:fldChar w:fldCharType="end"/>
      </w:r>
      <w:r>
        <w:t xml:space="preserve">: Samsung Recall Costs </w:t>
      </w:r>
      <w:r w:rsidRPr="003166D2">
        <w:t>(The National, 2016)</w:t>
      </w:r>
      <w:bookmarkEnd w:id="5"/>
    </w:p>
    <w:p w:rsidR="003166D2" w:rsidRPr="003166D2" w:rsidRDefault="003166D2" w:rsidP="003166D2">
      <w:r w:rsidRPr="003166D2">
        <w:t>Samsung's recall resulted in a direct cost that was estimated at 5.3 billion US dollars (including the cost of replacement programmes, logistics and revenue lost to the recall</w:t>
      </w:r>
      <w:r w:rsidR="009522ED">
        <w:t xml:space="preserve"> (</w:t>
      </w:r>
      <w:r w:rsidRPr="003166D2">
        <w:t>The National, 20</w:t>
      </w:r>
      <w:r w:rsidR="009522ED">
        <w:t>16</w:t>
      </w:r>
      <w:r w:rsidRPr="003166D2">
        <w:t>). Yet, this figure is lower than the overall damage, as the firm also faced lost consumer trust, disrupted partnerships and delayed product launches. Liu and Varki 2021 conclude that product recalls have spillover effects in changing shared market confidence among competitors, with Apple and Huawei gaining market share in the short run during Samsung's predicament. Morgan and Morgan (2023) find product recalls have increased across the globe to a four-year high in early 2023, indicating higher exposure to systemic risks to quality among firms. All these trends underline the importance that recall management has become one of the key financial and operational decisions in manufacturing today, not just in Asia but globally.</w:t>
      </w:r>
    </w:p>
    <w:p w:rsidR="003166D2" w:rsidRPr="003166D2" w:rsidRDefault="003166D2" w:rsidP="003166D2">
      <w:pPr>
        <w:rPr>
          <w:b/>
          <w:bCs/>
        </w:rPr>
      </w:pPr>
      <w:r w:rsidRPr="003166D2">
        <w:rPr>
          <w:b/>
          <w:bCs/>
        </w:rPr>
        <w:t>Applying the PAF and TQC Models</w:t>
      </w:r>
    </w:p>
    <w:p w:rsidR="003166D2" w:rsidRPr="003166D2" w:rsidRDefault="003166D2" w:rsidP="003166D2">
      <w:r w:rsidRPr="003166D2">
        <w:t>The PAF model separates quality costs into three categories: prevention, appraisal and failure, all of which contribute to total recall costs</w:t>
      </w:r>
      <w:r w:rsidR="00636CA0" w:rsidRPr="00636CA0">
        <w:t>(Indra, GatotYudoko and Nur Budi Mulyono, 2025)</w:t>
      </w:r>
      <w:r w:rsidRPr="003166D2">
        <w:t xml:space="preserve">. Asada et al. (2021) and Bris et al. (2022) demonstrate the effect of weak prevention systems, which increase the cost of failing exponentially. In Samsung's case, external failure costs </w:t>
      </w:r>
      <w:r w:rsidRPr="003166D2">
        <w:lastRenderedPageBreak/>
        <w:t>predominated with the need for millions of defective versions to be recalled and trashed. Evans and Lindsay (2019) state that achieving cost equilibrium across PAF categories requires higher spending on prevention. Samsung's accelerated product development and the fact that it didn't conduct enough testing demonstrated an imbalance between preventative costs and the need to make the product to launch in time. Dale et al. (2016) suggest prevention investments in design verification, supplier assurance and risk modelling would have reduced failure exposure. Schonberger (2014) takes this logic one step further, arguing that continuous improvement should focus not on optimising defects using calculus as before, but on eliminating them – which Samsung later translated into their 'eight-point safety protocol'.</w:t>
      </w:r>
    </w:p>
    <w:p w:rsidR="003166D2" w:rsidRPr="003166D2" w:rsidRDefault="003166D2" w:rsidP="003166D2">
      <w:r w:rsidRPr="003166D2">
        <w:t>Activity-Based Costing (ABC) can track the recall-related cost drivers, like inspection, logistics, and supply chain verification activity. Activity-based costing allows visibility into inefficiencies (Evans and Lindsay, 2019). Landau (2022) and Broussard (2025) suggest making these analyses operational by converting them into, for example, cost per defect avoided to facilitate better managerial decision-making. Such metrics help make the cost of quality framework move from an abstract accounting function to a practical performance management tool.</w:t>
      </w:r>
    </w:p>
    <w:p w:rsidR="000C5E88" w:rsidRDefault="000C5E88" w:rsidP="003166D2">
      <w:pPr>
        <w:rPr>
          <w:b/>
          <w:bCs/>
        </w:rPr>
      </w:pPr>
      <w:r w:rsidRPr="000C5E88">
        <w:rPr>
          <w:b/>
          <w:bCs/>
        </w:rPr>
        <w:t>Expanded Cost Categories</w:t>
      </w:r>
    </w:p>
    <w:p w:rsidR="003166D2" w:rsidRPr="003166D2" w:rsidRDefault="003166D2" w:rsidP="003166D2">
      <w:pPr>
        <w:rPr>
          <w:b/>
          <w:bCs/>
        </w:rPr>
      </w:pPr>
      <w:r w:rsidRPr="003166D2">
        <w:t xml:space="preserve">Traditional PAF and TQC frameworks do not cover secondary and strategic costs. Exceeding requirements are unnecessary overcorrections, such as adding more or unnecessary communications during containment of the recall. While these efforts are designed to ease regulators, they drive operating costs up without necessarily meeting a positive outcome for safety. The erosion of image is, as stated by Bank's expanded cost classification, measured by counting damage to reputation and collapsing stakeholder trust. Octavia argues in his book 'Dholakia (2016)' that intangible values of brand losses tend to be higher than the direct recall costs due to their impact on long-term consumer loyalty. In Samsung's case, the associations with safety and reliability suffered from a brand point of view throughout the world, despite eventual recovery. The value of the lost opportunity cost in terms of deferred revenue, delayed product launches and interrupted innovation cycles. Strategic RISK (2016) noted that the delay of later releases by Samsung and the temporary withdrawal from some markets constituted significant opportunity losses. These were categories that had not been recognised before but which help us </w:t>
      </w:r>
      <w:r w:rsidRPr="003166D2">
        <w:lastRenderedPageBreak/>
        <w:t>see that the financial impacts of quality failures are far more extensive than immediate remediation.</w:t>
      </w:r>
    </w:p>
    <w:p w:rsidR="003166D2" w:rsidRPr="003166D2" w:rsidRDefault="003166D2" w:rsidP="003166D2">
      <w:pPr>
        <w:rPr>
          <w:b/>
          <w:bCs/>
        </w:rPr>
      </w:pPr>
      <w:r w:rsidRPr="003166D2">
        <w:rPr>
          <w:b/>
          <w:bCs/>
        </w:rPr>
        <w:t>Insurance and Risk Transfer</w:t>
      </w:r>
    </w:p>
    <w:p w:rsidR="003166D2" w:rsidRPr="003166D2" w:rsidRDefault="003166D2" w:rsidP="003166D2">
      <w:r w:rsidRPr="003166D2">
        <w:t>As such, insurance mechanisms provide some protection of the losses associated with recalls but fail to eliminate strategic or reputational risks. AON (2023) and CRC Group (2022) state that product recall and contamination insurance policies tend to cover the direct costs of notification, logistics, and customer compensation, but not the design failure, which led to the Note 7 failure. Dean (2024) says that insurance can cover short-term money exposure, but not the repair of trust from customers and restoration of the brand. As the frequency of recall grows globally, insurers have responded by increasing premiums and reducing the coverage area, providing a bonus to firms that have developed preventative analytics and supplier quality programmes. This change is the integration between the cost of prevention and insurance pricing, indicating subsequently that investment in risk monitoring reduces the cost of expected recall and the cost of insurance.</w:t>
      </w:r>
    </w:p>
    <w:p w:rsidR="003166D2" w:rsidRPr="000C5E88" w:rsidRDefault="003166D2" w:rsidP="003166D2">
      <w:pPr>
        <w:rPr>
          <w:b/>
          <w:bCs/>
        </w:rPr>
      </w:pPr>
      <w:r w:rsidRPr="003166D2">
        <w:rPr>
          <w:b/>
          <w:bCs/>
        </w:rPr>
        <w:t>Sustainability and End</w:t>
      </w:r>
      <w:r w:rsidR="000C5E88" w:rsidRPr="000C5E88">
        <w:rPr>
          <w:b/>
          <w:bCs/>
        </w:rPr>
        <w:t>-</w:t>
      </w:r>
      <w:r w:rsidRPr="003166D2">
        <w:rPr>
          <w:b/>
          <w:bCs/>
        </w:rPr>
        <w:t>of</w:t>
      </w:r>
      <w:r w:rsidR="000C5E88" w:rsidRPr="000C5E88">
        <w:rPr>
          <w:b/>
          <w:bCs/>
        </w:rPr>
        <w:t>-</w:t>
      </w:r>
      <w:r w:rsidRPr="003166D2">
        <w:rPr>
          <w:b/>
          <w:bCs/>
        </w:rPr>
        <w:t>LifeCosts</w:t>
      </w:r>
    </w:p>
    <w:p w:rsidR="000C5E88" w:rsidRDefault="000C5E88" w:rsidP="000C5E88">
      <w:pPr>
        <w:keepNext/>
      </w:pPr>
      <w:r>
        <w:rPr>
          <w:noProof/>
        </w:rPr>
        <w:drawing>
          <wp:inline distT="0" distB="0" distL="0" distR="0">
            <wp:extent cx="5829300" cy="3200400"/>
            <wp:effectExtent l="0" t="0" r="38100" b="0"/>
            <wp:docPr id="64371810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0C5E88" w:rsidRDefault="000C5E88" w:rsidP="00173298">
      <w:pPr>
        <w:pStyle w:val="Caption"/>
      </w:pPr>
      <w:bookmarkStart w:id="6" w:name="_Toc210871211"/>
      <w:r>
        <w:t xml:space="preserve">Figure </w:t>
      </w:r>
      <w:r w:rsidR="00C15837">
        <w:fldChar w:fldCharType="begin"/>
      </w:r>
      <w:r w:rsidR="000F5AE5">
        <w:instrText xml:space="preserve"> SEQ Figure \* ARABIC </w:instrText>
      </w:r>
      <w:r w:rsidR="00C15837">
        <w:fldChar w:fldCharType="separate"/>
      </w:r>
      <w:r w:rsidR="00E75E9E">
        <w:rPr>
          <w:noProof/>
        </w:rPr>
        <w:t>2</w:t>
      </w:r>
      <w:r w:rsidR="00C15837">
        <w:rPr>
          <w:noProof/>
        </w:rPr>
        <w:fldChar w:fldCharType="end"/>
      </w:r>
      <w:r>
        <w:t xml:space="preserve">: </w:t>
      </w:r>
      <w:r w:rsidRPr="00F618A2">
        <w:t>Sustainability and End-of-Life Costs</w:t>
      </w:r>
      <w:bookmarkEnd w:id="6"/>
    </w:p>
    <w:p w:rsidR="00756BDA" w:rsidRDefault="00756BDA" w:rsidP="00756BDA">
      <w:pPr>
        <w:spacing w:before="0" w:line="259" w:lineRule="auto"/>
        <w:jc w:val="left"/>
        <w:rPr>
          <w:b/>
          <w:bCs/>
        </w:rPr>
      </w:pPr>
    </w:p>
    <w:p w:rsidR="00756BDA" w:rsidRDefault="00756BDA" w:rsidP="00756BDA">
      <w:pPr>
        <w:spacing w:before="0" w:line="259" w:lineRule="auto"/>
        <w:jc w:val="left"/>
        <w:rPr>
          <w:b/>
          <w:bCs/>
        </w:rPr>
      </w:pPr>
    </w:p>
    <w:p w:rsidR="00756BDA" w:rsidRDefault="00756BDA" w:rsidP="00756BDA">
      <w:pPr>
        <w:spacing w:before="0" w:line="259" w:lineRule="auto"/>
        <w:jc w:val="left"/>
        <w:rPr>
          <w:b/>
          <w:bCs/>
        </w:rPr>
      </w:pPr>
    </w:p>
    <w:p w:rsidR="00756BDA" w:rsidRDefault="00756BDA" w:rsidP="00756BDA">
      <w:pPr>
        <w:spacing w:before="0" w:line="259" w:lineRule="auto"/>
        <w:jc w:val="left"/>
        <w:rPr>
          <w:b/>
          <w:bCs/>
        </w:rPr>
      </w:pPr>
    </w:p>
    <w:p w:rsidR="00756BDA" w:rsidRDefault="00756BDA" w:rsidP="00756BDA">
      <w:pPr>
        <w:spacing w:before="0" w:line="259" w:lineRule="auto"/>
        <w:jc w:val="left"/>
        <w:rPr>
          <w:b/>
          <w:bCs/>
        </w:rPr>
      </w:pPr>
    </w:p>
    <w:p w:rsidR="000C5E88" w:rsidRPr="00173298" w:rsidRDefault="000C5E88" w:rsidP="00756BDA">
      <w:pPr>
        <w:spacing w:before="0" w:line="259" w:lineRule="auto"/>
        <w:jc w:val="left"/>
        <w:rPr>
          <w:b/>
          <w:bCs/>
        </w:rPr>
      </w:pPr>
      <w:r w:rsidRPr="00173298">
        <w:rPr>
          <w:b/>
          <w:bCs/>
        </w:rPr>
        <w:t>Operational and Technological Levers for Cost Control</w:t>
      </w:r>
    </w:p>
    <w:p w:rsidR="00173298" w:rsidRDefault="00310A6F" w:rsidP="00173298">
      <w:pPr>
        <w:keepNext/>
      </w:pPr>
      <w:r>
        <w:rPr>
          <w:noProof/>
        </w:rPr>
        <w:drawing>
          <wp:inline distT="0" distB="0" distL="0" distR="0">
            <wp:extent cx="5974080" cy="2842260"/>
            <wp:effectExtent l="19050" t="0" r="26670" b="0"/>
            <wp:docPr id="786707519"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0C5E88" w:rsidRDefault="00173298" w:rsidP="00173298">
      <w:pPr>
        <w:pStyle w:val="Caption"/>
      </w:pPr>
      <w:bookmarkStart w:id="7" w:name="_Toc210871212"/>
      <w:r>
        <w:t xml:space="preserve">Figure </w:t>
      </w:r>
      <w:r w:rsidR="00C15837">
        <w:fldChar w:fldCharType="begin"/>
      </w:r>
      <w:r w:rsidR="000F5AE5">
        <w:instrText xml:space="preserve"> SEQ Figure \* ARABIC </w:instrText>
      </w:r>
      <w:r w:rsidR="00C15837">
        <w:fldChar w:fldCharType="separate"/>
      </w:r>
      <w:r w:rsidR="00E75E9E">
        <w:rPr>
          <w:noProof/>
        </w:rPr>
        <w:t>3</w:t>
      </w:r>
      <w:r w:rsidR="00C15837">
        <w:rPr>
          <w:noProof/>
        </w:rPr>
        <w:fldChar w:fldCharType="end"/>
      </w:r>
      <w:r>
        <w:t xml:space="preserve">: </w:t>
      </w:r>
      <w:r w:rsidRPr="00CE6A85">
        <w:t>Operational and Technological Levers for Cost Control</w:t>
      </w:r>
      <w:bookmarkEnd w:id="7"/>
    </w:p>
    <w:p w:rsidR="003166D2" w:rsidRPr="003166D2" w:rsidRDefault="003166D2" w:rsidP="003166D2">
      <w:pPr>
        <w:rPr>
          <w:b/>
          <w:bCs/>
        </w:rPr>
      </w:pPr>
      <w:r w:rsidRPr="003166D2">
        <w:rPr>
          <w:b/>
          <w:bCs/>
        </w:rPr>
        <w:t>Narrative &amp; Brand Recovery Costs</w:t>
      </w:r>
    </w:p>
    <w:p w:rsidR="00173298" w:rsidRDefault="00173298" w:rsidP="00173298">
      <w:pPr>
        <w:keepNext/>
      </w:pPr>
      <w:r>
        <w:rPr>
          <w:noProof/>
        </w:rPr>
        <w:drawing>
          <wp:inline distT="0" distB="0" distL="0" distR="0">
            <wp:extent cx="5875020" cy="1943100"/>
            <wp:effectExtent l="19050" t="0" r="30480" b="0"/>
            <wp:docPr id="1609009218"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3166D2" w:rsidRDefault="00173298" w:rsidP="00173298">
      <w:pPr>
        <w:pStyle w:val="Caption"/>
      </w:pPr>
      <w:bookmarkStart w:id="8" w:name="_Toc210871213"/>
      <w:r>
        <w:t xml:space="preserve">Figure </w:t>
      </w:r>
      <w:r w:rsidR="00C15837">
        <w:fldChar w:fldCharType="begin"/>
      </w:r>
      <w:r w:rsidR="000F5AE5">
        <w:instrText xml:space="preserve"> SEQ Figure \* ARABIC </w:instrText>
      </w:r>
      <w:r w:rsidR="00C15837">
        <w:fldChar w:fldCharType="separate"/>
      </w:r>
      <w:r w:rsidR="00E75E9E">
        <w:rPr>
          <w:noProof/>
        </w:rPr>
        <w:t>4</w:t>
      </w:r>
      <w:r w:rsidR="00C15837">
        <w:rPr>
          <w:noProof/>
        </w:rPr>
        <w:fldChar w:fldCharType="end"/>
      </w:r>
      <w:r>
        <w:t xml:space="preserve">: </w:t>
      </w:r>
      <w:r w:rsidRPr="001641F3">
        <w:t>Narrative &amp; Brand Recovery Costs</w:t>
      </w:r>
      <w:bookmarkEnd w:id="8"/>
    </w:p>
    <w:p w:rsidR="00FC2944" w:rsidRPr="00FC2944" w:rsidRDefault="00FC2944" w:rsidP="00FC2944">
      <w:r w:rsidRPr="00FC2944">
        <w:t>The Note 7 recall demonstrates how combining prevention, sustainability and insurance as quality cost models makes costs the driver of resilience. Clearly, cost-effective prevention spending is more efficient, complies with the environment and bolsters confidence by showing that quality costs actually enhance competitiveness rather than just being a financial cost.</w:t>
      </w:r>
    </w:p>
    <w:p w:rsidR="00527A24" w:rsidRPr="00527A24" w:rsidRDefault="00527A24" w:rsidP="00527A24">
      <w:pPr>
        <w:pStyle w:val="Heading1"/>
      </w:pPr>
      <w:bookmarkStart w:id="9" w:name="_Toc210871185"/>
      <w:r w:rsidRPr="00527A24">
        <w:lastRenderedPageBreak/>
        <w:t>Restoring Customer Confidence</w:t>
      </w:r>
      <w:bookmarkEnd w:id="9"/>
    </w:p>
    <w:p w:rsidR="00527A24" w:rsidRPr="00527A24" w:rsidRDefault="00527A24" w:rsidP="00527A24">
      <w:r w:rsidRPr="00527A24">
        <w:t>Restoring customer trust after a large-scale product recall needs a tailored framework based on crisis communication theory and trust restoration mechanisms and technical transparency. The 2016 recall of the Samsung Galaxy Note 7 serves as a textbook example of how a company can rebuild trust by implementing changes to their operations and communicating transparently and engaging with customers.</w:t>
      </w:r>
    </w:p>
    <w:p w:rsidR="00EE5217" w:rsidRPr="00EE5217" w:rsidRDefault="00EE5217" w:rsidP="00527A24">
      <w:pPr>
        <w:rPr>
          <w:b/>
          <w:bCs/>
        </w:rPr>
      </w:pPr>
      <w:r w:rsidRPr="00EE5217">
        <w:rPr>
          <w:b/>
          <w:bCs/>
        </w:rPr>
        <w:t>Trust and Crisis-Response Evidence</w:t>
      </w:r>
    </w:p>
    <w:p w:rsidR="00527A24" w:rsidRPr="00527A24" w:rsidRDefault="00527A24" w:rsidP="00527A24">
      <w:r w:rsidRPr="00527A24">
        <w:t xml:space="preserve">Yang et al. (2022) suggest that whether or not a product crisis influences consumer trust hinges on such moderators as perceived responsibility, severity, and time of response. Their results suggest reputation repair can be foreseen by recognising and meaningfully communicating it at an early stage. While Samsung's initial slow response in acknowledging the extent of the battery problem created initial scepticism, its subsequent efforts to address the issue following its initial response were in line with best practice in rebuilding trust. Zheng et al. (2020) and Zhou, Zhang and Ki (2022) claim that strong crisis-response mechanisms should be proportionate to the type of deception perceived. In the case of the Note 7, where public safety was involved, the Samsung response was in need of a moralised response, with a value system of far more emphasis on responsibility, care and reform than tech retreat. </w:t>
      </w:r>
    </w:p>
    <w:p w:rsidR="00527A24" w:rsidRPr="00527A24" w:rsidRDefault="00527A24" w:rsidP="00527A24">
      <w:r w:rsidRPr="00527A24">
        <w:t>Wang et al. (2025) determined that trust recovery of recall is influenced not only by the type of trust violation but also by consumer disposition. Their food recall study has been applied to technology crises as well, where proactively transparent treatments (full refunds or replacements) and providing equal treatment are beneficial mechanisms for procedural fairness (a trust-building mechanism). Raithel et al. (2023) show that consumers' corrective actions are influenced by the comprehensibility of recall instructions and congruent reminders. Samsung's simplified implementations of IMEI verification tools and digital registration tools illustrated examples of frictionless design to increase consumer adoption and satisfy consumer expectations of capability and compassion.</w:t>
      </w:r>
    </w:p>
    <w:p w:rsidR="00EE5217" w:rsidRPr="00880C8F" w:rsidRDefault="00EE5217" w:rsidP="00527A24">
      <w:pPr>
        <w:rPr>
          <w:b/>
          <w:bCs/>
        </w:rPr>
      </w:pPr>
      <w:r w:rsidRPr="00880C8F">
        <w:rPr>
          <w:b/>
          <w:bCs/>
        </w:rPr>
        <w:t>Samsung-Specific Recovery Signals</w:t>
      </w:r>
    </w:p>
    <w:p w:rsidR="00E75E9E" w:rsidRDefault="00EE5217" w:rsidP="00E75E9E">
      <w:pPr>
        <w:keepNext/>
      </w:pPr>
      <w:r>
        <w:rPr>
          <w:noProof/>
        </w:rPr>
        <w:lastRenderedPageBreak/>
        <w:drawing>
          <wp:inline distT="0" distB="0" distL="0" distR="0">
            <wp:extent cx="6080760" cy="4998720"/>
            <wp:effectExtent l="19050" t="0" r="53340" b="0"/>
            <wp:docPr id="1854588400"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EE5217" w:rsidRDefault="00E75E9E" w:rsidP="00E75E9E">
      <w:pPr>
        <w:pStyle w:val="Caption"/>
      </w:pPr>
      <w:bookmarkStart w:id="10" w:name="_Toc210871214"/>
      <w:r>
        <w:t xml:space="preserve">Figure </w:t>
      </w:r>
      <w:r w:rsidR="00C15837">
        <w:fldChar w:fldCharType="begin"/>
      </w:r>
      <w:r w:rsidR="000F5AE5">
        <w:instrText xml:space="preserve"> SEQ Figure \* ARABIC </w:instrText>
      </w:r>
      <w:r w:rsidR="00C15837">
        <w:fldChar w:fldCharType="separate"/>
      </w:r>
      <w:r>
        <w:rPr>
          <w:noProof/>
        </w:rPr>
        <w:t>5</w:t>
      </w:r>
      <w:r w:rsidR="00C15837">
        <w:rPr>
          <w:noProof/>
        </w:rPr>
        <w:fldChar w:fldCharType="end"/>
      </w:r>
      <w:r>
        <w:t xml:space="preserve">: </w:t>
      </w:r>
      <w:r w:rsidRPr="00C30ADE">
        <w:t>Samsung-Specific Recovery Signals</w:t>
      </w:r>
      <w:bookmarkEnd w:id="10"/>
    </w:p>
    <w:p w:rsidR="00527A24" w:rsidRPr="00527A24" w:rsidRDefault="00527A24" w:rsidP="00527A24">
      <w:pPr>
        <w:rPr>
          <w:b/>
          <w:bCs/>
        </w:rPr>
      </w:pPr>
      <w:r w:rsidRPr="00527A24">
        <w:rPr>
          <w:b/>
          <w:bCs/>
        </w:rPr>
        <w:t>Monitoring and Engagement</w:t>
      </w:r>
    </w:p>
    <w:p w:rsidR="00527A24" w:rsidRPr="00527A24" w:rsidRDefault="00527A24" w:rsidP="00527A24">
      <w:r w:rsidRPr="00527A24">
        <w:t>Confidence is a journey and not something that can be left once the main crisis has passed. Ilyas and Sharifi (2025) point out that social-media opinion is a leading indicator of when public confidence might be gained again or when concern may increase once again. Moving to real-time social listening tools, Samsung was able to monitor global sentiment levels, allowing it to tweak its destinational communications. Similarly, Hei, Sarkani and Fossaceca (2021) emphasise the role automated review analysis is playing in identifying incipient product problems that may undermine consumer trust. By effectively mining customer feedback and online reviews, Samsung showed that it was attuned to customer concerns and would respond quickly and efficiently if additional problems were identified.</w:t>
      </w:r>
    </w:p>
    <w:p w:rsidR="00B27443" w:rsidRDefault="00527A24">
      <w:r w:rsidRPr="00527A24">
        <w:lastRenderedPageBreak/>
        <w:t>More importantly, these post-recall monitoring systems are not just a public relations gimmick; they are indicative of a change in the culture towards preventative quality assurance as well as ethical corporate responsibility. Consistency in communication through transparency, cross-checked data, and technical and quality standards transforms crisis management into a sustainable trust-building function. The Note 7 situation therefore becomes a classic example of how a strong integration of the theory of communication, technical transparency and digital interaction can restore brand equity and consumer trust on the systemic level.</w:t>
      </w:r>
    </w:p>
    <w:p w:rsidR="00FC2944" w:rsidRPr="00FC2944" w:rsidRDefault="00FC2944" w:rsidP="00FC2944">
      <w:pPr>
        <w:pStyle w:val="Heading1"/>
      </w:pPr>
      <w:bookmarkStart w:id="11" w:name="_Toc210871186"/>
      <w:r w:rsidRPr="00FC2944">
        <w:t>Conclusion</w:t>
      </w:r>
      <w:bookmarkEnd w:id="11"/>
    </w:p>
    <w:p w:rsidR="00FC2944" w:rsidRDefault="006931DF" w:rsidP="00FC2944">
      <w:r w:rsidRPr="006931DF">
        <w:t xml:space="preserve">The Samsung Galaxy Note 7 recall is one impressively informative example of quality cost models, transformed from accounting to strategic risk management when line of defence analysis is operating in prevention mode. </w:t>
      </w:r>
      <w:r w:rsidR="00FC2944" w:rsidRPr="00FC2944">
        <w:t>Systems thinking and continuous improvement (Evans and Lindsay, 2019) highlight that high investment in prevention makes the system more resilient (Asada et al., 2021; Bris et al., 2022). An important aspect of successful recall economics is to move from reactive failure to proactive capacity development. Samsung's business reform first steps demonstrated that rides up sustainability and technique and customer-focused government result in lasting recovery. Finally, quality management meeting model selection, spending priorities, and trust restoration enable sustainable competitiveness and stakeholder trust in the long term (Yang et al., 2022).</w:t>
      </w:r>
    </w:p>
    <w:bookmarkStart w:id="12" w:name="_Toc210871187" w:displacedByCustomXml="next"/>
    <w:sdt>
      <w:sdtPr>
        <w:rPr>
          <w:rFonts w:eastAsiaTheme="minorHAnsi" w:cstheme="minorBidi"/>
          <w:b w:val="0"/>
          <w:color w:val="auto"/>
          <w:sz w:val="24"/>
          <w:szCs w:val="22"/>
        </w:rPr>
        <w:id w:val="380454494"/>
        <w:docPartObj>
          <w:docPartGallery w:val="Bibliographies"/>
          <w:docPartUnique/>
        </w:docPartObj>
      </w:sdtPr>
      <w:sdtContent>
        <w:p w:rsidR="0065674B" w:rsidRDefault="0065674B">
          <w:pPr>
            <w:pStyle w:val="Heading1"/>
          </w:pPr>
          <w:r>
            <w:t>References</w:t>
          </w:r>
          <w:bookmarkEnd w:id="12"/>
        </w:p>
        <w:sdt>
          <w:sdtPr>
            <w:id w:val="-573587230"/>
            <w:bibliography/>
          </w:sdtPr>
          <w:sdtContent>
            <w:p w:rsidR="0065674B" w:rsidRDefault="00C15837" w:rsidP="0065674B">
              <w:pPr>
                <w:widowControl w:val="0"/>
                <w:autoSpaceDE w:val="0"/>
                <w:autoSpaceDN w:val="0"/>
                <w:adjustRightInd w:val="0"/>
                <w:spacing w:after="240"/>
                <w:rPr>
                  <w:rFonts w:cs="Times New Roman"/>
                  <w:kern w:val="0"/>
                </w:rPr>
              </w:pPr>
              <w:r w:rsidRPr="00C15837">
                <w:fldChar w:fldCharType="begin"/>
              </w:r>
              <w:r w:rsidR="0065674B">
                <w:instrText xml:space="preserve"> BIBLIOGRAPHY </w:instrText>
              </w:r>
              <w:r w:rsidRPr="00C15837">
                <w:fldChar w:fldCharType="end"/>
              </w:r>
              <w:r w:rsidR="0065674B">
                <w:rPr>
                  <w:rFonts w:cs="Times New Roman"/>
                  <w:kern w:val="0"/>
                </w:rPr>
                <w:t xml:space="preserve">6sigmastudy (2023). </w:t>
              </w:r>
              <w:r w:rsidR="0065674B">
                <w:rPr>
                  <w:rFonts w:cs="Times New Roman"/>
                  <w:i/>
                  <w:iCs/>
                  <w:kern w:val="0"/>
                </w:rPr>
                <w:t>Juran’s Quality Trilogy</w:t>
              </w:r>
              <w:r w:rsidR="0065674B">
                <w:rPr>
                  <w:rFonts w:cs="Times New Roman"/>
                  <w:kern w:val="0"/>
                </w:rPr>
                <w:t xml:space="preserve">. [online] 6sigmastudy.com. Available at: </w:t>
              </w:r>
              <w:hyperlink r:id="rId27" w:history="1">
                <w:r w:rsidR="0065674B">
                  <w:rPr>
                    <w:rFonts w:cs="Times New Roman"/>
                    <w:kern w:val="0"/>
                  </w:rPr>
                  <w:t>https://www.6sigmastudy.com/article?title=Jurans-Quality-Trilogy</w:t>
                </w:r>
              </w:hyperlink>
              <w:r w:rsidR="0065674B">
                <w:rPr>
                  <w:rFonts w:cs="Times New Roman"/>
                  <w:kern w:val="0"/>
                </w:rPr>
                <w:t xml:space="preserve"> [Accessed 9 Oct. 2025].</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Abbas, T. (2023). </w:t>
              </w:r>
              <w:r>
                <w:rPr>
                  <w:rFonts w:cs="Times New Roman"/>
                  <w:i/>
                  <w:iCs/>
                  <w:kern w:val="0"/>
                </w:rPr>
                <w:t>Remarkable Recovery: Samsung Crisis Management Case Study</w:t>
              </w:r>
              <w:r>
                <w:rPr>
                  <w:rFonts w:cs="Times New Roman"/>
                  <w:kern w:val="0"/>
                </w:rPr>
                <w:t xml:space="preserve">. [online] CMI. Available at: </w:t>
              </w:r>
              <w:hyperlink r:id="rId28" w:anchor="google_vignette" w:history="1">
                <w:r>
                  <w:rPr>
                    <w:rFonts w:cs="Times New Roman"/>
                    <w:kern w:val="0"/>
                  </w:rPr>
                  <w:t>https://changemanagementinsight.com/samsung-crisis-management-case-study/#google_vignette</w:t>
                </w:r>
              </w:hyperlink>
              <w:r>
                <w:rPr>
                  <w:rFonts w:cs="Times New Roman"/>
                  <w:kern w:val="0"/>
                </w:rPr>
                <w:t xml:space="preserve"> [Accessed 8 Oct. 2025].</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AON (2023). </w:t>
              </w:r>
              <w:r>
                <w:rPr>
                  <w:rFonts w:cs="Times New Roman"/>
                  <w:i/>
                  <w:iCs/>
                  <w:kern w:val="0"/>
                </w:rPr>
                <w:t>2023 Emerging Trends in Product Recall and Product Contamination Insurance</w:t>
              </w:r>
              <w:r>
                <w:rPr>
                  <w:rFonts w:cs="Times New Roman"/>
                  <w:kern w:val="0"/>
                </w:rPr>
                <w:t xml:space="preserve">. [online] Aon Crisis Solutions. Available at: </w:t>
              </w:r>
              <w:hyperlink r:id="rId29" w:history="1">
                <w:r>
                  <w:rPr>
                    <w:rFonts w:cs="Times New Roman"/>
                    <w:kern w:val="0"/>
                  </w:rPr>
                  <w:t>https://assets.aon.com/-/media/files/aon/reports/2023/2023-emerging-trends-in-product-recall-and-product-contamination-insurance_aon.pdf</w:t>
                </w:r>
              </w:hyperlink>
              <w:r>
                <w:rPr>
                  <w:rFonts w:cs="Times New Roman"/>
                  <w:kern w:val="0"/>
                </w:rPr>
                <w:t xml:space="preserve"> [Accessed 8 Oct. 2025].</w:t>
              </w:r>
            </w:p>
            <w:p w:rsidR="0065674B" w:rsidRDefault="0065674B" w:rsidP="0065674B">
              <w:pPr>
                <w:widowControl w:val="0"/>
                <w:autoSpaceDE w:val="0"/>
                <w:autoSpaceDN w:val="0"/>
                <w:adjustRightInd w:val="0"/>
                <w:spacing w:after="240"/>
                <w:rPr>
                  <w:rFonts w:cs="Times New Roman"/>
                  <w:kern w:val="0"/>
                </w:rPr>
              </w:pPr>
              <w:r>
                <w:rPr>
                  <w:rFonts w:cs="Times New Roman"/>
                  <w:kern w:val="0"/>
                </w:rPr>
                <w:lastRenderedPageBreak/>
                <w:t xml:space="preserve">Asada, R.Y., Kumar, Y. and Al-Hubaishi, Dr.W. (2021). A REVIEW: MODELS COSTING QUALITY AND ITS IMPACT ON THE PLANNING AND CONTROL PROCESSES IN MANUFACTURING INDUSTRIES. </w:t>
              </w:r>
              <w:r>
                <w:rPr>
                  <w:rFonts w:cs="Times New Roman"/>
                  <w:i/>
                  <w:iCs/>
                  <w:kern w:val="0"/>
                </w:rPr>
                <w:t>International Journal of Research -GRANTHAALAYAH</w:t>
              </w:r>
              <w:r>
                <w:rPr>
                  <w:rFonts w:cs="Times New Roman"/>
                  <w:kern w:val="0"/>
                </w:rPr>
                <w:t>, 9(4), pp.557–570. doi:</w:t>
              </w:r>
              <w:hyperlink r:id="rId30" w:history="1">
                <w:r>
                  <w:rPr>
                    <w:rFonts w:cs="Times New Roman"/>
                    <w:kern w:val="0"/>
                  </w:rPr>
                  <w:t>https://doi.org/10.29121/granthaalayah.v9.i4.2021.3858</w:t>
                </w:r>
              </w:hyperlink>
              <w:r>
                <w:rPr>
                  <w:rFonts w:cs="Times New Roman"/>
                  <w:kern w:val="0"/>
                </w:rPr>
                <w:t>.</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BBC News (2017). Samsung confirms battery faults as cause of note 7 fires. </w:t>
              </w:r>
              <w:r>
                <w:rPr>
                  <w:rFonts w:cs="Times New Roman"/>
                  <w:i/>
                  <w:iCs/>
                  <w:kern w:val="0"/>
                </w:rPr>
                <w:t>BBC News</w:t>
              </w:r>
              <w:r>
                <w:rPr>
                  <w:rFonts w:cs="Times New Roman"/>
                  <w:kern w:val="0"/>
                </w:rPr>
                <w:t xml:space="preserve">. [online] Available at: </w:t>
              </w:r>
              <w:hyperlink r:id="rId31" w:history="1">
                <w:r>
                  <w:rPr>
                    <w:rFonts w:cs="Times New Roman"/>
                    <w:kern w:val="0"/>
                  </w:rPr>
                  <w:t>https://www.bbc.com/news/business-38714461</w:t>
                </w:r>
              </w:hyperlink>
              <w:r>
                <w:rPr>
                  <w:rFonts w:cs="Times New Roman"/>
                  <w:kern w:val="0"/>
                </w:rPr>
                <w:t xml:space="preserve"> [Accessed 8 Oct. 2025].</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Bris, P., Cermakova, M. and Molnar, V. (2022). QUALITY COST FLOWS IN MANUFACTURING COMPANIES. </w:t>
              </w:r>
              <w:r>
                <w:rPr>
                  <w:rFonts w:cs="Times New Roman"/>
                  <w:i/>
                  <w:iCs/>
                  <w:kern w:val="0"/>
                </w:rPr>
                <w:t>Acta logistica</w:t>
              </w:r>
              <w:r>
                <w:rPr>
                  <w:rFonts w:cs="Times New Roman"/>
                  <w:kern w:val="0"/>
                </w:rPr>
                <w:t>, 09(04), pp.449–456. doi:</w:t>
              </w:r>
              <w:hyperlink r:id="rId32" w:history="1">
                <w:r>
                  <w:rPr>
                    <w:rFonts w:cs="Times New Roman"/>
                    <w:kern w:val="0"/>
                  </w:rPr>
                  <w:t>https://doi.org/10.22306/al.v9i4.345</w:t>
                </w:r>
              </w:hyperlink>
              <w:r>
                <w:rPr>
                  <w:rFonts w:cs="Times New Roman"/>
                  <w:kern w:val="0"/>
                </w:rPr>
                <w:t>.</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Broussard, A. (2025). </w:t>
              </w:r>
              <w:r>
                <w:rPr>
                  <w:rFonts w:cs="Times New Roman"/>
                  <w:i/>
                  <w:iCs/>
                  <w:kern w:val="0"/>
                </w:rPr>
                <w:t>Unveiling the Hidden Costs of Quality in Manufacturing</w:t>
              </w:r>
              <w:r>
                <w:rPr>
                  <w:rFonts w:cs="Times New Roman"/>
                  <w:kern w:val="0"/>
                </w:rPr>
                <w:t xml:space="preserve">. [online] Linkedin.com. Available at: </w:t>
              </w:r>
              <w:hyperlink r:id="rId33" w:history="1">
                <w:r>
                  <w:rPr>
                    <w:rFonts w:cs="Times New Roman"/>
                    <w:kern w:val="0"/>
                  </w:rPr>
                  <w:t>https://www.linkedin.com/pulse/unveiling-hidden-costs-quality-manufacturing-aaron-broussard-ii1rc</w:t>
                </w:r>
              </w:hyperlink>
              <w:r>
                <w:rPr>
                  <w:rFonts w:cs="Times New Roman"/>
                  <w:kern w:val="0"/>
                </w:rPr>
                <w:t xml:space="preserve"> [Accessed 8 Oct. 2025].</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Christensen, P.A., Anderson, P.A., Harper, G.D.J., Lambert, S.M., Mrozik, W., Rajaeifar, M.A., Wise, M.S. and Heidrich, O. (2021). Risk management over the life cycle of lithium-ion batteries in electric vehicles. </w:t>
              </w:r>
              <w:r>
                <w:rPr>
                  <w:rFonts w:cs="Times New Roman"/>
                  <w:i/>
                  <w:iCs/>
                  <w:kern w:val="0"/>
                </w:rPr>
                <w:t>Renewable and Sustainable Energy Reviews</w:t>
              </w:r>
              <w:r>
                <w:rPr>
                  <w:rFonts w:cs="Times New Roman"/>
                  <w:kern w:val="0"/>
                </w:rPr>
                <w:t>, [online] 148(148), p.111240. doi:</w:t>
              </w:r>
              <w:hyperlink r:id="rId34" w:history="1">
                <w:r>
                  <w:rPr>
                    <w:rFonts w:cs="Times New Roman"/>
                    <w:kern w:val="0"/>
                  </w:rPr>
                  <w:t>https://doi.org/10.1016/j.rser.2021.111240</w:t>
                </w:r>
              </w:hyperlink>
              <w:r>
                <w:rPr>
                  <w:rFonts w:cs="Times New Roman"/>
                  <w:kern w:val="0"/>
                </w:rPr>
                <w:t>.</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CRC Group (2022). </w:t>
              </w:r>
              <w:r>
                <w:rPr>
                  <w:rFonts w:cs="Times New Roman"/>
                  <w:i/>
                  <w:iCs/>
                  <w:kern w:val="0"/>
                </w:rPr>
                <w:t>Product Recall Claim Trends - Tools and Intel | CRC Specialty</w:t>
              </w:r>
              <w:r>
                <w:rPr>
                  <w:rFonts w:cs="Times New Roman"/>
                  <w:kern w:val="0"/>
                </w:rPr>
                <w:t xml:space="preserve">. [online] Crcgroup.com. Available at: </w:t>
              </w:r>
              <w:hyperlink r:id="rId35" w:history="1">
                <w:r>
                  <w:rPr>
                    <w:rFonts w:cs="Times New Roman"/>
                    <w:kern w:val="0"/>
                  </w:rPr>
                  <w:t>https://www.crcgroup.com/Tools-and-Intel/post/product-recall-claim-trends</w:t>
                </w:r>
              </w:hyperlink>
              <w:r>
                <w:rPr>
                  <w:rFonts w:cs="Times New Roman"/>
                  <w:kern w:val="0"/>
                </w:rPr>
                <w:t xml:space="preserve"> [Accessed 8 Oct. 2025].</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Dale, B.G., Bamford, D.R. and Van, A. (2016). </w:t>
              </w:r>
              <w:r>
                <w:rPr>
                  <w:rFonts w:cs="Times New Roman"/>
                  <w:i/>
                  <w:iCs/>
                  <w:kern w:val="0"/>
                </w:rPr>
                <w:t>Managing Quality : an Essential Guide and Resource Gateway</w:t>
              </w:r>
              <w:r>
                <w:rPr>
                  <w:rFonts w:cs="Times New Roman"/>
                  <w:kern w:val="0"/>
                </w:rPr>
                <w:t>. Chichester: Wiley.</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Dean, T. (2024). </w:t>
              </w:r>
              <w:r>
                <w:rPr>
                  <w:rFonts w:cs="Times New Roman"/>
                  <w:i/>
                  <w:iCs/>
                  <w:kern w:val="0"/>
                </w:rPr>
                <w:t>Understanding Product Recall Insurance: What It Is and Why You Might Need It</w:t>
              </w:r>
              <w:r>
                <w:rPr>
                  <w:rFonts w:cs="Times New Roman"/>
                  <w:kern w:val="0"/>
                </w:rPr>
                <w:t xml:space="preserve">. [online] Insurance Incorporated. Available at: </w:t>
              </w:r>
              <w:hyperlink r:id="rId36" w:history="1">
                <w:r>
                  <w:rPr>
                    <w:rFonts w:cs="Times New Roman"/>
                    <w:kern w:val="0"/>
                  </w:rPr>
                  <w:t>https://insuranceinc.com/our-blog/understanding-product-recall-insurance-what-it-is-and-why-you-might-need-it/</w:t>
                </w:r>
              </w:hyperlink>
              <w:r>
                <w:rPr>
                  <w:rFonts w:cs="Times New Roman"/>
                  <w:kern w:val="0"/>
                </w:rPr>
                <w:t xml:space="preserve"> [Accessed 8 Oct. 2025].</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Dholakia, U.M. (2016). </w:t>
              </w:r>
              <w:r>
                <w:rPr>
                  <w:rFonts w:cs="Times New Roman"/>
                  <w:i/>
                  <w:iCs/>
                  <w:kern w:val="0"/>
                </w:rPr>
                <w:t>Why Samsung’s Note 7 Crisis Won’t Hurt Its Brand Long Term</w:t>
              </w:r>
              <w:r>
                <w:rPr>
                  <w:rFonts w:cs="Times New Roman"/>
                  <w:kern w:val="0"/>
                </w:rPr>
                <w:t xml:space="preserve">. [online] Harvard Business Review. Available at: </w:t>
              </w:r>
              <w:hyperlink r:id="rId37" w:history="1">
                <w:r>
                  <w:rPr>
                    <w:rFonts w:cs="Times New Roman"/>
                    <w:kern w:val="0"/>
                  </w:rPr>
                  <w:t>https://hbr.org/2016/10/why-samsungs-note-7-crisis-</w:t>
                </w:r>
                <w:r>
                  <w:rPr>
                    <w:rFonts w:cs="Times New Roman"/>
                    <w:kern w:val="0"/>
                  </w:rPr>
                  <w:lastRenderedPageBreak/>
                  <w:t>wont-hurt-its-brand-long-term?</w:t>
                </w:r>
              </w:hyperlink>
              <w:r>
                <w:rPr>
                  <w:rFonts w:cs="Times New Roman"/>
                  <w:kern w:val="0"/>
                </w:rPr>
                <w:t xml:space="preserve"> [Accessed 8 Oct. 2025].</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Evans, J. and M. Lindsay, W. (2019). </w:t>
              </w:r>
              <w:r>
                <w:rPr>
                  <w:rFonts w:cs="Times New Roman"/>
                  <w:i/>
                  <w:iCs/>
                  <w:kern w:val="0"/>
                </w:rPr>
                <w:t>MANAGING FOR QUALITY AND PERFORMANCE EXCELLENCE.</w:t>
              </w:r>
              <w:r>
                <w:rPr>
                  <w:rFonts w:cs="Times New Roman"/>
                  <w:kern w:val="0"/>
                </w:rPr>
                <w:t xml:space="preserve"> 11th ed. Cengage Learning.</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Hazelwood, D.A. and Pecht, M.G. (2021). Life Extension of Electronic Products: A Case Study of Smartphones. </w:t>
              </w:r>
              <w:r>
                <w:rPr>
                  <w:rFonts w:cs="Times New Roman"/>
                  <w:i/>
                  <w:iCs/>
                  <w:kern w:val="0"/>
                </w:rPr>
                <w:t>IEEE Access</w:t>
              </w:r>
              <w:r>
                <w:rPr>
                  <w:rFonts w:cs="Times New Roman"/>
                  <w:kern w:val="0"/>
                </w:rPr>
                <w:t>, 9, pp.144726–144739. doi:</w:t>
              </w:r>
              <w:hyperlink r:id="rId38" w:history="1">
                <w:r>
                  <w:rPr>
                    <w:rFonts w:cs="Times New Roman"/>
                    <w:kern w:val="0"/>
                  </w:rPr>
                  <w:t>https://doi.org/10.1109/access.2021.3121733</w:t>
                </w:r>
              </w:hyperlink>
              <w:r>
                <w:rPr>
                  <w:rFonts w:cs="Times New Roman"/>
                  <w:kern w:val="0"/>
                </w:rPr>
                <w:t>.</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Hei, T., Shahryar Sarkani and Fossaceca, J.M. (2021). Auto Defect Detection Using Customer Reviews for Product Recall Insurance Analysis. </w:t>
              </w:r>
              <w:r>
                <w:rPr>
                  <w:rFonts w:cs="Times New Roman"/>
                  <w:i/>
                  <w:iCs/>
                  <w:kern w:val="0"/>
                </w:rPr>
                <w:t>Frontiers in Applied Mathematics and Statistics</w:t>
              </w:r>
              <w:r>
                <w:rPr>
                  <w:rFonts w:cs="Times New Roman"/>
                  <w:kern w:val="0"/>
                </w:rPr>
                <w:t>, 7. doi:</w:t>
              </w:r>
              <w:hyperlink r:id="rId39" w:history="1">
                <w:r>
                  <w:rPr>
                    <w:rFonts w:cs="Times New Roman"/>
                    <w:kern w:val="0"/>
                  </w:rPr>
                  <w:t>https://doi.org/10.3389/fams.2021.632847</w:t>
                </w:r>
              </w:hyperlink>
              <w:r>
                <w:rPr>
                  <w:rFonts w:cs="Times New Roman"/>
                  <w:kern w:val="0"/>
                </w:rPr>
                <w:t>.</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Honeywell (2025). </w:t>
              </w:r>
              <w:r>
                <w:rPr>
                  <w:rFonts w:cs="Times New Roman"/>
                  <w:i/>
                  <w:iCs/>
                  <w:kern w:val="0"/>
                </w:rPr>
                <w:t>The Rising Cost of Product Recalls: Why Prevention Matters - Honeywell</w:t>
              </w:r>
              <w:r>
                <w:rPr>
                  <w:rFonts w:cs="Times New Roman"/>
                  <w:kern w:val="0"/>
                </w:rPr>
                <w:t xml:space="preserve">. [online] Honeywell. Available at: </w:t>
              </w:r>
              <w:hyperlink r:id="rId40" w:history="1">
                <w:r>
                  <w:rPr>
                    <w:rFonts w:cs="Times New Roman"/>
                    <w:kern w:val="0"/>
                  </w:rPr>
                  <w:t>https://www.spartasystems.com/resources/the-rising-cost-of-product-recalls-why-prevention-matters/</w:t>
                </w:r>
              </w:hyperlink>
              <w:r>
                <w:rPr>
                  <w:rFonts w:cs="Times New Roman"/>
                  <w:kern w:val="0"/>
                </w:rPr>
                <w:t xml:space="preserve"> [Accessed 8 Oct. 2025].</w:t>
              </w:r>
            </w:p>
            <w:p w:rsidR="0065674B" w:rsidRDefault="0065674B" w:rsidP="0065674B">
              <w:pPr>
                <w:widowControl w:val="0"/>
                <w:autoSpaceDE w:val="0"/>
                <w:autoSpaceDN w:val="0"/>
                <w:adjustRightInd w:val="0"/>
                <w:spacing w:after="240"/>
                <w:rPr>
                  <w:rFonts w:cs="Times New Roman"/>
                  <w:kern w:val="0"/>
                </w:rPr>
              </w:pPr>
              <w:r>
                <w:rPr>
                  <w:rFonts w:ascii="Batang" w:eastAsia="Batang" w:hAnsi="Batang" w:cs="Batang" w:hint="eastAsia"/>
                  <w:kern w:val="0"/>
                </w:rPr>
                <w:t>이종학</w:t>
              </w:r>
              <w:r>
                <w:rPr>
                  <w:rFonts w:cs="Times New Roman"/>
                  <w:kern w:val="0"/>
                </w:rPr>
                <w:t xml:space="preserve"> (2021). The Effect of Recall on Stock Price Using Event Study Methodology: Galaxy Note 7 and iPhone 6. </w:t>
              </w:r>
              <w:r>
                <w:rPr>
                  <w:rFonts w:ascii="Batang" w:eastAsia="Batang" w:hAnsi="Batang" w:cs="Batang" w:hint="eastAsia"/>
                  <w:i/>
                  <w:iCs/>
                  <w:kern w:val="0"/>
                </w:rPr>
                <w:t>글로벌경영학회지</w:t>
              </w:r>
              <w:r>
                <w:rPr>
                  <w:rFonts w:cs="Times New Roman"/>
                  <w:kern w:val="0"/>
                </w:rPr>
                <w:t xml:space="preserve">, [online] 18(4), pp.181–200. Available at: </w:t>
              </w:r>
              <w:hyperlink r:id="rId41" w:history="1">
                <w:r>
                  <w:rPr>
                    <w:rFonts w:cs="Times New Roman"/>
                    <w:kern w:val="0"/>
                  </w:rPr>
                  <w:t>https://www.dbpia.co.kr/Journal/articleDetail?nodeId=NODE11334756</w:t>
                </w:r>
              </w:hyperlink>
              <w:r>
                <w:rPr>
                  <w:rFonts w:cs="Times New Roman"/>
                  <w:kern w:val="0"/>
                </w:rPr>
                <w:t>.</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Ilyas, B. and Sharifi, A. (2025). A systematic review of social media-based sentiment analysis in disaster risk management. </w:t>
              </w:r>
              <w:r>
                <w:rPr>
                  <w:rFonts w:cs="Times New Roman"/>
                  <w:i/>
                  <w:iCs/>
                  <w:kern w:val="0"/>
                </w:rPr>
                <w:t>International Journal of Disaster Risk Reduction</w:t>
              </w:r>
              <w:r>
                <w:rPr>
                  <w:rFonts w:cs="Times New Roman"/>
                  <w:kern w:val="0"/>
                </w:rPr>
                <w:t>, 123, p.105487. doi:</w:t>
              </w:r>
              <w:hyperlink r:id="rId42" w:history="1">
                <w:r>
                  <w:rPr>
                    <w:rFonts w:cs="Times New Roman"/>
                    <w:kern w:val="0"/>
                  </w:rPr>
                  <w:t>https://doi.org/10.1016/j.ijdrr.2025.105487</w:t>
                </w:r>
              </w:hyperlink>
              <w:r>
                <w:rPr>
                  <w:rFonts w:cs="Times New Roman"/>
                  <w:kern w:val="0"/>
                </w:rPr>
                <w:t>.</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Indra, I., GatotYudoko and Nur Budi Mulyono (2025). Empirical validation of prevention-focused quality cost management: evidence from Indonesia manufacturing. </w:t>
              </w:r>
              <w:r>
                <w:rPr>
                  <w:rFonts w:cs="Times New Roman"/>
                  <w:i/>
                  <w:iCs/>
                  <w:kern w:val="0"/>
                </w:rPr>
                <w:t>Cogent Business &amp; Management</w:t>
              </w:r>
              <w:r>
                <w:rPr>
                  <w:rFonts w:cs="Times New Roman"/>
                  <w:kern w:val="0"/>
                </w:rPr>
                <w:t>, 12(1). doi:</w:t>
              </w:r>
              <w:hyperlink r:id="rId43" w:history="1">
                <w:r>
                  <w:rPr>
                    <w:rFonts w:cs="Times New Roman"/>
                    <w:kern w:val="0"/>
                  </w:rPr>
                  <w:t>https://doi.org/10.1080/23311975.2025.2543515</w:t>
                </w:r>
              </w:hyperlink>
              <w:r>
                <w:rPr>
                  <w:rFonts w:cs="Times New Roman"/>
                  <w:kern w:val="0"/>
                </w:rPr>
                <w:t>.</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Lan, T. (2023). A Critical Case Report of Samsung Note 7 Recall. </w:t>
              </w:r>
              <w:r>
                <w:rPr>
                  <w:rFonts w:cs="Times New Roman"/>
                  <w:i/>
                  <w:iCs/>
                  <w:kern w:val="0"/>
                </w:rPr>
                <w:t>Frontiers in art research</w:t>
              </w:r>
              <w:r>
                <w:rPr>
                  <w:rFonts w:cs="Times New Roman"/>
                  <w:kern w:val="0"/>
                </w:rPr>
                <w:t>, [online] 5(11), pp.1–8. doi:</w:t>
              </w:r>
              <w:hyperlink r:id="rId44" w:history="1">
                <w:r>
                  <w:rPr>
                    <w:rFonts w:cs="Times New Roman"/>
                    <w:kern w:val="0"/>
                  </w:rPr>
                  <w:t>https://doi.org/10.25236/far.2023.051101</w:t>
                </w:r>
              </w:hyperlink>
              <w:r>
                <w:rPr>
                  <w:rFonts w:cs="Times New Roman"/>
                  <w:kern w:val="0"/>
                </w:rPr>
                <w:t>.</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Landau, P. (2022). </w:t>
              </w:r>
              <w:r>
                <w:rPr>
                  <w:rFonts w:cs="Times New Roman"/>
                  <w:i/>
                  <w:iCs/>
                  <w:kern w:val="0"/>
                </w:rPr>
                <w:t>Total Quality Management (TQM): A Quick Guide - ProjectManager.com</w:t>
              </w:r>
              <w:r>
                <w:rPr>
                  <w:rFonts w:cs="Times New Roman"/>
                  <w:kern w:val="0"/>
                </w:rPr>
                <w:t xml:space="preserve">. [online] ProjectManager.com. Available at: </w:t>
              </w:r>
              <w:hyperlink r:id="rId45" w:history="1">
                <w:r>
                  <w:rPr>
                    <w:rFonts w:cs="Times New Roman"/>
                    <w:kern w:val="0"/>
                  </w:rPr>
                  <w:t>https://www.projectmanager.com/blog/total-quality-</w:t>
                </w:r>
                <w:r>
                  <w:rPr>
                    <w:rFonts w:cs="Times New Roman"/>
                    <w:kern w:val="0"/>
                  </w:rPr>
                  <w:lastRenderedPageBreak/>
                  <w:t>management</w:t>
                </w:r>
              </w:hyperlink>
              <w:r>
                <w:rPr>
                  <w:rFonts w:cs="Times New Roman"/>
                  <w:kern w:val="0"/>
                </w:rPr>
                <w:t xml:space="preserve"> [Accessed 8 Oct. 2025].</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Lee, J., Zheng, C. and S.K. Lim, D. (2017). </w:t>
              </w:r>
              <w:r>
                <w:rPr>
                  <w:rFonts w:cs="Times New Roman"/>
                  <w:i/>
                  <w:iCs/>
                  <w:kern w:val="0"/>
                </w:rPr>
                <w:t>Samsung Galaxy Note 7 Debacle</w:t>
              </w:r>
              <w:r>
                <w:rPr>
                  <w:rFonts w:cs="Times New Roman"/>
                  <w:kern w:val="0"/>
                </w:rPr>
                <w:t xml:space="preserve">. [online] Harvard Business Impact. Available at: </w:t>
              </w:r>
              <w:hyperlink r:id="rId46" w:history="1">
                <w:r>
                  <w:rPr>
                    <w:rFonts w:cs="Times New Roman"/>
                    <w:kern w:val="0"/>
                  </w:rPr>
                  <w:t>https://hbsp.harvard.edu/product/W17665-PDF-ENG</w:t>
                </w:r>
              </w:hyperlink>
              <w:r>
                <w:rPr>
                  <w:rFonts w:cs="Times New Roman"/>
                  <w:kern w:val="0"/>
                </w:rPr>
                <w:t xml:space="preserve"> [Accessed 8 Oct. 2025].</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Liu, D. and Varki, S. (2021). The spillover effect of product recalls on competitors’ market value: The role of corporate product reliability. </w:t>
              </w:r>
              <w:r>
                <w:rPr>
                  <w:rFonts w:cs="Times New Roman"/>
                  <w:i/>
                  <w:iCs/>
                  <w:kern w:val="0"/>
                </w:rPr>
                <w:t>Journal of Business Research</w:t>
              </w:r>
              <w:r>
                <w:rPr>
                  <w:rFonts w:cs="Times New Roman"/>
                  <w:kern w:val="0"/>
                </w:rPr>
                <w:t>, 137, pp.452–463. doi:</w:t>
              </w:r>
              <w:hyperlink r:id="rId47" w:history="1">
                <w:r>
                  <w:rPr>
                    <w:rFonts w:cs="Times New Roman"/>
                    <w:kern w:val="0"/>
                  </w:rPr>
                  <w:t>https://doi.org/10.1016/j.jbusres.2021.08.047</w:t>
                </w:r>
              </w:hyperlink>
              <w:r>
                <w:rPr>
                  <w:rFonts w:cs="Times New Roman"/>
                  <w:kern w:val="0"/>
                </w:rPr>
                <w:t>.</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Loveridge, M., Remy, G., Kourra, N., Genieser, R., Barai, A., Lain, M., Guo, Y., Amor-Segan, M., Williams, M., Amietszajew, T., Ellis, M., Bhagat, R. and Greenwood, D. (2018). Looking Deeper into the Galaxy (Note 7). </w:t>
              </w:r>
              <w:r>
                <w:rPr>
                  <w:rFonts w:cs="Times New Roman"/>
                  <w:i/>
                  <w:iCs/>
                  <w:kern w:val="0"/>
                </w:rPr>
                <w:t>Batteries</w:t>
              </w:r>
              <w:r>
                <w:rPr>
                  <w:rFonts w:cs="Times New Roman"/>
                  <w:kern w:val="0"/>
                </w:rPr>
                <w:t>, [online] 4(1), p.3. doi:</w:t>
              </w:r>
              <w:hyperlink r:id="rId48" w:history="1">
                <w:r>
                  <w:rPr>
                    <w:rFonts w:cs="Times New Roman"/>
                    <w:kern w:val="0"/>
                  </w:rPr>
                  <w:t>https://doi.org/10.3390/batteries4010003</w:t>
                </w:r>
              </w:hyperlink>
              <w:r>
                <w:rPr>
                  <w:rFonts w:cs="Times New Roman"/>
                  <w:kern w:val="0"/>
                </w:rPr>
                <w:t>.</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Morgan &amp; Morgan (2023). </w:t>
              </w:r>
              <w:r>
                <w:rPr>
                  <w:rFonts w:cs="Times New Roman"/>
                  <w:i/>
                  <w:iCs/>
                  <w:kern w:val="0"/>
                </w:rPr>
                <w:t>U.S. Product Recalls Hit Four-Year High in the First Quarter of 2023</w:t>
              </w:r>
              <w:r>
                <w:rPr>
                  <w:rFonts w:cs="Times New Roman"/>
                  <w:kern w:val="0"/>
                </w:rPr>
                <w:t xml:space="preserve">. [online] Forthepeople.com. Available at: </w:t>
              </w:r>
              <w:hyperlink r:id="rId49" w:history="1">
                <w:r>
                  <w:rPr>
                    <w:rFonts w:cs="Times New Roman"/>
                    <w:kern w:val="0"/>
                  </w:rPr>
                  <w:t>https://www.forthepeople.com/blog/us-product-recalls-hit-four-year-high-first-quarter-2023/</w:t>
                </w:r>
              </w:hyperlink>
              <w:r>
                <w:rPr>
                  <w:rFonts w:cs="Times New Roman"/>
                  <w:kern w:val="0"/>
                </w:rPr>
                <w:t xml:space="preserve"> [Accessed 8 Oct. 2025].</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Moynihan, T. (2016). </w:t>
              </w:r>
              <w:r>
                <w:rPr>
                  <w:rFonts w:cs="Times New Roman"/>
                  <w:i/>
                  <w:iCs/>
                  <w:kern w:val="0"/>
                </w:rPr>
                <w:t>Samsung’s Recalling Millions of Note 7 Phones Over Battery Fires</w:t>
              </w:r>
              <w:r>
                <w:rPr>
                  <w:rFonts w:cs="Times New Roman"/>
                  <w:kern w:val="0"/>
                </w:rPr>
                <w:t xml:space="preserve">. [online] WIRED. Available at: </w:t>
              </w:r>
              <w:hyperlink r:id="rId50" w:history="1">
                <w:r>
                  <w:rPr>
                    <w:rFonts w:cs="Times New Roman"/>
                    <w:kern w:val="0"/>
                  </w:rPr>
                  <w:t>https://www.wired.com/2016/09/samsungs-recalling-millions-note-7-phones-battery-fires/</w:t>
                </w:r>
              </w:hyperlink>
              <w:r>
                <w:rPr>
                  <w:rFonts w:cs="Times New Roman"/>
                  <w:kern w:val="0"/>
                </w:rPr>
                <w:t xml:space="preserve"> [Accessed 8 Oct. 2025].</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Mukherjee, A., Carvalho, M. and Zaccour, G. (2022). Managing quality and pricing during a product recall: an analysis of pre-crisis, crisis and post-crisis regimes. </w:t>
              </w:r>
              <w:r>
                <w:rPr>
                  <w:rFonts w:cs="Times New Roman"/>
                  <w:i/>
                  <w:iCs/>
                  <w:kern w:val="0"/>
                </w:rPr>
                <w:t>European Journal of Operational Research</w:t>
              </w:r>
              <w:r>
                <w:rPr>
                  <w:rFonts w:cs="Times New Roman"/>
                  <w:kern w:val="0"/>
                </w:rPr>
                <w:t>, 307(1), pp.406–420. doi:</w:t>
              </w:r>
              <w:hyperlink r:id="rId51" w:history="1">
                <w:r>
                  <w:rPr>
                    <w:rFonts w:cs="Times New Roman"/>
                    <w:kern w:val="0"/>
                  </w:rPr>
                  <w:t>https://doi.org/10.1016/j.ejor.2022.08.012</w:t>
                </w:r>
              </w:hyperlink>
              <w:r>
                <w:rPr>
                  <w:rFonts w:cs="Times New Roman"/>
                  <w:kern w:val="0"/>
                </w:rPr>
                <w:t>.</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Note, S. (2020). </w:t>
              </w:r>
              <w:r>
                <w:rPr>
                  <w:rFonts w:cs="Times New Roman"/>
                  <w:i/>
                  <w:iCs/>
                  <w:kern w:val="0"/>
                </w:rPr>
                <w:t>Samsung Note 7 recall to cost at least $5.3 billion</w:t>
              </w:r>
              <w:r>
                <w:rPr>
                  <w:rFonts w:cs="Times New Roman"/>
                  <w:kern w:val="0"/>
                </w:rPr>
                <w:t xml:space="preserve">. [online] Arab News. Available at: </w:t>
              </w:r>
              <w:hyperlink r:id="rId52" w:history="1">
                <w:r>
                  <w:rPr>
                    <w:rFonts w:cs="Times New Roman"/>
                    <w:kern w:val="0"/>
                  </w:rPr>
                  <w:t>https://www.arabnews.com/node/997936/amp</w:t>
                </w:r>
              </w:hyperlink>
              <w:r>
                <w:rPr>
                  <w:rFonts w:cs="Times New Roman"/>
                  <w:kern w:val="0"/>
                </w:rPr>
                <w:t xml:space="preserve"> [Accessed 8 Oct. 2025].</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Novark Services (2025). </w:t>
              </w:r>
              <w:r>
                <w:rPr>
                  <w:rFonts w:cs="Times New Roman"/>
                  <w:i/>
                  <w:iCs/>
                  <w:kern w:val="0"/>
                </w:rPr>
                <w:t>Samsung Galaxy Note 7 Recall: Product Safety Crisis Management</w:t>
              </w:r>
              <w:r>
                <w:rPr>
                  <w:rFonts w:cs="Times New Roman"/>
                  <w:kern w:val="0"/>
                </w:rPr>
                <w:t xml:space="preserve">. [online] Novark Services – Business Learning &amp; Career Resources. Available at: </w:t>
              </w:r>
              <w:hyperlink r:id="rId53" w:history="1">
                <w:r>
                  <w:rPr>
                    <w:rFonts w:cs="Times New Roman"/>
                    <w:kern w:val="0"/>
                  </w:rPr>
                  <w:t>https://novarkservices.com/samsung-galaxy-note-7-recall-a-case-study-in-product-safety-and-crisis-management/</w:t>
                </w:r>
              </w:hyperlink>
              <w:r>
                <w:rPr>
                  <w:rFonts w:cs="Times New Roman"/>
                  <w:kern w:val="0"/>
                </w:rPr>
                <w:t xml:space="preserve"> [Accessed 8 Oct. 2025].</w:t>
              </w:r>
            </w:p>
            <w:p w:rsidR="0065674B" w:rsidRDefault="0065674B" w:rsidP="0065674B">
              <w:pPr>
                <w:widowControl w:val="0"/>
                <w:autoSpaceDE w:val="0"/>
                <w:autoSpaceDN w:val="0"/>
                <w:adjustRightInd w:val="0"/>
                <w:spacing w:after="240"/>
                <w:rPr>
                  <w:rFonts w:cs="Times New Roman"/>
                  <w:kern w:val="0"/>
                </w:rPr>
              </w:pPr>
              <w:r>
                <w:rPr>
                  <w:rFonts w:cs="Times New Roman"/>
                  <w:kern w:val="0"/>
                </w:rPr>
                <w:lastRenderedPageBreak/>
                <w:t xml:space="preserve">Raithel, S., Hock, S.J. and Mafael, A. (2023). Product recall effectiveness and consumers’ participation in corrective actions. </w:t>
              </w:r>
              <w:r>
                <w:rPr>
                  <w:rFonts w:cs="Times New Roman"/>
                  <w:i/>
                  <w:iCs/>
                  <w:kern w:val="0"/>
                </w:rPr>
                <w:t>Journal of the Academy of Marketing Science</w:t>
              </w:r>
              <w:r>
                <w:rPr>
                  <w:rFonts w:cs="Times New Roman"/>
                  <w:kern w:val="0"/>
                </w:rPr>
                <w:t>, [online] 52, pp.716–735. doi:</w:t>
              </w:r>
              <w:hyperlink r:id="rId54" w:history="1">
                <w:r>
                  <w:rPr>
                    <w:rFonts w:cs="Times New Roman"/>
                    <w:kern w:val="0"/>
                  </w:rPr>
                  <w:t>https://doi.org/10.1007/s11747-023-00967-x</w:t>
                </w:r>
              </w:hyperlink>
              <w:r>
                <w:rPr>
                  <w:rFonts w:cs="Times New Roman"/>
                  <w:kern w:val="0"/>
                </w:rPr>
                <w:t>.</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Samsung (2016). </w:t>
              </w:r>
              <w:r>
                <w:rPr>
                  <w:rFonts w:cs="Times New Roman"/>
                  <w:i/>
                  <w:iCs/>
                  <w:kern w:val="0"/>
                </w:rPr>
                <w:t>Galaxy Note7 Safety Recall and Exchange Program</w:t>
              </w:r>
              <w:r>
                <w:rPr>
                  <w:rFonts w:cs="Times New Roman"/>
                  <w:kern w:val="0"/>
                </w:rPr>
                <w:t xml:space="preserve">. [online] Samsung Electronics America. Available at: </w:t>
              </w:r>
              <w:hyperlink r:id="rId55" w:history="1">
                <w:r>
                  <w:rPr>
                    <w:rFonts w:cs="Times New Roman"/>
                    <w:kern w:val="0"/>
                  </w:rPr>
                  <w:t>https://pages.samsung.com/us/note7/recall/index.jsp?</w:t>
                </w:r>
              </w:hyperlink>
              <w:r>
                <w:rPr>
                  <w:rFonts w:cs="Times New Roman"/>
                  <w:kern w:val="0"/>
                </w:rPr>
                <w:t xml:space="preserve"> [Accessed 8 Oct. 2025].</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Schonberger, R. (2014). Quality Management and Lean: A Symbiotic Relationship. </w:t>
              </w:r>
              <w:r>
                <w:rPr>
                  <w:rFonts w:cs="Times New Roman"/>
                  <w:i/>
                  <w:iCs/>
                  <w:kern w:val="0"/>
                </w:rPr>
                <w:t>Quality Management Journal</w:t>
              </w:r>
              <w:r>
                <w:rPr>
                  <w:rFonts w:cs="Times New Roman"/>
                  <w:kern w:val="0"/>
                </w:rPr>
                <w:t>, 21(3), pp.6–10. doi:</w:t>
              </w:r>
              <w:hyperlink r:id="rId56" w:history="1">
                <w:r>
                  <w:rPr>
                    <w:rFonts w:cs="Times New Roman"/>
                    <w:kern w:val="0"/>
                  </w:rPr>
                  <w:t>https://doi.org/10.1080/10686967.2014.11918392</w:t>
                </w:r>
              </w:hyperlink>
              <w:r>
                <w:rPr>
                  <w:rFonts w:cs="Times New Roman"/>
                  <w:kern w:val="0"/>
                </w:rPr>
                <w:t>.</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State of Queensland (2021). </w:t>
              </w:r>
              <w:r>
                <w:rPr>
                  <w:rFonts w:cs="Times New Roman"/>
                  <w:i/>
                  <w:iCs/>
                  <w:kern w:val="0"/>
                </w:rPr>
                <w:t>Investment Logic Mapping Guide Business Case Development Framework FURTHER GUIDANCE</w:t>
              </w:r>
              <w:r>
                <w:rPr>
                  <w:rFonts w:cs="Times New Roman"/>
                  <w:kern w:val="0"/>
                </w:rPr>
                <w:t xml:space="preserve">. [online] William Street, Brisbane: www. statedevelopment.qld.gov.au . Available at: </w:t>
              </w:r>
              <w:hyperlink r:id="rId57" w:history="1">
                <w:r>
                  <w:rPr>
                    <w:rFonts w:cs="Times New Roman"/>
                    <w:kern w:val="0"/>
                  </w:rPr>
                  <w:t>https://www.statedevelopment.qld.gov.au/__data/assets/pdf_file/0019/55027/further-guidance-01-investment-logic-mapping-guide.pdf</w:t>
                </w:r>
              </w:hyperlink>
              <w:r>
                <w:rPr>
                  <w:rFonts w:cs="Times New Roman"/>
                  <w:kern w:val="0"/>
                </w:rPr>
                <w:t xml:space="preserve"> [Accessed 8 Oct. 2025].</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Strategic RISK (2016). </w:t>
              </w:r>
              <w:r>
                <w:rPr>
                  <w:rFonts w:cs="Times New Roman"/>
                  <w:i/>
                  <w:iCs/>
                  <w:kern w:val="0"/>
                </w:rPr>
                <w:t>How the Galaxy Note 7 recall could improve Samsung’s reputation</w:t>
              </w:r>
              <w:r>
                <w:rPr>
                  <w:rFonts w:cs="Times New Roman"/>
                  <w:kern w:val="0"/>
                </w:rPr>
                <w:t xml:space="preserve">. [online] StrategicRISK Global. Available at: </w:t>
              </w:r>
              <w:hyperlink r:id="rId58" w:history="1">
                <w:r>
                  <w:rPr>
                    <w:rFonts w:cs="Times New Roman"/>
                    <w:kern w:val="0"/>
                  </w:rPr>
                  <w:t>https://www.strategic-risk-global.com/catastrophe-risk/how-the-galaxy-note-7-recall-could-improve-samsungs-reputation/1420248.article?</w:t>
                </w:r>
              </w:hyperlink>
              <w:r>
                <w:rPr>
                  <w:rFonts w:cs="Times New Roman"/>
                  <w:kern w:val="0"/>
                </w:rPr>
                <w:t xml:space="preserve"> [Accessed 8 Oct. 2025].</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Taylor, J. (2025). </w:t>
              </w:r>
              <w:r>
                <w:rPr>
                  <w:rFonts w:cs="Times New Roman"/>
                  <w:i/>
                  <w:iCs/>
                  <w:kern w:val="0"/>
                </w:rPr>
                <w:t>How Technology Can Reduce the Rise of Product Recalls - RTInsights</w:t>
              </w:r>
              <w:r>
                <w:rPr>
                  <w:rFonts w:cs="Times New Roman"/>
                  <w:kern w:val="0"/>
                </w:rPr>
                <w:t xml:space="preserve">. [online] RTInsights. Available at: </w:t>
              </w:r>
              <w:hyperlink r:id="rId59" w:history="1">
                <w:r>
                  <w:rPr>
                    <w:rFonts w:cs="Times New Roman"/>
                    <w:kern w:val="0"/>
                  </w:rPr>
                  <w:t>https://www.rtinsights.com/how-technology-can-reduce-the-rise-of-product-recalls/</w:t>
                </w:r>
              </w:hyperlink>
              <w:r>
                <w:rPr>
                  <w:rFonts w:cs="Times New Roman"/>
                  <w:kern w:val="0"/>
                </w:rPr>
                <w:t xml:space="preserve"> [Accessed 8 Oct. 2025].</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The National (2016). </w:t>
              </w:r>
              <w:r>
                <w:rPr>
                  <w:rFonts w:cs="Times New Roman"/>
                  <w:i/>
                  <w:iCs/>
                  <w:kern w:val="0"/>
                </w:rPr>
                <w:t>Samsung says Galaxy Note 7 recall will cost it $5.3 billion</w:t>
              </w:r>
              <w:r>
                <w:rPr>
                  <w:rFonts w:cs="Times New Roman"/>
                  <w:kern w:val="0"/>
                </w:rPr>
                <w:t xml:space="preserve">. [online] The National. Available at: </w:t>
              </w:r>
              <w:hyperlink r:id="rId60" w:history="1">
                <w:r>
                  <w:rPr>
                    <w:rFonts w:cs="Times New Roman"/>
                    <w:kern w:val="0"/>
                  </w:rPr>
                  <w:t>https://www.thenationalnews.com/business/samsung-says-galaxy-note-7-recall-will-cost-it-5-3-billion-1.160474</w:t>
                </w:r>
              </w:hyperlink>
              <w:r>
                <w:rPr>
                  <w:rFonts w:cs="Times New Roman"/>
                  <w:kern w:val="0"/>
                </w:rPr>
                <w:t xml:space="preserve"> [Accessed 8 Oct. 2025].</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Wang, X., Fu, J., Tian, Y. and Chen, H. (2025). Does food recall strategy have a positive or negative effect on trust repair? Moderation analysis based on trust violation types and trust disposition. </w:t>
              </w:r>
              <w:r>
                <w:rPr>
                  <w:rFonts w:cs="Times New Roman"/>
                  <w:i/>
                  <w:iCs/>
                  <w:kern w:val="0"/>
                </w:rPr>
                <w:t>China Economic Review</w:t>
              </w:r>
              <w:r>
                <w:rPr>
                  <w:rFonts w:cs="Times New Roman"/>
                  <w:kern w:val="0"/>
                </w:rPr>
                <w:t>, 94, p.102512. doi:</w:t>
              </w:r>
              <w:hyperlink r:id="rId61" w:history="1">
                <w:r>
                  <w:rPr>
                    <w:rFonts w:cs="Times New Roman"/>
                    <w:kern w:val="0"/>
                  </w:rPr>
                  <w:t>https://doi.org/10.1016/j.chieco.2025.102512</w:t>
                </w:r>
              </w:hyperlink>
              <w:r>
                <w:rPr>
                  <w:rFonts w:cs="Times New Roman"/>
                  <w:kern w:val="0"/>
                </w:rPr>
                <w:t>.</w:t>
              </w:r>
            </w:p>
            <w:p w:rsidR="0065674B" w:rsidRDefault="0065674B" w:rsidP="0065674B">
              <w:pPr>
                <w:widowControl w:val="0"/>
                <w:autoSpaceDE w:val="0"/>
                <w:autoSpaceDN w:val="0"/>
                <w:adjustRightInd w:val="0"/>
                <w:spacing w:after="240"/>
                <w:rPr>
                  <w:rFonts w:cs="Times New Roman"/>
                  <w:kern w:val="0"/>
                </w:rPr>
              </w:pPr>
              <w:r>
                <w:rPr>
                  <w:rFonts w:cs="Times New Roman"/>
                  <w:kern w:val="0"/>
                </w:rPr>
                <w:lastRenderedPageBreak/>
                <w:t xml:space="preserve">Yang, Z., Freling, T., Sun, S. and Richardson-Greenfield, P. (2022). When do product crises hurt business? A meta-analytic investigation of negative publicity on consumer responses. </w:t>
              </w:r>
              <w:r>
                <w:rPr>
                  <w:rFonts w:cs="Times New Roman"/>
                  <w:i/>
                  <w:iCs/>
                  <w:kern w:val="0"/>
                </w:rPr>
                <w:t>Journal of Business Research</w:t>
              </w:r>
              <w:r>
                <w:rPr>
                  <w:rFonts w:cs="Times New Roman"/>
                  <w:kern w:val="0"/>
                </w:rPr>
                <w:t>, 150, pp.102–120. doi:</w:t>
              </w:r>
              <w:hyperlink r:id="rId62" w:history="1">
                <w:r>
                  <w:rPr>
                    <w:rFonts w:cs="Times New Roman"/>
                    <w:kern w:val="0"/>
                  </w:rPr>
                  <w:t>https://doi.org/10.1016/j.jbusres.2022.05.022</w:t>
                </w:r>
              </w:hyperlink>
              <w:r>
                <w:rPr>
                  <w:rFonts w:cs="Times New Roman"/>
                  <w:kern w:val="0"/>
                </w:rPr>
                <w:t>.</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Zheng, B., Bi, G., Liu, H. and Lowry, P.B. (2020). Corporate crisis management on social media: A morality violations perspective. </w:t>
              </w:r>
              <w:r>
                <w:rPr>
                  <w:rFonts w:cs="Times New Roman"/>
                  <w:i/>
                  <w:iCs/>
                  <w:kern w:val="0"/>
                </w:rPr>
                <w:t>Heliyon</w:t>
              </w:r>
              <w:r>
                <w:rPr>
                  <w:rFonts w:cs="Times New Roman"/>
                  <w:kern w:val="0"/>
                </w:rPr>
                <w:t>, 6(7), p.e04435. doi:</w:t>
              </w:r>
              <w:hyperlink r:id="rId63" w:history="1">
                <w:r>
                  <w:rPr>
                    <w:rFonts w:cs="Times New Roman"/>
                    <w:kern w:val="0"/>
                  </w:rPr>
                  <w:t>https://doi.org/10.1016/j.heliyon.2020.e04435</w:t>
                </w:r>
              </w:hyperlink>
              <w:r>
                <w:rPr>
                  <w:rFonts w:cs="Times New Roman"/>
                  <w:kern w:val="0"/>
                </w:rPr>
                <w:t>.</w:t>
              </w:r>
            </w:p>
            <w:p w:rsidR="0065674B" w:rsidRDefault="0065674B" w:rsidP="0065674B">
              <w:pPr>
                <w:widowControl w:val="0"/>
                <w:autoSpaceDE w:val="0"/>
                <w:autoSpaceDN w:val="0"/>
                <w:adjustRightInd w:val="0"/>
                <w:spacing w:after="240"/>
                <w:rPr>
                  <w:rFonts w:cs="Times New Roman"/>
                  <w:kern w:val="0"/>
                </w:rPr>
              </w:pPr>
              <w:r>
                <w:rPr>
                  <w:rFonts w:cs="Times New Roman"/>
                  <w:kern w:val="0"/>
                </w:rPr>
                <w:t xml:space="preserve">Zhou, Z., Zhang, X. and Ki, E.-J. (2022). Crisis response strategy manipulation: A systematic review and a test of nuances. </w:t>
              </w:r>
              <w:r>
                <w:rPr>
                  <w:rFonts w:cs="Times New Roman"/>
                  <w:i/>
                  <w:iCs/>
                  <w:kern w:val="0"/>
                </w:rPr>
                <w:t>Public Relations Review</w:t>
              </w:r>
              <w:r>
                <w:rPr>
                  <w:rFonts w:cs="Times New Roman"/>
                  <w:kern w:val="0"/>
                </w:rPr>
                <w:t>, 48(3), p.102208. doi:</w:t>
              </w:r>
              <w:hyperlink r:id="rId64" w:history="1">
                <w:r>
                  <w:rPr>
                    <w:rFonts w:cs="Times New Roman"/>
                    <w:kern w:val="0"/>
                  </w:rPr>
                  <w:t>https://doi.org/10.1016/j.pubrev.2022.102208</w:t>
                </w:r>
              </w:hyperlink>
              <w:r>
                <w:rPr>
                  <w:rFonts w:cs="Times New Roman"/>
                  <w:kern w:val="0"/>
                </w:rPr>
                <w:t>.</w:t>
              </w:r>
            </w:p>
            <w:p w:rsidR="0065674B" w:rsidRPr="0065674B" w:rsidRDefault="0065674B" w:rsidP="0065674B">
              <w:pPr>
                <w:widowControl w:val="0"/>
                <w:autoSpaceDE w:val="0"/>
                <w:autoSpaceDN w:val="0"/>
                <w:adjustRightInd w:val="0"/>
                <w:spacing w:after="240"/>
                <w:rPr>
                  <w:rFonts w:cs="Times New Roman"/>
                  <w:kern w:val="0"/>
                </w:rPr>
              </w:pPr>
              <w:r>
                <w:rPr>
                  <w:rFonts w:cs="Times New Roman"/>
                  <w:kern w:val="0"/>
                </w:rPr>
                <w:t xml:space="preserve">Zou, F., Dong, Y., Song, S. and Manus Rungtusanatham (2023). Product Recalls and Supply Base Innovation. </w:t>
              </w:r>
              <w:r>
                <w:rPr>
                  <w:rFonts w:cs="Times New Roman"/>
                  <w:i/>
                  <w:iCs/>
                  <w:kern w:val="0"/>
                </w:rPr>
                <w:t>Manufacturing &amp; Service Operations Management</w:t>
              </w:r>
              <w:r>
                <w:rPr>
                  <w:rFonts w:cs="Times New Roman"/>
                  <w:kern w:val="0"/>
                </w:rPr>
                <w:t>, 25(5), pp.1931–1946. doi:</w:t>
              </w:r>
              <w:hyperlink r:id="rId65" w:history="1">
                <w:r>
                  <w:rPr>
                    <w:rFonts w:cs="Times New Roman"/>
                    <w:kern w:val="0"/>
                  </w:rPr>
                  <w:t>https://doi.org/10.1287/msom.2023.1213</w:t>
                </w:r>
              </w:hyperlink>
              <w:r>
                <w:rPr>
                  <w:rFonts w:cs="Times New Roman"/>
                  <w:kern w:val="0"/>
                </w:rPr>
                <w:t>.</w:t>
              </w:r>
            </w:p>
          </w:sdtContent>
        </w:sdt>
      </w:sdtContent>
    </w:sdt>
    <w:p w:rsidR="00A910E8" w:rsidRPr="00FC2944" w:rsidRDefault="00A910E8" w:rsidP="00FC2944"/>
    <w:p w:rsidR="00FC2944" w:rsidRDefault="00FC2944"/>
    <w:sectPr w:rsidR="00FC2944" w:rsidSect="004027E9">
      <w:footerReference w:type="default" r:id="rId66"/>
      <w:pgSz w:w="12240" w:h="15840"/>
      <w:pgMar w:top="1440" w:right="1440"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4758" w:rsidRDefault="00E94758" w:rsidP="005C7036">
      <w:pPr>
        <w:spacing w:before="0" w:after="0" w:line="240" w:lineRule="auto"/>
      </w:pPr>
      <w:r>
        <w:separator/>
      </w:r>
    </w:p>
  </w:endnote>
  <w:endnote w:type="continuationSeparator" w:id="1">
    <w:p w:rsidR="00E94758" w:rsidRDefault="00E94758" w:rsidP="005C703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Arial Unicode MS"/>
    <w:panose1 w:val="02030600000101010101"/>
    <w:charset w:val="81"/>
    <w:family w:val="auto"/>
    <w:notTrueType/>
    <w:pitch w:val="fixed"/>
    <w:sig w:usb0="00000000"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7366194"/>
      <w:docPartObj>
        <w:docPartGallery w:val="Page Numbers (Bottom of Page)"/>
        <w:docPartUnique/>
      </w:docPartObj>
    </w:sdtPr>
    <w:sdtEndPr>
      <w:rPr>
        <w:color w:val="7F7F7F" w:themeColor="background1" w:themeShade="7F"/>
        <w:spacing w:val="60"/>
      </w:rPr>
    </w:sdtEndPr>
    <w:sdtContent>
      <w:p w:rsidR="00702E8F" w:rsidRDefault="00C15837">
        <w:pPr>
          <w:pStyle w:val="Footer"/>
          <w:pBdr>
            <w:top w:val="single" w:sz="4" w:space="1" w:color="D9D9D9" w:themeColor="background1" w:themeShade="D9"/>
          </w:pBdr>
          <w:rPr>
            <w:b/>
            <w:bCs/>
          </w:rPr>
        </w:pPr>
        <w:r w:rsidRPr="00C15837">
          <w:fldChar w:fldCharType="begin"/>
        </w:r>
        <w:r w:rsidR="00702E8F">
          <w:instrText xml:space="preserve"> PAGE   \* MERGEFORMAT </w:instrText>
        </w:r>
        <w:r w:rsidRPr="00C15837">
          <w:fldChar w:fldCharType="separate"/>
        </w:r>
        <w:r w:rsidR="00FA2BF0" w:rsidRPr="00FA2BF0">
          <w:rPr>
            <w:b/>
            <w:bCs/>
            <w:noProof/>
          </w:rPr>
          <w:t>1</w:t>
        </w:r>
        <w:r>
          <w:rPr>
            <w:b/>
            <w:bCs/>
            <w:noProof/>
          </w:rPr>
          <w:fldChar w:fldCharType="end"/>
        </w:r>
        <w:r w:rsidR="00702E8F">
          <w:rPr>
            <w:b/>
            <w:bCs/>
          </w:rPr>
          <w:t xml:space="preserve"> | </w:t>
        </w:r>
        <w:r w:rsidR="00702E8F">
          <w:rPr>
            <w:color w:val="7F7F7F" w:themeColor="background1" w:themeShade="7F"/>
            <w:spacing w:val="60"/>
          </w:rPr>
          <w:t>Page</w:t>
        </w:r>
      </w:p>
    </w:sdtContent>
  </w:sdt>
  <w:p w:rsidR="00702E8F" w:rsidRDefault="00702E8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4758" w:rsidRDefault="00E94758" w:rsidP="005C7036">
      <w:pPr>
        <w:spacing w:before="0" w:after="0" w:line="240" w:lineRule="auto"/>
      </w:pPr>
      <w:r>
        <w:separator/>
      </w:r>
    </w:p>
  </w:footnote>
  <w:footnote w:type="continuationSeparator" w:id="1">
    <w:p w:rsidR="00E94758" w:rsidRDefault="00E94758" w:rsidP="005C7036">
      <w:pPr>
        <w:spacing w:before="0"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removePersonalInformation/>
  <w:removeDateAndTime/>
  <w:defaultTabStop w:val="720"/>
  <w:characterSpacingControl w:val="doNotCompress"/>
  <w:hdrShapeDefaults>
    <o:shapedefaults v:ext="edit" spidmax="5122"/>
  </w:hdrShapeDefaults>
  <w:footnotePr>
    <w:footnote w:id="0"/>
    <w:footnote w:id="1"/>
  </w:footnotePr>
  <w:endnotePr>
    <w:endnote w:id="0"/>
    <w:endnote w:id="1"/>
  </w:endnotePr>
  <w:compat/>
  <w:rsids>
    <w:rsidRoot w:val="00DB7BA1"/>
    <w:rsid w:val="000C5E88"/>
    <w:rsid w:val="000F5AE5"/>
    <w:rsid w:val="00173298"/>
    <w:rsid w:val="001A674B"/>
    <w:rsid w:val="00310A6F"/>
    <w:rsid w:val="003166D2"/>
    <w:rsid w:val="004027E9"/>
    <w:rsid w:val="004A7E73"/>
    <w:rsid w:val="00527A24"/>
    <w:rsid w:val="0055320A"/>
    <w:rsid w:val="005C7036"/>
    <w:rsid w:val="005E734C"/>
    <w:rsid w:val="00636CA0"/>
    <w:rsid w:val="0065674B"/>
    <w:rsid w:val="006931DF"/>
    <w:rsid w:val="00702E8F"/>
    <w:rsid w:val="00756BDA"/>
    <w:rsid w:val="007B615E"/>
    <w:rsid w:val="00880C8F"/>
    <w:rsid w:val="00891E6F"/>
    <w:rsid w:val="008C7246"/>
    <w:rsid w:val="009522ED"/>
    <w:rsid w:val="009E0A03"/>
    <w:rsid w:val="00A40585"/>
    <w:rsid w:val="00A740A1"/>
    <w:rsid w:val="00A910E8"/>
    <w:rsid w:val="00B27443"/>
    <w:rsid w:val="00C15837"/>
    <w:rsid w:val="00DB7BA1"/>
    <w:rsid w:val="00E75E9E"/>
    <w:rsid w:val="00E94758"/>
    <w:rsid w:val="00EE5217"/>
    <w:rsid w:val="00F46A3A"/>
    <w:rsid w:val="00FA2BF0"/>
    <w:rsid w:val="00FC294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40A1"/>
    <w:pPr>
      <w:spacing w:before="12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A740A1"/>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autoRedefine/>
    <w:uiPriority w:val="9"/>
    <w:semiHidden/>
    <w:unhideWhenUsed/>
    <w:qFormat/>
    <w:rsid w:val="00A740A1"/>
    <w:pPr>
      <w:keepNext/>
      <w:keepLines/>
      <w:spacing w:before="160" w:after="12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DB7BA1"/>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B7BA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B7BA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B7BA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B7BA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B7BA1"/>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B7BA1"/>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40A1"/>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semiHidden/>
    <w:rsid w:val="00A740A1"/>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DB7B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B7BA1"/>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DB7BA1"/>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DB7BA1"/>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DB7BA1"/>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DB7BA1"/>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DB7BA1"/>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DB7BA1"/>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7B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7BA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7B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7BA1"/>
    <w:pPr>
      <w:spacing w:before="160"/>
      <w:jc w:val="center"/>
    </w:pPr>
    <w:rPr>
      <w:i/>
      <w:iCs/>
      <w:color w:val="404040" w:themeColor="text1" w:themeTint="BF"/>
    </w:rPr>
  </w:style>
  <w:style w:type="character" w:customStyle="1" w:styleId="QuoteChar">
    <w:name w:val="Quote Char"/>
    <w:basedOn w:val="DefaultParagraphFont"/>
    <w:link w:val="Quote"/>
    <w:uiPriority w:val="29"/>
    <w:rsid w:val="00DB7BA1"/>
    <w:rPr>
      <w:rFonts w:ascii="Times New Roman" w:hAnsi="Times New Roman"/>
      <w:i/>
      <w:iCs/>
      <w:color w:val="404040" w:themeColor="text1" w:themeTint="BF"/>
      <w:sz w:val="24"/>
    </w:rPr>
  </w:style>
  <w:style w:type="paragraph" w:styleId="ListParagraph">
    <w:name w:val="List Paragraph"/>
    <w:basedOn w:val="Normal"/>
    <w:uiPriority w:val="34"/>
    <w:qFormat/>
    <w:rsid w:val="00DB7BA1"/>
    <w:pPr>
      <w:ind w:left="720"/>
      <w:contextualSpacing/>
    </w:pPr>
  </w:style>
  <w:style w:type="character" w:styleId="IntenseEmphasis">
    <w:name w:val="Intense Emphasis"/>
    <w:basedOn w:val="DefaultParagraphFont"/>
    <w:uiPriority w:val="21"/>
    <w:qFormat/>
    <w:rsid w:val="00DB7BA1"/>
    <w:rPr>
      <w:i/>
      <w:iCs/>
      <w:color w:val="2F5496" w:themeColor="accent1" w:themeShade="BF"/>
    </w:rPr>
  </w:style>
  <w:style w:type="paragraph" w:styleId="IntenseQuote">
    <w:name w:val="Intense Quote"/>
    <w:basedOn w:val="Normal"/>
    <w:next w:val="Normal"/>
    <w:link w:val="IntenseQuoteChar"/>
    <w:uiPriority w:val="30"/>
    <w:qFormat/>
    <w:rsid w:val="00DB7BA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B7BA1"/>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DB7BA1"/>
    <w:rPr>
      <w:b/>
      <w:bCs/>
      <w:smallCaps/>
      <w:color w:val="2F5496" w:themeColor="accent1" w:themeShade="BF"/>
      <w:spacing w:val="5"/>
    </w:rPr>
  </w:style>
  <w:style w:type="paragraph" w:styleId="Caption">
    <w:name w:val="caption"/>
    <w:basedOn w:val="Normal"/>
    <w:next w:val="Normal"/>
    <w:uiPriority w:val="35"/>
    <w:unhideWhenUsed/>
    <w:qFormat/>
    <w:rsid w:val="003166D2"/>
    <w:pPr>
      <w:spacing w:before="0" w:after="200" w:line="240" w:lineRule="auto"/>
    </w:pPr>
    <w:rPr>
      <w:i/>
      <w:iCs/>
      <w:color w:val="44546A" w:themeColor="text2"/>
      <w:sz w:val="18"/>
      <w:szCs w:val="18"/>
    </w:rPr>
  </w:style>
  <w:style w:type="table" w:styleId="TableGrid">
    <w:name w:val="Table Grid"/>
    <w:basedOn w:val="TableNormal"/>
    <w:uiPriority w:val="39"/>
    <w:rsid w:val="0095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1Light">
    <w:name w:val="Grid Table 1 Light"/>
    <w:basedOn w:val="TableNormal"/>
    <w:uiPriority w:val="46"/>
    <w:rsid w:val="009522ED"/>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7B615E"/>
    <w:pPr>
      <w:spacing w:line="259" w:lineRule="auto"/>
      <w:jc w:val="left"/>
      <w:outlineLvl w:val="9"/>
    </w:pPr>
    <w:rPr>
      <w:rFonts w:asciiTheme="majorHAnsi" w:hAnsiTheme="majorHAnsi"/>
      <w:b w:val="0"/>
      <w:kern w:val="0"/>
      <w:sz w:val="32"/>
    </w:rPr>
  </w:style>
  <w:style w:type="paragraph" w:styleId="TOC1">
    <w:name w:val="toc 1"/>
    <w:basedOn w:val="Normal"/>
    <w:next w:val="Normal"/>
    <w:autoRedefine/>
    <w:uiPriority w:val="39"/>
    <w:unhideWhenUsed/>
    <w:rsid w:val="007B615E"/>
    <w:pPr>
      <w:spacing w:after="100"/>
    </w:pPr>
  </w:style>
  <w:style w:type="character" w:styleId="Hyperlink">
    <w:name w:val="Hyperlink"/>
    <w:basedOn w:val="DefaultParagraphFont"/>
    <w:uiPriority w:val="99"/>
    <w:unhideWhenUsed/>
    <w:rsid w:val="007B615E"/>
    <w:rPr>
      <w:color w:val="0563C1" w:themeColor="hyperlink"/>
      <w:u w:val="single"/>
    </w:rPr>
  </w:style>
  <w:style w:type="paragraph" w:styleId="TableofFigures">
    <w:name w:val="table of figures"/>
    <w:basedOn w:val="Normal"/>
    <w:next w:val="Normal"/>
    <w:uiPriority w:val="99"/>
    <w:unhideWhenUsed/>
    <w:rsid w:val="007B615E"/>
    <w:pPr>
      <w:spacing w:after="0"/>
    </w:pPr>
  </w:style>
  <w:style w:type="paragraph" w:styleId="NoSpacing">
    <w:name w:val="No Spacing"/>
    <w:link w:val="NoSpacingChar"/>
    <w:uiPriority w:val="1"/>
    <w:qFormat/>
    <w:rsid w:val="004027E9"/>
    <w:pPr>
      <w:spacing w:after="0" w:line="240" w:lineRule="auto"/>
    </w:pPr>
    <w:rPr>
      <w:rFonts w:eastAsiaTheme="minorEastAsia"/>
      <w:kern w:val="0"/>
    </w:rPr>
  </w:style>
  <w:style w:type="character" w:customStyle="1" w:styleId="NoSpacingChar">
    <w:name w:val="No Spacing Char"/>
    <w:basedOn w:val="DefaultParagraphFont"/>
    <w:link w:val="NoSpacing"/>
    <w:uiPriority w:val="1"/>
    <w:rsid w:val="004027E9"/>
    <w:rPr>
      <w:rFonts w:eastAsiaTheme="minorEastAsia"/>
      <w:kern w:val="0"/>
    </w:rPr>
  </w:style>
  <w:style w:type="paragraph" w:styleId="Header">
    <w:name w:val="header"/>
    <w:basedOn w:val="Normal"/>
    <w:link w:val="HeaderChar"/>
    <w:uiPriority w:val="99"/>
    <w:unhideWhenUsed/>
    <w:rsid w:val="005C703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C7036"/>
    <w:rPr>
      <w:rFonts w:ascii="Times New Roman" w:hAnsi="Times New Roman"/>
      <w:sz w:val="24"/>
    </w:rPr>
  </w:style>
  <w:style w:type="paragraph" w:styleId="Footer">
    <w:name w:val="footer"/>
    <w:basedOn w:val="Normal"/>
    <w:link w:val="FooterChar"/>
    <w:uiPriority w:val="99"/>
    <w:unhideWhenUsed/>
    <w:rsid w:val="005C703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C7036"/>
    <w:rPr>
      <w:rFonts w:ascii="Times New Roman" w:hAnsi="Times New Roman"/>
      <w:sz w:val="24"/>
    </w:rPr>
  </w:style>
  <w:style w:type="paragraph" w:styleId="BalloonText">
    <w:name w:val="Balloon Text"/>
    <w:basedOn w:val="Normal"/>
    <w:link w:val="BalloonTextChar"/>
    <w:uiPriority w:val="99"/>
    <w:semiHidden/>
    <w:unhideWhenUsed/>
    <w:rsid w:val="00FA2BF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2BF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982573">
      <w:bodyDiv w:val="1"/>
      <w:marLeft w:val="0"/>
      <w:marRight w:val="0"/>
      <w:marTop w:val="0"/>
      <w:marBottom w:val="0"/>
      <w:divBdr>
        <w:top w:val="none" w:sz="0" w:space="0" w:color="auto"/>
        <w:left w:val="none" w:sz="0" w:space="0" w:color="auto"/>
        <w:bottom w:val="none" w:sz="0" w:space="0" w:color="auto"/>
        <w:right w:val="none" w:sz="0" w:space="0" w:color="auto"/>
      </w:divBdr>
    </w:div>
    <w:div w:id="109224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2.xml"/><Relationship Id="rId18" Type="http://schemas.openxmlformats.org/officeDocument/2006/relationships/diagramColors" Target="diagrams/colors3.xml"/><Relationship Id="rId26" Type="http://schemas.openxmlformats.org/officeDocument/2006/relationships/diagramColors" Target="diagrams/colors5.xml"/><Relationship Id="rId39" Type="http://schemas.openxmlformats.org/officeDocument/2006/relationships/hyperlink" Target="https://doi.org/10.3389/fams.2021.632847" TargetMode="External"/><Relationship Id="rId21" Type="http://schemas.openxmlformats.org/officeDocument/2006/relationships/diagramQuickStyle" Target="diagrams/quickStyle4.xml"/><Relationship Id="rId34" Type="http://schemas.openxmlformats.org/officeDocument/2006/relationships/hyperlink" Target="https://doi.org/10.1016/j.rser.2021.111240" TargetMode="External"/><Relationship Id="rId42" Type="http://schemas.openxmlformats.org/officeDocument/2006/relationships/hyperlink" Target="https://doi.org/10.1016/j.ijdrr.2025.105487" TargetMode="External"/><Relationship Id="rId47" Type="http://schemas.openxmlformats.org/officeDocument/2006/relationships/hyperlink" Target="https://doi.org/10.1016/j.jbusres.2021.08.047" TargetMode="External"/><Relationship Id="rId50" Type="http://schemas.openxmlformats.org/officeDocument/2006/relationships/hyperlink" Target="https://www.wired.com/2016/09/samsungs-recalling-millions-note-7-phones-battery-fires/" TargetMode="External"/><Relationship Id="rId55" Type="http://schemas.openxmlformats.org/officeDocument/2006/relationships/hyperlink" Target="https://pages.samsung.com/us/note7/recall/index.jsp?" TargetMode="External"/><Relationship Id="rId63" Type="http://schemas.openxmlformats.org/officeDocument/2006/relationships/hyperlink" Target="https://doi.org/10.1016/j.heliyon.2020.e04435" TargetMode="External"/><Relationship Id="rId68" Type="http://schemas.openxmlformats.org/officeDocument/2006/relationships/theme" Target="theme/theme1.xml"/><Relationship Id="rId7" Type="http://schemas.openxmlformats.org/officeDocument/2006/relationships/diagramData" Target="diagrams/data1.xml"/><Relationship Id="rId71" Type="http://schemas.microsoft.com/office/2007/relationships/diagramDrawing" Target="diagrams/drawing2.xml"/><Relationship Id="rId2" Type="http://schemas.openxmlformats.org/officeDocument/2006/relationships/settings" Target="settings.xml"/><Relationship Id="rId16" Type="http://schemas.openxmlformats.org/officeDocument/2006/relationships/diagramLayout" Target="diagrams/layout3.xml"/><Relationship Id="rId29" Type="http://schemas.openxmlformats.org/officeDocument/2006/relationships/hyperlink" Target="https://assets.aon.com/-/media/files/aon/reports/2023/2023-emerging-trends-in-product-recall-and-product-contamination-insurance_aon.pdf" TargetMode="External"/><Relationship Id="rId11" Type="http://schemas.openxmlformats.org/officeDocument/2006/relationships/diagramData" Target="diagrams/data2.xml"/><Relationship Id="rId24" Type="http://schemas.openxmlformats.org/officeDocument/2006/relationships/diagramLayout" Target="diagrams/layout5.xml"/><Relationship Id="rId32" Type="http://schemas.openxmlformats.org/officeDocument/2006/relationships/hyperlink" Target="https://doi.org/10.22306/al.v9i4.345" TargetMode="External"/><Relationship Id="rId37" Type="http://schemas.openxmlformats.org/officeDocument/2006/relationships/hyperlink" Target="https://hbr.org/2016/10/why-samsungs-note-7-crisis-wont-hurt-its-brand-long-term?" TargetMode="External"/><Relationship Id="rId40" Type="http://schemas.openxmlformats.org/officeDocument/2006/relationships/hyperlink" Target="https://www.spartasystems.com/resources/the-rising-cost-of-product-recalls-why-prevention-matters/" TargetMode="External"/><Relationship Id="rId45" Type="http://schemas.openxmlformats.org/officeDocument/2006/relationships/hyperlink" Target="https://www.projectmanager.com/blog/total-quality-management" TargetMode="External"/><Relationship Id="rId53" Type="http://schemas.openxmlformats.org/officeDocument/2006/relationships/hyperlink" Target="https://novarkservices.com/samsung-galaxy-note-7-recall-a-case-study-in-product-safety-and-crisis-management/" TargetMode="External"/><Relationship Id="rId58" Type="http://schemas.openxmlformats.org/officeDocument/2006/relationships/hyperlink" Target="https://www.strategic-risk-global.com/catastrophe-risk/how-the-galaxy-note-7-recall-could-improve-samsungs-reputation/1420248.article?" TargetMode="External"/><Relationship Id="rId66"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diagramData" Target="diagrams/data3.xml"/><Relationship Id="rId23" Type="http://schemas.openxmlformats.org/officeDocument/2006/relationships/diagramData" Target="diagrams/data5.xml"/><Relationship Id="rId28" Type="http://schemas.openxmlformats.org/officeDocument/2006/relationships/hyperlink" Target="https://changemanagementinsight.com/samsung-crisis-management-case-study/" TargetMode="External"/><Relationship Id="rId36" Type="http://schemas.openxmlformats.org/officeDocument/2006/relationships/hyperlink" Target="https://insuranceinc.com/our-blog/understanding-product-recall-insurance-what-it-is-and-why-you-might-need-it/" TargetMode="External"/><Relationship Id="rId49" Type="http://schemas.openxmlformats.org/officeDocument/2006/relationships/hyperlink" Target="https://www.forthepeople.com/blog/us-product-recalls-hit-four-year-high-first-quarter-2023/" TargetMode="External"/><Relationship Id="rId57" Type="http://schemas.openxmlformats.org/officeDocument/2006/relationships/hyperlink" Target="https://www.statedevelopment.qld.gov.au/__data/assets/pdf_file/0019/55027/further-guidance-01-investment-logic-mapping-guide.pdf" TargetMode="External"/><Relationship Id="rId61" Type="http://schemas.openxmlformats.org/officeDocument/2006/relationships/hyperlink" Target="https://doi.org/10.1016/j.chieco.2025.102512" TargetMode="External"/><Relationship Id="rId10" Type="http://schemas.openxmlformats.org/officeDocument/2006/relationships/diagramColors" Target="diagrams/colors1.xml"/><Relationship Id="rId19" Type="http://schemas.openxmlformats.org/officeDocument/2006/relationships/diagramData" Target="diagrams/data4.xml"/><Relationship Id="rId31" Type="http://schemas.openxmlformats.org/officeDocument/2006/relationships/hyperlink" Target="https://www.bbc.com/news/business-38714461" TargetMode="External"/><Relationship Id="rId44" Type="http://schemas.openxmlformats.org/officeDocument/2006/relationships/hyperlink" Target="https://doi.org/10.25236/far.2023.051101" TargetMode="External"/><Relationship Id="rId52" Type="http://schemas.openxmlformats.org/officeDocument/2006/relationships/hyperlink" Target="https://www.arabnews.com/node/997936/amp" TargetMode="External"/><Relationship Id="rId60" Type="http://schemas.openxmlformats.org/officeDocument/2006/relationships/hyperlink" Target="https://www.thenationalnews.com/business/samsung-says-galaxy-note-7-recall-will-cost-it-5-3-billion-1.160474" TargetMode="External"/><Relationship Id="rId65" Type="http://schemas.openxmlformats.org/officeDocument/2006/relationships/hyperlink" Target="https://doi.org/10.1287/msom.2023.1213" TargetMode="External"/><Relationship Id="rId73" Type="http://schemas.microsoft.com/office/2007/relationships/diagramDrawing" Target="diagrams/drawing5.xml"/><Relationship Id="rId4" Type="http://schemas.openxmlformats.org/officeDocument/2006/relationships/footnotes" Target="footnotes.xml"/><Relationship Id="rId9" Type="http://schemas.openxmlformats.org/officeDocument/2006/relationships/diagramQuickStyle" Target="diagrams/quickStyle1.xml"/><Relationship Id="rId14" Type="http://schemas.openxmlformats.org/officeDocument/2006/relationships/diagramColors" Target="diagrams/colors2.xml"/><Relationship Id="rId22" Type="http://schemas.openxmlformats.org/officeDocument/2006/relationships/diagramColors" Target="diagrams/colors4.xml"/><Relationship Id="rId27" Type="http://schemas.openxmlformats.org/officeDocument/2006/relationships/hyperlink" Target="https://www.6sigmastudy.com/article?title=Jurans-Quality-Trilogy" TargetMode="External"/><Relationship Id="rId30" Type="http://schemas.openxmlformats.org/officeDocument/2006/relationships/hyperlink" Target="https://doi.org/10.29121/granthaalayah.v9.i4.2021.3858" TargetMode="External"/><Relationship Id="rId35" Type="http://schemas.openxmlformats.org/officeDocument/2006/relationships/hyperlink" Target="https://www.crcgroup.com/Tools-and-Intel/post/product-recall-claim-trends" TargetMode="External"/><Relationship Id="rId43" Type="http://schemas.openxmlformats.org/officeDocument/2006/relationships/hyperlink" Target="https://doi.org/10.1080/23311975.2025.2543515" TargetMode="External"/><Relationship Id="rId48" Type="http://schemas.openxmlformats.org/officeDocument/2006/relationships/hyperlink" Target="https://doi.org/10.3390/batteries4010003" TargetMode="External"/><Relationship Id="rId56" Type="http://schemas.openxmlformats.org/officeDocument/2006/relationships/hyperlink" Target="https://doi.org/10.1080/10686967.2014.11918392" TargetMode="External"/><Relationship Id="rId64" Type="http://schemas.openxmlformats.org/officeDocument/2006/relationships/hyperlink" Target="https://doi.org/10.1016/j.pubrev.2022.102208" TargetMode="External"/><Relationship Id="rId69" Type="http://schemas.microsoft.com/office/2007/relationships/diagramDrawing" Target="diagrams/drawing4.xml"/><Relationship Id="rId8" Type="http://schemas.openxmlformats.org/officeDocument/2006/relationships/diagramLayout" Target="diagrams/layout1.xml"/><Relationship Id="rId51" Type="http://schemas.openxmlformats.org/officeDocument/2006/relationships/hyperlink" Target="https://doi.org/10.1016/j.ejor.2022.08.012" TargetMode="External"/><Relationship Id="rId72" Type="http://schemas.microsoft.com/office/2007/relationships/diagramDrawing" Target="diagrams/drawing1.xml"/><Relationship Id="rId3" Type="http://schemas.openxmlformats.org/officeDocument/2006/relationships/webSettings" Target="webSettings.xml"/><Relationship Id="rId12" Type="http://schemas.openxmlformats.org/officeDocument/2006/relationships/diagramLayout" Target="diagrams/layout2.xml"/><Relationship Id="rId17" Type="http://schemas.openxmlformats.org/officeDocument/2006/relationships/diagramQuickStyle" Target="diagrams/quickStyle3.xml"/><Relationship Id="rId25" Type="http://schemas.openxmlformats.org/officeDocument/2006/relationships/diagramQuickStyle" Target="diagrams/quickStyle5.xml"/><Relationship Id="rId33" Type="http://schemas.openxmlformats.org/officeDocument/2006/relationships/hyperlink" Target="https://www.linkedin.com/pulse/unveiling-hidden-costs-quality-manufacturing-aaron-broussard-ii1rc" TargetMode="External"/><Relationship Id="rId38" Type="http://schemas.openxmlformats.org/officeDocument/2006/relationships/hyperlink" Target="https://doi.org/10.1109/access.2021.3121733" TargetMode="External"/><Relationship Id="rId46" Type="http://schemas.openxmlformats.org/officeDocument/2006/relationships/hyperlink" Target="https://hbsp.harvard.edu/product/W17665-PDF-ENG" TargetMode="External"/><Relationship Id="rId59" Type="http://schemas.openxmlformats.org/officeDocument/2006/relationships/hyperlink" Target="https://www.rtinsights.com/how-technology-can-reduce-the-rise-of-product-recalls/" TargetMode="External"/><Relationship Id="rId67" Type="http://schemas.openxmlformats.org/officeDocument/2006/relationships/fontTable" Target="fontTable.xml"/><Relationship Id="rId20" Type="http://schemas.openxmlformats.org/officeDocument/2006/relationships/diagramLayout" Target="diagrams/layout4.xml"/><Relationship Id="rId41" Type="http://schemas.openxmlformats.org/officeDocument/2006/relationships/hyperlink" Target="https://www.dbpia.co.kr/Journal/articleDetail?nodeId=NODE11334756" TargetMode="External"/><Relationship Id="rId54" Type="http://schemas.openxmlformats.org/officeDocument/2006/relationships/hyperlink" Target="https://doi.org/10.1007/s11747-023-00967-x" TargetMode="External"/><Relationship Id="rId62" Type="http://schemas.openxmlformats.org/officeDocument/2006/relationships/hyperlink" Target="https://doi.org/10.1016/j.jbusres.2022.05.022" TargetMode="External"/><Relationship Id="rId70" Type="http://schemas.microsoft.com/office/2007/relationships/diagramDrawing" Target="diagrams/drawing3.xml"/><Relationship Id="rId1" Type="http://schemas.openxmlformats.org/officeDocument/2006/relationships/styles" Target="styles.xml"/><Relationship Id="rId6"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3">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FD9919B-53D9-40E5-941F-3B4492177CE5}" type="doc">
      <dgm:prSet loTypeId="urn:microsoft.com/office/officeart/2005/8/layout/default#1" loCatId="list" qsTypeId="urn:microsoft.com/office/officeart/2005/8/quickstyle/simple1" qsCatId="simple" csTypeId="urn:microsoft.com/office/officeart/2005/8/colors/colorful1#1" csCatId="colorful" phldr="1"/>
      <dgm:spPr/>
      <dgm:t>
        <a:bodyPr/>
        <a:lstStyle/>
        <a:p>
          <a:endParaRPr lang="en-US"/>
        </a:p>
      </dgm:t>
    </dgm:pt>
    <dgm:pt modelId="{7F604323-1C29-433F-8873-2E242DDF1CDD}">
      <dgm:prSet phldrT="[Text]" custT="1"/>
      <dgm:spPr/>
      <dgm:t>
        <a:bodyPr/>
        <a:lstStyle/>
        <a:p>
          <a:pPr algn="ctr"/>
          <a:r>
            <a:rPr lang="en-US" sz="1100">
              <a:latin typeface="Times New Roman" panose="02020603050405020304" pitchFamily="18" charset="0"/>
              <a:cs typeface="Times New Roman" panose="02020603050405020304" pitchFamily="18" charset="0"/>
            </a:rPr>
            <a:t>Q3 2016 Impact (Initial Recall): 2.6 USD Billion</a:t>
          </a:r>
        </a:p>
      </dgm:t>
    </dgm:pt>
    <dgm:pt modelId="{7EFD0BD9-E346-4F31-BC28-DBE68DA9B623}" type="parTrans" cxnId="{349195BB-C845-48DB-B45F-8DE13610C6DB}">
      <dgm:prSet/>
      <dgm:spPr/>
      <dgm:t>
        <a:bodyPr/>
        <a:lstStyle/>
        <a:p>
          <a:endParaRPr lang="en-US"/>
        </a:p>
      </dgm:t>
    </dgm:pt>
    <dgm:pt modelId="{35422F48-85A4-471E-988A-44E84C4E8092}" type="sibTrans" cxnId="{349195BB-C845-48DB-B45F-8DE13610C6DB}">
      <dgm:prSet/>
      <dgm:spPr/>
      <dgm:t>
        <a:bodyPr/>
        <a:lstStyle/>
        <a:p>
          <a:endParaRPr lang="en-US"/>
        </a:p>
      </dgm:t>
    </dgm:pt>
    <dgm:pt modelId="{A26CC045-1148-46E8-8CAD-B9A2E88571AD}">
      <dgm:prSet custT="1"/>
      <dgm:spPr/>
      <dgm:t>
        <a:bodyPr/>
        <a:lstStyle/>
        <a:p>
          <a:pPr algn="ctr"/>
          <a:r>
            <a:rPr lang="en-US" sz="1100">
              <a:latin typeface="Times New Roman" panose="02020603050405020304" pitchFamily="18" charset="0"/>
              <a:cs typeface="Times New Roman" panose="02020603050405020304" pitchFamily="18" charset="0"/>
            </a:rPr>
            <a:t>Q4 2016 Impact (Production Halt): 2.7 USD Billion</a:t>
          </a:r>
        </a:p>
      </dgm:t>
    </dgm:pt>
    <dgm:pt modelId="{CBAD7A56-17CA-48E4-B641-38BB92490D7F}" type="parTrans" cxnId="{982EB33D-1B31-44C9-99C8-408089B6FD7C}">
      <dgm:prSet/>
      <dgm:spPr/>
      <dgm:t>
        <a:bodyPr/>
        <a:lstStyle/>
        <a:p>
          <a:endParaRPr lang="en-US"/>
        </a:p>
      </dgm:t>
    </dgm:pt>
    <dgm:pt modelId="{E5CBBE43-E217-431A-8D16-BDBA62759794}" type="sibTrans" cxnId="{982EB33D-1B31-44C9-99C8-408089B6FD7C}">
      <dgm:prSet/>
      <dgm:spPr/>
      <dgm:t>
        <a:bodyPr/>
        <a:lstStyle/>
        <a:p>
          <a:endParaRPr lang="en-US"/>
        </a:p>
      </dgm:t>
    </dgm:pt>
    <dgm:pt modelId="{DEFF340E-BA85-40B7-8156-5C00E6D43F5D}">
      <dgm:prSet custT="1"/>
      <dgm:spPr/>
      <dgm:t>
        <a:bodyPr/>
        <a:lstStyle/>
        <a:p>
          <a:pPr algn="ctr"/>
          <a:r>
            <a:rPr lang="en-US" sz="1100">
              <a:latin typeface="Times New Roman" panose="02020603050405020304" pitchFamily="18" charset="0"/>
              <a:cs typeface="Times New Roman" panose="02020603050405020304" pitchFamily="18" charset="0"/>
            </a:rPr>
            <a:t>Q1 2017 Impact (Additional Costs): 0.9 USD Billion</a:t>
          </a:r>
        </a:p>
      </dgm:t>
    </dgm:pt>
    <dgm:pt modelId="{0255585F-BA7A-49FD-9152-760466DFB65F}" type="parTrans" cxnId="{F3B94253-D781-4FF2-ABE8-0FC16113FC15}">
      <dgm:prSet/>
      <dgm:spPr/>
      <dgm:t>
        <a:bodyPr/>
        <a:lstStyle/>
        <a:p>
          <a:endParaRPr lang="en-US"/>
        </a:p>
      </dgm:t>
    </dgm:pt>
    <dgm:pt modelId="{BE45547F-3FD1-402F-A088-1C5E395D7B79}" type="sibTrans" cxnId="{F3B94253-D781-4FF2-ABE8-0FC16113FC15}">
      <dgm:prSet/>
      <dgm:spPr/>
      <dgm:t>
        <a:bodyPr/>
        <a:lstStyle/>
        <a:p>
          <a:endParaRPr lang="en-US"/>
        </a:p>
      </dgm:t>
    </dgm:pt>
    <dgm:pt modelId="{93168BAF-54FC-49EB-B06F-DE01EA736C7D}">
      <dgm:prSet custT="1"/>
      <dgm:spPr/>
      <dgm:t>
        <a:bodyPr/>
        <a:lstStyle/>
        <a:p>
          <a:pPr algn="ctr"/>
          <a:r>
            <a:rPr lang="en-US" sz="1100">
              <a:latin typeface="Times New Roman" panose="02020603050405020304" pitchFamily="18" charset="0"/>
              <a:cs typeface="Times New Roman" panose="02020603050405020304" pitchFamily="18" charset="0"/>
            </a:rPr>
            <a:t>Device Recalls and Returns: 1.2 USD Billion</a:t>
          </a:r>
        </a:p>
      </dgm:t>
    </dgm:pt>
    <dgm:pt modelId="{E1E882BF-82B8-4557-A726-F33C40582ABF}" type="parTrans" cxnId="{3010B53A-B7FD-45FB-8671-898DC6BFDEDD}">
      <dgm:prSet/>
      <dgm:spPr/>
      <dgm:t>
        <a:bodyPr/>
        <a:lstStyle/>
        <a:p>
          <a:endParaRPr lang="en-US"/>
        </a:p>
      </dgm:t>
    </dgm:pt>
    <dgm:pt modelId="{C9CCE7C5-7541-4253-B154-B4CAA9B5791D}" type="sibTrans" cxnId="{3010B53A-B7FD-45FB-8671-898DC6BFDEDD}">
      <dgm:prSet/>
      <dgm:spPr/>
      <dgm:t>
        <a:bodyPr/>
        <a:lstStyle/>
        <a:p>
          <a:endParaRPr lang="en-US"/>
        </a:p>
      </dgm:t>
    </dgm:pt>
    <dgm:pt modelId="{4576C8A6-F1E7-4CD7-A989-92462831D871}">
      <dgm:prSet custT="1"/>
      <dgm:spPr/>
      <dgm:t>
        <a:bodyPr/>
        <a:lstStyle/>
        <a:p>
          <a:pPr algn="ctr"/>
          <a:r>
            <a:rPr lang="en-US" sz="1100">
              <a:latin typeface="Times New Roman" panose="02020603050405020304" pitchFamily="18" charset="0"/>
              <a:cs typeface="Times New Roman" panose="02020603050405020304" pitchFamily="18" charset="0"/>
            </a:rPr>
            <a:t>Replacement Device Manufacturing: 0.8 USD Billion</a:t>
          </a:r>
        </a:p>
      </dgm:t>
    </dgm:pt>
    <dgm:pt modelId="{813A2DBB-077C-4D60-AEC8-C9655CC9DBDE}" type="parTrans" cxnId="{5CECA037-A046-4372-99A1-FFED44DD7CCC}">
      <dgm:prSet/>
      <dgm:spPr/>
      <dgm:t>
        <a:bodyPr/>
        <a:lstStyle/>
        <a:p>
          <a:endParaRPr lang="en-US"/>
        </a:p>
      </dgm:t>
    </dgm:pt>
    <dgm:pt modelId="{4606BE17-61D7-4524-B61C-F9A34178C928}" type="sibTrans" cxnId="{5CECA037-A046-4372-99A1-FFED44DD7CCC}">
      <dgm:prSet/>
      <dgm:spPr/>
      <dgm:t>
        <a:bodyPr/>
        <a:lstStyle/>
        <a:p>
          <a:endParaRPr lang="en-US"/>
        </a:p>
      </dgm:t>
    </dgm:pt>
    <dgm:pt modelId="{CBAFCD75-AE54-4CB3-B3DD-FE93D0B82DAB}">
      <dgm:prSet custT="1"/>
      <dgm:spPr/>
      <dgm:t>
        <a:bodyPr/>
        <a:lstStyle/>
        <a:p>
          <a:pPr algn="ctr"/>
          <a:r>
            <a:rPr lang="en-US" sz="1100">
              <a:latin typeface="Times New Roman" panose="02020603050405020304" pitchFamily="18" charset="0"/>
              <a:cs typeface="Times New Roman" panose="02020603050405020304" pitchFamily="18" charset="0"/>
            </a:rPr>
            <a:t>Customer Service and Communication: 0.3 USD Billion</a:t>
          </a:r>
        </a:p>
      </dgm:t>
    </dgm:pt>
    <dgm:pt modelId="{987A8A18-DC07-41AE-AEE1-11A7F08A3FD5}" type="parTrans" cxnId="{749B5462-E5DA-4ACF-985E-804896AC4106}">
      <dgm:prSet/>
      <dgm:spPr/>
      <dgm:t>
        <a:bodyPr/>
        <a:lstStyle/>
        <a:p>
          <a:endParaRPr lang="en-US"/>
        </a:p>
      </dgm:t>
    </dgm:pt>
    <dgm:pt modelId="{07777260-73CF-4F46-9860-062A2442F906}" type="sibTrans" cxnId="{749B5462-E5DA-4ACF-985E-804896AC4106}">
      <dgm:prSet/>
      <dgm:spPr/>
      <dgm:t>
        <a:bodyPr/>
        <a:lstStyle/>
        <a:p>
          <a:endParaRPr lang="en-US"/>
        </a:p>
      </dgm:t>
    </dgm:pt>
    <dgm:pt modelId="{AAD48C38-0CB7-4833-96D1-E5B43B3E3E7A}">
      <dgm:prSet custT="1"/>
      <dgm:spPr/>
      <dgm:t>
        <a:bodyPr/>
        <a:lstStyle/>
        <a:p>
          <a:pPr algn="ctr"/>
          <a:r>
            <a:rPr lang="en-US" sz="1100">
              <a:latin typeface="Times New Roman" panose="02020603050405020304" pitchFamily="18" charset="0"/>
              <a:cs typeface="Times New Roman" panose="02020603050405020304" pitchFamily="18" charset="0"/>
            </a:rPr>
            <a:t>Lost Revenue from Discontinued Sales: 3.5 USD Billion</a:t>
          </a:r>
        </a:p>
      </dgm:t>
    </dgm:pt>
    <dgm:pt modelId="{6BF5BD72-4167-4EB1-B654-DB539622CD36}" type="parTrans" cxnId="{4BBD74C4-D586-412C-8C80-0A5569A8E74E}">
      <dgm:prSet/>
      <dgm:spPr/>
      <dgm:t>
        <a:bodyPr/>
        <a:lstStyle/>
        <a:p>
          <a:endParaRPr lang="en-US"/>
        </a:p>
      </dgm:t>
    </dgm:pt>
    <dgm:pt modelId="{346EECB7-E0E7-4A31-998C-63FC280F644B}" type="sibTrans" cxnId="{4BBD74C4-D586-412C-8C80-0A5569A8E74E}">
      <dgm:prSet/>
      <dgm:spPr/>
      <dgm:t>
        <a:bodyPr/>
        <a:lstStyle/>
        <a:p>
          <a:endParaRPr lang="en-US"/>
        </a:p>
      </dgm:t>
    </dgm:pt>
    <dgm:pt modelId="{36D23F04-82CA-42A1-98AF-167A7035825B}">
      <dgm:prSet custT="1"/>
      <dgm:spPr/>
      <dgm:t>
        <a:bodyPr/>
        <a:lstStyle/>
        <a:p>
          <a:pPr algn="ctr"/>
          <a:r>
            <a:rPr lang="en-US" sz="1100">
              <a:latin typeface="Times New Roman" panose="02020603050405020304" pitchFamily="18" charset="0"/>
              <a:cs typeface="Times New Roman" panose="02020603050405020304" pitchFamily="18" charset="0"/>
            </a:rPr>
            <a:t>Total Estimated Financial Impact: 17 USD Billion</a:t>
          </a:r>
        </a:p>
      </dgm:t>
    </dgm:pt>
    <dgm:pt modelId="{CFA0B65F-ECD8-492C-BEC2-A4C362CB65A1}" type="parTrans" cxnId="{71FFF4F6-6DEA-4E2D-BE73-4006DB9EA45D}">
      <dgm:prSet/>
      <dgm:spPr/>
      <dgm:t>
        <a:bodyPr/>
        <a:lstStyle/>
        <a:p>
          <a:endParaRPr lang="en-US"/>
        </a:p>
      </dgm:t>
    </dgm:pt>
    <dgm:pt modelId="{56CE8245-804C-4D98-919B-FFE03323ADB0}" type="sibTrans" cxnId="{71FFF4F6-6DEA-4E2D-BE73-4006DB9EA45D}">
      <dgm:prSet/>
      <dgm:spPr/>
      <dgm:t>
        <a:bodyPr/>
        <a:lstStyle/>
        <a:p>
          <a:endParaRPr lang="en-US"/>
        </a:p>
      </dgm:t>
    </dgm:pt>
    <dgm:pt modelId="{064537E4-599B-40F0-A490-E1620CC3B83B}" type="pres">
      <dgm:prSet presAssocID="{CFD9919B-53D9-40E5-941F-3B4492177CE5}" presName="diagram" presStyleCnt="0">
        <dgm:presLayoutVars>
          <dgm:dir/>
          <dgm:resizeHandles val="exact"/>
        </dgm:presLayoutVars>
      </dgm:prSet>
      <dgm:spPr/>
      <dgm:t>
        <a:bodyPr/>
        <a:lstStyle/>
        <a:p>
          <a:endParaRPr lang="en-US"/>
        </a:p>
      </dgm:t>
    </dgm:pt>
    <dgm:pt modelId="{F9B7323E-DA71-4192-A59B-DB39979F310E}" type="pres">
      <dgm:prSet presAssocID="{7F604323-1C29-433F-8873-2E242DDF1CDD}" presName="node" presStyleLbl="node1" presStyleIdx="0" presStyleCnt="8">
        <dgm:presLayoutVars>
          <dgm:bulletEnabled val="1"/>
        </dgm:presLayoutVars>
      </dgm:prSet>
      <dgm:spPr/>
      <dgm:t>
        <a:bodyPr/>
        <a:lstStyle/>
        <a:p>
          <a:endParaRPr lang="en-US"/>
        </a:p>
      </dgm:t>
    </dgm:pt>
    <dgm:pt modelId="{36F0E4A5-709E-439F-8A12-FE6496015C7F}" type="pres">
      <dgm:prSet presAssocID="{35422F48-85A4-471E-988A-44E84C4E8092}" presName="sibTrans" presStyleCnt="0"/>
      <dgm:spPr/>
    </dgm:pt>
    <dgm:pt modelId="{37231358-DF3A-4E93-A786-693A6890AFE6}" type="pres">
      <dgm:prSet presAssocID="{A26CC045-1148-46E8-8CAD-B9A2E88571AD}" presName="node" presStyleLbl="node1" presStyleIdx="1" presStyleCnt="8">
        <dgm:presLayoutVars>
          <dgm:bulletEnabled val="1"/>
        </dgm:presLayoutVars>
      </dgm:prSet>
      <dgm:spPr/>
      <dgm:t>
        <a:bodyPr/>
        <a:lstStyle/>
        <a:p>
          <a:endParaRPr lang="en-US"/>
        </a:p>
      </dgm:t>
    </dgm:pt>
    <dgm:pt modelId="{839EE46D-F39D-467B-8A1A-6F6FDC21F556}" type="pres">
      <dgm:prSet presAssocID="{E5CBBE43-E217-431A-8D16-BDBA62759794}" presName="sibTrans" presStyleCnt="0"/>
      <dgm:spPr/>
    </dgm:pt>
    <dgm:pt modelId="{70287B77-CFF9-431E-B63D-6B7624231129}" type="pres">
      <dgm:prSet presAssocID="{DEFF340E-BA85-40B7-8156-5C00E6D43F5D}" presName="node" presStyleLbl="node1" presStyleIdx="2" presStyleCnt="8">
        <dgm:presLayoutVars>
          <dgm:bulletEnabled val="1"/>
        </dgm:presLayoutVars>
      </dgm:prSet>
      <dgm:spPr/>
      <dgm:t>
        <a:bodyPr/>
        <a:lstStyle/>
        <a:p>
          <a:endParaRPr lang="en-US"/>
        </a:p>
      </dgm:t>
    </dgm:pt>
    <dgm:pt modelId="{C6442649-279A-44D4-B895-03C9EDA8ADF1}" type="pres">
      <dgm:prSet presAssocID="{BE45547F-3FD1-402F-A088-1C5E395D7B79}" presName="sibTrans" presStyleCnt="0"/>
      <dgm:spPr/>
    </dgm:pt>
    <dgm:pt modelId="{205AF1C9-7FCF-40D5-AA70-E327064533AB}" type="pres">
      <dgm:prSet presAssocID="{93168BAF-54FC-49EB-B06F-DE01EA736C7D}" presName="node" presStyleLbl="node1" presStyleIdx="3" presStyleCnt="8">
        <dgm:presLayoutVars>
          <dgm:bulletEnabled val="1"/>
        </dgm:presLayoutVars>
      </dgm:prSet>
      <dgm:spPr/>
      <dgm:t>
        <a:bodyPr/>
        <a:lstStyle/>
        <a:p>
          <a:endParaRPr lang="en-US"/>
        </a:p>
      </dgm:t>
    </dgm:pt>
    <dgm:pt modelId="{00739591-1E02-4C0C-AAF5-3A4234A33D31}" type="pres">
      <dgm:prSet presAssocID="{C9CCE7C5-7541-4253-B154-B4CAA9B5791D}" presName="sibTrans" presStyleCnt="0"/>
      <dgm:spPr/>
    </dgm:pt>
    <dgm:pt modelId="{68C67187-E3A5-42AC-9ADD-2807834D0ACF}" type="pres">
      <dgm:prSet presAssocID="{4576C8A6-F1E7-4CD7-A989-92462831D871}" presName="node" presStyleLbl="node1" presStyleIdx="4" presStyleCnt="8">
        <dgm:presLayoutVars>
          <dgm:bulletEnabled val="1"/>
        </dgm:presLayoutVars>
      </dgm:prSet>
      <dgm:spPr/>
      <dgm:t>
        <a:bodyPr/>
        <a:lstStyle/>
        <a:p>
          <a:endParaRPr lang="en-US"/>
        </a:p>
      </dgm:t>
    </dgm:pt>
    <dgm:pt modelId="{CE9BBC7D-A1C7-41BB-8029-21C8EA91A479}" type="pres">
      <dgm:prSet presAssocID="{4606BE17-61D7-4524-B61C-F9A34178C928}" presName="sibTrans" presStyleCnt="0"/>
      <dgm:spPr/>
    </dgm:pt>
    <dgm:pt modelId="{39F2CDED-3D62-4FC2-B58E-C827FAAA069A}" type="pres">
      <dgm:prSet presAssocID="{CBAFCD75-AE54-4CB3-B3DD-FE93D0B82DAB}" presName="node" presStyleLbl="node1" presStyleIdx="5" presStyleCnt="8">
        <dgm:presLayoutVars>
          <dgm:bulletEnabled val="1"/>
        </dgm:presLayoutVars>
      </dgm:prSet>
      <dgm:spPr/>
      <dgm:t>
        <a:bodyPr/>
        <a:lstStyle/>
        <a:p>
          <a:endParaRPr lang="en-US"/>
        </a:p>
      </dgm:t>
    </dgm:pt>
    <dgm:pt modelId="{8F45EE65-F0EA-419C-BD2F-E20EFE0EF935}" type="pres">
      <dgm:prSet presAssocID="{07777260-73CF-4F46-9860-062A2442F906}" presName="sibTrans" presStyleCnt="0"/>
      <dgm:spPr/>
    </dgm:pt>
    <dgm:pt modelId="{3F48BC97-CD20-4498-833B-B400676901F9}" type="pres">
      <dgm:prSet presAssocID="{AAD48C38-0CB7-4833-96D1-E5B43B3E3E7A}" presName="node" presStyleLbl="node1" presStyleIdx="6" presStyleCnt="8">
        <dgm:presLayoutVars>
          <dgm:bulletEnabled val="1"/>
        </dgm:presLayoutVars>
      </dgm:prSet>
      <dgm:spPr/>
      <dgm:t>
        <a:bodyPr/>
        <a:lstStyle/>
        <a:p>
          <a:endParaRPr lang="en-US"/>
        </a:p>
      </dgm:t>
    </dgm:pt>
    <dgm:pt modelId="{1E522670-1336-4F16-9D81-6A851C31DDFB}" type="pres">
      <dgm:prSet presAssocID="{346EECB7-E0E7-4A31-998C-63FC280F644B}" presName="sibTrans" presStyleCnt="0"/>
      <dgm:spPr/>
    </dgm:pt>
    <dgm:pt modelId="{7F9EDA35-2EAB-4307-A57C-B796F629A02B}" type="pres">
      <dgm:prSet presAssocID="{36D23F04-82CA-42A1-98AF-167A7035825B}" presName="node" presStyleLbl="node1" presStyleIdx="7" presStyleCnt="8">
        <dgm:presLayoutVars>
          <dgm:bulletEnabled val="1"/>
        </dgm:presLayoutVars>
      </dgm:prSet>
      <dgm:spPr/>
      <dgm:t>
        <a:bodyPr/>
        <a:lstStyle/>
        <a:p>
          <a:endParaRPr lang="en-US"/>
        </a:p>
      </dgm:t>
    </dgm:pt>
  </dgm:ptLst>
  <dgm:cxnLst>
    <dgm:cxn modelId="{F3B94253-D781-4FF2-ABE8-0FC16113FC15}" srcId="{CFD9919B-53D9-40E5-941F-3B4492177CE5}" destId="{DEFF340E-BA85-40B7-8156-5C00E6D43F5D}" srcOrd="2" destOrd="0" parTransId="{0255585F-BA7A-49FD-9152-760466DFB65F}" sibTransId="{BE45547F-3FD1-402F-A088-1C5E395D7B79}"/>
    <dgm:cxn modelId="{749B5462-E5DA-4ACF-985E-804896AC4106}" srcId="{CFD9919B-53D9-40E5-941F-3B4492177CE5}" destId="{CBAFCD75-AE54-4CB3-B3DD-FE93D0B82DAB}" srcOrd="5" destOrd="0" parTransId="{987A8A18-DC07-41AE-AEE1-11A7F08A3FD5}" sibTransId="{07777260-73CF-4F46-9860-062A2442F906}"/>
    <dgm:cxn modelId="{4BBD74C4-D586-412C-8C80-0A5569A8E74E}" srcId="{CFD9919B-53D9-40E5-941F-3B4492177CE5}" destId="{AAD48C38-0CB7-4833-96D1-E5B43B3E3E7A}" srcOrd="6" destOrd="0" parTransId="{6BF5BD72-4167-4EB1-B654-DB539622CD36}" sibTransId="{346EECB7-E0E7-4A31-998C-63FC280F644B}"/>
    <dgm:cxn modelId="{3010B53A-B7FD-45FB-8671-898DC6BFDEDD}" srcId="{CFD9919B-53D9-40E5-941F-3B4492177CE5}" destId="{93168BAF-54FC-49EB-B06F-DE01EA736C7D}" srcOrd="3" destOrd="0" parTransId="{E1E882BF-82B8-4557-A726-F33C40582ABF}" sibTransId="{C9CCE7C5-7541-4253-B154-B4CAA9B5791D}"/>
    <dgm:cxn modelId="{6B236BA9-83ED-4830-A35E-4A3E5ED304A9}" type="presOf" srcId="{CBAFCD75-AE54-4CB3-B3DD-FE93D0B82DAB}" destId="{39F2CDED-3D62-4FC2-B58E-C827FAAA069A}" srcOrd="0" destOrd="0" presId="urn:microsoft.com/office/officeart/2005/8/layout/default#1"/>
    <dgm:cxn modelId="{53C0E66A-AC9A-4EB4-A081-84812EF480F1}" type="presOf" srcId="{4576C8A6-F1E7-4CD7-A989-92462831D871}" destId="{68C67187-E3A5-42AC-9ADD-2807834D0ACF}" srcOrd="0" destOrd="0" presId="urn:microsoft.com/office/officeart/2005/8/layout/default#1"/>
    <dgm:cxn modelId="{17E2D2FC-46F8-452C-9859-B8F3A2CEFB6F}" type="presOf" srcId="{DEFF340E-BA85-40B7-8156-5C00E6D43F5D}" destId="{70287B77-CFF9-431E-B63D-6B7624231129}" srcOrd="0" destOrd="0" presId="urn:microsoft.com/office/officeart/2005/8/layout/default#1"/>
    <dgm:cxn modelId="{71FFF4F6-6DEA-4E2D-BE73-4006DB9EA45D}" srcId="{CFD9919B-53D9-40E5-941F-3B4492177CE5}" destId="{36D23F04-82CA-42A1-98AF-167A7035825B}" srcOrd="7" destOrd="0" parTransId="{CFA0B65F-ECD8-492C-BEC2-A4C362CB65A1}" sibTransId="{56CE8245-804C-4D98-919B-FFE03323ADB0}"/>
    <dgm:cxn modelId="{40B1004F-0EBC-4E95-883E-1CC9A79B6C85}" type="presOf" srcId="{36D23F04-82CA-42A1-98AF-167A7035825B}" destId="{7F9EDA35-2EAB-4307-A57C-B796F629A02B}" srcOrd="0" destOrd="0" presId="urn:microsoft.com/office/officeart/2005/8/layout/default#1"/>
    <dgm:cxn modelId="{12F9656D-D3FC-40F0-8417-DE6FFD1B1CAC}" type="presOf" srcId="{CFD9919B-53D9-40E5-941F-3B4492177CE5}" destId="{064537E4-599B-40F0-A490-E1620CC3B83B}" srcOrd="0" destOrd="0" presId="urn:microsoft.com/office/officeart/2005/8/layout/default#1"/>
    <dgm:cxn modelId="{982EB33D-1B31-44C9-99C8-408089B6FD7C}" srcId="{CFD9919B-53D9-40E5-941F-3B4492177CE5}" destId="{A26CC045-1148-46E8-8CAD-B9A2E88571AD}" srcOrd="1" destOrd="0" parTransId="{CBAD7A56-17CA-48E4-B641-38BB92490D7F}" sibTransId="{E5CBBE43-E217-431A-8D16-BDBA62759794}"/>
    <dgm:cxn modelId="{49AC5B92-9E42-4856-8DAB-14435A3DCD72}" type="presOf" srcId="{AAD48C38-0CB7-4833-96D1-E5B43B3E3E7A}" destId="{3F48BC97-CD20-4498-833B-B400676901F9}" srcOrd="0" destOrd="0" presId="urn:microsoft.com/office/officeart/2005/8/layout/default#1"/>
    <dgm:cxn modelId="{349195BB-C845-48DB-B45F-8DE13610C6DB}" srcId="{CFD9919B-53D9-40E5-941F-3B4492177CE5}" destId="{7F604323-1C29-433F-8873-2E242DDF1CDD}" srcOrd="0" destOrd="0" parTransId="{7EFD0BD9-E346-4F31-BC28-DBE68DA9B623}" sibTransId="{35422F48-85A4-471E-988A-44E84C4E8092}"/>
    <dgm:cxn modelId="{5CECA037-A046-4372-99A1-FFED44DD7CCC}" srcId="{CFD9919B-53D9-40E5-941F-3B4492177CE5}" destId="{4576C8A6-F1E7-4CD7-A989-92462831D871}" srcOrd="4" destOrd="0" parTransId="{813A2DBB-077C-4D60-AEC8-C9655CC9DBDE}" sibTransId="{4606BE17-61D7-4524-B61C-F9A34178C928}"/>
    <dgm:cxn modelId="{A8BEC739-3099-4340-B777-02253AFC0C40}" type="presOf" srcId="{7F604323-1C29-433F-8873-2E242DDF1CDD}" destId="{F9B7323E-DA71-4192-A59B-DB39979F310E}" srcOrd="0" destOrd="0" presId="urn:microsoft.com/office/officeart/2005/8/layout/default#1"/>
    <dgm:cxn modelId="{799B3C2B-D17A-45B1-9A36-E959A2903BAC}" type="presOf" srcId="{93168BAF-54FC-49EB-B06F-DE01EA736C7D}" destId="{205AF1C9-7FCF-40D5-AA70-E327064533AB}" srcOrd="0" destOrd="0" presId="urn:microsoft.com/office/officeart/2005/8/layout/default#1"/>
    <dgm:cxn modelId="{21761010-EC31-4BF6-8EAD-15E19F3DA058}" type="presOf" srcId="{A26CC045-1148-46E8-8CAD-B9A2E88571AD}" destId="{37231358-DF3A-4E93-A786-693A6890AFE6}" srcOrd="0" destOrd="0" presId="urn:microsoft.com/office/officeart/2005/8/layout/default#1"/>
    <dgm:cxn modelId="{1FBB5A5A-217F-4F0C-A41E-4D275120FF5A}" type="presParOf" srcId="{064537E4-599B-40F0-A490-E1620CC3B83B}" destId="{F9B7323E-DA71-4192-A59B-DB39979F310E}" srcOrd="0" destOrd="0" presId="urn:microsoft.com/office/officeart/2005/8/layout/default#1"/>
    <dgm:cxn modelId="{59CC0EF1-420B-48F6-B5F8-1FB63359D646}" type="presParOf" srcId="{064537E4-599B-40F0-A490-E1620CC3B83B}" destId="{36F0E4A5-709E-439F-8A12-FE6496015C7F}" srcOrd="1" destOrd="0" presId="urn:microsoft.com/office/officeart/2005/8/layout/default#1"/>
    <dgm:cxn modelId="{CF0FD00B-F0A7-420D-810C-6F9028B99D87}" type="presParOf" srcId="{064537E4-599B-40F0-A490-E1620CC3B83B}" destId="{37231358-DF3A-4E93-A786-693A6890AFE6}" srcOrd="2" destOrd="0" presId="urn:microsoft.com/office/officeart/2005/8/layout/default#1"/>
    <dgm:cxn modelId="{14EC143C-E63D-4274-8015-D79484F963E8}" type="presParOf" srcId="{064537E4-599B-40F0-A490-E1620CC3B83B}" destId="{839EE46D-F39D-467B-8A1A-6F6FDC21F556}" srcOrd="3" destOrd="0" presId="urn:microsoft.com/office/officeart/2005/8/layout/default#1"/>
    <dgm:cxn modelId="{857AF93F-4B52-4C3F-9DBC-3956057EC1EB}" type="presParOf" srcId="{064537E4-599B-40F0-A490-E1620CC3B83B}" destId="{70287B77-CFF9-431E-B63D-6B7624231129}" srcOrd="4" destOrd="0" presId="urn:microsoft.com/office/officeart/2005/8/layout/default#1"/>
    <dgm:cxn modelId="{F40C8E93-CE5D-40BE-9F84-F25C7AE0856F}" type="presParOf" srcId="{064537E4-599B-40F0-A490-E1620CC3B83B}" destId="{C6442649-279A-44D4-B895-03C9EDA8ADF1}" srcOrd="5" destOrd="0" presId="urn:microsoft.com/office/officeart/2005/8/layout/default#1"/>
    <dgm:cxn modelId="{A4907E56-E027-4D96-B7AA-971D792B4BBE}" type="presParOf" srcId="{064537E4-599B-40F0-A490-E1620CC3B83B}" destId="{205AF1C9-7FCF-40D5-AA70-E327064533AB}" srcOrd="6" destOrd="0" presId="urn:microsoft.com/office/officeart/2005/8/layout/default#1"/>
    <dgm:cxn modelId="{CB3205ED-A225-4D0E-BEBA-42FB6337FD76}" type="presParOf" srcId="{064537E4-599B-40F0-A490-E1620CC3B83B}" destId="{00739591-1E02-4C0C-AAF5-3A4234A33D31}" srcOrd="7" destOrd="0" presId="urn:microsoft.com/office/officeart/2005/8/layout/default#1"/>
    <dgm:cxn modelId="{9D4980A8-DB6A-4067-9F5B-B5940D728451}" type="presParOf" srcId="{064537E4-599B-40F0-A490-E1620CC3B83B}" destId="{68C67187-E3A5-42AC-9ADD-2807834D0ACF}" srcOrd="8" destOrd="0" presId="urn:microsoft.com/office/officeart/2005/8/layout/default#1"/>
    <dgm:cxn modelId="{1C59D8F6-7E09-469F-A295-E03BB3B9B4AA}" type="presParOf" srcId="{064537E4-599B-40F0-A490-E1620CC3B83B}" destId="{CE9BBC7D-A1C7-41BB-8029-21C8EA91A479}" srcOrd="9" destOrd="0" presId="urn:microsoft.com/office/officeart/2005/8/layout/default#1"/>
    <dgm:cxn modelId="{37F5DF73-0242-4542-8A2A-C8B8DE531541}" type="presParOf" srcId="{064537E4-599B-40F0-A490-E1620CC3B83B}" destId="{39F2CDED-3D62-4FC2-B58E-C827FAAA069A}" srcOrd="10" destOrd="0" presId="urn:microsoft.com/office/officeart/2005/8/layout/default#1"/>
    <dgm:cxn modelId="{A59FF700-8D68-472A-ADF0-8FA10AD95A79}" type="presParOf" srcId="{064537E4-599B-40F0-A490-E1620CC3B83B}" destId="{8F45EE65-F0EA-419C-BD2F-E20EFE0EF935}" srcOrd="11" destOrd="0" presId="urn:microsoft.com/office/officeart/2005/8/layout/default#1"/>
    <dgm:cxn modelId="{FF0B9745-EB3E-4AB3-988F-297A5A088F82}" type="presParOf" srcId="{064537E4-599B-40F0-A490-E1620CC3B83B}" destId="{3F48BC97-CD20-4498-833B-B400676901F9}" srcOrd="12" destOrd="0" presId="urn:microsoft.com/office/officeart/2005/8/layout/default#1"/>
    <dgm:cxn modelId="{69D3B9F0-11FC-4CA1-9999-75836D22933A}" type="presParOf" srcId="{064537E4-599B-40F0-A490-E1620CC3B83B}" destId="{1E522670-1336-4F16-9D81-6A851C31DDFB}" srcOrd="13" destOrd="0" presId="urn:microsoft.com/office/officeart/2005/8/layout/default#1"/>
    <dgm:cxn modelId="{AC7D9671-57BB-4C36-801F-09ED731E9632}" type="presParOf" srcId="{064537E4-599B-40F0-A490-E1620CC3B83B}" destId="{7F9EDA35-2EAB-4307-A57C-B796F629A02B}" srcOrd="14" destOrd="0" presId="urn:microsoft.com/office/officeart/2005/8/layout/default#1"/>
  </dgm:cxnLst>
  <dgm:bg/>
  <dgm:whole/>
</dgm:dataModel>
</file>

<file path=word/diagrams/data2.xml><?xml version="1.0" encoding="utf-8"?>
<dgm:dataModel xmlns:dgm="http://schemas.openxmlformats.org/drawingml/2006/diagram" xmlns:a="http://schemas.openxmlformats.org/drawingml/2006/main">
  <dgm:ptLst>
    <dgm:pt modelId="{8DB48C90-5097-43AC-9C3A-3FD2766AA922}" type="doc">
      <dgm:prSet loTypeId="urn:diagrams.loki3.com/BracketList" loCatId="list" qsTypeId="urn:microsoft.com/office/officeart/2005/8/quickstyle/simple1" qsCatId="simple" csTypeId="urn:microsoft.com/office/officeart/2005/8/colors/accent0_3" csCatId="mainScheme" phldr="1"/>
      <dgm:spPr/>
      <dgm:t>
        <a:bodyPr/>
        <a:lstStyle/>
        <a:p>
          <a:endParaRPr lang="en-US"/>
        </a:p>
      </dgm:t>
    </dgm:pt>
    <dgm:pt modelId="{4FE1BCAB-1C09-45CF-A4B9-03AB99C5C4A7}">
      <dgm:prSet phldrT="[Text]" custT="1"/>
      <dgm:spPr/>
      <dgm:t>
        <a:bodyPr/>
        <a:lstStyle/>
        <a:p>
          <a:pPr algn="ctr">
            <a:buNone/>
          </a:pPr>
          <a:r>
            <a:rPr lang="en-US" sz="1100">
              <a:latin typeface="Times New Roman" panose="02020603050405020304" pitchFamily="18" charset="0"/>
              <a:cs typeface="Times New Roman" panose="02020603050405020304" pitchFamily="18" charset="0"/>
            </a:rPr>
            <a:t>Battery Waste Impact</a:t>
          </a:r>
        </a:p>
      </dgm:t>
    </dgm:pt>
    <dgm:pt modelId="{F10B458B-32D5-4936-8FB8-DED326EC7E3E}" type="parTrans" cxnId="{39EC1C1F-17EE-4C00-897B-8CB7B8BAC2DF}">
      <dgm:prSet/>
      <dgm:spPr/>
      <dgm:t>
        <a:bodyPr/>
        <a:lstStyle/>
        <a:p>
          <a:endParaRPr lang="en-US"/>
        </a:p>
      </dgm:t>
    </dgm:pt>
    <dgm:pt modelId="{6AC3F63F-5018-45EC-BDE0-26388649F36D}" type="sibTrans" cxnId="{39EC1C1F-17EE-4C00-897B-8CB7B8BAC2DF}">
      <dgm:prSet/>
      <dgm:spPr/>
      <dgm:t>
        <a:bodyPr/>
        <a:lstStyle/>
        <a:p>
          <a:endParaRPr lang="en-US"/>
        </a:p>
      </dgm:t>
    </dgm:pt>
    <dgm:pt modelId="{7E2074FE-76AD-450C-A57B-7145143F93DC}">
      <dgm:prSet custT="1"/>
      <dgm:spPr/>
      <dgm:t>
        <a:bodyPr/>
        <a:lstStyle/>
        <a:p>
          <a:pPr algn="ctr">
            <a:buNone/>
          </a:pPr>
          <a:r>
            <a:rPr lang="en-US" sz="1100">
              <a:latin typeface="Times New Roman" panose="02020603050405020304" pitchFamily="18" charset="0"/>
              <a:cs typeface="Times New Roman" panose="02020603050405020304" pitchFamily="18" charset="0"/>
            </a:rPr>
            <a:t>Environmental Compliance</a:t>
          </a:r>
        </a:p>
      </dgm:t>
    </dgm:pt>
    <dgm:pt modelId="{BB8740FE-D33A-4F76-8AC4-F5D951BF8009}" type="parTrans" cxnId="{F58E1F49-CE6D-4236-9EEF-BB48F51CFBBE}">
      <dgm:prSet/>
      <dgm:spPr/>
      <dgm:t>
        <a:bodyPr/>
        <a:lstStyle/>
        <a:p>
          <a:endParaRPr lang="en-US"/>
        </a:p>
      </dgm:t>
    </dgm:pt>
    <dgm:pt modelId="{B356A81F-2D0D-443D-AF37-F6348CF23409}" type="sibTrans" cxnId="{F58E1F49-CE6D-4236-9EEF-BB48F51CFBBE}">
      <dgm:prSet/>
      <dgm:spPr/>
      <dgm:t>
        <a:bodyPr/>
        <a:lstStyle/>
        <a:p>
          <a:endParaRPr lang="en-US"/>
        </a:p>
      </dgm:t>
    </dgm:pt>
    <dgm:pt modelId="{AD61A907-D94F-46C9-B30D-7AC3EE928E15}">
      <dgm:prSet custT="1"/>
      <dgm:spPr/>
      <dgm:t>
        <a:bodyPr/>
        <a:lstStyle/>
        <a:p>
          <a:pPr algn="ctr">
            <a:buNone/>
          </a:pPr>
          <a:r>
            <a:rPr lang="en-US" sz="1100">
              <a:latin typeface="Times New Roman" panose="02020603050405020304" pitchFamily="18" charset="0"/>
              <a:cs typeface="Times New Roman" panose="02020603050405020304" pitchFamily="18" charset="0"/>
            </a:rPr>
            <a:t>Cost Integration Integrating with Sustainability</a:t>
          </a:r>
        </a:p>
      </dgm:t>
    </dgm:pt>
    <dgm:pt modelId="{7063A88D-EAB7-4E33-87A6-E581DF56F57A}" type="parTrans" cxnId="{075BD262-0EF6-47C1-84EB-38DD652870C6}">
      <dgm:prSet/>
      <dgm:spPr/>
      <dgm:t>
        <a:bodyPr/>
        <a:lstStyle/>
        <a:p>
          <a:endParaRPr lang="en-US"/>
        </a:p>
      </dgm:t>
    </dgm:pt>
    <dgm:pt modelId="{145C57D2-A956-4F91-B675-7BA11E40B237}" type="sibTrans" cxnId="{075BD262-0EF6-47C1-84EB-38DD652870C6}">
      <dgm:prSet/>
      <dgm:spPr/>
      <dgm:t>
        <a:bodyPr/>
        <a:lstStyle/>
        <a:p>
          <a:endParaRPr lang="en-US"/>
        </a:p>
      </dgm:t>
    </dgm:pt>
    <dgm:pt modelId="{F169E321-D789-4292-857D-FA6F012E43E9}">
      <dgm:prSet custT="1"/>
      <dgm:spPr/>
      <dgm:t>
        <a:bodyPr/>
        <a:lstStyle/>
        <a:p>
          <a:pPr algn="ctr">
            <a:buNone/>
          </a:pPr>
          <a:r>
            <a:rPr lang="en-US" sz="1100">
              <a:latin typeface="Times New Roman" panose="02020603050405020304" pitchFamily="18" charset="0"/>
              <a:cs typeface="Times New Roman" panose="02020603050405020304" pitchFamily="18" charset="0"/>
            </a:rPr>
            <a:t>Preventive Technologies</a:t>
          </a:r>
        </a:p>
      </dgm:t>
    </dgm:pt>
    <dgm:pt modelId="{2E53E287-ECCF-4DBC-9197-D1183C08A6C9}" type="parTrans" cxnId="{5A5E6A15-3735-4EB1-B224-D4926AFA5EE4}">
      <dgm:prSet/>
      <dgm:spPr/>
      <dgm:t>
        <a:bodyPr/>
        <a:lstStyle/>
        <a:p>
          <a:endParaRPr lang="en-US"/>
        </a:p>
      </dgm:t>
    </dgm:pt>
    <dgm:pt modelId="{E6676EFD-D64B-4AA9-BB07-F560523DA655}" type="sibTrans" cxnId="{5A5E6A15-3735-4EB1-B224-D4926AFA5EE4}">
      <dgm:prSet/>
      <dgm:spPr/>
      <dgm:t>
        <a:bodyPr/>
        <a:lstStyle/>
        <a:p>
          <a:endParaRPr lang="en-US"/>
        </a:p>
      </dgm:t>
    </dgm:pt>
    <dgm:pt modelId="{459B430B-14FA-4FD8-B7F6-2E91C1705941}">
      <dgm:prSet custT="1"/>
      <dgm:spPr/>
      <dgm:t>
        <a:bodyPr/>
        <a:lstStyle/>
        <a:p>
          <a:pPr algn="ctr">
            <a:buNone/>
          </a:pPr>
          <a:r>
            <a:rPr lang="en-US" sz="1100">
              <a:latin typeface="Times New Roman" panose="02020603050405020304" pitchFamily="18" charset="0"/>
              <a:cs typeface="Times New Roman" panose="02020603050405020304" pitchFamily="18" charset="0"/>
            </a:rPr>
            <a:t>Economic and Ethical Harmony</a:t>
          </a:r>
        </a:p>
      </dgm:t>
    </dgm:pt>
    <dgm:pt modelId="{D9D51086-A2EC-4894-96C2-A0FF80E52208}" type="parTrans" cxnId="{DAA8B8FB-B29F-4490-96D0-66B551F35054}">
      <dgm:prSet/>
      <dgm:spPr/>
      <dgm:t>
        <a:bodyPr/>
        <a:lstStyle/>
        <a:p>
          <a:endParaRPr lang="en-US"/>
        </a:p>
      </dgm:t>
    </dgm:pt>
    <dgm:pt modelId="{53C50961-77F5-4E6B-97E0-A269E6E13020}" type="sibTrans" cxnId="{DAA8B8FB-B29F-4490-96D0-66B551F35054}">
      <dgm:prSet/>
      <dgm:spPr/>
      <dgm:t>
        <a:bodyPr/>
        <a:lstStyle/>
        <a:p>
          <a:endParaRPr lang="en-US"/>
        </a:p>
      </dgm:t>
    </dgm:pt>
    <dgm:pt modelId="{F920EAF8-FFA9-4D43-8B41-CEB0017FBEB5}">
      <dgm:prSet phldrT="[Text]" custT="1"/>
      <dgm:spPr/>
      <dgm:t>
        <a:bodyPr/>
        <a:lstStyle/>
        <a:p>
          <a:pPr algn="ctr">
            <a:buNone/>
          </a:pPr>
          <a:r>
            <a:rPr lang="en-US" sz="1100">
              <a:latin typeface="Times New Roman" panose="02020603050405020304" pitchFamily="18" charset="0"/>
              <a:cs typeface="Times New Roman" panose="02020603050405020304" pitchFamily="18" charset="0"/>
            </a:rPr>
            <a:t>The Note 7 recall resulted in huge amounts of lithium-ion battery waste that requires safe recycling and disposal.</a:t>
          </a:r>
        </a:p>
      </dgm:t>
    </dgm:pt>
    <dgm:pt modelId="{F4A047F1-38C2-4449-953F-3CE5B18943D5}" type="parTrans" cxnId="{F31D67FD-369E-40DF-9A72-831AD18B02CA}">
      <dgm:prSet/>
      <dgm:spPr/>
      <dgm:t>
        <a:bodyPr/>
        <a:lstStyle/>
        <a:p>
          <a:endParaRPr lang="en-US"/>
        </a:p>
      </dgm:t>
    </dgm:pt>
    <dgm:pt modelId="{2ADED857-6B46-4221-B8B4-1B13608FD4D5}" type="sibTrans" cxnId="{F31D67FD-369E-40DF-9A72-831AD18B02CA}">
      <dgm:prSet/>
      <dgm:spPr/>
      <dgm:t>
        <a:bodyPr/>
        <a:lstStyle/>
        <a:p>
          <a:endParaRPr lang="en-US"/>
        </a:p>
      </dgm:t>
    </dgm:pt>
    <dgm:pt modelId="{962165F8-BEDE-4B71-A353-5DEA57217251}">
      <dgm:prSet custT="1"/>
      <dgm:spPr/>
      <dgm:t>
        <a:bodyPr/>
        <a:lstStyle/>
        <a:p>
          <a:pPr algn="ctr">
            <a:buNone/>
          </a:pPr>
          <a:r>
            <a:rPr lang="en-US" sz="1100">
              <a:latin typeface="Times New Roman" panose="02020603050405020304" pitchFamily="18" charset="0"/>
              <a:cs typeface="Times New Roman" panose="02020603050405020304" pitchFamily="18" charset="0"/>
            </a:rPr>
            <a:t>Hazardous materials imposed stringent handling regulations and added ecological costs (Christensen et al., 2021).</a:t>
          </a:r>
        </a:p>
      </dgm:t>
    </dgm:pt>
    <dgm:pt modelId="{7DCC74FF-F7A8-4B15-AD72-9288E15DF323}" type="parTrans" cxnId="{939C7D08-F6AB-46AC-9C35-CB01B4CE5A88}">
      <dgm:prSet/>
      <dgm:spPr/>
      <dgm:t>
        <a:bodyPr/>
        <a:lstStyle/>
        <a:p>
          <a:endParaRPr lang="en-US"/>
        </a:p>
      </dgm:t>
    </dgm:pt>
    <dgm:pt modelId="{BB4211EB-8615-4243-9BDB-CB2D9D8DD2CF}" type="sibTrans" cxnId="{939C7D08-F6AB-46AC-9C35-CB01B4CE5A88}">
      <dgm:prSet/>
      <dgm:spPr/>
      <dgm:t>
        <a:bodyPr/>
        <a:lstStyle/>
        <a:p>
          <a:endParaRPr lang="en-US"/>
        </a:p>
      </dgm:t>
    </dgm:pt>
    <dgm:pt modelId="{D3043675-5FD3-4D17-A2C2-C40C90A7E7ED}">
      <dgm:prSet custT="1"/>
      <dgm:spPr/>
      <dgm:t>
        <a:bodyPr/>
        <a:lstStyle/>
        <a:p>
          <a:pPr algn="ctr">
            <a:buNone/>
          </a:pPr>
          <a:r>
            <a:rPr lang="en-US" sz="1100">
              <a:latin typeface="Times New Roman" panose="02020603050405020304" pitchFamily="18" charset="0"/>
              <a:cs typeface="Times New Roman" panose="02020603050405020304" pitchFamily="18" charset="0"/>
            </a:rPr>
            <a:t>Recycling, waste management and compliance should be classified under quality-related expenses.</a:t>
          </a:r>
        </a:p>
      </dgm:t>
    </dgm:pt>
    <dgm:pt modelId="{524ECBBB-95E3-40CF-A80D-7CC3A996FC82}" type="parTrans" cxnId="{BF34C9C9-C8E5-4DC9-9F5A-AD1B17402F9C}">
      <dgm:prSet/>
      <dgm:spPr/>
      <dgm:t>
        <a:bodyPr/>
        <a:lstStyle/>
        <a:p>
          <a:endParaRPr lang="en-US"/>
        </a:p>
      </dgm:t>
    </dgm:pt>
    <dgm:pt modelId="{9267578F-D068-4E52-BDCD-BBC506484509}" type="sibTrans" cxnId="{BF34C9C9-C8E5-4DC9-9F5A-AD1B17402F9C}">
      <dgm:prSet/>
      <dgm:spPr/>
      <dgm:t>
        <a:bodyPr/>
        <a:lstStyle/>
        <a:p>
          <a:endParaRPr lang="en-US"/>
        </a:p>
      </dgm:t>
    </dgm:pt>
    <dgm:pt modelId="{67747875-D11E-4D76-9A36-F13378BAFD49}">
      <dgm:prSet custT="1"/>
      <dgm:spPr/>
      <dgm:t>
        <a:bodyPr/>
        <a:lstStyle/>
        <a:p>
          <a:pPr algn="ctr">
            <a:buNone/>
          </a:pPr>
          <a:r>
            <a:rPr lang="en-US" sz="1100">
              <a:latin typeface="Times New Roman" panose="02020603050405020304" pitchFamily="18" charset="0"/>
              <a:cs typeface="Times New Roman" panose="02020603050405020304" pitchFamily="18" charset="0"/>
            </a:rPr>
            <a:t>AI-based diagnostics and predictive maintenance UEs (Taylor, 2025) reduce failures and also environmental waste.</a:t>
          </a:r>
        </a:p>
      </dgm:t>
    </dgm:pt>
    <dgm:pt modelId="{ED210834-9F05-408D-9DE0-E507CA5DF60D}" type="parTrans" cxnId="{D27737C8-F728-4021-B442-385CBBEF82EF}">
      <dgm:prSet/>
      <dgm:spPr/>
      <dgm:t>
        <a:bodyPr/>
        <a:lstStyle/>
        <a:p>
          <a:endParaRPr lang="en-US"/>
        </a:p>
      </dgm:t>
    </dgm:pt>
    <dgm:pt modelId="{0A5E9D01-52AD-480E-AAB3-2CEFE5CF0F6C}" type="sibTrans" cxnId="{D27737C8-F728-4021-B442-385CBBEF82EF}">
      <dgm:prSet/>
      <dgm:spPr/>
      <dgm:t>
        <a:bodyPr/>
        <a:lstStyle/>
        <a:p>
          <a:endParaRPr lang="en-US"/>
        </a:p>
      </dgm:t>
    </dgm:pt>
    <dgm:pt modelId="{4F243A6F-85FB-4225-AFD9-BA19C5216677}">
      <dgm:prSet custT="1"/>
      <dgm:spPr/>
      <dgm:t>
        <a:bodyPr/>
        <a:lstStyle/>
        <a:p>
          <a:pPr algn="ctr">
            <a:buNone/>
          </a:pPr>
          <a:r>
            <a:rPr lang="en-US" sz="1100">
              <a:latin typeface="Times New Roman" panose="02020603050405020304" pitchFamily="18" charset="0"/>
              <a:cs typeface="Times New Roman" panose="02020603050405020304" pitchFamily="18" charset="0"/>
            </a:rPr>
            <a:t>Linking sustainability and finance contributes to the advancement of total quality in the context of economic and moral responsibility.</a:t>
          </a:r>
        </a:p>
      </dgm:t>
    </dgm:pt>
    <dgm:pt modelId="{2EAF8D4C-53BB-484E-8B53-4E8C6F9C12D7}" type="parTrans" cxnId="{F9031E89-7F72-4149-BD1C-B95246F84DAE}">
      <dgm:prSet/>
      <dgm:spPr/>
      <dgm:t>
        <a:bodyPr/>
        <a:lstStyle/>
        <a:p>
          <a:endParaRPr lang="en-US"/>
        </a:p>
      </dgm:t>
    </dgm:pt>
    <dgm:pt modelId="{43BFC111-4D64-4F3C-BDB9-DFBE542425B5}" type="sibTrans" cxnId="{F9031E89-7F72-4149-BD1C-B95246F84DAE}">
      <dgm:prSet/>
      <dgm:spPr/>
      <dgm:t>
        <a:bodyPr/>
        <a:lstStyle/>
        <a:p>
          <a:endParaRPr lang="en-US"/>
        </a:p>
      </dgm:t>
    </dgm:pt>
    <dgm:pt modelId="{FF129228-2894-46F7-86FE-EB034D99BF4D}" type="pres">
      <dgm:prSet presAssocID="{8DB48C90-5097-43AC-9C3A-3FD2766AA922}" presName="Name0" presStyleCnt="0">
        <dgm:presLayoutVars>
          <dgm:dir/>
          <dgm:animLvl val="lvl"/>
          <dgm:resizeHandles val="exact"/>
        </dgm:presLayoutVars>
      </dgm:prSet>
      <dgm:spPr/>
      <dgm:t>
        <a:bodyPr/>
        <a:lstStyle/>
        <a:p>
          <a:endParaRPr lang="en-US"/>
        </a:p>
      </dgm:t>
    </dgm:pt>
    <dgm:pt modelId="{C533A3B1-AE87-4DFE-89BB-5AD3EA0E7D6D}" type="pres">
      <dgm:prSet presAssocID="{4FE1BCAB-1C09-45CF-A4B9-03AB99C5C4A7}" presName="linNode" presStyleCnt="0"/>
      <dgm:spPr/>
    </dgm:pt>
    <dgm:pt modelId="{909A4E25-A6C1-4B6E-B5C2-BC00A1100EE6}" type="pres">
      <dgm:prSet presAssocID="{4FE1BCAB-1C09-45CF-A4B9-03AB99C5C4A7}" presName="parTx" presStyleLbl="revTx" presStyleIdx="0" presStyleCnt="5">
        <dgm:presLayoutVars>
          <dgm:chMax val="1"/>
          <dgm:bulletEnabled val="1"/>
        </dgm:presLayoutVars>
      </dgm:prSet>
      <dgm:spPr/>
      <dgm:t>
        <a:bodyPr/>
        <a:lstStyle/>
        <a:p>
          <a:endParaRPr lang="en-US"/>
        </a:p>
      </dgm:t>
    </dgm:pt>
    <dgm:pt modelId="{B1AC6E8A-931B-43BA-9A70-BB361402BFFA}" type="pres">
      <dgm:prSet presAssocID="{4FE1BCAB-1C09-45CF-A4B9-03AB99C5C4A7}" presName="bracket" presStyleLbl="parChTrans1D1" presStyleIdx="0" presStyleCnt="5"/>
      <dgm:spPr/>
    </dgm:pt>
    <dgm:pt modelId="{5A82A187-BCD6-45B8-BACD-674C68388955}" type="pres">
      <dgm:prSet presAssocID="{4FE1BCAB-1C09-45CF-A4B9-03AB99C5C4A7}" presName="spH" presStyleCnt="0"/>
      <dgm:spPr/>
    </dgm:pt>
    <dgm:pt modelId="{4270771F-6F04-4E86-BFDF-4563FE9B5862}" type="pres">
      <dgm:prSet presAssocID="{4FE1BCAB-1C09-45CF-A4B9-03AB99C5C4A7}" presName="desTx" presStyleLbl="node1" presStyleIdx="0" presStyleCnt="5">
        <dgm:presLayoutVars>
          <dgm:bulletEnabled val="1"/>
        </dgm:presLayoutVars>
      </dgm:prSet>
      <dgm:spPr/>
      <dgm:t>
        <a:bodyPr/>
        <a:lstStyle/>
        <a:p>
          <a:endParaRPr lang="en-US"/>
        </a:p>
      </dgm:t>
    </dgm:pt>
    <dgm:pt modelId="{D57B87BD-F811-4A8D-BA90-39A161520983}" type="pres">
      <dgm:prSet presAssocID="{6AC3F63F-5018-45EC-BDE0-26388649F36D}" presName="spV" presStyleCnt="0"/>
      <dgm:spPr/>
    </dgm:pt>
    <dgm:pt modelId="{8E065089-C2BD-4B31-8BB6-7DB538CC4B00}" type="pres">
      <dgm:prSet presAssocID="{7E2074FE-76AD-450C-A57B-7145143F93DC}" presName="linNode" presStyleCnt="0"/>
      <dgm:spPr/>
    </dgm:pt>
    <dgm:pt modelId="{06051447-B21D-40B0-979A-C1F47D532254}" type="pres">
      <dgm:prSet presAssocID="{7E2074FE-76AD-450C-A57B-7145143F93DC}" presName="parTx" presStyleLbl="revTx" presStyleIdx="1" presStyleCnt="5">
        <dgm:presLayoutVars>
          <dgm:chMax val="1"/>
          <dgm:bulletEnabled val="1"/>
        </dgm:presLayoutVars>
      </dgm:prSet>
      <dgm:spPr/>
      <dgm:t>
        <a:bodyPr/>
        <a:lstStyle/>
        <a:p>
          <a:endParaRPr lang="en-US"/>
        </a:p>
      </dgm:t>
    </dgm:pt>
    <dgm:pt modelId="{8AC6A481-16B8-4C6E-9CAC-CDE3FD739A12}" type="pres">
      <dgm:prSet presAssocID="{7E2074FE-76AD-450C-A57B-7145143F93DC}" presName="bracket" presStyleLbl="parChTrans1D1" presStyleIdx="1" presStyleCnt="5"/>
      <dgm:spPr/>
    </dgm:pt>
    <dgm:pt modelId="{B2D52DF3-668F-4336-B3DD-B49EEF639AEA}" type="pres">
      <dgm:prSet presAssocID="{7E2074FE-76AD-450C-A57B-7145143F93DC}" presName="spH" presStyleCnt="0"/>
      <dgm:spPr/>
    </dgm:pt>
    <dgm:pt modelId="{0DCD75DF-73D2-4A6B-8045-0B005908740B}" type="pres">
      <dgm:prSet presAssocID="{7E2074FE-76AD-450C-A57B-7145143F93DC}" presName="desTx" presStyleLbl="node1" presStyleIdx="1" presStyleCnt="5">
        <dgm:presLayoutVars>
          <dgm:bulletEnabled val="1"/>
        </dgm:presLayoutVars>
      </dgm:prSet>
      <dgm:spPr/>
      <dgm:t>
        <a:bodyPr/>
        <a:lstStyle/>
        <a:p>
          <a:endParaRPr lang="en-US"/>
        </a:p>
      </dgm:t>
    </dgm:pt>
    <dgm:pt modelId="{061645DB-F7D9-40B7-9CF3-E72AE52470D6}" type="pres">
      <dgm:prSet presAssocID="{B356A81F-2D0D-443D-AF37-F6348CF23409}" presName="spV" presStyleCnt="0"/>
      <dgm:spPr/>
    </dgm:pt>
    <dgm:pt modelId="{8D845DD6-7924-4D08-9D41-9BB062D4A454}" type="pres">
      <dgm:prSet presAssocID="{AD61A907-D94F-46C9-B30D-7AC3EE928E15}" presName="linNode" presStyleCnt="0"/>
      <dgm:spPr/>
    </dgm:pt>
    <dgm:pt modelId="{BC988955-E244-43F3-B057-4D1CCB2C3216}" type="pres">
      <dgm:prSet presAssocID="{AD61A907-D94F-46C9-B30D-7AC3EE928E15}" presName="parTx" presStyleLbl="revTx" presStyleIdx="2" presStyleCnt="5">
        <dgm:presLayoutVars>
          <dgm:chMax val="1"/>
          <dgm:bulletEnabled val="1"/>
        </dgm:presLayoutVars>
      </dgm:prSet>
      <dgm:spPr/>
      <dgm:t>
        <a:bodyPr/>
        <a:lstStyle/>
        <a:p>
          <a:endParaRPr lang="en-US"/>
        </a:p>
      </dgm:t>
    </dgm:pt>
    <dgm:pt modelId="{62112DA0-2B42-4B7B-B4CC-F8F5B97C231E}" type="pres">
      <dgm:prSet presAssocID="{AD61A907-D94F-46C9-B30D-7AC3EE928E15}" presName="bracket" presStyleLbl="parChTrans1D1" presStyleIdx="2" presStyleCnt="5"/>
      <dgm:spPr/>
    </dgm:pt>
    <dgm:pt modelId="{4B0595A0-EA62-4393-B3B0-25ED49FD1EDC}" type="pres">
      <dgm:prSet presAssocID="{AD61A907-D94F-46C9-B30D-7AC3EE928E15}" presName="spH" presStyleCnt="0"/>
      <dgm:spPr/>
    </dgm:pt>
    <dgm:pt modelId="{93130918-DC1B-4508-9918-EB7F246B1408}" type="pres">
      <dgm:prSet presAssocID="{AD61A907-D94F-46C9-B30D-7AC3EE928E15}" presName="desTx" presStyleLbl="node1" presStyleIdx="2" presStyleCnt="5">
        <dgm:presLayoutVars>
          <dgm:bulletEnabled val="1"/>
        </dgm:presLayoutVars>
      </dgm:prSet>
      <dgm:spPr/>
      <dgm:t>
        <a:bodyPr/>
        <a:lstStyle/>
        <a:p>
          <a:endParaRPr lang="en-US"/>
        </a:p>
      </dgm:t>
    </dgm:pt>
    <dgm:pt modelId="{DF22E7C8-4371-4170-AB85-7EB3F24E5C95}" type="pres">
      <dgm:prSet presAssocID="{145C57D2-A956-4F91-B675-7BA11E40B237}" presName="spV" presStyleCnt="0"/>
      <dgm:spPr/>
    </dgm:pt>
    <dgm:pt modelId="{86D89912-57D9-484D-9495-00E7D4469EC4}" type="pres">
      <dgm:prSet presAssocID="{F169E321-D789-4292-857D-FA6F012E43E9}" presName="linNode" presStyleCnt="0"/>
      <dgm:spPr/>
    </dgm:pt>
    <dgm:pt modelId="{23B661D5-53A6-4D68-A5B1-46280D08C114}" type="pres">
      <dgm:prSet presAssocID="{F169E321-D789-4292-857D-FA6F012E43E9}" presName="parTx" presStyleLbl="revTx" presStyleIdx="3" presStyleCnt="5">
        <dgm:presLayoutVars>
          <dgm:chMax val="1"/>
          <dgm:bulletEnabled val="1"/>
        </dgm:presLayoutVars>
      </dgm:prSet>
      <dgm:spPr/>
      <dgm:t>
        <a:bodyPr/>
        <a:lstStyle/>
        <a:p>
          <a:endParaRPr lang="en-US"/>
        </a:p>
      </dgm:t>
    </dgm:pt>
    <dgm:pt modelId="{39C05BC7-1C96-4528-B953-42200CFE067A}" type="pres">
      <dgm:prSet presAssocID="{F169E321-D789-4292-857D-FA6F012E43E9}" presName="bracket" presStyleLbl="parChTrans1D1" presStyleIdx="3" presStyleCnt="5"/>
      <dgm:spPr/>
    </dgm:pt>
    <dgm:pt modelId="{FE8D7D41-C3B4-4F79-8E3D-7FC5DF4A2DD7}" type="pres">
      <dgm:prSet presAssocID="{F169E321-D789-4292-857D-FA6F012E43E9}" presName="spH" presStyleCnt="0"/>
      <dgm:spPr/>
    </dgm:pt>
    <dgm:pt modelId="{1CEC9AD3-26EB-477C-A1B2-9D553F45A1AD}" type="pres">
      <dgm:prSet presAssocID="{F169E321-D789-4292-857D-FA6F012E43E9}" presName="desTx" presStyleLbl="node1" presStyleIdx="3" presStyleCnt="5">
        <dgm:presLayoutVars>
          <dgm:bulletEnabled val="1"/>
        </dgm:presLayoutVars>
      </dgm:prSet>
      <dgm:spPr/>
      <dgm:t>
        <a:bodyPr/>
        <a:lstStyle/>
        <a:p>
          <a:endParaRPr lang="en-US"/>
        </a:p>
      </dgm:t>
    </dgm:pt>
    <dgm:pt modelId="{839EE316-8C3A-47A3-B548-E5747676373D}" type="pres">
      <dgm:prSet presAssocID="{E6676EFD-D64B-4AA9-BB07-F560523DA655}" presName="spV" presStyleCnt="0"/>
      <dgm:spPr/>
    </dgm:pt>
    <dgm:pt modelId="{135420CD-23B9-407D-9817-7C947D35893F}" type="pres">
      <dgm:prSet presAssocID="{459B430B-14FA-4FD8-B7F6-2E91C1705941}" presName="linNode" presStyleCnt="0"/>
      <dgm:spPr/>
    </dgm:pt>
    <dgm:pt modelId="{B91091C5-DE5F-41E2-B7E3-FD540C16021F}" type="pres">
      <dgm:prSet presAssocID="{459B430B-14FA-4FD8-B7F6-2E91C1705941}" presName="parTx" presStyleLbl="revTx" presStyleIdx="4" presStyleCnt="5">
        <dgm:presLayoutVars>
          <dgm:chMax val="1"/>
          <dgm:bulletEnabled val="1"/>
        </dgm:presLayoutVars>
      </dgm:prSet>
      <dgm:spPr/>
      <dgm:t>
        <a:bodyPr/>
        <a:lstStyle/>
        <a:p>
          <a:endParaRPr lang="en-US"/>
        </a:p>
      </dgm:t>
    </dgm:pt>
    <dgm:pt modelId="{E84C9C72-BEC8-46B3-8E82-C59D8520ED94}" type="pres">
      <dgm:prSet presAssocID="{459B430B-14FA-4FD8-B7F6-2E91C1705941}" presName="bracket" presStyleLbl="parChTrans1D1" presStyleIdx="4" presStyleCnt="5"/>
      <dgm:spPr/>
    </dgm:pt>
    <dgm:pt modelId="{3D744D6A-018D-4AA8-88C8-3F15CE7A0FE3}" type="pres">
      <dgm:prSet presAssocID="{459B430B-14FA-4FD8-B7F6-2E91C1705941}" presName="spH" presStyleCnt="0"/>
      <dgm:spPr/>
    </dgm:pt>
    <dgm:pt modelId="{2F6FD672-489D-4653-95FF-C55E21EF7061}" type="pres">
      <dgm:prSet presAssocID="{459B430B-14FA-4FD8-B7F6-2E91C1705941}" presName="desTx" presStyleLbl="node1" presStyleIdx="4" presStyleCnt="5">
        <dgm:presLayoutVars>
          <dgm:bulletEnabled val="1"/>
        </dgm:presLayoutVars>
      </dgm:prSet>
      <dgm:spPr/>
      <dgm:t>
        <a:bodyPr/>
        <a:lstStyle/>
        <a:p>
          <a:endParaRPr lang="en-US"/>
        </a:p>
      </dgm:t>
    </dgm:pt>
  </dgm:ptLst>
  <dgm:cxnLst>
    <dgm:cxn modelId="{5D0B3F08-BF49-4EE7-887A-762624D706BD}" type="presOf" srcId="{67747875-D11E-4D76-9A36-F13378BAFD49}" destId="{1CEC9AD3-26EB-477C-A1B2-9D553F45A1AD}" srcOrd="0" destOrd="0" presId="urn:diagrams.loki3.com/BracketList"/>
    <dgm:cxn modelId="{919EBDB3-6B31-40E6-9C9A-C9D1322E837B}" type="presOf" srcId="{F169E321-D789-4292-857D-FA6F012E43E9}" destId="{23B661D5-53A6-4D68-A5B1-46280D08C114}" srcOrd="0" destOrd="0" presId="urn:diagrams.loki3.com/BracketList"/>
    <dgm:cxn modelId="{9BD0DA13-E4C9-42A5-9EC8-D0FB258EA02A}" type="presOf" srcId="{F920EAF8-FFA9-4D43-8B41-CEB0017FBEB5}" destId="{4270771F-6F04-4E86-BFDF-4563FE9B5862}" srcOrd="0" destOrd="0" presId="urn:diagrams.loki3.com/BracketList"/>
    <dgm:cxn modelId="{939C7D08-F6AB-46AC-9C35-CB01B4CE5A88}" srcId="{7E2074FE-76AD-450C-A57B-7145143F93DC}" destId="{962165F8-BEDE-4B71-A353-5DEA57217251}" srcOrd="0" destOrd="0" parTransId="{7DCC74FF-F7A8-4B15-AD72-9288E15DF323}" sibTransId="{BB4211EB-8615-4243-9BDB-CB2D9D8DD2CF}"/>
    <dgm:cxn modelId="{214E7D9A-767C-4A13-9723-E2693C21EA16}" type="presOf" srcId="{8DB48C90-5097-43AC-9C3A-3FD2766AA922}" destId="{FF129228-2894-46F7-86FE-EB034D99BF4D}" srcOrd="0" destOrd="0" presId="urn:diagrams.loki3.com/BracketList"/>
    <dgm:cxn modelId="{BF34C9C9-C8E5-4DC9-9F5A-AD1B17402F9C}" srcId="{AD61A907-D94F-46C9-B30D-7AC3EE928E15}" destId="{D3043675-5FD3-4D17-A2C2-C40C90A7E7ED}" srcOrd="0" destOrd="0" parTransId="{524ECBBB-95E3-40CF-A80D-7CC3A996FC82}" sibTransId="{9267578F-D068-4E52-BDCD-BBC506484509}"/>
    <dgm:cxn modelId="{D27737C8-F728-4021-B442-385CBBEF82EF}" srcId="{F169E321-D789-4292-857D-FA6F012E43E9}" destId="{67747875-D11E-4D76-9A36-F13378BAFD49}" srcOrd="0" destOrd="0" parTransId="{ED210834-9F05-408D-9DE0-E507CA5DF60D}" sibTransId="{0A5E9D01-52AD-480E-AAB3-2CEFE5CF0F6C}"/>
    <dgm:cxn modelId="{814A289B-AA33-49B3-88B9-A969076CFEBE}" type="presOf" srcId="{4FE1BCAB-1C09-45CF-A4B9-03AB99C5C4A7}" destId="{909A4E25-A6C1-4B6E-B5C2-BC00A1100EE6}" srcOrd="0" destOrd="0" presId="urn:diagrams.loki3.com/BracketList"/>
    <dgm:cxn modelId="{E5A6F7CA-DDEA-4730-AF5E-FA42779D60C8}" type="presOf" srcId="{AD61A907-D94F-46C9-B30D-7AC3EE928E15}" destId="{BC988955-E244-43F3-B057-4D1CCB2C3216}" srcOrd="0" destOrd="0" presId="urn:diagrams.loki3.com/BracketList"/>
    <dgm:cxn modelId="{05D5B48F-5918-4278-82FB-B412D5281EC2}" type="presOf" srcId="{D3043675-5FD3-4D17-A2C2-C40C90A7E7ED}" destId="{93130918-DC1B-4508-9918-EB7F246B1408}" srcOrd="0" destOrd="0" presId="urn:diagrams.loki3.com/BracketList"/>
    <dgm:cxn modelId="{9B90E13A-BA8C-4EA5-88E7-BCE99060EB21}" type="presOf" srcId="{459B430B-14FA-4FD8-B7F6-2E91C1705941}" destId="{B91091C5-DE5F-41E2-B7E3-FD540C16021F}" srcOrd="0" destOrd="0" presId="urn:diagrams.loki3.com/BracketList"/>
    <dgm:cxn modelId="{340D9EAE-F05A-4FBA-9DEB-E38BDCA062D3}" type="presOf" srcId="{7E2074FE-76AD-450C-A57B-7145143F93DC}" destId="{06051447-B21D-40B0-979A-C1F47D532254}" srcOrd="0" destOrd="0" presId="urn:diagrams.loki3.com/BracketList"/>
    <dgm:cxn modelId="{F9031E89-7F72-4149-BD1C-B95246F84DAE}" srcId="{459B430B-14FA-4FD8-B7F6-2E91C1705941}" destId="{4F243A6F-85FB-4225-AFD9-BA19C5216677}" srcOrd="0" destOrd="0" parTransId="{2EAF8D4C-53BB-484E-8B53-4E8C6F9C12D7}" sibTransId="{43BFC111-4D64-4F3C-BDB9-DFBE542425B5}"/>
    <dgm:cxn modelId="{30F5C49C-6CE8-4CC5-A190-F94BB9B2C64C}" type="presOf" srcId="{962165F8-BEDE-4B71-A353-5DEA57217251}" destId="{0DCD75DF-73D2-4A6B-8045-0B005908740B}" srcOrd="0" destOrd="0" presId="urn:diagrams.loki3.com/BracketList"/>
    <dgm:cxn modelId="{7E7584AC-0616-4712-8716-B88B67254DAB}" type="presOf" srcId="{4F243A6F-85FB-4225-AFD9-BA19C5216677}" destId="{2F6FD672-489D-4653-95FF-C55E21EF7061}" srcOrd="0" destOrd="0" presId="urn:diagrams.loki3.com/BracketList"/>
    <dgm:cxn modelId="{F58E1F49-CE6D-4236-9EEF-BB48F51CFBBE}" srcId="{8DB48C90-5097-43AC-9C3A-3FD2766AA922}" destId="{7E2074FE-76AD-450C-A57B-7145143F93DC}" srcOrd="1" destOrd="0" parTransId="{BB8740FE-D33A-4F76-8AC4-F5D951BF8009}" sibTransId="{B356A81F-2D0D-443D-AF37-F6348CF23409}"/>
    <dgm:cxn modelId="{39EC1C1F-17EE-4C00-897B-8CB7B8BAC2DF}" srcId="{8DB48C90-5097-43AC-9C3A-3FD2766AA922}" destId="{4FE1BCAB-1C09-45CF-A4B9-03AB99C5C4A7}" srcOrd="0" destOrd="0" parTransId="{F10B458B-32D5-4936-8FB8-DED326EC7E3E}" sibTransId="{6AC3F63F-5018-45EC-BDE0-26388649F36D}"/>
    <dgm:cxn modelId="{DAA8B8FB-B29F-4490-96D0-66B551F35054}" srcId="{8DB48C90-5097-43AC-9C3A-3FD2766AA922}" destId="{459B430B-14FA-4FD8-B7F6-2E91C1705941}" srcOrd="4" destOrd="0" parTransId="{D9D51086-A2EC-4894-96C2-A0FF80E52208}" sibTransId="{53C50961-77F5-4E6B-97E0-A269E6E13020}"/>
    <dgm:cxn modelId="{075BD262-0EF6-47C1-84EB-38DD652870C6}" srcId="{8DB48C90-5097-43AC-9C3A-3FD2766AA922}" destId="{AD61A907-D94F-46C9-B30D-7AC3EE928E15}" srcOrd="2" destOrd="0" parTransId="{7063A88D-EAB7-4E33-87A6-E581DF56F57A}" sibTransId="{145C57D2-A956-4F91-B675-7BA11E40B237}"/>
    <dgm:cxn modelId="{5A5E6A15-3735-4EB1-B224-D4926AFA5EE4}" srcId="{8DB48C90-5097-43AC-9C3A-3FD2766AA922}" destId="{F169E321-D789-4292-857D-FA6F012E43E9}" srcOrd="3" destOrd="0" parTransId="{2E53E287-ECCF-4DBC-9197-D1183C08A6C9}" sibTransId="{E6676EFD-D64B-4AA9-BB07-F560523DA655}"/>
    <dgm:cxn modelId="{F31D67FD-369E-40DF-9A72-831AD18B02CA}" srcId="{4FE1BCAB-1C09-45CF-A4B9-03AB99C5C4A7}" destId="{F920EAF8-FFA9-4D43-8B41-CEB0017FBEB5}" srcOrd="0" destOrd="0" parTransId="{F4A047F1-38C2-4449-953F-3CE5B18943D5}" sibTransId="{2ADED857-6B46-4221-B8B4-1B13608FD4D5}"/>
    <dgm:cxn modelId="{AD47D5A3-F23A-487F-9A54-817E2273D79E}" type="presParOf" srcId="{FF129228-2894-46F7-86FE-EB034D99BF4D}" destId="{C533A3B1-AE87-4DFE-89BB-5AD3EA0E7D6D}" srcOrd="0" destOrd="0" presId="urn:diagrams.loki3.com/BracketList"/>
    <dgm:cxn modelId="{E7B7136D-AA24-4CC4-A88B-621EA5EA9CF6}" type="presParOf" srcId="{C533A3B1-AE87-4DFE-89BB-5AD3EA0E7D6D}" destId="{909A4E25-A6C1-4B6E-B5C2-BC00A1100EE6}" srcOrd="0" destOrd="0" presId="urn:diagrams.loki3.com/BracketList"/>
    <dgm:cxn modelId="{D416DC89-3680-4DA4-8146-A3B9D497DC00}" type="presParOf" srcId="{C533A3B1-AE87-4DFE-89BB-5AD3EA0E7D6D}" destId="{B1AC6E8A-931B-43BA-9A70-BB361402BFFA}" srcOrd="1" destOrd="0" presId="urn:diagrams.loki3.com/BracketList"/>
    <dgm:cxn modelId="{BDC5D15C-5D07-4126-9EB3-93BF1F3A0241}" type="presParOf" srcId="{C533A3B1-AE87-4DFE-89BB-5AD3EA0E7D6D}" destId="{5A82A187-BCD6-45B8-BACD-674C68388955}" srcOrd="2" destOrd="0" presId="urn:diagrams.loki3.com/BracketList"/>
    <dgm:cxn modelId="{2151A51C-C9B1-42DA-8C58-9BFA15453FDF}" type="presParOf" srcId="{C533A3B1-AE87-4DFE-89BB-5AD3EA0E7D6D}" destId="{4270771F-6F04-4E86-BFDF-4563FE9B5862}" srcOrd="3" destOrd="0" presId="urn:diagrams.loki3.com/BracketList"/>
    <dgm:cxn modelId="{B69BE87E-BF2E-45E9-8D17-FE6266E379E1}" type="presParOf" srcId="{FF129228-2894-46F7-86FE-EB034D99BF4D}" destId="{D57B87BD-F811-4A8D-BA90-39A161520983}" srcOrd="1" destOrd="0" presId="urn:diagrams.loki3.com/BracketList"/>
    <dgm:cxn modelId="{75C04ED8-6CA9-4564-AB30-C9552BC0D21D}" type="presParOf" srcId="{FF129228-2894-46F7-86FE-EB034D99BF4D}" destId="{8E065089-C2BD-4B31-8BB6-7DB538CC4B00}" srcOrd="2" destOrd="0" presId="urn:diagrams.loki3.com/BracketList"/>
    <dgm:cxn modelId="{F2547217-C40B-4AFA-BA25-88A2CE2C1076}" type="presParOf" srcId="{8E065089-C2BD-4B31-8BB6-7DB538CC4B00}" destId="{06051447-B21D-40B0-979A-C1F47D532254}" srcOrd="0" destOrd="0" presId="urn:diagrams.loki3.com/BracketList"/>
    <dgm:cxn modelId="{31866DB2-9E67-4736-AA83-179B128CAA5F}" type="presParOf" srcId="{8E065089-C2BD-4B31-8BB6-7DB538CC4B00}" destId="{8AC6A481-16B8-4C6E-9CAC-CDE3FD739A12}" srcOrd="1" destOrd="0" presId="urn:diagrams.loki3.com/BracketList"/>
    <dgm:cxn modelId="{E3173A30-9ED1-480E-9F9D-EEDAA0E6F946}" type="presParOf" srcId="{8E065089-C2BD-4B31-8BB6-7DB538CC4B00}" destId="{B2D52DF3-668F-4336-B3DD-B49EEF639AEA}" srcOrd="2" destOrd="0" presId="urn:diagrams.loki3.com/BracketList"/>
    <dgm:cxn modelId="{F7073263-F5B9-4F3E-B54D-8FDECED6A300}" type="presParOf" srcId="{8E065089-C2BD-4B31-8BB6-7DB538CC4B00}" destId="{0DCD75DF-73D2-4A6B-8045-0B005908740B}" srcOrd="3" destOrd="0" presId="urn:diagrams.loki3.com/BracketList"/>
    <dgm:cxn modelId="{D00C7103-35EA-4F9F-8495-A640A3187E75}" type="presParOf" srcId="{FF129228-2894-46F7-86FE-EB034D99BF4D}" destId="{061645DB-F7D9-40B7-9CF3-E72AE52470D6}" srcOrd="3" destOrd="0" presId="urn:diagrams.loki3.com/BracketList"/>
    <dgm:cxn modelId="{54CDBD4A-B2DB-4123-8968-EA450B62E4E3}" type="presParOf" srcId="{FF129228-2894-46F7-86FE-EB034D99BF4D}" destId="{8D845DD6-7924-4D08-9D41-9BB062D4A454}" srcOrd="4" destOrd="0" presId="urn:diagrams.loki3.com/BracketList"/>
    <dgm:cxn modelId="{523E29B7-4887-4BF7-A330-55DC3F2EF39E}" type="presParOf" srcId="{8D845DD6-7924-4D08-9D41-9BB062D4A454}" destId="{BC988955-E244-43F3-B057-4D1CCB2C3216}" srcOrd="0" destOrd="0" presId="urn:diagrams.loki3.com/BracketList"/>
    <dgm:cxn modelId="{82F9956F-9790-4698-9418-66BA0D891AC8}" type="presParOf" srcId="{8D845DD6-7924-4D08-9D41-9BB062D4A454}" destId="{62112DA0-2B42-4B7B-B4CC-F8F5B97C231E}" srcOrd="1" destOrd="0" presId="urn:diagrams.loki3.com/BracketList"/>
    <dgm:cxn modelId="{120B3A59-A25F-4153-A360-FB49CFD9420A}" type="presParOf" srcId="{8D845DD6-7924-4D08-9D41-9BB062D4A454}" destId="{4B0595A0-EA62-4393-B3B0-25ED49FD1EDC}" srcOrd="2" destOrd="0" presId="urn:diagrams.loki3.com/BracketList"/>
    <dgm:cxn modelId="{C8126AC7-FADC-4A02-AEE9-0B1305EC054A}" type="presParOf" srcId="{8D845DD6-7924-4D08-9D41-9BB062D4A454}" destId="{93130918-DC1B-4508-9918-EB7F246B1408}" srcOrd="3" destOrd="0" presId="urn:diagrams.loki3.com/BracketList"/>
    <dgm:cxn modelId="{2C36B4F4-F5FB-4642-B5AA-CA550E3BBD1A}" type="presParOf" srcId="{FF129228-2894-46F7-86FE-EB034D99BF4D}" destId="{DF22E7C8-4371-4170-AB85-7EB3F24E5C95}" srcOrd="5" destOrd="0" presId="urn:diagrams.loki3.com/BracketList"/>
    <dgm:cxn modelId="{81F3F156-6B31-483C-84B2-1A22D75BCB4D}" type="presParOf" srcId="{FF129228-2894-46F7-86FE-EB034D99BF4D}" destId="{86D89912-57D9-484D-9495-00E7D4469EC4}" srcOrd="6" destOrd="0" presId="urn:diagrams.loki3.com/BracketList"/>
    <dgm:cxn modelId="{43FCC465-3A6D-4256-A5CF-C0B309DD6481}" type="presParOf" srcId="{86D89912-57D9-484D-9495-00E7D4469EC4}" destId="{23B661D5-53A6-4D68-A5B1-46280D08C114}" srcOrd="0" destOrd="0" presId="urn:diagrams.loki3.com/BracketList"/>
    <dgm:cxn modelId="{FF76FF80-CE7D-4AB5-9596-6497B3380806}" type="presParOf" srcId="{86D89912-57D9-484D-9495-00E7D4469EC4}" destId="{39C05BC7-1C96-4528-B953-42200CFE067A}" srcOrd="1" destOrd="0" presId="urn:diagrams.loki3.com/BracketList"/>
    <dgm:cxn modelId="{CDD66F0B-823B-4488-B895-7047D3DCDC9C}" type="presParOf" srcId="{86D89912-57D9-484D-9495-00E7D4469EC4}" destId="{FE8D7D41-C3B4-4F79-8E3D-7FC5DF4A2DD7}" srcOrd="2" destOrd="0" presId="urn:diagrams.loki3.com/BracketList"/>
    <dgm:cxn modelId="{CF1AFEDE-FC7C-4543-B248-B8DDB2EAB47E}" type="presParOf" srcId="{86D89912-57D9-484D-9495-00E7D4469EC4}" destId="{1CEC9AD3-26EB-477C-A1B2-9D553F45A1AD}" srcOrd="3" destOrd="0" presId="urn:diagrams.loki3.com/BracketList"/>
    <dgm:cxn modelId="{0620EC3E-BE42-430B-878B-A87CB0D94415}" type="presParOf" srcId="{FF129228-2894-46F7-86FE-EB034D99BF4D}" destId="{839EE316-8C3A-47A3-B548-E5747676373D}" srcOrd="7" destOrd="0" presId="urn:diagrams.loki3.com/BracketList"/>
    <dgm:cxn modelId="{73A23209-96F0-461C-AF75-82AFABB3E0E0}" type="presParOf" srcId="{FF129228-2894-46F7-86FE-EB034D99BF4D}" destId="{135420CD-23B9-407D-9817-7C947D35893F}" srcOrd="8" destOrd="0" presId="urn:diagrams.loki3.com/BracketList"/>
    <dgm:cxn modelId="{B0B0A3F8-D7C8-49A5-9C88-226BFFB2BFB4}" type="presParOf" srcId="{135420CD-23B9-407D-9817-7C947D35893F}" destId="{B91091C5-DE5F-41E2-B7E3-FD540C16021F}" srcOrd="0" destOrd="0" presId="urn:diagrams.loki3.com/BracketList"/>
    <dgm:cxn modelId="{DBD18131-46D4-406D-9536-9542423CD8CD}" type="presParOf" srcId="{135420CD-23B9-407D-9817-7C947D35893F}" destId="{E84C9C72-BEC8-46B3-8E82-C59D8520ED94}" srcOrd="1" destOrd="0" presId="urn:diagrams.loki3.com/BracketList"/>
    <dgm:cxn modelId="{6E95CCD0-2A90-475E-B75D-06CEBA4B2161}" type="presParOf" srcId="{135420CD-23B9-407D-9817-7C947D35893F}" destId="{3D744D6A-018D-4AA8-88C8-3F15CE7A0FE3}" srcOrd="2" destOrd="0" presId="urn:diagrams.loki3.com/BracketList"/>
    <dgm:cxn modelId="{DD6AC1A3-E3CB-4922-9C3A-32A79DE56210}" type="presParOf" srcId="{135420CD-23B9-407D-9817-7C947D35893F}" destId="{2F6FD672-489D-4653-95FF-C55E21EF7061}" srcOrd="3" destOrd="0" presId="urn:diagrams.loki3.com/BracketList"/>
  </dgm:cxnLst>
  <dgm:bg/>
  <dgm:whole/>
</dgm:dataModel>
</file>

<file path=word/diagrams/data3.xml><?xml version="1.0" encoding="utf-8"?>
<dgm:dataModel xmlns:dgm="http://schemas.openxmlformats.org/drawingml/2006/diagram" xmlns:a="http://schemas.openxmlformats.org/drawingml/2006/main">
  <dgm:ptLst>
    <dgm:pt modelId="{ED231368-3E7E-4A48-8E73-8F8D350E8669}" type="doc">
      <dgm:prSet loTypeId="urn:microsoft.com/office/officeart/2008/layout/LinedList" loCatId="list" qsTypeId="urn:microsoft.com/office/officeart/2005/8/quickstyle/simple1" qsCatId="simple" csTypeId="urn:microsoft.com/office/officeart/2005/8/colors/colorful1#2" csCatId="colorful" phldr="1"/>
      <dgm:spPr/>
      <dgm:t>
        <a:bodyPr/>
        <a:lstStyle/>
        <a:p>
          <a:endParaRPr lang="en-US"/>
        </a:p>
      </dgm:t>
    </dgm:pt>
    <dgm:pt modelId="{B51003BC-6C5E-479F-B906-B3826784E9E3}">
      <dgm:prSet phldrT="[Text]" custT="1"/>
      <dgm:spPr/>
      <dgm:t>
        <a:bodyPr/>
        <a:lstStyle/>
        <a:p>
          <a:pPr algn="ctr"/>
          <a:r>
            <a:rPr lang="en-US" sz="1100">
              <a:latin typeface="Times New Roman" panose="02020603050405020304" pitchFamily="18" charset="0"/>
              <a:cs typeface="Times New Roman" panose="02020603050405020304" pitchFamily="18" charset="0"/>
            </a:rPr>
            <a:t>Efficient Operations</a:t>
          </a:r>
        </a:p>
      </dgm:t>
    </dgm:pt>
    <dgm:pt modelId="{D4D92EF2-1870-4767-AF54-77D5819AC277}" type="parTrans" cxnId="{DA63025C-58C2-48A2-811A-346A8116F716}">
      <dgm:prSet/>
      <dgm:spPr/>
      <dgm:t>
        <a:bodyPr/>
        <a:lstStyle/>
        <a:p>
          <a:endParaRPr lang="en-US"/>
        </a:p>
      </dgm:t>
    </dgm:pt>
    <dgm:pt modelId="{E9BDB3F6-BC04-4E8B-8352-B6851E499970}" type="sibTrans" cxnId="{DA63025C-58C2-48A2-811A-346A8116F716}">
      <dgm:prSet/>
      <dgm:spPr/>
      <dgm:t>
        <a:bodyPr/>
        <a:lstStyle/>
        <a:p>
          <a:endParaRPr lang="en-US"/>
        </a:p>
      </dgm:t>
    </dgm:pt>
    <dgm:pt modelId="{CB8799BC-9CE2-4E86-A080-C5A66D9565ED}">
      <dgm:prSet custT="1"/>
      <dgm:spPr/>
      <dgm:t>
        <a:bodyPr/>
        <a:lstStyle/>
        <a:p>
          <a:pPr algn="ctr"/>
          <a:r>
            <a:rPr lang="en-US" sz="1100">
              <a:latin typeface="Times New Roman" panose="02020603050405020304" pitchFamily="18" charset="0"/>
              <a:cs typeface="Times New Roman" panose="02020603050405020304" pitchFamily="18" charset="0"/>
            </a:rPr>
            <a:t>Customer Communication</a:t>
          </a:r>
        </a:p>
      </dgm:t>
    </dgm:pt>
    <dgm:pt modelId="{BE13ADED-BAAD-4C3B-8D9B-0CBE22EC8BD8}" type="parTrans" cxnId="{19496BC7-2F3F-4AF4-B944-C396B2672A05}">
      <dgm:prSet/>
      <dgm:spPr/>
      <dgm:t>
        <a:bodyPr/>
        <a:lstStyle/>
        <a:p>
          <a:endParaRPr lang="en-US"/>
        </a:p>
      </dgm:t>
    </dgm:pt>
    <dgm:pt modelId="{763C088F-6106-49C7-A1FB-C0AF4F0F78D4}" type="sibTrans" cxnId="{19496BC7-2F3F-4AF4-B944-C396B2672A05}">
      <dgm:prSet/>
      <dgm:spPr/>
      <dgm:t>
        <a:bodyPr/>
        <a:lstStyle/>
        <a:p>
          <a:endParaRPr lang="en-US"/>
        </a:p>
      </dgm:t>
    </dgm:pt>
    <dgm:pt modelId="{4994EB67-1B3A-4E21-8E49-8C4BF6E07E9D}">
      <dgm:prSet custT="1"/>
      <dgm:spPr/>
      <dgm:t>
        <a:bodyPr/>
        <a:lstStyle/>
        <a:p>
          <a:pPr algn="ctr"/>
          <a:r>
            <a:rPr lang="en-US" sz="1100">
              <a:latin typeface="Times New Roman" panose="02020603050405020304" pitchFamily="18" charset="0"/>
              <a:cs typeface="Times New Roman" panose="02020603050405020304" pitchFamily="18" charset="0"/>
            </a:rPr>
            <a:t>Supplier Collaboration</a:t>
          </a:r>
        </a:p>
      </dgm:t>
    </dgm:pt>
    <dgm:pt modelId="{239BF29A-41AE-4600-AC0C-9023A17FFD2E}" type="parTrans" cxnId="{9C784A5B-62CB-43C1-A2BE-80673AA072D3}">
      <dgm:prSet/>
      <dgm:spPr/>
      <dgm:t>
        <a:bodyPr/>
        <a:lstStyle/>
        <a:p>
          <a:endParaRPr lang="en-US"/>
        </a:p>
      </dgm:t>
    </dgm:pt>
    <dgm:pt modelId="{EFD41836-2A52-4484-8EAC-E0B88694B1BF}" type="sibTrans" cxnId="{9C784A5B-62CB-43C1-A2BE-80673AA072D3}">
      <dgm:prSet/>
      <dgm:spPr/>
      <dgm:t>
        <a:bodyPr/>
        <a:lstStyle/>
        <a:p>
          <a:endParaRPr lang="en-US"/>
        </a:p>
      </dgm:t>
    </dgm:pt>
    <dgm:pt modelId="{6A5F480D-BB88-4CAD-95D5-DEF4D8ECF0CA}">
      <dgm:prSet custT="1"/>
      <dgm:spPr/>
      <dgm:t>
        <a:bodyPr/>
        <a:lstStyle/>
        <a:p>
          <a:pPr algn="ctr"/>
          <a:r>
            <a:rPr lang="en-US" sz="1100">
              <a:latin typeface="Times New Roman" panose="02020603050405020304" pitchFamily="18" charset="0"/>
              <a:cs typeface="Times New Roman" panose="02020603050405020304" pitchFamily="18" charset="0"/>
            </a:rPr>
            <a:t>Digital Quality Systems</a:t>
          </a:r>
        </a:p>
      </dgm:t>
    </dgm:pt>
    <dgm:pt modelId="{DCD2D980-1F76-49D4-907A-D1C74B85ECB8}" type="parTrans" cxnId="{85518C17-FEA5-4BDE-B0A9-47C6E0F2AA27}">
      <dgm:prSet/>
      <dgm:spPr/>
      <dgm:t>
        <a:bodyPr/>
        <a:lstStyle/>
        <a:p>
          <a:endParaRPr lang="en-US"/>
        </a:p>
      </dgm:t>
    </dgm:pt>
    <dgm:pt modelId="{833DB2A9-52FE-4D72-ABDF-44C3D714C6B2}" type="sibTrans" cxnId="{85518C17-FEA5-4BDE-B0A9-47C6E0F2AA27}">
      <dgm:prSet/>
      <dgm:spPr/>
      <dgm:t>
        <a:bodyPr/>
        <a:lstStyle/>
        <a:p>
          <a:endParaRPr lang="en-US"/>
        </a:p>
      </dgm:t>
    </dgm:pt>
    <dgm:pt modelId="{1D7A8880-1DDE-4118-8999-2670F1C001D7}">
      <dgm:prSet custT="1"/>
      <dgm:spPr/>
      <dgm:t>
        <a:bodyPr/>
        <a:lstStyle/>
        <a:p>
          <a:pPr algn="ctr"/>
          <a:r>
            <a:rPr lang="en-US" sz="1100">
              <a:latin typeface="Times New Roman" panose="02020603050405020304" pitchFamily="18" charset="0"/>
              <a:cs typeface="Times New Roman" panose="02020603050405020304" pitchFamily="18" charset="0"/>
            </a:rPr>
            <a:t>Organisational Learning</a:t>
          </a:r>
        </a:p>
      </dgm:t>
    </dgm:pt>
    <dgm:pt modelId="{C472A238-2EF5-4FD5-8492-7FBF8FE132B7}" type="parTrans" cxnId="{46B855C8-5A66-4F3B-887C-9441E2D40840}">
      <dgm:prSet/>
      <dgm:spPr/>
      <dgm:t>
        <a:bodyPr/>
        <a:lstStyle/>
        <a:p>
          <a:endParaRPr lang="en-US"/>
        </a:p>
      </dgm:t>
    </dgm:pt>
    <dgm:pt modelId="{449EB7DB-D560-41E5-B78A-F6568B908D07}" type="sibTrans" cxnId="{46B855C8-5A66-4F3B-887C-9441E2D40840}">
      <dgm:prSet/>
      <dgm:spPr/>
      <dgm:t>
        <a:bodyPr/>
        <a:lstStyle/>
        <a:p>
          <a:endParaRPr lang="en-US"/>
        </a:p>
      </dgm:t>
    </dgm:pt>
    <dgm:pt modelId="{524349A8-90BE-473D-AF2E-0F0D4A9185DA}">
      <dgm:prSet phldrT="[Text]" custT="1"/>
      <dgm:spPr/>
      <dgm:t>
        <a:bodyPr/>
        <a:lstStyle/>
        <a:p>
          <a:pPr algn="ctr"/>
          <a:r>
            <a:rPr lang="en-US" sz="1100">
              <a:latin typeface="Times New Roman" panose="02020603050405020304" pitchFamily="18" charset="0"/>
              <a:cs typeface="Times New Roman" panose="02020603050405020304" pitchFamily="18" charset="0"/>
            </a:rPr>
            <a:t>Good process control and fast recall response reduce direct and indirect expenses.</a:t>
          </a:r>
        </a:p>
      </dgm:t>
    </dgm:pt>
    <dgm:pt modelId="{FDD392C8-C907-4B5C-855A-C2FE1B0FC350}" type="parTrans" cxnId="{5A3DC1BE-D0E1-4B90-82E0-7A52FCBDDD0B}">
      <dgm:prSet/>
      <dgm:spPr/>
      <dgm:t>
        <a:bodyPr/>
        <a:lstStyle/>
        <a:p>
          <a:endParaRPr lang="en-US"/>
        </a:p>
      </dgm:t>
    </dgm:pt>
    <dgm:pt modelId="{9C0D0F5E-7F55-49F1-A101-76D4D59E9107}" type="sibTrans" cxnId="{5A3DC1BE-D0E1-4B90-82E0-7A52FCBDDD0B}">
      <dgm:prSet/>
      <dgm:spPr/>
      <dgm:t>
        <a:bodyPr/>
        <a:lstStyle/>
        <a:p>
          <a:endParaRPr lang="en-US"/>
        </a:p>
      </dgm:t>
    </dgm:pt>
    <dgm:pt modelId="{0B9866D1-6713-4336-BE0A-6C1C326B0BB0}">
      <dgm:prSet custT="1"/>
      <dgm:spPr/>
      <dgm:t>
        <a:bodyPr/>
        <a:lstStyle/>
        <a:p>
          <a:pPr algn="ctr"/>
          <a:r>
            <a:rPr lang="en-US" sz="1100">
              <a:latin typeface="Times New Roman" panose="02020603050405020304" pitchFamily="18" charset="0"/>
              <a:cs typeface="Times New Roman" panose="02020603050405020304" pitchFamily="18" charset="0"/>
            </a:rPr>
            <a:t>Clear instructions and increased return rates minimise exposure of failure from the outside in (Raithel et al., 2023).</a:t>
          </a:r>
        </a:p>
      </dgm:t>
    </dgm:pt>
    <dgm:pt modelId="{BD1AC642-1098-4700-B335-EA7CCBA98691}" type="parTrans" cxnId="{73C48B23-ED2A-41CB-8260-6AEFD2EBC6C2}">
      <dgm:prSet/>
      <dgm:spPr/>
      <dgm:t>
        <a:bodyPr/>
        <a:lstStyle/>
        <a:p>
          <a:endParaRPr lang="en-US"/>
        </a:p>
      </dgm:t>
    </dgm:pt>
    <dgm:pt modelId="{E5BCF42C-7BCD-447F-BE10-CE09D2FE9F46}" type="sibTrans" cxnId="{73C48B23-ED2A-41CB-8260-6AEFD2EBC6C2}">
      <dgm:prSet/>
      <dgm:spPr/>
      <dgm:t>
        <a:bodyPr/>
        <a:lstStyle/>
        <a:p>
          <a:endParaRPr lang="en-US"/>
        </a:p>
      </dgm:t>
    </dgm:pt>
    <dgm:pt modelId="{7B858AAD-9738-4310-999A-8C7FB01C4089}">
      <dgm:prSet custT="1"/>
      <dgm:spPr/>
      <dgm:t>
        <a:bodyPr/>
        <a:lstStyle/>
        <a:p>
          <a:pPr algn="ctr"/>
          <a:r>
            <a:rPr lang="en-US" sz="1100">
              <a:latin typeface="Times New Roman" panose="02020603050405020304" pitchFamily="18" charset="0"/>
              <a:cs typeface="Times New Roman" panose="02020603050405020304" pitchFamily="18" charset="0"/>
            </a:rPr>
            <a:t>Post-recall cooperation with suppliers is driving innovation and design improvement.</a:t>
          </a:r>
        </a:p>
      </dgm:t>
    </dgm:pt>
    <dgm:pt modelId="{BDB34B18-1B76-4718-9C89-89A7F68B269E}" type="parTrans" cxnId="{B4B7F9CB-1ED9-4FDB-9963-D41E15C71C7C}">
      <dgm:prSet/>
      <dgm:spPr/>
      <dgm:t>
        <a:bodyPr/>
        <a:lstStyle/>
        <a:p>
          <a:endParaRPr lang="en-US"/>
        </a:p>
      </dgm:t>
    </dgm:pt>
    <dgm:pt modelId="{6AF8CE28-20A5-4E98-B3D3-E1417366E460}" type="sibTrans" cxnId="{B4B7F9CB-1ED9-4FDB-9963-D41E15C71C7C}">
      <dgm:prSet/>
      <dgm:spPr/>
      <dgm:t>
        <a:bodyPr/>
        <a:lstStyle/>
        <a:p>
          <a:endParaRPr lang="en-US"/>
        </a:p>
      </dgm:t>
    </dgm:pt>
    <dgm:pt modelId="{F1EAA868-B0C7-40D0-A46D-D341FA631CC5}">
      <dgm:prSet custT="1"/>
      <dgm:spPr/>
      <dgm:t>
        <a:bodyPr/>
        <a:lstStyle/>
        <a:p>
          <a:pPr algn="ctr"/>
          <a:r>
            <a:rPr lang="en-US" sz="1100">
              <a:latin typeface="Times New Roman" panose="02020603050405020304" pitchFamily="18" charset="0"/>
              <a:cs typeface="Times New Roman" panose="02020603050405020304" pitchFamily="18" charset="0"/>
            </a:rPr>
            <a:t>CAPA-based QMS tools simply ensure traceability and optimal use of resources (Honeywell, 2025).</a:t>
          </a:r>
        </a:p>
      </dgm:t>
    </dgm:pt>
    <dgm:pt modelId="{F209569A-8732-4786-A305-DC17A8B9F164}" type="parTrans" cxnId="{1251B462-7233-4B9B-8922-2723EC05BEF5}">
      <dgm:prSet/>
      <dgm:spPr/>
      <dgm:t>
        <a:bodyPr/>
        <a:lstStyle/>
        <a:p>
          <a:endParaRPr lang="en-US"/>
        </a:p>
      </dgm:t>
    </dgm:pt>
    <dgm:pt modelId="{4E025803-9F84-4EC7-BFC9-C853766089C6}" type="sibTrans" cxnId="{1251B462-7233-4B9B-8922-2723EC05BEF5}">
      <dgm:prSet/>
      <dgm:spPr/>
      <dgm:t>
        <a:bodyPr/>
        <a:lstStyle/>
        <a:p>
          <a:endParaRPr lang="en-US"/>
        </a:p>
      </dgm:t>
    </dgm:pt>
    <dgm:pt modelId="{71677786-6468-4C76-89D7-AC1598E65675}">
      <dgm:prSet custT="1"/>
      <dgm:spPr/>
      <dgm:t>
        <a:bodyPr/>
        <a:lstStyle/>
        <a:p>
          <a:pPr algn="ctr"/>
          <a:r>
            <a:rPr lang="en-US" sz="1100">
              <a:latin typeface="Times New Roman" panose="02020603050405020304" pitchFamily="18" charset="0"/>
              <a:cs typeface="Times New Roman" panose="02020603050405020304" pitchFamily="18" charset="0"/>
            </a:rPr>
            <a:t>Real-time surveillance and data-based data implement economy over the long term.</a:t>
          </a:r>
        </a:p>
      </dgm:t>
    </dgm:pt>
    <dgm:pt modelId="{EA190E22-CAEC-4CF9-A234-7C16A279A312}" type="parTrans" cxnId="{95A1C484-2786-4210-ABCE-0E76BB1F6B9A}">
      <dgm:prSet/>
      <dgm:spPr/>
      <dgm:t>
        <a:bodyPr/>
        <a:lstStyle/>
        <a:p>
          <a:endParaRPr lang="en-US"/>
        </a:p>
      </dgm:t>
    </dgm:pt>
    <dgm:pt modelId="{607FFEC3-2DDA-4E8C-85E0-C2BA6FEB5C0E}" type="sibTrans" cxnId="{95A1C484-2786-4210-ABCE-0E76BB1F6B9A}">
      <dgm:prSet/>
      <dgm:spPr/>
      <dgm:t>
        <a:bodyPr/>
        <a:lstStyle/>
        <a:p>
          <a:endParaRPr lang="en-US"/>
        </a:p>
      </dgm:t>
    </dgm:pt>
    <dgm:pt modelId="{C9EEF6CB-DC15-469A-AA76-717D9C500008}" type="pres">
      <dgm:prSet presAssocID="{ED231368-3E7E-4A48-8E73-8F8D350E8669}" presName="vert0" presStyleCnt="0">
        <dgm:presLayoutVars>
          <dgm:dir/>
          <dgm:animOne val="branch"/>
          <dgm:animLvl val="lvl"/>
        </dgm:presLayoutVars>
      </dgm:prSet>
      <dgm:spPr/>
      <dgm:t>
        <a:bodyPr/>
        <a:lstStyle/>
        <a:p>
          <a:endParaRPr lang="en-US"/>
        </a:p>
      </dgm:t>
    </dgm:pt>
    <dgm:pt modelId="{BF5006EA-C0DE-44B6-BC9E-F553D28CEE85}" type="pres">
      <dgm:prSet presAssocID="{B51003BC-6C5E-479F-B906-B3826784E9E3}" presName="thickLine" presStyleLbl="alignNode1" presStyleIdx="0" presStyleCnt="5"/>
      <dgm:spPr/>
    </dgm:pt>
    <dgm:pt modelId="{1FD1C7B3-DEA3-4243-97C6-CA15F97F3612}" type="pres">
      <dgm:prSet presAssocID="{B51003BC-6C5E-479F-B906-B3826784E9E3}" presName="horz1" presStyleCnt="0"/>
      <dgm:spPr/>
    </dgm:pt>
    <dgm:pt modelId="{74F64AA2-60CB-469D-8540-0728F0ED8901}" type="pres">
      <dgm:prSet presAssocID="{B51003BC-6C5E-479F-B906-B3826784E9E3}" presName="tx1" presStyleLbl="revTx" presStyleIdx="0" presStyleCnt="10"/>
      <dgm:spPr/>
      <dgm:t>
        <a:bodyPr/>
        <a:lstStyle/>
        <a:p>
          <a:endParaRPr lang="en-US"/>
        </a:p>
      </dgm:t>
    </dgm:pt>
    <dgm:pt modelId="{4F8C0FB6-793E-4B53-89F9-04CB77657B27}" type="pres">
      <dgm:prSet presAssocID="{B51003BC-6C5E-479F-B906-B3826784E9E3}" presName="vert1" presStyleCnt="0"/>
      <dgm:spPr/>
    </dgm:pt>
    <dgm:pt modelId="{7E22E715-270F-4174-A9BE-FF5757CB74DA}" type="pres">
      <dgm:prSet presAssocID="{524349A8-90BE-473D-AF2E-0F0D4A9185DA}" presName="vertSpace2a" presStyleCnt="0"/>
      <dgm:spPr/>
    </dgm:pt>
    <dgm:pt modelId="{4D6ECD99-8FB6-4EFB-B8DD-5D981025D01A}" type="pres">
      <dgm:prSet presAssocID="{524349A8-90BE-473D-AF2E-0F0D4A9185DA}" presName="horz2" presStyleCnt="0"/>
      <dgm:spPr/>
    </dgm:pt>
    <dgm:pt modelId="{AD2BD987-5799-4490-B3AF-CF9A765C75BD}" type="pres">
      <dgm:prSet presAssocID="{524349A8-90BE-473D-AF2E-0F0D4A9185DA}" presName="horzSpace2" presStyleCnt="0"/>
      <dgm:spPr/>
    </dgm:pt>
    <dgm:pt modelId="{9BC7DC09-AB4F-492D-96AE-D93B7FA802E3}" type="pres">
      <dgm:prSet presAssocID="{524349A8-90BE-473D-AF2E-0F0D4A9185DA}" presName="tx2" presStyleLbl="revTx" presStyleIdx="1" presStyleCnt="10"/>
      <dgm:spPr/>
      <dgm:t>
        <a:bodyPr/>
        <a:lstStyle/>
        <a:p>
          <a:endParaRPr lang="en-US"/>
        </a:p>
      </dgm:t>
    </dgm:pt>
    <dgm:pt modelId="{3E21F88B-3834-4A38-ACD8-9E79D1E2F54F}" type="pres">
      <dgm:prSet presAssocID="{524349A8-90BE-473D-AF2E-0F0D4A9185DA}" presName="vert2" presStyleCnt="0"/>
      <dgm:spPr/>
    </dgm:pt>
    <dgm:pt modelId="{17CCA973-5B3E-42FD-BD87-61130FC514CB}" type="pres">
      <dgm:prSet presAssocID="{524349A8-90BE-473D-AF2E-0F0D4A9185DA}" presName="thinLine2b" presStyleLbl="callout" presStyleIdx="0" presStyleCnt="5"/>
      <dgm:spPr/>
    </dgm:pt>
    <dgm:pt modelId="{28DFF577-F371-41EE-B72F-D120B5D7D610}" type="pres">
      <dgm:prSet presAssocID="{524349A8-90BE-473D-AF2E-0F0D4A9185DA}" presName="vertSpace2b" presStyleCnt="0"/>
      <dgm:spPr/>
    </dgm:pt>
    <dgm:pt modelId="{3C9EFA0F-0EA0-4A9A-B87C-89F7EC708530}" type="pres">
      <dgm:prSet presAssocID="{CB8799BC-9CE2-4E86-A080-C5A66D9565ED}" presName="thickLine" presStyleLbl="alignNode1" presStyleIdx="1" presStyleCnt="5"/>
      <dgm:spPr/>
    </dgm:pt>
    <dgm:pt modelId="{36DFF9FC-7A57-4B89-9F95-3EF9E6EFC320}" type="pres">
      <dgm:prSet presAssocID="{CB8799BC-9CE2-4E86-A080-C5A66D9565ED}" presName="horz1" presStyleCnt="0"/>
      <dgm:spPr/>
    </dgm:pt>
    <dgm:pt modelId="{59EF89B5-E343-4327-A88B-F9D10ADEDF86}" type="pres">
      <dgm:prSet presAssocID="{CB8799BC-9CE2-4E86-A080-C5A66D9565ED}" presName="tx1" presStyleLbl="revTx" presStyleIdx="2" presStyleCnt="10"/>
      <dgm:spPr/>
      <dgm:t>
        <a:bodyPr/>
        <a:lstStyle/>
        <a:p>
          <a:endParaRPr lang="en-US"/>
        </a:p>
      </dgm:t>
    </dgm:pt>
    <dgm:pt modelId="{3C2370F5-B4D1-4551-8B5D-77DD2E55C7A5}" type="pres">
      <dgm:prSet presAssocID="{CB8799BC-9CE2-4E86-A080-C5A66D9565ED}" presName="vert1" presStyleCnt="0"/>
      <dgm:spPr/>
    </dgm:pt>
    <dgm:pt modelId="{B046F7F4-B703-4CDF-95DB-4FAB049A1B53}" type="pres">
      <dgm:prSet presAssocID="{0B9866D1-6713-4336-BE0A-6C1C326B0BB0}" presName="vertSpace2a" presStyleCnt="0"/>
      <dgm:spPr/>
    </dgm:pt>
    <dgm:pt modelId="{C5CC6E30-9F9A-487D-89FF-83AF240B2220}" type="pres">
      <dgm:prSet presAssocID="{0B9866D1-6713-4336-BE0A-6C1C326B0BB0}" presName="horz2" presStyleCnt="0"/>
      <dgm:spPr/>
    </dgm:pt>
    <dgm:pt modelId="{F6C43BFA-0C7A-45AF-9369-BCE265E4042D}" type="pres">
      <dgm:prSet presAssocID="{0B9866D1-6713-4336-BE0A-6C1C326B0BB0}" presName="horzSpace2" presStyleCnt="0"/>
      <dgm:spPr/>
    </dgm:pt>
    <dgm:pt modelId="{DB480620-F951-43D5-8D46-0C5995FCCE07}" type="pres">
      <dgm:prSet presAssocID="{0B9866D1-6713-4336-BE0A-6C1C326B0BB0}" presName="tx2" presStyleLbl="revTx" presStyleIdx="3" presStyleCnt="10"/>
      <dgm:spPr/>
      <dgm:t>
        <a:bodyPr/>
        <a:lstStyle/>
        <a:p>
          <a:endParaRPr lang="en-US"/>
        </a:p>
      </dgm:t>
    </dgm:pt>
    <dgm:pt modelId="{57BE4B81-D7F4-42F1-BFA2-1F6187C5907E}" type="pres">
      <dgm:prSet presAssocID="{0B9866D1-6713-4336-BE0A-6C1C326B0BB0}" presName="vert2" presStyleCnt="0"/>
      <dgm:spPr/>
    </dgm:pt>
    <dgm:pt modelId="{B993327D-6726-4C9F-AABC-8F791A509F1D}" type="pres">
      <dgm:prSet presAssocID="{0B9866D1-6713-4336-BE0A-6C1C326B0BB0}" presName="thinLine2b" presStyleLbl="callout" presStyleIdx="1" presStyleCnt="5"/>
      <dgm:spPr/>
    </dgm:pt>
    <dgm:pt modelId="{4FFCD0D7-4E50-4DD7-92E4-C72C19A86F71}" type="pres">
      <dgm:prSet presAssocID="{0B9866D1-6713-4336-BE0A-6C1C326B0BB0}" presName="vertSpace2b" presStyleCnt="0"/>
      <dgm:spPr/>
    </dgm:pt>
    <dgm:pt modelId="{52076956-4BCB-44C5-AB89-A94814527CAF}" type="pres">
      <dgm:prSet presAssocID="{4994EB67-1B3A-4E21-8E49-8C4BF6E07E9D}" presName="thickLine" presStyleLbl="alignNode1" presStyleIdx="2" presStyleCnt="5"/>
      <dgm:spPr/>
    </dgm:pt>
    <dgm:pt modelId="{C18A55DC-9B50-4AA4-A785-AE9D7615C0D5}" type="pres">
      <dgm:prSet presAssocID="{4994EB67-1B3A-4E21-8E49-8C4BF6E07E9D}" presName="horz1" presStyleCnt="0"/>
      <dgm:spPr/>
    </dgm:pt>
    <dgm:pt modelId="{2B9E0B39-2AB3-4179-AD25-EFD4B35B4E95}" type="pres">
      <dgm:prSet presAssocID="{4994EB67-1B3A-4E21-8E49-8C4BF6E07E9D}" presName="tx1" presStyleLbl="revTx" presStyleIdx="4" presStyleCnt="10"/>
      <dgm:spPr/>
      <dgm:t>
        <a:bodyPr/>
        <a:lstStyle/>
        <a:p>
          <a:endParaRPr lang="en-US"/>
        </a:p>
      </dgm:t>
    </dgm:pt>
    <dgm:pt modelId="{6C5915CD-6667-4F91-9E09-9FC16A67498E}" type="pres">
      <dgm:prSet presAssocID="{4994EB67-1B3A-4E21-8E49-8C4BF6E07E9D}" presName="vert1" presStyleCnt="0"/>
      <dgm:spPr/>
    </dgm:pt>
    <dgm:pt modelId="{6FD973B1-0CA0-4506-A20D-C20437297869}" type="pres">
      <dgm:prSet presAssocID="{7B858AAD-9738-4310-999A-8C7FB01C4089}" presName="vertSpace2a" presStyleCnt="0"/>
      <dgm:spPr/>
    </dgm:pt>
    <dgm:pt modelId="{F990140C-4C32-4565-BC29-74EDD15C8A61}" type="pres">
      <dgm:prSet presAssocID="{7B858AAD-9738-4310-999A-8C7FB01C4089}" presName="horz2" presStyleCnt="0"/>
      <dgm:spPr/>
    </dgm:pt>
    <dgm:pt modelId="{B79A3580-4CDF-450D-BE61-F96A8F39D280}" type="pres">
      <dgm:prSet presAssocID="{7B858AAD-9738-4310-999A-8C7FB01C4089}" presName="horzSpace2" presStyleCnt="0"/>
      <dgm:spPr/>
    </dgm:pt>
    <dgm:pt modelId="{0BA49EFB-D2A1-4FCD-9EF3-C9CC9B10BD90}" type="pres">
      <dgm:prSet presAssocID="{7B858AAD-9738-4310-999A-8C7FB01C4089}" presName="tx2" presStyleLbl="revTx" presStyleIdx="5" presStyleCnt="10"/>
      <dgm:spPr/>
      <dgm:t>
        <a:bodyPr/>
        <a:lstStyle/>
        <a:p>
          <a:endParaRPr lang="en-US"/>
        </a:p>
      </dgm:t>
    </dgm:pt>
    <dgm:pt modelId="{F0F65A45-B190-4083-9D97-CD31B48C246A}" type="pres">
      <dgm:prSet presAssocID="{7B858AAD-9738-4310-999A-8C7FB01C4089}" presName="vert2" presStyleCnt="0"/>
      <dgm:spPr/>
    </dgm:pt>
    <dgm:pt modelId="{6F51B2F4-BA91-44A2-AB1D-2B5226AB2C9B}" type="pres">
      <dgm:prSet presAssocID="{7B858AAD-9738-4310-999A-8C7FB01C4089}" presName="thinLine2b" presStyleLbl="callout" presStyleIdx="2" presStyleCnt="5"/>
      <dgm:spPr/>
    </dgm:pt>
    <dgm:pt modelId="{C0CA4947-23B5-44F7-826B-6A56A9A80974}" type="pres">
      <dgm:prSet presAssocID="{7B858AAD-9738-4310-999A-8C7FB01C4089}" presName="vertSpace2b" presStyleCnt="0"/>
      <dgm:spPr/>
    </dgm:pt>
    <dgm:pt modelId="{6AF4DF1A-A6B0-4735-8143-287D685D5615}" type="pres">
      <dgm:prSet presAssocID="{6A5F480D-BB88-4CAD-95D5-DEF4D8ECF0CA}" presName="thickLine" presStyleLbl="alignNode1" presStyleIdx="3" presStyleCnt="5"/>
      <dgm:spPr/>
    </dgm:pt>
    <dgm:pt modelId="{9B878480-1D01-40C5-987C-E237F766AFF4}" type="pres">
      <dgm:prSet presAssocID="{6A5F480D-BB88-4CAD-95D5-DEF4D8ECF0CA}" presName="horz1" presStyleCnt="0"/>
      <dgm:spPr/>
    </dgm:pt>
    <dgm:pt modelId="{21593927-1EBA-46E0-930B-1702A9D545A2}" type="pres">
      <dgm:prSet presAssocID="{6A5F480D-BB88-4CAD-95D5-DEF4D8ECF0CA}" presName="tx1" presStyleLbl="revTx" presStyleIdx="6" presStyleCnt="10"/>
      <dgm:spPr/>
      <dgm:t>
        <a:bodyPr/>
        <a:lstStyle/>
        <a:p>
          <a:endParaRPr lang="en-US"/>
        </a:p>
      </dgm:t>
    </dgm:pt>
    <dgm:pt modelId="{5569C9C8-CAC9-4821-BCD6-3FE76606E0F9}" type="pres">
      <dgm:prSet presAssocID="{6A5F480D-BB88-4CAD-95D5-DEF4D8ECF0CA}" presName="vert1" presStyleCnt="0"/>
      <dgm:spPr/>
    </dgm:pt>
    <dgm:pt modelId="{A8453DD6-E078-4E30-8924-13946CE6437D}" type="pres">
      <dgm:prSet presAssocID="{F1EAA868-B0C7-40D0-A46D-D341FA631CC5}" presName="vertSpace2a" presStyleCnt="0"/>
      <dgm:spPr/>
    </dgm:pt>
    <dgm:pt modelId="{EE494BFD-C237-4C20-9D7C-915C3E2D7F98}" type="pres">
      <dgm:prSet presAssocID="{F1EAA868-B0C7-40D0-A46D-D341FA631CC5}" presName="horz2" presStyleCnt="0"/>
      <dgm:spPr/>
    </dgm:pt>
    <dgm:pt modelId="{05F213B9-60A4-44FE-894D-C5CC527C4380}" type="pres">
      <dgm:prSet presAssocID="{F1EAA868-B0C7-40D0-A46D-D341FA631CC5}" presName="horzSpace2" presStyleCnt="0"/>
      <dgm:spPr/>
    </dgm:pt>
    <dgm:pt modelId="{4EAFA44C-B201-4C3A-8FE3-0847239D4BE4}" type="pres">
      <dgm:prSet presAssocID="{F1EAA868-B0C7-40D0-A46D-D341FA631CC5}" presName="tx2" presStyleLbl="revTx" presStyleIdx="7" presStyleCnt="10"/>
      <dgm:spPr/>
      <dgm:t>
        <a:bodyPr/>
        <a:lstStyle/>
        <a:p>
          <a:endParaRPr lang="en-US"/>
        </a:p>
      </dgm:t>
    </dgm:pt>
    <dgm:pt modelId="{3DA561D2-BC7D-48AF-8C14-CD854CBFF17A}" type="pres">
      <dgm:prSet presAssocID="{F1EAA868-B0C7-40D0-A46D-D341FA631CC5}" presName="vert2" presStyleCnt="0"/>
      <dgm:spPr/>
    </dgm:pt>
    <dgm:pt modelId="{0D14DCC4-D092-4ED0-B945-B26DB183D482}" type="pres">
      <dgm:prSet presAssocID="{F1EAA868-B0C7-40D0-A46D-D341FA631CC5}" presName="thinLine2b" presStyleLbl="callout" presStyleIdx="3" presStyleCnt="5"/>
      <dgm:spPr/>
    </dgm:pt>
    <dgm:pt modelId="{0F79AE83-4F57-4E73-88DF-F25AFB90BDCC}" type="pres">
      <dgm:prSet presAssocID="{F1EAA868-B0C7-40D0-A46D-D341FA631CC5}" presName="vertSpace2b" presStyleCnt="0"/>
      <dgm:spPr/>
    </dgm:pt>
    <dgm:pt modelId="{8D78C96D-C623-4F51-A051-27F6F171EEA2}" type="pres">
      <dgm:prSet presAssocID="{1D7A8880-1DDE-4118-8999-2670F1C001D7}" presName="thickLine" presStyleLbl="alignNode1" presStyleIdx="4" presStyleCnt="5"/>
      <dgm:spPr/>
    </dgm:pt>
    <dgm:pt modelId="{DE38CDA2-A6AF-4549-B04F-625ED39F93E9}" type="pres">
      <dgm:prSet presAssocID="{1D7A8880-1DDE-4118-8999-2670F1C001D7}" presName="horz1" presStyleCnt="0"/>
      <dgm:spPr/>
    </dgm:pt>
    <dgm:pt modelId="{84814CB3-76B4-4013-AEFB-F4FF6F5ADF2A}" type="pres">
      <dgm:prSet presAssocID="{1D7A8880-1DDE-4118-8999-2670F1C001D7}" presName="tx1" presStyleLbl="revTx" presStyleIdx="8" presStyleCnt="10"/>
      <dgm:spPr/>
      <dgm:t>
        <a:bodyPr/>
        <a:lstStyle/>
        <a:p>
          <a:endParaRPr lang="en-US"/>
        </a:p>
      </dgm:t>
    </dgm:pt>
    <dgm:pt modelId="{B8DC5923-A088-40A8-A44E-67110CC718A9}" type="pres">
      <dgm:prSet presAssocID="{1D7A8880-1DDE-4118-8999-2670F1C001D7}" presName="vert1" presStyleCnt="0"/>
      <dgm:spPr/>
    </dgm:pt>
    <dgm:pt modelId="{1C82B490-D031-4847-B213-356E5A845576}" type="pres">
      <dgm:prSet presAssocID="{71677786-6468-4C76-89D7-AC1598E65675}" presName="vertSpace2a" presStyleCnt="0"/>
      <dgm:spPr/>
    </dgm:pt>
    <dgm:pt modelId="{8A21BDF1-AFA7-4273-9AEE-EFCF82198ED2}" type="pres">
      <dgm:prSet presAssocID="{71677786-6468-4C76-89D7-AC1598E65675}" presName="horz2" presStyleCnt="0"/>
      <dgm:spPr/>
    </dgm:pt>
    <dgm:pt modelId="{57F2E567-7582-429F-838D-E7861FE86609}" type="pres">
      <dgm:prSet presAssocID="{71677786-6468-4C76-89D7-AC1598E65675}" presName="horzSpace2" presStyleCnt="0"/>
      <dgm:spPr/>
    </dgm:pt>
    <dgm:pt modelId="{2349ECBA-6931-43C7-8690-39F56F468F2A}" type="pres">
      <dgm:prSet presAssocID="{71677786-6468-4C76-89D7-AC1598E65675}" presName="tx2" presStyleLbl="revTx" presStyleIdx="9" presStyleCnt="10"/>
      <dgm:spPr/>
      <dgm:t>
        <a:bodyPr/>
        <a:lstStyle/>
        <a:p>
          <a:endParaRPr lang="en-US"/>
        </a:p>
      </dgm:t>
    </dgm:pt>
    <dgm:pt modelId="{BEABB472-30CD-459B-81DD-4FB9FAAE7ACF}" type="pres">
      <dgm:prSet presAssocID="{71677786-6468-4C76-89D7-AC1598E65675}" presName="vert2" presStyleCnt="0"/>
      <dgm:spPr/>
    </dgm:pt>
    <dgm:pt modelId="{8E758FC9-B2E6-40E7-8A10-A371034C2E7F}" type="pres">
      <dgm:prSet presAssocID="{71677786-6468-4C76-89D7-AC1598E65675}" presName="thinLine2b" presStyleLbl="callout" presStyleIdx="4" presStyleCnt="5"/>
      <dgm:spPr/>
    </dgm:pt>
    <dgm:pt modelId="{0F39AE39-E8ED-4EEC-B51E-F2842ECD2D88}" type="pres">
      <dgm:prSet presAssocID="{71677786-6468-4C76-89D7-AC1598E65675}" presName="vertSpace2b" presStyleCnt="0"/>
      <dgm:spPr/>
    </dgm:pt>
  </dgm:ptLst>
  <dgm:cxnLst>
    <dgm:cxn modelId="{0483DC12-81E8-49C3-AF40-ECC6A2F7E5CC}" type="presOf" srcId="{F1EAA868-B0C7-40D0-A46D-D341FA631CC5}" destId="{4EAFA44C-B201-4C3A-8FE3-0847239D4BE4}" srcOrd="0" destOrd="0" presId="urn:microsoft.com/office/officeart/2008/layout/LinedList"/>
    <dgm:cxn modelId="{95A1C484-2786-4210-ABCE-0E76BB1F6B9A}" srcId="{1D7A8880-1DDE-4118-8999-2670F1C001D7}" destId="{71677786-6468-4C76-89D7-AC1598E65675}" srcOrd="0" destOrd="0" parTransId="{EA190E22-CAEC-4CF9-A234-7C16A279A312}" sibTransId="{607FFEC3-2DDA-4E8C-85E0-C2BA6FEB5C0E}"/>
    <dgm:cxn modelId="{732B6713-0C4B-453F-A10C-1B1A767F50E7}" type="presOf" srcId="{4994EB67-1B3A-4E21-8E49-8C4BF6E07E9D}" destId="{2B9E0B39-2AB3-4179-AD25-EFD4B35B4E95}" srcOrd="0" destOrd="0" presId="urn:microsoft.com/office/officeart/2008/layout/LinedList"/>
    <dgm:cxn modelId="{73C48B23-ED2A-41CB-8260-6AEFD2EBC6C2}" srcId="{CB8799BC-9CE2-4E86-A080-C5A66D9565ED}" destId="{0B9866D1-6713-4336-BE0A-6C1C326B0BB0}" srcOrd="0" destOrd="0" parTransId="{BD1AC642-1098-4700-B335-EA7CCBA98691}" sibTransId="{E5BCF42C-7BCD-447F-BE10-CE09D2FE9F46}"/>
    <dgm:cxn modelId="{EE43DFD0-A5E8-41BB-BCFD-6E4C797AACFA}" type="presOf" srcId="{71677786-6468-4C76-89D7-AC1598E65675}" destId="{2349ECBA-6931-43C7-8690-39F56F468F2A}" srcOrd="0" destOrd="0" presId="urn:microsoft.com/office/officeart/2008/layout/LinedList"/>
    <dgm:cxn modelId="{3A9B4DD7-E73C-4893-ACB0-2905BE5586EF}" type="presOf" srcId="{ED231368-3E7E-4A48-8E73-8F8D350E8669}" destId="{C9EEF6CB-DC15-469A-AA76-717D9C500008}" srcOrd="0" destOrd="0" presId="urn:microsoft.com/office/officeart/2008/layout/LinedList"/>
    <dgm:cxn modelId="{D1C24AF1-7123-4511-96B1-98308B67B1EF}" type="presOf" srcId="{B51003BC-6C5E-479F-B906-B3826784E9E3}" destId="{74F64AA2-60CB-469D-8540-0728F0ED8901}" srcOrd="0" destOrd="0" presId="urn:microsoft.com/office/officeart/2008/layout/LinedList"/>
    <dgm:cxn modelId="{6D0D256C-9D23-4F34-94F0-41AEBB2860AC}" type="presOf" srcId="{CB8799BC-9CE2-4E86-A080-C5A66D9565ED}" destId="{59EF89B5-E343-4327-A88B-F9D10ADEDF86}" srcOrd="0" destOrd="0" presId="urn:microsoft.com/office/officeart/2008/layout/LinedList"/>
    <dgm:cxn modelId="{46B855C8-5A66-4F3B-887C-9441E2D40840}" srcId="{ED231368-3E7E-4A48-8E73-8F8D350E8669}" destId="{1D7A8880-1DDE-4118-8999-2670F1C001D7}" srcOrd="4" destOrd="0" parTransId="{C472A238-2EF5-4FD5-8492-7FBF8FE132B7}" sibTransId="{449EB7DB-D560-41E5-B78A-F6568B908D07}"/>
    <dgm:cxn modelId="{DA63025C-58C2-48A2-811A-346A8116F716}" srcId="{ED231368-3E7E-4A48-8E73-8F8D350E8669}" destId="{B51003BC-6C5E-479F-B906-B3826784E9E3}" srcOrd="0" destOrd="0" parTransId="{D4D92EF2-1870-4767-AF54-77D5819AC277}" sibTransId="{E9BDB3F6-BC04-4E8B-8352-B6851E499970}"/>
    <dgm:cxn modelId="{19496BC7-2F3F-4AF4-B944-C396B2672A05}" srcId="{ED231368-3E7E-4A48-8E73-8F8D350E8669}" destId="{CB8799BC-9CE2-4E86-A080-C5A66D9565ED}" srcOrd="1" destOrd="0" parTransId="{BE13ADED-BAAD-4C3B-8D9B-0CBE22EC8BD8}" sibTransId="{763C088F-6106-49C7-A1FB-C0AF4F0F78D4}"/>
    <dgm:cxn modelId="{83789035-D0E6-48E4-9108-72D1A692F6DF}" type="presOf" srcId="{7B858AAD-9738-4310-999A-8C7FB01C4089}" destId="{0BA49EFB-D2A1-4FCD-9EF3-C9CC9B10BD90}" srcOrd="0" destOrd="0" presId="urn:microsoft.com/office/officeart/2008/layout/LinedList"/>
    <dgm:cxn modelId="{1251B462-7233-4B9B-8922-2723EC05BEF5}" srcId="{6A5F480D-BB88-4CAD-95D5-DEF4D8ECF0CA}" destId="{F1EAA868-B0C7-40D0-A46D-D341FA631CC5}" srcOrd="0" destOrd="0" parTransId="{F209569A-8732-4786-A305-DC17A8B9F164}" sibTransId="{4E025803-9F84-4EC7-BFC9-C853766089C6}"/>
    <dgm:cxn modelId="{85518C17-FEA5-4BDE-B0A9-47C6E0F2AA27}" srcId="{ED231368-3E7E-4A48-8E73-8F8D350E8669}" destId="{6A5F480D-BB88-4CAD-95D5-DEF4D8ECF0CA}" srcOrd="3" destOrd="0" parTransId="{DCD2D980-1F76-49D4-907A-D1C74B85ECB8}" sibTransId="{833DB2A9-52FE-4D72-ABDF-44C3D714C6B2}"/>
    <dgm:cxn modelId="{1D40C8F9-966F-4D21-8155-2CF08737FED0}" type="presOf" srcId="{6A5F480D-BB88-4CAD-95D5-DEF4D8ECF0CA}" destId="{21593927-1EBA-46E0-930B-1702A9D545A2}" srcOrd="0" destOrd="0" presId="urn:microsoft.com/office/officeart/2008/layout/LinedList"/>
    <dgm:cxn modelId="{5A3DC1BE-D0E1-4B90-82E0-7A52FCBDDD0B}" srcId="{B51003BC-6C5E-479F-B906-B3826784E9E3}" destId="{524349A8-90BE-473D-AF2E-0F0D4A9185DA}" srcOrd="0" destOrd="0" parTransId="{FDD392C8-C907-4B5C-855A-C2FE1B0FC350}" sibTransId="{9C0D0F5E-7F55-49F1-A101-76D4D59E9107}"/>
    <dgm:cxn modelId="{9C784A5B-62CB-43C1-A2BE-80673AA072D3}" srcId="{ED231368-3E7E-4A48-8E73-8F8D350E8669}" destId="{4994EB67-1B3A-4E21-8E49-8C4BF6E07E9D}" srcOrd="2" destOrd="0" parTransId="{239BF29A-41AE-4600-AC0C-9023A17FFD2E}" sibTransId="{EFD41836-2A52-4484-8EAC-E0B88694B1BF}"/>
    <dgm:cxn modelId="{ECA7D3D7-3513-4B60-B21C-569B71DFB7BD}" type="presOf" srcId="{1D7A8880-1DDE-4118-8999-2670F1C001D7}" destId="{84814CB3-76B4-4013-AEFB-F4FF6F5ADF2A}" srcOrd="0" destOrd="0" presId="urn:microsoft.com/office/officeart/2008/layout/LinedList"/>
    <dgm:cxn modelId="{92081504-8938-488B-8EB6-DD332638E806}" type="presOf" srcId="{0B9866D1-6713-4336-BE0A-6C1C326B0BB0}" destId="{DB480620-F951-43D5-8D46-0C5995FCCE07}" srcOrd="0" destOrd="0" presId="urn:microsoft.com/office/officeart/2008/layout/LinedList"/>
    <dgm:cxn modelId="{B4B7F9CB-1ED9-4FDB-9963-D41E15C71C7C}" srcId="{4994EB67-1B3A-4E21-8E49-8C4BF6E07E9D}" destId="{7B858AAD-9738-4310-999A-8C7FB01C4089}" srcOrd="0" destOrd="0" parTransId="{BDB34B18-1B76-4718-9C89-89A7F68B269E}" sibTransId="{6AF8CE28-20A5-4E98-B3D3-E1417366E460}"/>
    <dgm:cxn modelId="{89B81C83-BFFC-430F-A6DA-84B539542D66}" type="presOf" srcId="{524349A8-90BE-473D-AF2E-0F0D4A9185DA}" destId="{9BC7DC09-AB4F-492D-96AE-D93B7FA802E3}" srcOrd="0" destOrd="0" presId="urn:microsoft.com/office/officeart/2008/layout/LinedList"/>
    <dgm:cxn modelId="{4989693C-6351-49ED-8474-1342BE4CD9E9}" type="presParOf" srcId="{C9EEF6CB-DC15-469A-AA76-717D9C500008}" destId="{BF5006EA-C0DE-44B6-BC9E-F553D28CEE85}" srcOrd="0" destOrd="0" presId="urn:microsoft.com/office/officeart/2008/layout/LinedList"/>
    <dgm:cxn modelId="{28439994-6AE1-4278-A9A1-5A3CC241D6B0}" type="presParOf" srcId="{C9EEF6CB-DC15-469A-AA76-717D9C500008}" destId="{1FD1C7B3-DEA3-4243-97C6-CA15F97F3612}" srcOrd="1" destOrd="0" presId="urn:microsoft.com/office/officeart/2008/layout/LinedList"/>
    <dgm:cxn modelId="{F08FDB3B-B951-4C09-A0CD-3E80213D1EFF}" type="presParOf" srcId="{1FD1C7B3-DEA3-4243-97C6-CA15F97F3612}" destId="{74F64AA2-60CB-469D-8540-0728F0ED8901}" srcOrd="0" destOrd="0" presId="urn:microsoft.com/office/officeart/2008/layout/LinedList"/>
    <dgm:cxn modelId="{FBE5C3A4-83A3-40A7-9C8C-2587A3DB405D}" type="presParOf" srcId="{1FD1C7B3-DEA3-4243-97C6-CA15F97F3612}" destId="{4F8C0FB6-793E-4B53-89F9-04CB77657B27}" srcOrd="1" destOrd="0" presId="urn:microsoft.com/office/officeart/2008/layout/LinedList"/>
    <dgm:cxn modelId="{744C13A7-A15B-405B-8B70-F15DDA0286C8}" type="presParOf" srcId="{4F8C0FB6-793E-4B53-89F9-04CB77657B27}" destId="{7E22E715-270F-4174-A9BE-FF5757CB74DA}" srcOrd="0" destOrd="0" presId="urn:microsoft.com/office/officeart/2008/layout/LinedList"/>
    <dgm:cxn modelId="{0DB7F2D6-FB7D-4D91-940A-4CE5FFAA31CE}" type="presParOf" srcId="{4F8C0FB6-793E-4B53-89F9-04CB77657B27}" destId="{4D6ECD99-8FB6-4EFB-B8DD-5D981025D01A}" srcOrd="1" destOrd="0" presId="urn:microsoft.com/office/officeart/2008/layout/LinedList"/>
    <dgm:cxn modelId="{5FBBB75B-F1AE-47A5-AD26-1AB2BDA1CBE0}" type="presParOf" srcId="{4D6ECD99-8FB6-4EFB-B8DD-5D981025D01A}" destId="{AD2BD987-5799-4490-B3AF-CF9A765C75BD}" srcOrd="0" destOrd="0" presId="urn:microsoft.com/office/officeart/2008/layout/LinedList"/>
    <dgm:cxn modelId="{D9D3EFE4-DC90-41A2-8828-7ABC02E35B59}" type="presParOf" srcId="{4D6ECD99-8FB6-4EFB-B8DD-5D981025D01A}" destId="{9BC7DC09-AB4F-492D-96AE-D93B7FA802E3}" srcOrd="1" destOrd="0" presId="urn:microsoft.com/office/officeart/2008/layout/LinedList"/>
    <dgm:cxn modelId="{E3342F4D-007F-4A75-B94A-F4175B5F87A4}" type="presParOf" srcId="{4D6ECD99-8FB6-4EFB-B8DD-5D981025D01A}" destId="{3E21F88B-3834-4A38-ACD8-9E79D1E2F54F}" srcOrd="2" destOrd="0" presId="urn:microsoft.com/office/officeart/2008/layout/LinedList"/>
    <dgm:cxn modelId="{5E612DCD-D837-4004-85FD-115D9C738D39}" type="presParOf" srcId="{4F8C0FB6-793E-4B53-89F9-04CB77657B27}" destId="{17CCA973-5B3E-42FD-BD87-61130FC514CB}" srcOrd="2" destOrd="0" presId="urn:microsoft.com/office/officeart/2008/layout/LinedList"/>
    <dgm:cxn modelId="{A3F50AC5-CC2B-46C3-8595-388F8168D12F}" type="presParOf" srcId="{4F8C0FB6-793E-4B53-89F9-04CB77657B27}" destId="{28DFF577-F371-41EE-B72F-D120B5D7D610}" srcOrd="3" destOrd="0" presId="urn:microsoft.com/office/officeart/2008/layout/LinedList"/>
    <dgm:cxn modelId="{8908311A-AC38-4CBC-8131-770593025181}" type="presParOf" srcId="{C9EEF6CB-DC15-469A-AA76-717D9C500008}" destId="{3C9EFA0F-0EA0-4A9A-B87C-89F7EC708530}" srcOrd="2" destOrd="0" presId="urn:microsoft.com/office/officeart/2008/layout/LinedList"/>
    <dgm:cxn modelId="{B25A4D49-D455-42AD-9112-C5C3C3899BE7}" type="presParOf" srcId="{C9EEF6CB-DC15-469A-AA76-717D9C500008}" destId="{36DFF9FC-7A57-4B89-9F95-3EF9E6EFC320}" srcOrd="3" destOrd="0" presId="urn:microsoft.com/office/officeart/2008/layout/LinedList"/>
    <dgm:cxn modelId="{DF053AB8-78A6-43BE-A00B-7F793282B0D5}" type="presParOf" srcId="{36DFF9FC-7A57-4B89-9F95-3EF9E6EFC320}" destId="{59EF89B5-E343-4327-A88B-F9D10ADEDF86}" srcOrd="0" destOrd="0" presId="urn:microsoft.com/office/officeart/2008/layout/LinedList"/>
    <dgm:cxn modelId="{CE302113-C566-4CCB-843A-083A1D91B603}" type="presParOf" srcId="{36DFF9FC-7A57-4B89-9F95-3EF9E6EFC320}" destId="{3C2370F5-B4D1-4551-8B5D-77DD2E55C7A5}" srcOrd="1" destOrd="0" presId="urn:microsoft.com/office/officeart/2008/layout/LinedList"/>
    <dgm:cxn modelId="{C70E0536-4307-4CF2-BACA-624C74EF14D8}" type="presParOf" srcId="{3C2370F5-B4D1-4551-8B5D-77DD2E55C7A5}" destId="{B046F7F4-B703-4CDF-95DB-4FAB049A1B53}" srcOrd="0" destOrd="0" presId="urn:microsoft.com/office/officeart/2008/layout/LinedList"/>
    <dgm:cxn modelId="{A0F6B5DD-897E-4790-99E8-7F4B84C6EDB0}" type="presParOf" srcId="{3C2370F5-B4D1-4551-8B5D-77DD2E55C7A5}" destId="{C5CC6E30-9F9A-487D-89FF-83AF240B2220}" srcOrd="1" destOrd="0" presId="urn:microsoft.com/office/officeart/2008/layout/LinedList"/>
    <dgm:cxn modelId="{F11E813F-89EF-470F-96BE-F7F9F2A150FA}" type="presParOf" srcId="{C5CC6E30-9F9A-487D-89FF-83AF240B2220}" destId="{F6C43BFA-0C7A-45AF-9369-BCE265E4042D}" srcOrd="0" destOrd="0" presId="urn:microsoft.com/office/officeart/2008/layout/LinedList"/>
    <dgm:cxn modelId="{824984FB-CCF7-4697-A76D-F52879E1AA24}" type="presParOf" srcId="{C5CC6E30-9F9A-487D-89FF-83AF240B2220}" destId="{DB480620-F951-43D5-8D46-0C5995FCCE07}" srcOrd="1" destOrd="0" presId="urn:microsoft.com/office/officeart/2008/layout/LinedList"/>
    <dgm:cxn modelId="{937E74C3-3906-4783-9DC4-0CAC929E2860}" type="presParOf" srcId="{C5CC6E30-9F9A-487D-89FF-83AF240B2220}" destId="{57BE4B81-D7F4-42F1-BFA2-1F6187C5907E}" srcOrd="2" destOrd="0" presId="urn:microsoft.com/office/officeart/2008/layout/LinedList"/>
    <dgm:cxn modelId="{E3EBDC16-79D8-4689-BB8F-8805DAFF1027}" type="presParOf" srcId="{3C2370F5-B4D1-4551-8B5D-77DD2E55C7A5}" destId="{B993327D-6726-4C9F-AABC-8F791A509F1D}" srcOrd="2" destOrd="0" presId="urn:microsoft.com/office/officeart/2008/layout/LinedList"/>
    <dgm:cxn modelId="{3B0CD90E-55A9-4B88-9C9C-67FDD5112812}" type="presParOf" srcId="{3C2370F5-B4D1-4551-8B5D-77DD2E55C7A5}" destId="{4FFCD0D7-4E50-4DD7-92E4-C72C19A86F71}" srcOrd="3" destOrd="0" presId="urn:microsoft.com/office/officeart/2008/layout/LinedList"/>
    <dgm:cxn modelId="{EFD76F7E-731C-4030-A069-DE46D1C78A87}" type="presParOf" srcId="{C9EEF6CB-DC15-469A-AA76-717D9C500008}" destId="{52076956-4BCB-44C5-AB89-A94814527CAF}" srcOrd="4" destOrd="0" presId="urn:microsoft.com/office/officeart/2008/layout/LinedList"/>
    <dgm:cxn modelId="{8EF61366-641C-4DEF-BD7B-5548798002AB}" type="presParOf" srcId="{C9EEF6CB-DC15-469A-AA76-717D9C500008}" destId="{C18A55DC-9B50-4AA4-A785-AE9D7615C0D5}" srcOrd="5" destOrd="0" presId="urn:microsoft.com/office/officeart/2008/layout/LinedList"/>
    <dgm:cxn modelId="{0051DF97-706E-425B-A9D7-C0009C2CBF52}" type="presParOf" srcId="{C18A55DC-9B50-4AA4-A785-AE9D7615C0D5}" destId="{2B9E0B39-2AB3-4179-AD25-EFD4B35B4E95}" srcOrd="0" destOrd="0" presId="urn:microsoft.com/office/officeart/2008/layout/LinedList"/>
    <dgm:cxn modelId="{84E49AED-EEFC-499D-A6C0-326E74128636}" type="presParOf" srcId="{C18A55DC-9B50-4AA4-A785-AE9D7615C0D5}" destId="{6C5915CD-6667-4F91-9E09-9FC16A67498E}" srcOrd="1" destOrd="0" presId="urn:microsoft.com/office/officeart/2008/layout/LinedList"/>
    <dgm:cxn modelId="{ED9E56C8-6F0B-4ECE-AFA1-5261890BA9E9}" type="presParOf" srcId="{6C5915CD-6667-4F91-9E09-9FC16A67498E}" destId="{6FD973B1-0CA0-4506-A20D-C20437297869}" srcOrd="0" destOrd="0" presId="urn:microsoft.com/office/officeart/2008/layout/LinedList"/>
    <dgm:cxn modelId="{4A9D8BA1-3801-48AE-B908-6E03E8C90E3A}" type="presParOf" srcId="{6C5915CD-6667-4F91-9E09-9FC16A67498E}" destId="{F990140C-4C32-4565-BC29-74EDD15C8A61}" srcOrd="1" destOrd="0" presId="urn:microsoft.com/office/officeart/2008/layout/LinedList"/>
    <dgm:cxn modelId="{07C542D6-CFC0-48F1-A68A-E64EC8D0D4A1}" type="presParOf" srcId="{F990140C-4C32-4565-BC29-74EDD15C8A61}" destId="{B79A3580-4CDF-450D-BE61-F96A8F39D280}" srcOrd="0" destOrd="0" presId="urn:microsoft.com/office/officeart/2008/layout/LinedList"/>
    <dgm:cxn modelId="{7E0E2FAA-1AFE-49A3-BDA4-D40F0C516DB8}" type="presParOf" srcId="{F990140C-4C32-4565-BC29-74EDD15C8A61}" destId="{0BA49EFB-D2A1-4FCD-9EF3-C9CC9B10BD90}" srcOrd="1" destOrd="0" presId="urn:microsoft.com/office/officeart/2008/layout/LinedList"/>
    <dgm:cxn modelId="{83BCFAC8-12D3-4974-9E0D-7C3D36944D89}" type="presParOf" srcId="{F990140C-4C32-4565-BC29-74EDD15C8A61}" destId="{F0F65A45-B190-4083-9D97-CD31B48C246A}" srcOrd="2" destOrd="0" presId="urn:microsoft.com/office/officeart/2008/layout/LinedList"/>
    <dgm:cxn modelId="{CC8CA22C-FDC9-46DF-81D7-CC3F8BA2BFB7}" type="presParOf" srcId="{6C5915CD-6667-4F91-9E09-9FC16A67498E}" destId="{6F51B2F4-BA91-44A2-AB1D-2B5226AB2C9B}" srcOrd="2" destOrd="0" presId="urn:microsoft.com/office/officeart/2008/layout/LinedList"/>
    <dgm:cxn modelId="{B346949D-BB0B-49DA-ACC5-85986906173B}" type="presParOf" srcId="{6C5915CD-6667-4F91-9E09-9FC16A67498E}" destId="{C0CA4947-23B5-44F7-826B-6A56A9A80974}" srcOrd="3" destOrd="0" presId="urn:microsoft.com/office/officeart/2008/layout/LinedList"/>
    <dgm:cxn modelId="{5B4BDF98-D812-4D6A-B43D-40B44AC36F26}" type="presParOf" srcId="{C9EEF6CB-DC15-469A-AA76-717D9C500008}" destId="{6AF4DF1A-A6B0-4735-8143-287D685D5615}" srcOrd="6" destOrd="0" presId="urn:microsoft.com/office/officeart/2008/layout/LinedList"/>
    <dgm:cxn modelId="{5A233672-6B6A-46CF-B8F1-6AB5F211DDD4}" type="presParOf" srcId="{C9EEF6CB-DC15-469A-AA76-717D9C500008}" destId="{9B878480-1D01-40C5-987C-E237F766AFF4}" srcOrd="7" destOrd="0" presId="urn:microsoft.com/office/officeart/2008/layout/LinedList"/>
    <dgm:cxn modelId="{370A995C-FA21-48A8-8829-3B464081A764}" type="presParOf" srcId="{9B878480-1D01-40C5-987C-E237F766AFF4}" destId="{21593927-1EBA-46E0-930B-1702A9D545A2}" srcOrd="0" destOrd="0" presId="urn:microsoft.com/office/officeart/2008/layout/LinedList"/>
    <dgm:cxn modelId="{BCFD87B7-241A-4438-872F-7DC9356D05B6}" type="presParOf" srcId="{9B878480-1D01-40C5-987C-E237F766AFF4}" destId="{5569C9C8-CAC9-4821-BCD6-3FE76606E0F9}" srcOrd="1" destOrd="0" presId="urn:microsoft.com/office/officeart/2008/layout/LinedList"/>
    <dgm:cxn modelId="{759E0327-02F8-4A62-BDF3-836E45B1006C}" type="presParOf" srcId="{5569C9C8-CAC9-4821-BCD6-3FE76606E0F9}" destId="{A8453DD6-E078-4E30-8924-13946CE6437D}" srcOrd="0" destOrd="0" presId="urn:microsoft.com/office/officeart/2008/layout/LinedList"/>
    <dgm:cxn modelId="{5D5E4CD7-7B00-421D-ACCF-DEE20F45FF06}" type="presParOf" srcId="{5569C9C8-CAC9-4821-BCD6-3FE76606E0F9}" destId="{EE494BFD-C237-4C20-9D7C-915C3E2D7F98}" srcOrd="1" destOrd="0" presId="urn:microsoft.com/office/officeart/2008/layout/LinedList"/>
    <dgm:cxn modelId="{1DB902BC-1988-413A-ACB7-426302C504C8}" type="presParOf" srcId="{EE494BFD-C237-4C20-9D7C-915C3E2D7F98}" destId="{05F213B9-60A4-44FE-894D-C5CC527C4380}" srcOrd="0" destOrd="0" presId="urn:microsoft.com/office/officeart/2008/layout/LinedList"/>
    <dgm:cxn modelId="{D63B2D98-A22F-449D-9D3C-83212C41D450}" type="presParOf" srcId="{EE494BFD-C237-4C20-9D7C-915C3E2D7F98}" destId="{4EAFA44C-B201-4C3A-8FE3-0847239D4BE4}" srcOrd="1" destOrd="0" presId="urn:microsoft.com/office/officeart/2008/layout/LinedList"/>
    <dgm:cxn modelId="{18493A6E-851C-47F8-BE20-5FB095AB5E7E}" type="presParOf" srcId="{EE494BFD-C237-4C20-9D7C-915C3E2D7F98}" destId="{3DA561D2-BC7D-48AF-8C14-CD854CBFF17A}" srcOrd="2" destOrd="0" presId="urn:microsoft.com/office/officeart/2008/layout/LinedList"/>
    <dgm:cxn modelId="{BE9E7B3B-5B80-4E85-A1CD-ED2ADBCC77EF}" type="presParOf" srcId="{5569C9C8-CAC9-4821-BCD6-3FE76606E0F9}" destId="{0D14DCC4-D092-4ED0-B945-B26DB183D482}" srcOrd="2" destOrd="0" presId="urn:microsoft.com/office/officeart/2008/layout/LinedList"/>
    <dgm:cxn modelId="{D9474EA0-DFB0-4672-BB79-DD8C60DB0DC5}" type="presParOf" srcId="{5569C9C8-CAC9-4821-BCD6-3FE76606E0F9}" destId="{0F79AE83-4F57-4E73-88DF-F25AFB90BDCC}" srcOrd="3" destOrd="0" presId="urn:microsoft.com/office/officeart/2008/layout/LinedList"/>
    <dgm:cxn modelId="{0068F122-7801-4101-B7E8-6AE0704A97E0}" type="presParOf" srcId="{C9EEF6CB-DC15-469A-AA76-717D9C500008}" destId="{8D78C96D-C623-4F51-A051-27F6F171EEA2}" srcOrd="8" destOrd="0" presId="urn:microsoft.com/office/officeart/2008/layout/LinedList"/>
    <dgm:cxn modelId="{4EEEF7FF-3140-4527-9C8E-CDA767E139CD}" type="presParOf" srcId="{C9EEF6CB-DC15-469A-AA76-717D9C500008}" destId="{DE38CDA2-A6AF-4549-B04F-625ED39F93E9}" srcOrd="9" destOrd="0" presId="urn:microsoft.com/office/officeart/2008/layout/LinedList"/>
    <dgm:cxn modelId="{6076EAE4-802F-41B8-88DE-6CBFD805CB42}" type="presParOf" srcId="{DE38CDA2-A6AF-4549-B04F-625ED39F93E9}" destId="{84814CB3-76B4-4013-AEFB-F4FF6F5ADF2A}" srcOrd="0" destOrd="0" presId="urn:microsoft.com/office/officeart/2008/layout/LinedList"/>
    <dgm:cxn modelId="{FFFEBFB1-DC3C-4527-B536-0993E7E96A67}" type="presParOf" srcId="{DE38CDA2-A6AF-4549-B04F-625ED39F93E9}" destId="{B8DC5923-A088-40A8-A44E-67110CC718A9}" srcOrd="1" destOrd="0" presId="urn:microsoft.com/office/officeart/2008/layout/LinedList"/>
    <dgm:cxn modelId="{7DC4A205-1613-48B6-9BC3-643063B68435}" type="presParOf" srcId="{B8DC5923-A088-40A8-A44E-67110CC718A9}" destId="{1C82B490-D031-4847-B213-356E5A845576}" srcOrd="0" destOrd="0" presId="urn:microsoft.com/office/officeart/2008/layout/LinedList"/>
    <dgm:cxn modelId="{BBCC401F-1E91-44E5-850E-649358B4CD59}" type="presParOf" srcId="{B8DC5923-A088-40A8-A44E-67110CC718A9}" destId="{8A21BDF1-AFA7-4273-9AEE-EFCF82198ED2}" srcOrd="1" destOrd="0" presId="urn:microsoft.com/office/officeart/2008/layout/LinedList"/>
    <dgm:cxn modelId="{4814FE5B-3B3A-4CC4-B96A-7F0F9BD2D2CE}" type="presParOf" srcId="{8A21BDF1-AFA7-4273-9AEE-EFCF82198ED2}" destId="{57F2E567-7582-429F-838D-E7861FE86609}" srcOrd="0" destOrd="0" presId="urn:microsoft.com/office/officeart/2008/layout/LinedList"/>
    <dgm:cxn modelId="{E2840A5B-B1EC-4B27-B945-84859B5913E7}" type="presParOf" srcId="{8A21BDF1-AFA7-4273-9AEE-EFCF82198ED2}" destId="{2349ECBA-6931-43C7-8690-39F56F468F2A}" srcOrd="1" destOrd="0" presId="urn:microsoft.com/office/officeart/2008/layout/LinedList"/>
    <dgm:cxn modelId="{CBE35D6E-D8B0-43CC-8B5F-1D2E63B16798}" type="presParOf" srcId="{8A21BDF1-AFA7-4273-9AEE-EFCF82198ED2}" destId="{BEABB472-30CD-459B-81DD-4FB9FAAE7ACF}" srcOrd="2" destOrd="0" presId="urn:microsoft.com/office/officeart/2008/layout/LinedList"/>
    <dgm:cxn modelId="{9EA31EA8-D6EE-4519-BD3C-4A4357B89962}" type="presParOf" srcId="{B8DC5923-A088-40A8-A44E-67110CC718A9}" destId="{8E758FC9-B2E6-40E7-8A10-A371034C2E7F}" srcOrd="2" destOrd="0" presId="urn:microsoft.com/office/officeart/2008/layout/LinedList"/>
    <dgm:cxn modelId="{BCD5CEEE-A6AB-4B33-9CBE-2EF1B769DE79}" type="presParOf" srcId="{B8DC5923-A088-40A8-A44E-67110CC718A9}" destId="{0F39AE39-E8ED-4EEC-B51E-F2842ECD2D88}" srcOrd="3" destOrd="0" presId="urn:microsoft.com/office/officeart/2008/layout/LinedList"/>
  </dgm:cxnLst>
  <dgm:bg/>
  <dgm:whole/>
</dgm:dataModel>
</file>

<file path=word/diagrams/data4.xml><?xml version="1.0" encoding="utf-8"?>
<dgm:dataModel xmlns:dgm="http://schemas.openxmlformats.org/drawingml/2006/diagram" xmlns:a="http://schemas.openxmlformats.org/drawingml/2006/main">
  <dgm:ptLst>
    <dgm:pt modelId="{BAFC9692-DA66-4A51-88BA-20B9566347E1}" type="doc">
      <dgm:prSet loTypeId="urn:microsoft.com/office/officeart/2005/8/layout/hList1" loCatId="list" qsTypeId="urn:microsoft.com/office/officeart/2005/8/quickstyle/simple1" qsCatId="simple" csTypeId="urn:microsoft.com/office/officeart/2005/8/colors/colorful1#3" csCatId="colorful" phldr="1"/>
      <dgm:spPr/>
      <dgm:t>
        <a:bodyPr/>
        <a:lstStyle/>
        <a:p>
          <a:endParaRPr lang="en-US"/>
        </a:p>
      </dgm:t>
    </dgm:pt>
    <dgm:pt modelId="{D8890846-80A8-47FE-95CD-D747A266EBAC}">
      <dgm:prSet phldrT="[Text]" custT="1"/>
      <dgm:spPr/>
      <dgm:t>
        <a:bodyPr/>
        <a:lstStyle/>
        <a:p>
          <a:pPr algn="ctr"/>
          <a:r>
            <a:rPr lang="en-US" sz="1050">
              <a:latin typeface="Times New Roman" panose="02020603050405020304" pitchFamily="18" charset="0"/>
              <a:cs typeface="Times New Roman" panose="02020603050405020304" pitchFamily="18" charset="0"/>
            </a:rPr>
            <a:t>Reputation Risk</a:t>
          </a:r>
        </a:p>
      </dgm:t>
    </dgm:pt>
    <dgm:pt modelId="{101DB6E5-FCD5-44BE-AC77-C9ABEF40920B}" type="parTrans" cxnId="{BCE914F9-FD7E-4E15-84A2-28F6FC8B9288}">
      <dgm:prSet/>
      <dgm:spPr/>
      <dgm:t>
        <a:bodyPr/>
        <a:lstStyle/>
        <a:p>
          <a:endParaRPr lang="en-US"/>
        </a:p>
      </dgm:t>
    </dgm:pt>
    <dgm:pt modelId="{AB7696C6-2A34-4342-BBA9-B6980C025371}" type="sibTrans" cxnId="{BCE914F9-FD7E-4E15-84A2-28F6FC8B9288}">
      <dgm:prSet/>
      <dgm:spPr/>
      <dgm:t>
        <a:bodyPr/>
        <a:lstStyle/>
        <a:p>
          <a:endParaRPr lang="en-US"/>
        </a:p>
      </dgm:t>
    </dgm:pt>
    <dgm:pt modelId="{B104571A-A841-4D27-A1BB-0DC82AEE52F9}">
      <dgm:prSet custT="1"/>
      <dgm:spPr/>
      <dgm:t>
        <a:bodyPr/>
        <a:lstStyle/>
        <a:p>
          <a:pPr algn="ctr"/>
          <a:r>
            <a:rPr lang="en-US" sz="1050">
              <a:latin typeface="Times New Roman" panose="02020603050405020304" pitchFamily="18" charset="0"/>
              <a:cs typeface="Times New Roman" panose="02020603050405020304" pitchFamily="18" charset="0"/>
            </a:rPr>
            <a:t>Transparency and Accountability</a:t>
          </a:r>
        </a:p>
      </dgm:t>
    </dgm:pt>
    <dgm:pt modelId="{A22FACC2-F072-4BE2-B521-E71ED78370CB}" type="parTrans" cxnId="{0A7C21C7-EB3E-450D-8DE9-A127A7C00093}">
      <dgm:prSet/>
      <dgm:spPr/>
      <dgm:t>
        <a:bodyPr/>
        <a:lstStyle/>
        <a:p>
          <a:endParaRPr lang="en-US"/>
        </a:p>
      </dgm:t>
    </dgm:pt>
    <dgm:pt modelId="{B08E7B3A-DE15-4E94-9FDB-42C28D294275}" type="sibTrans" cxnId="{0A7C21C7-EB3E-450D-8DE9-A127A7C00093}">
      <dgm:prSet/>
      <dgm:spPr/>
      <dgm:t>
        <a:bodyPr/>
        <a:lstStyle/>
        <a:p>
          <a:endParaRPr lang="en-US"/>
        </a:p>
      </dgm:t>
    </dgm:pt>
    <dgm:pt modelId="{F6772D42-BE85-4B86-BD48-789E1B50CFDA}">
      <dgm:prSet custT="1"/>
      <dgm:spPr/>
      <dgm:t>
        <a:bodyPr/>
        <a:lstStyle/>
        <a:p>
          <a:pPr algn="ctr"/>
          <a:r>
            <a:rPr lang="en-US" sz="1050">
              <a:latin typeface="Times New Roman" panose="02020603050405020304" pitchFamily="18" charset="0"/>
              <a:cs typeface="Times New Roman" panose="02020603050405020304" pitchFamily="18" charset="0"/>
            </a:rPr>
            <a:t>Crisis Response</a:t>
          </a:r>
        </a:p>
      </dgm:t>
    </dgm:pt>
    <dgm:pt modelId="{CC6B128D-4BC1-48CA-8A15-54EE76F88636}" type="parTrans" cxnId="{FD310AF2-BB3F-4CD3-823D-5F8A94038C66}">
      <dgm:prSet/>
      <dgm:spPr/>
      <dgm:t>
        <a:bodyPr/>
        <a:lstStyle/>
        <a:p>
          <a:endParaRPr lang="en-US"/>
        </a:p>
      </dgm:t>
    </dgm:pt>
    <dgm:pt modelId="{BD3E81E6-2DF1-4985-A988-4F110242C208}" type="sibTrans" cxnId="{FD310AF2-BB3F-4CD3-823D-5F8A94038C66}">
      <dgm:prSet/>
      <dgm:spPr/>
      <dgm:t>
        <a:bodyPr/>
        <a:lstStyle/>
        <a:p>
          <a:endParaRPr lang="en-US"/>
        </a:p>
      </dgm:t>
    </dgm:pt>
    <dgm:pt modelId="{204772FC-09C0-4479-9B03-B60E21EAFB93}">
      <dgm:prSet custT="1"/>
      <dgm:spPr/>
      <dgm:t>
        <a:bodyPr/>
        <a:lstStyle/>
        <a:p>
          <a:pPr algn="ctr"/>
          <a:r>
            <a:rPr lang="en-US" sz="1050">
              <a:latin typeface="Times New Roman" panose="02020603050405020304" pitchFamily="18" charset="0"/>
              <a:cs typeface="Times New Roman" panose="02020603050405020304" pitchFamily="18" charset="0"/>
            </a:rPr>
            <a:t>Governance Reforms</a:t>
          </a:r>
        </a:p>
      </dgm:t>
    </dgm:pt>
    <dgm:pt modelId="{001EA7AC-E67A-48A2-A324-878C613139AB}" type="parTrans" cxnId="{3820F162-DAEF-4C1C-8C22-3EDE64A63F69}">
      <dgm:prSet/>
      <dgm:spPr/>
      <dgm:t>
        <a:bodyPr/>
        <a:lstStyle/>
        <a:p>
          <a:endParaRPr lang="en-US"/>
        </a:p>
      </dgm:t>
    </dgm:pt>
    <dgm:pt modelId="{45524B00-199F-457B-87B4-CF1322184722}" type="sibTrans" cxnId="{3820F162-DAEF-4C1C-8C22-3EDE64A63F69}">
      <dgm:prSet/>
      <dgm:spPr/>
      <dgm:t>
        <a:bodyPr/>
        <a:lstStyle/>
        <a:p>
          <a:endParaRPr lang="en-US"/>
        </a:p>
      </dgm:t>
    </dgm:pt>
    <dgm:pt modelId="{E08EDB4B-F445-4665-B8DD-767B66200E6D}">
      <dgm:prSet custT="1"/>
      <dgm:spPr/>
      <dgm:t>
        <a:bodyPr/>
        <a:lstStyle/>
        <a:p>
          <a:pPr algn="ctr"/>
          <a:r>
            <a:rPr lang="en-US" sz="1050">
              <a:latin typeface="Times New Roman" panose="02020603050405020304" pitchFamily="18" charset="0"/>
              <a:cs typeface="Times New Roman" panose="02020603050405020304" pitchFamily="18" charset="0"/>
            </a:rPr>
            <a:t>Trust Reinvestment</a:t>
          </a:r>
        </a:p>
      </dgm:t>
    </dgm:pt>
    <dgm:pt modelId="{3959B459-8FD7-43C8-82CA-E0DE9803D672}" type="parTrans" cxnId="{B10F99A9-E861-416F-A90E-235EC57EA7BA}">
      <dgm:prSet/>
      <dgm:spPr/>
      <dgm:t>
        <a:bodyPr/>
        <a:lstStyle/>
        <a:p>
          <a:endParaRPr lang="en-US"/>
        </a:p>
      </dgm:t>
    </dgm:pt>
    <dgm:pt modelId="{B8C8037C-2E52-48A3-9B2B-A4BB237E2064}" type="sibTrans" cxnId="{B10F99A9-E861-416F-A90E-235EC57EA7BA}">
      <dgm:prSet/>
      <dgm:spPr/>
      <dgm:t>
        <a:bodyPr/>
        <a:lstStyle/>
        <a:p>
          <a:endParaRPr lang="en-US"/>
        </a:p>
      </dgm:t>
    </dgm:pt>
    <dgm:pt modelId="{10722ACC-25D4-4B17-8A6A-41E39B57F2D7}">
      <dgm:prSet phldrT="[Text]" custT="1"/>
      <dgm:spPr/>
      <dgm:t>
        <a:bodyPr/>
        <a:lstStyle/>
        <a:p>
          <a:pPr algn="ctr"/>
          <a:r>
            <a:rPr lang="en-US" sz="1050">
              <a:latin typeface="Times New Roman" panose="02020603050405020304" pitchFamily="18" charset="0"/>
              <a:cs typeface="Times New Roman" panose="02020603050405020304" pitchFamily="18" charset="0"/>
            </a:rPr>
            <a:t>Brand damage is an intangible but important cost incurred by recalls.</a:t>
          </a:r>
        </a:p>
      </dgm:t>
    </dgm:pt>
    <dgm:pt modelId="{6B5EA722-5CD9-4AD9-A8DC-216818DD158E}" type="parTrans" cxnId="{B4BB1BC3-C801-48A5-9FA6-D622CDA1B9AD}">
      <dgm:prSet/>
      <dgm:spPr/>
      <dgm:t>
        <a:bodyPr/>
        <a:lstStyle/>
        <a:p>
          <a:endParaRPr lang="en-US"/>
        </a:p>
      </dgm:t>
    </dgm:pt>
    <dgm:pt modelId="{E846E9A7-EBCA-4A6B-AB33-C4FE53F671BA}" type="sibTrans" cxnId="{B4BB1BC3-C801-48A5-9FA6-D622CDA1B9AD}">
      <dgm:prSet/>
      <dgm:spPr/>
      <dgm:t>
        <a:bodyPr/>
        <a:lstStyle/>
        <a:p>
          <a:endParaRPr lang="en-US"/>
        </a:p>
      </dgm:t>
    </dgm:pt>
    <dgm:pt modelId="{B811C9E4-90A7-4C3D-9340-1B2A1F94230A}">
      <dgm:prSet custT="1"/>
      <dgm:spPr/>
      <dgm:t>
        <a:bodyPr/>
        <a:lstStyle/>
        <a:p>
          <a:pPr algn="ctr"/>
          <a:r>
            <a:rPr lang="en-US" sz="1050">
              <a:latin typeface="Times New Roman" panose="02020603050405020304" pitchFamily="18" charset="0"/>
              <a:cs typeface="Times New Roman" panose="02020603050405020304" pitchFamily="18" charset="0"/>
            </a:rPr>
            <a:t>Open communication and rapid response reduce the public backlash (Dholakia, 2016).</a:t>
          </a:r>
        </a:p>
      </dgm:t>
    </dgm:pt>
    <dgm:pt modelId="{0F9156E4-AD03-4F2D-97C2-381DA586B7E3}" type="parTrans" cxnId="{455AA40A-1C23-4320-9AD7-392D4CB10E7D}">
      <dgm:prSet/>
      <dgm:spPr/>
      <dgm:t>
        <a:bodyPr/>
        <a:lstStyle/>
        <a:p>
          <a:endParaRPr lang="en-US"/>
        </a:p>
      </dgm:t>
    </dgm:pt>
    <dgm:pt modelId="{BA136507-77D3-4F71-8F31-C701530BD98D}" type="sibTrans" cxnId="{455AA40A-1C23-4320-9AD7-392D4CB10E7D}">
      <dgm:prSet/>
      <dgm:spPr/>
      <dgm:t>
        <a:bodyPr/>
        <a:lstStyle/>
        <a:p>
          <a:endParaRPr lang="en-US"/>
        </a:p>
      </dgm:t>
    </dgm:pt>
    <dgm:pt modelId="{9EF5EA66-B055-4737-ABBA-906E431B7B1A}">
      <dgm:prSet custT="1"/>
      <dgm:spPr/>
      <dgm:t>
        <a:bodyPr/>
        <a:lstStyle/>
        <a:p>
          <a:pPr algn="ctr"/>
          <a:r>
            <a:rPr lang="en-US" sz="1050">
              <a:latin typeface="Times New Roman" panose="02020603050405020304" pitchFamily="18" charset="0"/>
              <a:cs typeface="Times New Roman" panose="02020603050405020304" pitchFamily="18" charset="0"/>
            </a:rPr>
            <a:t>Samsung's public apology and explanation restored credibility.</a:t>
          </a:r>
        </a:p>
      </dgm:t>
    </dgm:pt>
    <dgm:pt modelId="{DF1C0693-8BD0-463B-B43B-65817C4861E0}" type="parTrans" cxnId="{DAE6B8A7-60D6-4DBD-B7AB-1E39321F7E10}">
      <dgm:prSet/>
      <dgm:spPr/>
      <dgm:t>
        <a:bodyPr/>
        <a:lstStyle/>
        <a:p>
          <a:endParaRPr lang="en-US"/>
        </a:p>
      </dgm:t>
    </dgm:pt>
    <dgm:pt modelId="{8469D313-C1CF-4634-B39D-515E5E8D052C}" type="sibTrans" cxnId="{DAE6B8A7-60D6-4DBD-B7AB-1E39321F7E10}">
      <dgm:prSet/>
      <dgm:spPr/>
      <dgm:t>
        <a:bodyPr/>
        <a:lstStyle/>
        <a:p>
          <a:endParaRPr lang="en-US"/>
        </a:p>
      </dgm:t>
    </dgm:pt>
    <dgm:pt modelId="{0154D9A7-42C8-4020-9349-465466082DFF}">
      <dgm:prSet custT="1"/>
      <dgm:spPr/>
      <dgm:t>
        <a:bodyPr/>
        <a:lstStyle/>
        <a:p>
          <a:pPr algn="ctr"/>
          <a:r>
            <a:rPr lang="en-US" sz="1050">
              <a:latin typeface="Times New Roman" panose="02020603050405020304" pitchFamily="18" charset="0"/>
              <a:cs typeface="Times New Roman" panose="02020603050405020304" pitchFamily="18" charset="0"/>
            </a:rPr>
            <a:t>Real brand recovery was due to structural quality improvements (Abbas, 2023).</a:t>
          </a:r>
        </a:p>
      </dgm:t>
    </dgm:pt>
    <dgm:pt modelId="{38C8D654-D2BC-459E-8FBB-D7ECC4A4BFAC}" type="parTrans" cxnId="{3360EA7A-0EF9-42FF-9F38-8E181C059897}">
      <dgm:prSet/>
      <dgm:spPr/>
      <dgm:t>
        <a:bodyPr/>
        <a:lstStyle/>
        <a:p>
          <a:endParaRPr lang="en-US"/>
        </a:p>
      </dgm:t>
    </dgm:pt>
    <dgm:pt modelId="{436B72F3-2C9D-4A0F-9381-0507E217DA35}" type="sibTrans" cxnId="{3360EA7A-0EF9-42FF-9F38-8E181C059897}">
      <dgm:prSet/>
      <dgm:spPr/>
      <dgm:t>
        <a:bodyPr/>
        <a:lstStyle/>
        <a:p>
          <a:endParaRPr lang="en-US"/>
        </a:p>
      </dgm:t>
    </dgm:pt>
    <dgm:pt modelId="{EF9FCFD6-EF8E-420D-8379-4DFFE1E235B5}">
      <dgm:prSet custT="1"/>
      <dgm:spPr/>
      <dgm:t>
        <a:bodyPr/>
        <a:lstStyle/>
        <a:p>
          <a:pPr algn="ctr"/>
          <a:r>
            <a:rPr lang="en-US" sz="1050">
              <a:latin typeface="Times New Roman" panose="02020603050405020304" pitchFamily="18" charset="0"/>
              <a:cs typeface="Times New Roman" panose="02020603050405020304" pitchFamily="18" charset="0"/>
            </a:rPr>
            <a:t>Transparency is continuous so short-term loss turns into long-term loyalty.</a:t>
          </a:r>
        </a:p>
      </dgm:t>
    </dgm:pt>
    <dgm:pt modelId="{D22170D0-45FD-48D2-8987-CE1474B571F7}" type="parTrans" cxnId="{6EB37948-49FE-4E4A-9B9A-7EF25EF7C0C3}">
      <dgm:prSet/>
      <dgm:spPr/>
      <dgm:t>
        <a:bodyPr/>
        <a:lstStyle/>
        <a:p>
          <a:endParaRPr lang="en-US"/>
        </a:p>
      </dgm:t>
    </dgm:pt>
    <dgm:pt modelId="{FE34B751-603B-48DC-BA06-A1F26CFEC1A8}" type="sibTrans" cxnId="{6EB37948-49FE-4E4A-9B9A-7EF25EF7C0C3}">
      <dgm:prSet/>
      <dgm:spPr/>
      <dgm:t>
        <a:bodyPr/>
        <a:lstStyle/>
        <a:p>
          <a:endParaRPr lang="en-US"/>
        </a:p>
      </dgm:t>
    </dgm:pt>
    <dgm:pt modelId="{AA3FD029-34A6-486A-9885-79F1C9B7C5A5}" type="pres">
      <dgm:prSet presAssocID="{BAFC9692-DA66-4A51-88BA-20B9566347E1}" presName="Name0" presStyleCnt="0">
        <dgm:presLayoutVars>
          <dgm:dir/>
          <dgm:animLvl val="lvl"/>
          <dgm:resizeHandles val="exact"/>
        </dgm:presLayoutVars>
      </dgm:prSet>
      <dgm:spPr/>
      <dgm:t>
        <a:bodyPr/>
        <a:lstStyle/>
        <a:p>
          <a:endParaRPr lang="en-US"/>
        </a:p>
      </dgm:t>
    </dgm:pt>
    <dgm:pt modelId="{1262F2C4-390F-42ED-BBAB-953A7179E032}" type="pres">
      <dgm:prSet presAssocID="{D8890846-80A8-47FE-95CD-D747A266EBAC}" presName="composite" presStyleCnt="0"/>
      <dgm:spPr/>
    </dgm:pt>
    <dgm:pt modelId="{674BD080-158F-4B04-9B17-5B79E32E8C64}" type="pres">
      <dgm:prSet presAssocID="{D8890846-80A8-47FE-95CD-D747A266EBAC}" presName="parTx" presStyleLbl="alignNode1" presStyleIdx="0" presStyleCnt="5">
        <dgm:presLayoutVars>
          <dgm:chMax val="0"/>
          <dgm:chPref val="0"/>
          <dgm:bulletEnabled val="1"/>
        </dgm:presLayoutVars>
      </dgm:prSet>
      <dgm:spPr/>
      <dgm:t>
        <a:bodyPr/>
        <a:lstStyle/>
        <a:p>
          <a:endParaRPr lang="en-US"/>
        </a:p>
      </dgm:t>
    </dgm:pt>
    <dgm:pt modelId="{681CC393-52AB-4FFC-BB8D-925BBB23A8A8}" type="pres">
      <dgm:prSet presAssocID="{D8890846-80A8-47FE-95CD-D747A266EBAC}" presName="desTx" presStyleLbl="alignAccFollowNode1" presStyleIdx="0" presStyleCnt="5">
        <dgm:presLayoutVars>
          <dgm:bulletEnabled val="1"/>
        </dgm:presLayoutVars>
      </dgm:prSet>
      <dgm:spPr/>
      <dgm:t>
        <a:bodyPr/>
        <a:lstStyle/>
        <a:p>
          <a:endParaRPr lang="en-US"/>
        </a:p>
      </dgm:t>
    </dgm:pt>
    <dgm:pt modelId="{F9AD3D22-4EC3-4680-9332-EAD42D8AADDD}" type="pres">
      <dgm:prSet presAssocID="{AB7696C6-2A34-4342-BBA9-B6980C025371}" presName="space" presStyleCnt="0"/>
      <dgm:spPr/>
    </dgm:pt>
    <dgm:pt modelId="{E6E126E2-32DE-41AD-9D70-AD8E6989405B}" type="pres">
      <dgm:prSet presAssocID="{B104571A-A841-4D27-A1BB-0DC82AEE52F9}" presName="composite" presStyleCnt="0"/>
      <dgm:spPr/>
    </dgm:pt>
    <dgm:pt modelId="{12D720EB-AAAC-430A-A35A-15A175360011}" type="pres">
      <dgm:prSet presAssocID="{B104571A-A841-4D27-A1BB-0DC82AEE52F9}" presName="parTx" presStyleLbl="alignNode1" presStyleIdx="1" presStyleCnt="5">
        <dgm:presLayoutVars>
          <dgm:chMax val="0"/>
          <dgm:chPref val="0"/>
          <dgm:bulletEnabled val="1"/>
        </dgm:presLayoutVars>
      </dgm:prSet>
      <dgm:spPr/>
      <dgm:t>
        <a:bodyPr/>
        <a:lstStyle/>
        <a:p>
          <a:endParaRPr lang="en-US"/>
        </a:p>
      </dgm:t>
    </dgm:pt>
    <dgm:pt modelId="{C14EB1EF-DF7A-42C9-8DFD-832A10988B2F}" type="pres">
      <dgm:prSet presAssocID="{B104571A-A841-4D27-A1BB-0DC82AEE52F9}" presName="desTx" presStyleLbl="alignAccFollowNode1" presStyleIdx="1" presStyleCnt="5">
        <dgm:presLayoutVars>
          <dgm:bulletEnabled val="1"/>
        </dgm:presLayoutVars>
      </dgm:prSet>
      <dgm:spPr/>
      <dgm:t>
        <a:bodyPr/>
        <a:lstStyle/>
        <a:p>
          <a:endParaRPr lang="en-US"/>
        </a:p>
      </dgm:t>
    </dgm:pt>
    <dgm:pt modelId="{BE4ADB27-6541-469A-890B-B2EA60A25A4C}" type="pres">
      <dgm:prSet presAssocID="{B08E7B3A-DE15-4E94-9FDB-42C28D294275}" presName="space" presStyleCnt="0"/>
      <dgm:spPr/>
    </dgm:pt>
    <dgm:pt modelId="{5FE54E13-7895-48C2-8763-572EEAE9D771}" type="pres">
      <dgm:prSet presAssocID="{F6772D42-BE85-4B86-BD48-789E1B50CFDA}" presName="composite" presStyleCnt="0"/>
      <dgm:spPr/>
    </dgm:pt>
    <dgm:pt modelId="{2724E57A-327F-447C-8821-533BB2A3E7ED}" type="pres">
      <dgm:prSet presAssocID="{F6772D42-BE85-4B86-BD48-789E1B50CFDA}" presName="parTx" presStyleLbl="alignNode1" presStyleIdx="2" presStyleCnt="5">
        <dgm:presLayoutVars>
          <dgm:chMax val="0"/>
          <dgm:chPref val="0"/>
          <dgm:bulletEnabled val="1"/>
        </dgm:presLayoutVars>
      </dgm:prSet>
      <dgm:spPr/>
      <dgm:t>
        <a:bodyPr/>
        <a:lstStyle/>
        <a:p>
          <a:endParaRPr lang="en-US"/>
        </a:p>
      </dgm:t>
    </dgm:pt>
    <dgm:pt modelId="{5D9E5983-349E-431C-90A9-A89E6B73879E}" type="pres">
      <dgm:prSet presAssocID="{F6772D42-BE85-4B86-BD48-789E1B50CFDA}" presName="desTx" presStyleLbl="alignAccFollowNode1" presStyleIdx="2" presStyleCnt="5">
        <dgm:presLayoutVars>
          <dgm:bulletEnabled val="1"/>
        </dgm:presLayoutVars>
      </dgm:prSet>
      <dgm:spPr/>
      <dgm:t>
        <a:bodyPr/>
        <a:lstStyle/>
        <a:p>
          <a:endParaRPr lang="en-US"/>
        </a:p>
      </dgm:t>
    </dgm:pt>
    <dgm:pt modelId="{5D79BAD3-4189-43F3-8ECF-B44701A43B69}" type="pres">
      <dgm:prSet presAssocID="{BD3E81E6-2DF1-4985-A988-4F110242C208}" presName="space" presStyleCnt="0"/>
      <dgm:spPr/>
    </dgm:pt>
    <dgm:pt modelId="{E1FB2AEF-F129-4FB5-8625-6432AB205C4D}" type="pres">
      <dgm:prSet presAssocID="{204772FC-09C0-4479-9B03-B60E21EAFB93}" presName="composite" presStyleCnt="0"/>
      <dgm:spPr/>
    </dgm:pt>
    <dgm:pt modelId="{537E171F-7D14-44F5-802E-C032C33BEEF9}" type="pres">
      <dgm:prSet presAssocID="{204772FC-09C0-4479-9B03-B60E21EAFB93}" presName="parTx" presStyleLbl="alignNode1" presStyleIdx="3" presStyleCnt="5">
        <dgm:presLayoutVars>
          <dgm:chMax val="0"/>
          <dgm:chPref val="0"/>
          <dgm:bulletEnabled val="1"/>
        </dgm:presLayoutVars>
      </dgm:prSet>
      <dgm:spPr/>
      <dgm:t>
        <a:bodyPr/>
        <a:lstStyle/>
        <a:p>
          <a:endParaRPr lang="en-US"/>
        </a:p>
      </dgm:t>
    </dgm:pt>
    <dgm:pt modelId="{CB743524-B684-4741-A6CB-76F927DF28FE}" type="pres">
      <dgm:prSet presAssocID="{204772FC-09C0-4479-9B03-B60E21EAFB93}" presName="desTx" presStyleLbl="alignAccFollowNode1" presStyleIdx="3" presStyleCnt="5">
        <dgm:presLayoutVars>
          <dgm:bulletEnabled val="1"/>
        </dgm:presLayoutVars>
      </dgm:prSet>
      <dgm:spPr/>
      <dgm:t>
        <a:bodyPr/>
        <a:lstStyle/>
        <a:p>
          <a:endParaRPr lang="en-US"/>
        </a:p>
      </dgm:t>
    </dgm:pt>
    <dgm:pt modelId="{642885D4-C841-43B2-8020-9E8D6457A97C}" type="pres">
      <dgm:prSet presAssocID="{45524B00-199F-457B-87B4-CF1322184722}" presName="space" presStyleCnt="0"/>
      <dgm:spPr/>
    </dgm:pt>
    <dgm:pt modelId="{357D1B6F-B0EF-4364-9551-7F3097C724AA}" type="pres">
      <dgm:prSet presAssocID="{E08EDB4B-F445-4665-B8DD-767B66200E6D}" presName="composite" presStyleCnt="0"/>
      <dgm:spPr/>
    </dgm:pt>
    <dgm:pt modelId="{8991FD25-6A6C-4749-96A0-08C8A3B35551}" type="pres">
      <dgm:prSet presAssocID="{E08EDB4B-F445-4665-B8DD-767B66200E6D}" presName="parTx" presStyleLbl="alignNode1" presStyleIdx="4" presStyleCnt="5">
        <dgm:presLayoutVars>
          <dgm:chMax val="0"/>
          <dgm:chPref val="0"/>
          <dgm:bulletEnabled val="1"/>
        </dgm:presLayoutVars>
      </dgm:prSet>
      <dgm:spPr/>
      <dgm:t>
        <a:bodyPr/>
        <a:lstStyle/>
        <a:p>
          <a:endParaRPr lang="en-US"/>
        </a:p>
      </dgm:t>
    </dgm:pt>
    <dgm:pt modelId="{1F62B68C-6DE0-4A10-8856-3DC8BD1A063D}" type="pres">
      <dgm:prSet presAssocID="{E08EDB4B-F445-4665-B8DD-767B66200E6D}" presName="desTx" presStyleLbl="alignAccFollowNode1" presStyleIdx="4" presStyleCnt="5">
        <dgm:presLayoutVars>
          <dgm:bulletEnabled val="1"/>
        </dgm:presLayoutVars>
      </dgm:prSet>
      <dgm:spPr/>
      <dgm:t>
        <a:bodyPr/>
        <a:lstStyle/>
        <a:p>
          <a:endParaRPr lang="en-US"/>
        </a:p>
      </dgm:t>
    </dgm:pt>
  </dgm:ptLst>
  <dgm:cxnLst>
    <dgm:cxn modelId="{DAE6B8A7-60D6-4DBD-B7AB-1E39321F7E10}" srcId="{F6772D42-BE85-4B86-BD48-789E1B50CFDA}" destId="{9EF5EA66-B055-4737-ABBA-906E431B7B1A}" srcOrd="0" destOrd="0" parTransId="{DF1C0693-8BD0-463B-B43B-65817C4861E0}" sibTransId="{8469D313-C1CF-4634-B39D-515E5E8D052C}"/>
    <dgm:cxn modelId="{5F8E638E-A8F8-4C51-9220-CA637AC9171B}" type="presOf" srcId="{F6772D42-BE85-4B86-BD48-789E1B50CFDA}" destId="{2724E57A-327F-447C-8821-533BB2A3E7ED}" srcOrd="0" destOrd="0" presId="urn:microsoft.com/office/officeart/2005/8/layout/hList1"/>
    <dgm:cxn modelId="{3820F162-DAEF-4C1C-8C22-3EDE64A63F69}" srcId="{BAFC9692-DA66-4A51-88BA-20B9566347E1}" destId="{204772FC-09C0-4479-9B03-B60E21EAFB93}" srcOrd="3" destOrd="0" parTransId="{001EA7AC-E67A-48A2-A324-878C613139AB}" sibTransId="{45524B00-199F-457B-87B4-CF1322184722}"/>
    <dgm:cxn modelId="{3360EA7A-0EF9-42FF-9F38-8E181C059897}" srcId="{204772FC-09C0-4479-9B03-B60E21EAFB93}" destId="{0154D9A7-42C8-4020-9349-465466082DFF}" srcOrd="0" destOrd="0" parTransId="{38C8D654-D2BC-459E-8FBB-D7ECC4A4BFAC}" sibTransId="{436B72F3-2C9D-4A0F-9381-0507E217DA35}"/>
    <dgm:cxn modelId="{B10F99A9-E861-416F-A90E-235EC57EA7BA}" srcId="{BAFC9692-DA66-4A51-88BA-20B9566347E1}" destId="{E08EDB4B-F445-4665-B8DD-767B66200E6D}" srcOrd="4" destOrd="0" parTransId="{3959B459-8FD7-43C8-82CA-E0DE9803D672}" sibTransId="{B8C8037C-2E52-48A3-9B2B-A4BB237E2064}"/>
    <dgm:cxn modelId="{19D24606-FF25-4B9D-A68B-DF1B44F07A40}" type="presOf" srcId="{B104571A-A841-4D27-A1BB-0DC82AEE52F9}" destId="{12D720EB-AAAC-430A-A35A-15A175360011}" srcOrd="0" destOrd="0" presId="urn:microsoft.com/office/officeart/2005/8/layout/hList1"/>
    <dgm:cxn modelId="{B826F408-0367-4C98-8CBD-B6ADCDC8BCFF}" type="presOf" srcId="{EF9FCFD6-EF8E-420D-8379-4DFFE1E235B5}" destId="{1F62B68C-6DE0-4A10-8856-3DC8BD1A063D}" srcOrd="0" destOrd="0" presId="urn:microsoft.com/office/officeart/2005/8/layout/hList1"/>
    <dgm:cxn modelId="{0A7C21C7-EB3E-450D-8DE9-A127A7C00093}" srcId="{BAFC9692-DA66-4A51-88BA-20B9566347E1}" destId="{B104571A-A841-4D27-A1BB-0DC82AEE52F9}" srcOrd="1" destOrd="0" parTransId="{A22FACC2-F072-4BE2-B521-E71ED78370CB}" sibTransId="{B08E7B3A-DE15-4E94-9FDB-42C28D294275}"/>
    <dgm:cxn modelId="{FF93100C-EA5B-48E3-9427-B08090498CE5}" type="presOf" srcId="{9EF5EA66-B055-4737-ABBA-906E431B7B1A}" destId="{5D9E5983-349E-431C-90A9-A89E6B73879E}" srcOrd="0" destOrd="0" presId="urn:microsoft.com/office/officeart/2005/8/layout/hList1"/>
    <dgm:cxn modelId="{74A53BFF-B53E-4503-B5C6-7505778C4B06}" type="presOf" srcId="{BAFC9692-DA66-4A51-88BA-20B9566347E1}" destId="{AA3FD029-34A6-486A-9885-79F1C9B7C5A5}" srcOrd="0" destOrd="0" presId="urn:microsoft.com/office/officeart/2005/8/layout/hList1"/>
    <dgm:cxn modelId="{F2B379C9-184E-4C97-A75A-4BB803539D26}" type="presOf" srcId="{0154D9A7-42C8-4020-9349-465466082DFF}" destId="{CB743524-B684-4741-A6CB-76F927DF28FE}" srcOrd="0" destOrd="0" presId="urn:microsoft.com/office/officeart/2005/8/layout/hList1"/>
    <dgm:cxn modelId="{F0735DC0-676C-4FB2-9E62-622B2ACDD681}" type="presOf" srcId="{B811C9E4-90A7-4C3D-9340-1B2A1F94230A}" destId="{C14EB1EF-DF7A-42C9-8DFD-832A10988B2F}" srcOrd="0" destOrd="0" presId="urn:microsoft.com/office/officeart/2005/8/layout/hList1"/>
    <dgm:cxn modelId="{FD310AF2-BB3F-4CD3-823D-5F8A94038C66}" srcId="{BAFC9692-DA66-4A51-88BA-20B9566347E1}" destId="{F6772D42-BE85-4B86-BD48-789E1B50CFDA}" srcOrd="2" destOrd="0" parTransId="{CC6B128D-4BC1-48CA-8A15-54EE76F88636}" sibTransId="{BD3E81E6-2DF1-4985-A988-4F110242C208}"/>
    <dgm:cxn modelId="{BCE914F9-FD7E-4E15-84A2-28F6FC8B9288}" srcId="{BAFC9692-DA66-4A51-88BA-20B9566347E1}" destId="{D8890846-80A8-47FE-95CD-D747A266EBAC}" srcOrd="0" destOrd="0" parTransId="{101DB6E5-FCD5-44BE-AC77-C9ABEF40920B}" sibTransId="{AB7696C6-2A34-4342-BBA9-B6980C025371}"/>
    <dgm:cxn modelId="{D7FD578E-3759-419B-A5BA-968CF06F2DF5}" type="presOf" srcId="{E08EDB4B-F445-4665-B8DD-767B66200E6D}" destId="{8991FD25-6A6C-4749-96A0-08C8A3B35551}" srcOrd="0" destOrd="0" presId="urn:microsoft.com/office/officeart/2005/8/layout/hList1"/>
    <dgm:cxn modelId="{455AA40A-1C23-4320-9AD7-392D4CB10E7D}" srcId="{B104571A-A841-4D27-A1BB-0DC82AEE52F9}" destId="{B811C9E4-90A7-4C3D-9340-1B2A1F94230A}" srcOrd="0" destOrd="0" parTransId="{0F9156E4-AD03-4F2D-97C2-381DA586B7E3}" sibTransId="{BA136507-77D3-4F71-8F31-C701530BD98D}"/>
    <dgm:cxn modelId="{B4BB1BC3-C801-48A5-9FA6-D622CDA1B9AD}" srcId="{D8890846-80A8-47FE-95CD-D747A266EBAC}" destId="{10722ACC-25D4-4B17-8A6A-41E39B57F2D7}" srcOrd="0" destOrd="0" parTransId="{6B5EA722-5CD9-4AD9-A8DC-216818DD158E}" sibTransId="{E846E9A7-EBCA-4A6B-AB33-C4FE53F671BA}"/>
    <dgm:cxn modelId="{385412BB-5E93-4565-BBBD-8A9AD24E50A1}" type="presOf" srcId="{10722ACC-25D4-4B17-8A6A-41E39B57F2D7}" destId="{681CC393-52AB-4FFC-BB8D-925BBB23A8A8}" srcOrd="0" destOrd="0" presId="urn:microsoft.com/office/officeart/2005/8/layout/hList1"/>
    <dgm:cxn modelId="{2885EF3A-D28C-4CF6-B23A-FC26F2295B5E}" type="presOf" srcId="{D8890846-80A8-47FE-95CD-D747A266EBAC}" destId="{674BD080-158F-4B04-9B17-5B79E32E8C64}" srcOrd="0" destOrd="0" presId="urn:microsoft.com/office/officeart/2005/8/layout/hList1"/>
    <dgm:cxn modelId="{6EB37948-49FE-4E4A-9B9A-7EF25EF7C0C3}" srcId="{E08EDB4B-F445-4665-B8DD-767B66200E6D}" destId="{EF9FCFD6-EF8E-420D-8379-4DFFE1E235B5}" srcOrd="0" destOrd="0" parTransId="{D22170D0-45FD-48D2-8987-CE1474B571F7}" sibTransId="{FE34B751-603B-48DC-BA06-A1F26CFEC1A8}"/>
    <dgm:cxn modelId="{F51BA69E-EF17-4B82-8910-05A2C3BA6A63}" type="presOf" srcId="{204772FC-09C0-4479-9B03-B60E21EAFB93}" destId="{537E171F-7D14-44F5-802E-C032C33BEEF9}" srcOrd="0" destOrd="0" presId="urn:microsoft.com/office/officeart/2005/8/layout/hList1"/>
    <dgm:cxn modelId="{64BACA80-FDB7-44DB-911A-171109AFE96E}" type="presParOf" srcId="{AA3FD029-34A6-486A-9885-79F1C9B7C5A5}" destId="{1262F2C4-390F-42ED-BBAB-953A7179E032}" srcOrd="0" destOrd="0" presId="urn:microsoft.com/office/officeart/2005/8/layout/hList1"/>
    <dgm:cxn modelId="{52CC45FD-F315-497F-9717-38F9001022BB}" type="presParOf" srcId="{1262F2C4-390F-42ED-BBAB-953A7179E032}" destId="{674BD080-158F-4B04-9B17-5B79E32E8C64}" srcOrd="0" destOrd="0" presId="urn:microsoft.com/office/officeart/2005/8/layout/hList1"/>
    <dgm:cxn modelId="{2370066B-0B14-495C-BC76-CA6C2A85D656}" type="presParOf" srcId="{1262F2C4-390F-42ED-BBAB-953A7179E032}" destId="{681CC393-52AB-4FFC-BB8D-925BBB23A8A8}" srcOrd="1" destOrd="0" presId="urn:microsoft.com/office/officeart/2005/8/layout/hList1"/>
    <dgm:cxn modelId="{50F08247-AFD6-4ABE-8A07-FEE9545EFEA2}" type="presParOf" srcId="{AA3FD029-34A6-486A-9885-79F1C9B7C5A5}" destId="{F9AD3D22-4EC3-4680-9332-EAD42D8AADDD}" srcOrd="1" destOrd="0" presId="urn:microsoft.com/office/officeart/2005/8/layout/hList1"/>
    <dgm:cxn modelId="{D2E2DDCD-9D73-412E-8FDF-EB401DBD27A5}" type="presParOf" srcId="{AA3FD029-34A6-486A-9885-79F1C9B7C5A5}" destId="{E6E126E2-32DE-41AD-9D70-AD8E6989405B}" srcOrd="2" destOrd="0" presId="urn:microsoft.com/office/officeart/2005/8/layout/hList1"/>
    <dgm:cxn modelId="{4E772B5F-CCFA-47DF-9617-628667131197}" type="presParOf" srcId="{E6E126E2-32DE-41AD-9D70-AD8E6989405B}" destId="{12D720EB-AAAC-430A-A35A-15A175360011}" srcOrd="0" destOrd="0" presId="urn:microsoft.com/office/officeart/2005/8/layout/hList1"/>
    <dgm:cxn modelId="{5BDB662B-CA67-4EF7-89D9-B707C1435EEE}" type="presParOf" srcId="{E6E126E2-32DE-41AD-9D70-AD8E6989405B}" destId="{C14EB1EF-DF7A-42C9-8DFD-832A10988B2F}" srcOrd="1" destOrd="0" presId="urn:microsoft.com/office/officeart/2005/8/layout/hList1"/>
    <dgm:cxn modelId="{D1B928FB-53BB-4533-970B-0BE15A69C55E}" type="presParOf" srcId="{AA3FD029-34A6-486A-9885-79F1C9B7C5A5}" destId="{BE4ADB27-6541-469A-890B-B2EA60A25A4C}" srcOrd="3" destOrd="0" presId="urn:microsoft.com/office/officeart/2005/8/layout/hList1"/>
    <dgm:cxn modelId="{0FFF0805-2BEE-4110-90BA-0E273B475CD0}" type="presParOf" srcId="{AA3FD029-34A6-486A-9885-79F1C9B7C5A5}" destId="{5FE54E13-7895-48C2-8763-572EEAE9D771}" srcOrd="4" destOrd="0" presId="urn:microsoft.com/office/officeart/2005/8/layout/hList1"/>
    <dgm:cxn modelId="{9075BB9C-73D1-4C49-BF32-B94F2191D709}" type="presParOf" srcId="{5FE54E13-7895-48C2-8763-572EEAE9D771}" destId="{2724E57A-327F-447C-8821-533BB2A3E7ED}" srcOrd="0" destOrd="0" presId="urn:microsoft.com/office/officeart/2005/8/layout/hList1"/>
    <dgm:cxn modelId="{0AED8C38-0797-4B71-8540-268FEBB92B97}" type="presParOf" srcId="{5FE54E13-7895-48C2-8763-572EEAE9D771}" destId="{5D9E5983-349E-431C-90A9-A89E6B73879E}" srcOrd="1" destOrd="0" presId="urn:microsoft.com/office/officeart/2005/8/layout/hList1"/>
    <dgm:cxn modelId="{2B06CA2C-000B-4783-9F1D-727AE0D084C2}" type="presParOf" srcId="{AA3FD029-34A6-486A-9885-79F1C9B7C5A5}" destId="{5D79BAD3-4189-43F3-8ECF-B44701A43B69}" srcOrd="5" destOrd="0" presId="urn:microsoft.com/office/officeart/2005/8/layout/hList1"/>
    <dgm:cxn modelId="{7EBE268E-C332-4CCC-85F6-A190CE8F69F6}" type="presParOf" srcId="{AA3FD029-34A6-486A-9885-79F1C9B7C5A5}" destId="{E1FB2AEF-F129-4FB5-8625-6432AB205C4D}" srcOrd="6" destOrd="0" presId="urn:microsoft.com/office/officeart/2005/8/layout/hList1"/>
    <dgm:cxn modelId="{51832F2C-9610-49A4-955C-46FE5E30C425}" type="presParOf" srcId="{E1FB2AEF-F129-4FB5-8625-6432AB205C4D}" destId="{537E171F-7D14-44F5-802E-C032C33BEEF9}" srcOrd="0" destOrd="0" presId="urn:microsoft.com/office/officeart/2005/8/layout/hList1"/>
    <dgm:cxn modelId="{8598FD0C-AE8A-498E-84C6-28FBF62B9349}" type="presParOf" srcId="{E1FB2AEF-F129-4FB5-8625-6432AB205C4D}" destId="{CB743524-B684-4741-A6CB-76F927DF28FE}" srcOrd="1" destOrd="0" presId="urn:microsoft.com/office/officeart/2005/8/layout/hList1"/>
    <dgm:cxn modelId="{DC46A33D-5197-469D-9DC3-790F3A43A34A}" type="presParOf" srcId="{AA3FD029-34A6-486A-9885-79F1C9B7C5A5}" destId="{642885D4-C841-43B2-8020-9E8D6457A97C}" srcOrd="7" destOrd="0" presId="urn:microsoft.com/office/officeart/2005/8/layout/hList1"/>
    <dgm:cxn modelId="{9650D2DC-2587-4966-B2CE-F041F688C4BE}" type="presParOf" srcId="{AA3FD029-34A6-486A-9885-79F1C9B7C5A5}" destId="{357D1B6F-B0EF-4364-9551-7F3097C724AA}" srcOrd="8" destOrd="0" presId="urn:microsoft.com/office/officeart/2005/8/layout/hList1"/>
    <dgm:cxn modelId="{46FD65FD-E6E5-4C26-8068-EA69C6228252}" type="presParOf" srcId="{357D1B6F-B0EF-4364-9551-7F3097C724AA}" destId="{8991FD25-6A6C-4749-96A0-08C8A3B35551}" srcOrd="0" destOrd="0" presId="urn:microsoft.com/office/officeart/2005/8/layout/hList1"/>
    <dgm:cxn modelId="{EA98A03F-9279-4F67-BBFE-286FC237903A}" type="presParOf" srcId="{357D1B6F-B0EF-4364-9551-7F3097C724AA}" destId="{1F62B68C-6DE0-4A10-8856-3DC8BD1A063D}" srcOrd="1" destOrd="0" presId="urn:microsoft.com/office/officeart/2005/8/layout/hList1"/>
  </dgm:cxnLst>
  <dgm:bg/>
  <dgm:whole/>
</dgm:dataModel>
</file>

<file path=word/diagrams/data5.xml><?xml version="1.0" encoding="utf-8"?>
<dgm:dataModel xmlns:dgm="http://schemas.openxmlformats.org/drawingml/2006/diagram" xmlns:a="http://schemas.openxmlformats.org/drawingml/2006/main">
  <dgm:ptLst>
    <dgm:pt modelId="{39C3E3AB-D0ED-4796-B942-9F3FEEDE63E7}" type="doc">
      <dgm:prSet loTypeId="urn:microsoft.com/office/officeart/2011/layout/TabList" loCatId="list" qsTypeId="urn:microsoft.com/office/officeart/2005/8/quickstyle/simple1" qsCatId="simple" csTypeId="urn:microsoft.com/office/officeart/2005/8/colors/accent0_1" csCatId="mainScheme" phldr="1"/>
      <dgm:spPr/>
      <dgm:t>
        <a:bodyPr/>
        <a:lstStyle/>
        <a:p>
          <a:endParaRPr lang="en-US"/>
        </a:p>
      </dgm:t>
    </dgm:pt>
    <dgm:pt modelId="{6F75BD93-BD8E-46F2-AE50-07171D92E938}">
      <dgm:prSet phldrT="[Text]" custT="1"/>
      <dgm:spPr/>
      <dgm:t>
        <a:bodyPr/>
        <a:lstStyle/>
        <a:p>
          <a:pPr algn="ctr">
            <a:buNone/>
          </a:pPr>
          <a:r>
            <a:rPr lang="en-US" sz="1050">
              <a:latin typeface="Times New Roman" panose="02020603050405020304" pitchFamily="18" charset="0"/>
              <a:cs typeface="Times New Roman" panose="02020603050405020304" pitchFamily="18" charset="0"/>
            </a:rPr>
            <a:t>Technical Transparency</a:t>
          </a:r>
        </a:p>
      </dgm:t>
    </dgm:pt>
    <dgm:pt modelId="{D7C61621-FB98-4FAF-96A3-4814351BD8FE}" type="parTrans" cxnId="{C5F787C4-8622-4F25-BF28-1CE10F7A8D29}">
      <dgm:prSet/>
      <dgm:spPr/>
      <dgm:t>
        <a:bodyPr/>
        <a:lstStyle/>
        <a:p>
          <a:endParaRPr lang="en-US"/>
        </a:p>
      </dgm:t>
    </dgm:pt>
    <dgm:pt modelId="{FBAF67C5-1A66-4E17-91DC-46A434B65338}" type="sibTrans" cxnId="{C5F787C4-8622-4F25-BF28-1CE10F7A8D29}">
      <dgm:prSet/>
      <dgm:spPr/>
      <dgm:t>
        <a:bodyPr/>
        <a:lstStyle/>
        <a:p>
          <a:endParaRPr lang="en-US"/>
        </a:p>
      </dgm:t>
    </dgm:pt>
    <dgm:pt modelId="{54E563D8-7789-4581-94C4-6F33C5C30CC9}">
      <dgm:prSet custT="1"/>
      <dgm:spPr/>
      <dgm:t>
        <a:bodyPr/>
        <a:lstStyle/>
        <a:p>
          <a:pPr algn="ctr">
            <a:buNone/>
          </a:pPr>
          <a:r>
            <a:rPr lang="en-US" sz="1050">
              <a:latin typeface="Times New Roman" panose="02020603050405020304" pitchFamily="18" charset="0"/>
              <a:cs typeface="Times New Roman" panose="02020603050405020304" pitchFamily="18" charset="0"/>
            </a:rPr>
            <a:t>Battery problems were confirmed by independent investigations, not just fixing, so you can believe that Samsung did not lie about facts (BBC News, 2017; Loveridge et al., 2018).</a:t>
          </a:r>
        </a:p>
      </dgm:t>
    </dgm:pt>
    <dgm:pt modelId="{516E9E00-567E-4C7C-82E9-A07E0661BDC4}" type="parTrans" cxnId="{48DA46E3-6658-4FD7-A271-8FA6233C1EA6}">
      <dgm:prSet/>
      <dgm:spPr/>
      <dgm:t>
        <a:bodyPr/>
        <a:lstStyle/>
        <a:p>
          <a:endParaRPr lang="en-US"/>
        </a:p>
      </dgm:t>
    </dgm:pt>
    <dgm:pt modelId="{AA00768D-6A4B-406A-880F-F4BF6888042A}" type="sibTrans" cxnId="{48DA46E3-6658-4FD7-A271-8FA6233C1EA6}">
      <dgm:prSet/>
      <dgm:spPr/>
      <dgm:t>
        <a:bodyPr/>
        <a:lstStyle/>
        <a:p>
          <a:endParaRPr lang="en-US"/>
        </a:p>
      </dgm:t>
    </dgm:pt>
    <dgm:pt modelId="{C6A607BF-1A8C-48CE-A847-76771C5FC08C}">
      <dgm:prSet custT="1"/>
      <dgm:spPr/>
      <dgm:t>
        <a:bodyPr/>
        <a:lstStyle/>
        <a:p>
          <a:pPr algn="ctr">
            <a:buNone/>
          </a:pPr>
          <a:r>
            <a:rPr lang="en-US" sz="1050">
              <a:latin typeface="Times New Roman" panose="02020603050405020304" pitchFamily="18" charset="0"/>
              <a:cs typeface="Times New Roman" panose="02020603050405020304" pitchFamily="18" charset="0"/>
            </a:rPr>
            <a:t>Eight-Point Safety Check</a:t>
          </a:r>
        </a:p>
      </dgm:t>
    </dgm:pt>
    <dgm:pt modelId="{A5A734D7-28B6-4258-B2B8-C9F672F67ED5}" type="parTrans" cxnId="{AB941E03-958A-40A2-9CE0-68FF1898088F}">
      <dgm:prSet/>
      <dgm:spPr/>
      <dgm:t>
        <a:bodyPr/>
        <a:lstStyle/>
        <a:p>
          <a:endParaRPr lang="en-US"/>
        </a:p>
      </dgm:t>
    </dgm:pt>
    <dgm:pt modelId="{B7F96807-C6F1-43C2-8972-326AB856F5A3}" type="sibTrans" cxnId="{AB941E03-958A-40A2-9CE0-68FF1898088F}">
      <dgm:prSet/>
      <dgm:spPr/>
      <dgm:t>
        <a:bodyPr/>
        <a:lstStyle/>
        <a:p>
          <a:endParaRPr lang="en-US"/>
        </a:p>
      </dgm:t>
    </dgm:pt>
    <dgm:pt modelId="{4CDF200B-15D6-44DB-9D51-18BAE7B94CAF}">
      <dgm:prSet custT="1"/>
      <dgm:spPr/>
      <dgm:t>
        <a:bodyPr/>
        <a:lstStyle/>
        <a:p>
          <a:pPr algn="ctr">
            <a:buNone/>
          </a:pPr>
          <a:r>
            <a:rPr lang="en-US" sz="1050">
              <a:latin typeface="Times New Roman" panose="02020603050405020304" pitchFamily="18" charset="0"/>
              <a:cs typeface="Times New Roman" panose="02020603050405020304" pitchFamily="18" charset="0"/>
            </a:rPr>
            <a:t>Samsung announced a rigorous battery testing protocol with 8 steps of battery testing, including durability, x-ray inspection, and charge-discharge testing (Samsung, 2016).</a:t>
          </a:r>
        </a:p>
      </dgm:t>
    </dgm:pt>
    <dgm:pt modelId="{467EF0A1-C496-4233-9CF1-5D2E7349FB11}" type="parTrans" cxnId="{F0C69880-9AF4-4188-8A90-7992066B7223}">
      <dgm:prSet/>
      <dgm:spPr/>
      <dgm:t>
        <a:bodyPr/>
        <a:lstStyle/>
        <a:p>
          <a:endParaRPr lang="en-US"/>
        </a:p>
      </dgm:t>
    </dgm:pt>
    <dgm:pt modelId="{B2CC49CD-94E7-4BAD-B0B2-4488A20DDE9F}" type="sibTrans" cxnId="{F0C69880-9AF4-4188-8A90-7992066B7223}">
      <dgm:prSet/>
      <dgm:spPr/>
      <dgm:t>
        <a:bodyPr/>
        <a:lstStyle/>
        <a:p>
          <a:endParaRPr lang="en-US"/>
        </a:p>
      </dgm:t>
    </dgm:pt>
    <dgm:pt modelId="{9F1E5734-2B15-41C1-A47F-5A6A7A056502}">
      <dgm:prSet custT="1"/>
      <dgm:spPr/>
      <dgm:t>
        <a:bodyPr/>
        <a:lstStyle/>
        <a:p>
          <a:pPr algn="ctr">
            <a:buNone/>
          </a:pPr>
          <a:r>
            <a:rPr lang="en-US" sz="1050">
              <a:latin typeface="Times New Roman" panose="02020603050405020304" pitchFamily="18" charset="0"/>
              <a:cs typeface="Times New Roman" panose="02020603050405020304" pitchFamily="18" charset="0"/>
            </a:rPr>
            <a:t>External Advisory Panels</a:t>
          </a:r>
        </a:p>
      </dgm:t>
    </dgm:pt>
    <dgm:pt modelId="{C2A8C75D-A938-40E8-84D5-05FD4F6560A2}" type="parTrans" cxnId="{D0533DD7-6CB4-448E-BBA0-4C0A0A4F25DB}">
      <dgm:prSet/>
      <dgm:spPr/>
      <dgm:t>
        <a:bodyPr/>
        <a:lstStyle/>
        <a:p>
          <a:endParaRPr lang="en-US"/>
        </a:p>
      </dgm:t>
    </dgm:pt>
    <dgm:pt modelId="{D2EDF3ED-60AA-4C9D-B5DD-A84144462F63}" type="sibTrans" cxnId="{D0533DD7-6CB4-448E-BBA0-4C0A0A4F25DB}">
      <dgm:prSet/>
      <dgm:spPr/>
      <dgm:t>
        <a:bodyPr/>
        <a:lstStyle/>
        <a:p>
          <a:endParaRPr lang="en-US"/>
        </a:p>
      </dgm:t>
    </dgm:pt>
    <dgm:pt modelId="{236D4D66-7688-42C6-9B62-E60A720A1309}">
      <dgm:prSet custT="1"/>
      <dgm:spPr/>
      <dgm:t>
        <a:bodyPr/>
        <a:lstStyle/>
        <a:p>
          <a:pPr algn="ctr">
            <a:buNone/>
          </a:pPr>
          <a:r>
            <a:rPr lang="en-US" sz="1050">
              <a:latin typeface="Times New Roman" panose="02020603050405020304" pitchFamily="18" charset="0"/>
              <a:cs typeface="Times New Roman" panose="02020603050405020304" pitchFamily="18" charset="0"/>
            </a:rPr>
            <a:t>The company established independent panels of academic and industry experts to monitor product safety reforms (Lee et al., 2017).</a:t>
          </a:r>
        </a:p>
      </dgm:t>
    </dgm:pt>
    <dgm:pt modelId="{057631E1-0226-4275-A3F5-8BCAAB6C9C3D}" type="parTrans" cxnId="{E277094C-E46A-442B-B9D0-C73324BCAC54}">
      <dgm:prSet/>
      <dgm:spPr/>
      <dgm:t>
        <a:bodyPr/>
        <a:lstStyle/>
        <a:p>
          <a:endParaRPr lang="en-US"/>
        </a:p>
      </dgm:t>
    </dgm:pt>
    <dgm:pt modelId="{93919F3F-A92E-4BD9-B533-BB8F189A7530}" type="sibTrans" cxnId="{E277094C-E46A-442B-B9D0-C73324BCAC54}">
      <dgm:prSet/>
      <dgm:spPr/>
      <dgm:t>
        <a:bodyPr/>
        <a:lstStyle/>
        <a:p>
          <a:endParaRPr lang="en-US"/>
        </a:p>
      </dgm:t>
    </dgm:pt>
    <dgm:pt modelId="{E22F5E85-7F16-4983-8D99-490F614EFC44}">
      <dgm:prSet custT="1"/>
      <dgm:spPr/>
      <dgm:t>
        <a:bodyPr/>
        <a:lstStyle/>
        <a:p>
          <a:pPr algn="ctr">
            <a:buNone/>
          </a:pPr>
          <a:r>
            <a:rPr lang="en-US" sz="1050">
              <a:latin typeface="Times New Roman" panose="02020603050405020304" pitchFamily="18" charset="0"/>
              <a:cs typeface="Times New Roman" panose="02020603050405020304" pitchFamily="18" charset="0"/>
            </a:rPr>
            <a:t>Risk-Governance Framework</a:t>
          </a:r>
        </a:p>
      </dgm:t>
    </dgm:pt>
    <dgm:pt modelId="{971ABF6E-F650-4CBA-89E7-F3E1F3BD317A}" type="parTrans" cxnId="{DB3D637F-720F-4593-B914-30D415521893}">
      <dgm:prSet/>
      <dgm:spPr/>
      <dgm:t>
        <a:bodyPr/>
        <a:lstStyle/>
        <a:p>
          <a:endParaRPr lang="en-US"/>
        </a:p>
      </dgm:t>
    </dgm:pt>
    <dgm:pt modelId="{A7D8FF6D-DE1A-427E-ACB3-6C9B9D7EACD4}" type="sibTrans" cxnId="{DB3D637F-720F-4593-B914-30D415521893}">
      <dgm:prSet/>
      <dgm:spPr/>
      <dgm:t>
        <a:bodyPr/>
        <a:lstStyle/>
        <a:p>
          <a:endParaRPr lang="en-US"/>
        </a:p>
      </dgm:t>
    </dgm:pt>
    <dgm:pt modelId="{2015D140-D409-4D1F-8F11-1E62FA1C09F1}">
      <dgm:prSet custT="1"/>
      <dgm:spPr/>
      <dgm:t>
        <a:bodyPr/>
        <a:lstStyle/>
        <a:p>
          <a:pPr algn="ctr">
            <a:buNone/>
          </a:pPr>
          <a:r>
            <a:rPr lang="en-US" sz="1050">
              <a:latin typeface="Times New Roman" panose="02020603050405020304" pitchFamily="18" charset="0"/>
              <a:cs typeface="Times New Roman" panose="02020603050405020304" pitchFamily="18" charset="0"/>
            </a:rPr>
            <a:t>System-wide value distribution across the enterprise to bridge engineering, compliance, and quality to improve supervision.</a:t>
          </a:r>
        </a:p>
      </dgm:t>
    </dgm:pt>
    <dgm:pt modelId="{9AB56FF9-3C21-4343-A308-514DB2B39615}" type="parTrans" cxnId="{12D7EA34-9DC2-4940-98C4-16198E3EF436}">
      <dgm:prSet/>
      <dgm:spPr/>
      <dgm:t>
        <a:bodyPr/>
        <a:lstStyle/>
        <a:p>
          <a:endParaRPr lang="en-US"/>
        </a:p>
      </dgm:t>
    </dgm:pt>
    <dgm:pt modelId="{01C08EFB-EF67-4B88-BD38-1B2483519B2E}" type="sibTrans" cxnId="{12D7EA34-9DC2-4940-98C4-16198E3EF436}">
      <dgm:prSet/>
      <dgm:spPr/>
      <dgm:t>
        <a:bodyPr/>
        <a:lstStyle/>
        <a:p>
          <a:endParaRPr lang="en-US"/>
        </a:p>
      </dgm:t>
    </dgm:pt>
    <dgm:pt modelId="{020983BC-F679-4F90-A61D-FC48A69306D5}">
      <dgm:prSet custT="1"/>
      <dgm:spPr/>
      <dgm:t>
        <a:bodyPr/>
        <a:lstStyle/>
        <a:p>
          <a:pPr algn="ctr">
            <a:buNone/>
          </a:pPr>
          <a:r>
            <a:rPr lang="en-US" sz="1050">
              <a:latin typeface="Times New Roman" panose="02020603050405020304" pitchFamily="18" charset="0"/>
              <a:cs typeface="Times New Roman" panose="02020603050405020304" pitchFamily="18" charset="0"/>
            </a:rPr>
            <a:t>"Show Your Homework" Approach</a:t>
          </a:r>
        </a:p>
      </dgm:t>
    </dgm:pt>
    <dgm:pt modelId="{0CC19351-F0E7-483A-8113-351DDC18DE74}" type="parTrans" cxnId="{E841BB8D-52DD-4DFB-B12D-FA274E9E6488}">
      <dgm:prSet/>
      <dgm:spPr/>
      <dgm:t>
        <a:bodyPr/>
        <a:lstStyle/>
        <a:p>
          <a:endParaRPr lang="en-US"/>
        </a:p>
      </dgm:t>
    </dgm:pt>
    <dgm:pt modelId="{349222F4-38D1-48EF-A793-78FD13E261D2}" type="sibTrans" cxnId="{E841BB8D-52DD-4DFB-B12D-FA274E9E6488}">
      <dgm:prSet/>
      <dgm:spPr/>
      <dgm:t>
        <a:bodyPr/>
        <a:lstStyle/>
        <a:p>
          <a:endParaRPr lang="en-US"/>
        </a:p>
      </dgm:t>
    </dgm:pt>
    <dgm:pt modelId="{7B6F45B0-DBD7-46F0-8666-F609A78FB088}">
      <dgm:prSet custT="1"/>
      <dgm:spPr/>
      <dgm:t>
        <a:bodyPr/>
        <a:lstStyle/>
        <a:p>
          <a:pPr algn="ctr">
            <a:buNone/>
          </a:pPr>
          <a:r>
            <a:rPr lang="en-US" sz="1050">
              <a:latin typeface="Times New Roman" panose="02020603050405020304" pitchFamily="18" charset="0"/>
              <a:cs typeface="Times New Roman" panose="02020603050405020304" pitchFamily="18" charset="0"/>
            </a:rPr>
            <a:t>Full publication of test results was a credibility and transparency indicator of technical appraisal.</a:t>
          </a:r>
        </a:p>
      </dgm:t>
    </dgm:pt>
    <dgm:pt modelId="{A85B0A67-44DF-4769-A62D-0714F0E608CE}" type="parTrans" cxnId="{878A1E5C-E0B3-4827-BACF-FC41DA561B14}">
      <dgm:prSet/>
      <dgm:spPr/>
      <dgm:t>
        <a:bodyPr/>
        <a:lstStyle/>
        <a:p>
          <a:endParaRPr lang="en-US"/>
        </a:p>
      </dgm:t>
    </dgm:pt>
    <dgm:pt modelId="{B9B90670-7FE8-4B2A-B623-83E22A738E3B}" type="sibTrans" cxnId="{878A1E5C-E0B3-4827-BACF-FC41DA561B14}">
      <dgm:prSet/>
      <dgm:spPr/>
      <dgm:t>
        <a:bodyPr/>
        <a:lstStyle/>
        <a:p>
          <a:endParaRPr lang="en-US"/>
        </a:p>
      </dgm:t>
    </dgm:pt>
    <dgm:pt modelId="{EEA5E4FB-93E2-4225-9809-6AEAE215C478}">
      <dgm:prSet custT="1"/>
      <dgm:spPr/>
      <dgm:t>
        <a:bodyPr/>
        <a:lstStyle/>
        <a:p>
          <a:pPr algn="ctr">
            <a:buNone/>
          </a:pPr>
          <a:r>
            <a:rPr lang="en-US" sz="1050">
              <a:latin typeface="Times New Roman" panose="02020603050405020304" pitchFamily="18" charset="0"/>
              <a:cs typeface="Times New Roman" panose="02020603050405020304" pitchFamily="18" charset="0"/>
            </a:rPr>
            <a:t>Narrative Reframing</a:t>
          </a:r>
        </a:p>
      </dgm:t>
    </dgm:pt>
    <dgm:pt modelId="{CB4BFE47-529C-4649-8F38-65C47880721F}" type="parTrans" cxnId="{21DCD708-C270-49BA-97FF-AE80128A3419}">
      <dgm:prSet/>
      <dgm:spPr/>
      <dgm:t>
        <a:bodyPr/>
        <a:lstStyle/>
        <a:p>
          <a:endParaRPr lang="en-US"/>
        </a:p>
      </dgm:t>
    </dgm:pt>
    <dgm:pt modelId="{9C9AB136-6850-4171-B3ED-50A88EB72A54}" type="sibTrans" cxnId="{21DCD708-C270-49BA-97FF-AE80128A3419}">
      <dgm:prSet/>
      <dgm:spPr/>
      <dgm:t>
        <a:bodyPr/>
        <a:lstStyle/>
        <a:p>
          <a:endParaRPr lang="en-US"/>
        </a:p>
      </dgm:t>
    </dgm:pt>
    <dgm:pt modelId="{5EF4F808-5FD4-4994-8459-E806756086DE}">
      <dgm:prSet custT="1"/>
      <dgm:spPr/>
      <dgm:t>
        <a:bodyPr/>
        <a:lstStyle/>
        <a:p>
          <a:pPr algn="ctr">
            <a:buNone/>
          </a:pPr>
          <a:r>
            <a:rPr lang="en-US" sz="1050">
              <a:latin typeface="Times New Roman" panose="02020603050405020304" pitchFamily="18" charset="0"/>
              <a:cs typeface="Times New Roman" panose="02020603050405020304" pitchFamily="18" charset="0"/>
            </a:rPr>
            <a:t>This represented a change in the tone of communication away from apology and towards the language of change, positioning Samsung in a position of responsibility and action (Dholakia, 2016).</a:t>
          </a:r>
        </a:p>
      </dgm:t>
    </dgm:pt>
    <dgm:pt modelId="{6ECD7656-8974-4D4F-B149-D0F9C3C125E0}" type="parTrans" cxnId="{F5837910-4FE7-4872-8344-AA56CA17FDDA}">
      <dgm:prSet/>
      <dgm:spPr/>
      <dgm:t>
        <a:bodyPr/>
        <a:lstStyle/>
        <a:p>
          <a:endParaRPr lang="en-US"/>
        </a:p>
      </dgm:t>
    </dgm:pt>
    <dgm:pt modelId="{B6FD052D-148A-4BDF-86EC-A86A4F0CF648}" type="sibTrans" cxnId="{F5837910-4FE7-4872-8344-AA56CA17FDDA}">
      <dgm:prSet/>
      <dgm:spPr/>
      <dgm:t>
        <a:bodyPr/>
        <a:lstStyle/>
        <a:p>
          <a:endParaRPr lang="en-US"/>
        </a:p>
      </dgm:t>
    </dgm:pt>
    <dgm:pt modelId="{BF923710-C05B-40FC-A347-0DBDE9BB36B2}">
      <dgm:prSet custT="1"/>
      <dgm:spPr/>
      <dgm:t>
        <a:bodyPr/>
        <a:lstStyle/>
        <a:p>
          <a:pPr algn="ctr">
            <a:buNone/>
          </a:pPr>
          <a:r>
            <a:rPr lang="en-US" sz="1050">
              <a:latin typeface="Times New Roman" panose="02020603050405020304" pitchFamily="18" charset="0"/>
              <a:cs typeface="Times New Roman" panose="02020603050405020304" pitchFamily="18" charset="0"/>
            </a:rPr>
            <a:t>Continuous Improvement Seeking Culture</a:t>
          </a:r>
        </a:p>
      </dgm:t>
    </dgm:pt>
    <dgm:pt modelId="{B6F01215-7534-482C-8DFB-783AFC7074D3}" type="parTrans" cxnId="{D1C9B4FA-C94D-46D4-B089-04E0C04A0BF4}">
      <dgm:prSet/>
      <dgm:spPr/>
      <dgm:t>
        <a:bodyPr/>
        <a:lstStyle/>
        <a:p>
          <a:endParaRPr lang="en-US"/>
        </a:p>
      </dgm:t>
    </dgm:pt>
    <dgm:pt modelId="{614A7BE7-CC51-482C-8DD0-EFCC71D609A4}" type="sibTrans" cxnId="{D1C9B4FA-C94D-46D4-B089-04E0C04A0BF4}">
      <dgm:prSet/>
      <dgm:spPr/>
      <dgm:t>
        <a:bodyPr/>
        <a:lstStyle/>
        <a:p>
          <a:endParaRPr lang="en-US"/>
        </a:p>
      </dgm:t>
    </dgm:pt>
    <dgm:pt modelId="{B170FD16-C2A8-464E-822A-8AA0619E4B8D}">
      <dgm:prSet custT="1"/>
      <dgm:spPr/>
      <dgm:t>
        <a:bodyPr/>
        <a:lstStyle/>
        <a:p>
          <a:pPr algn="ctr">
            <a:buNone/>
          </a:pPr>
          <a:r>
            <a:rPr lang="en-US" sz="1050">
              <a:latin typeface="Times New Roman" panose="02020603050405020304" pitchFamily="18" charset="0"/>
              <a:cs typeface="Times New Roman" panose="02020603050405020304" pitchFamily="18" charset="0"/>
            </a:rPr>
            <a:t>Long-term quality programmes which concentrate on prevention and learning (Abbas, 2023)</a:t>
          </a:r>
        </a:p>
      </dgm:t>
    </dgm:pt>
    <dgm:pt modelId="{3B840B44-5E4F-44F7-A07D-B11059D08B3F}" type="parTrans" cxnId="{6B61A456-BB17-402C-BEAF-BE56052878AB}">
      <dgm:prSet/>
      <dgm:spPr/>
      <dgm:t>
        <a:bodyPr/>
        <a:lstStyle/>
        <a:p>
          <a:endParaRPr lang="en-US"/>
        </a:p>
      </dgm:t>
    </dgm:pt>
    <dgm:pt modelId="{4094E8F0-EC33-47EB-9C23-B5785CE036EC}" type="sibTrans" cxnId="{6B61A456-BB17-402C-BEAF-BE56052878AB}">
      <dgm:prSet/>
      <dgm:spPr/>
      <dgm:t>
        <a:bodyPr/>
        <a:lstStyle/>
        <a:p>
          <a:endParaRPr lang="en-US"/>
        </a:p>
      </dgm:t>
    </dgm:pt>
    <dgm:pt modelId="{8FA85F50-997E-44BE-A783-D6A7BEE3314E}">
      <dgm:prSet custT="1"/>
      <dgm:spPr/>
      <dgm:t>
        <a:bodyPr/>
        <a:lstStyle/>
        <a:p>
          <a:pPr algn="ctr">
            <a:buNone/>
          </a:pPr>
          <a:r>
            <a:rPr lang="en-US" sz="1050">
              <a:latin typeface="Times New Roman" panose="02020603050405020304" pitchFamily="18" charset="0"/>
              <a:cs typeface="Times New Roman" panose="02020603050405020304" pitchFamily="18" charset="0"/>
            </a:rPr>
            <a:t>Routine Communication Frequency</a:t>
          </a:r>
        </a:p>
      </dgm:t>
    </dgm:pt>
    <dgm:pt modelId="{74B08988-BB98-4722-AA52-BDCB52AB35C9}" type="parTrans" cxnId="{5FEB3902-F7F6-4F7A-ABEF-6CFC374DA7A3}">
      <dgm:prSet/>
      <dgm:spPr/>
      <dgm:t>
        <a:bodyPr/>
        <a:lstStyle/>
        <a:p>
          <a:endParaRPr lang="en-US"/>
        </a:p>
      </dgm:t>
    </dgm:pt>
    <dgm:pt modelId="{A9326A69-1964-445C-A97E-7EA4008465AA}" type="sibTrans" cxnId="{5FEB3902-F7F6-4F7A-ABEF-6CFC374DA7A3}">
      <dgm:prSet/>
      <dgm:spPr/>
      <dgm:t>
        <a:bodyPr/>
        <a:lstStyle/>
        <a:p>
          <a:endParaRPr lang="en-US"/>
        </a:p>
      </dgm:t>
    </dgm:pt>
    <dgm:pt modelId="{2FAA8D3B-BC74-4E8B-B589-26126D0BB06D}">
      <dgm:prSet custT="1"/>
      <dgm:spPr/>
      <dgm:t>
        <a:bodyPr/>
        <a:lstStyle/>
        <a:p>
          <a:pPr algn="ctr">
            <a:buNone/>
          </a:pPr>
          <a:r>
            <a:rPr lang="en-US" sz="1050">
              <a:latin typeface="Times New Roman" panose="02020603050405020304" pitchFamily="18" charset="0"/>
              <a:cs typeface="Times New Roman" panose="02020603050405020304" pitchFamily="18" charset="0"/>
            </a:rPr>
            <a:t>Regular news releases and media engagement ensured building trust and strengthening elucidation of that authenticated reform (Novark, 2025).</a:t>
          </a:r>
        </a:p>
      </dgm:t>
    </dgm:pt>
    <dgm:pt modelId="{1D2632E1-8F6D-4ED0-B5D6-B82DFE99300F}" type="parTrans" cxnId="{086EDF8F-97E0-4CE4-9B0B-33C7FB72FEAE}">
      <dgm:prSet/>
      <dgm:spPr/>
      <dgm:t>
        <a:bodyPr/>
        <a:lstStyle/>
        <a:p>
          <a:endParaRPr lang="en-US"/>
        </a:p>
      </dgm:t>
    </dgm:pt>
    <dgm:pt modelId="{46F6175D-1575-4430-BDB5-5800016D1ECF}" type="sibTrans" cxnId="{086EDF8F-97E0-4CE4-9B0B-33C7FB72FEAE}">
      <dgm:prSet/>
      <dgm:spPr/>
      <dgm:t>
        <a:bodyPr/>
        <a:lstStyle/>
        <a:p>
          <a:endParaRPr lang="en-US"/>
        </a:p>
      </dgm:t>
    </dgm:pt>
    <dgm:pt modelId="{7A92B7C9-F90A-42AD-87BD-7D77D496A460}" type="pres">
      <dgm:prSet presAssocID="{39C3E3AB-D0ED-4796-B942-9F3FEEDE63E7}" presName="Name0" presStyleCnt="0">
        <dgm:presLayoutVars>
          <dgm:chMax/>
          <dgm:chPref val="3"/>
          <dgm:dir/>
          <dgm:animOne val="branch"/>
          <dgm:animLvl val="lvl"/>
        </dgm:presLayoutVars>
      </dgm:prSet>
      <dgm:spPr/>
      <dgm:t>
        <a:bodyPr/>
        <a:lstStyle/>
        <a:p>
          <a:endParaRPr lang="en-US"/>
        </a:p>
      </dgm:t>
    </dgm:pt>
    <dgm:pt modelId="{8476B88A-A797-4CA6-B154-6B443AD820D4}" type="pres">
      <dgm:prSet presAssocID="{6F75BD93-BD8E-46F2-AE50-07171D92E938}" presName="composite" presStyleCnt="0"/>
      <dgm:spPr/>
    </dgm:pt>
    <dgm:pt modelId="{38FDB736-F7CD-4203-B3A5-3F52CF3AF697}" type="pres">
      <dgm:prSet presAssocID="{6F75BD93-BD8E-46F2-AE50-07171D92E938}" presName="FirstChild" presStyleLbl="revTx" presStyleIdx="0" presStyleCnt="8">
        <dgm:presLayoutVars>
          <dgm:chMax val="0"/>
          <dgm:chPref val="0"/>
          <dgm:bulletEnabled val="1"/>
        </dgm:presLayoutVars>
      </dgm:prSet>
      <dgm:spPr/>
      <dgm:t>
        <a:bodyPr/>
        <a:lstStyle/>
        <a:p>
          <a:endParaRPr lang="en-US"/>
        </a:p>
      </dgm:t>
    </dgm:pt>
    <dgm:pt modelId="{E0DB30C7-F4D8-4412-81D3-86EF80DD3CD1}" type="pres">
      <dgm:prSet presAssocID="{6F75BD93-BD8E-46F2-AE50-07171D92E938}" presName="Parent" presStyleLbl="alignNode1" presStyleIdx="0" presStyleCnt="8">
        <dgm:presLayoutVars>
          <dgm:chMax val="3"/>
          <dgm:chPref val="3"/>
          <dgm:bulletEnabled val="1"/>
        </dgm:presLayoutVars>
      </dgm:prSet>
      <dgm:spPr/>
      <dgm:t>
        <a:bodyPr/>
        <a:lstStyle/>
        <a:p>
          <a:endParaRPr lang="en-US"/>
        </a:p>
      </dgm:t>
    </dgm:pt>
    <dgm:pt modelId="{09E63227-0AB6-4DA0-9D90-29773AC3BE62}" type="pres">
      <dgm:prSet presAssocID="{6F75BD93-BD8E-46F2-AE50-07171D92E938}" presName="Accent" presStyleLbl="parChTrans1D1" presStyleIdx="0" presStyleCnt="8"/>
      <dgm:spPr/>
    </dgm:pt>
    <dgm:pt modelId="{5F175EEE-2D69-4AEC-8EEA-20F140912800}" type="pres">
      <dgm:prSet presAssocID="{FBAF67C5-1A66-4E17-91DC-46A434B65338}" presName="sibTrans" presStyleCnt="0"/>
      <dgm:spPr/>
    </dgm:pt>
    <dgm:pt modelId="{C832B667-F01E-4B3E-AB8A-BBDC549206F6}" type="pres">
      <dgm:prSet presAssocID="{C6A607BF-1A8C-48CE-A847-76771C5FC08C}" presName="composite" presStyleCnt="0"/>
      <dgm:spPr/>
    </dgm:pt>
    <dgm:pt modelId="{CF030FF4-43F7-419B-8DC1-D93B8A7D418B}" type="pres">
      <dgm:prSet presAssocID="{C6A607BF-1A8C-48CE-A847-76771C5FC08C}" presName="FirstChild" presStyleLbl="revTx" presStyleIdx="1" presStyleCnt="8">
        <dgm:presLayoutVars>
          <dgm:chMax val="0"/>
          <dgm:chPref val="0"/>
          <dgm:bulletEnabled val="1"/>
        </dgm:presLayoutVars>
      </dgm:prSet>
      <dgm:spPr/>
      <dgm:t>
        <a:bodyPr/>
        <a:lstStyle/>
        <a:p>
          <a:endParaRPr lang="en-US"/>
        </a:p>
      </dgm:t>
    </dgm:pt>
    <dgm:pt modelId="{5AB792E5-8994-4D3B-ADB6-7B32A2782037}" type="pres">
      <dgm:prSet presAssocID="{C6A607BF-1A8C-48CE-A847-76771C5FC08C}" presName="Parent" presStyleLbl="alignNode1" presStyleIdx="1" presStyleCnt="8">
        <dgm:presLayoutVars>
          <dgm:chMax val="3"/>
          <dgm:chPref val="3"/>
          <dgm:bulletEnabled val="1"/>
        </dgm:presLayoutVars>
      </dgm:prSet>
      <dgm:spPr/>
      <dgm:t>
        <a:bodyPr/>
        <a:lstStyle/>
        <a:p>
          <a:endParaRPr lang="en-US"/>
        </a:p>
      </dgm:t>
    </dgm:pt>
    <dgm:pt modelId="{7AF7F382-C823-492C-9540-8BD1ACABEB5B}" type="pres">
      <dgm:prSet presAssocID="{C6A607BF-1A8C-48CE-A847-76771C5FC08C}" presName="Accent" presStyleLbl="parChTrans1D1" presStyleIdx="1" presStyleCnt="8"/>
      <dgm:spPr/>
    </dgm:pt>
    <dgm:pt modelId="{1517A349-838E-4267-B920-5CBA253C46EE}" type="pres">
      <dgm:prSet presAssocID="{B7F96807-C6F1-43C2-8972-326AB856F5A3}" presName="sibTrans" presStyleCnt="0"/>
      <dgm:spPr/>
    </dgm:pt>
    <dgm:pt modelId="{4A58B3B1-0761-4DD1-ACD6-509E75B4EC7D}" type="pres">
      <dgm:prSet presAssocID="{9F1E5734-2B15-41C1-A47F-5A6A7A056502}" presName="composite" presStyleCnt="0"/>
      <dgm:spPr/>
    </dgm:pt>
    <dgm:pt modelId="{45B33D0C-DD85-4ED5-9E4E-445C5D6602F1}" type="pres">
      <dgm:prSet presAssocID="{9F1E5734-2B15-41C1-A47F-5A6A7A056502}" presName="FirstChild" presStyleLbl="revTx" presStyleIdx="2" presStyleCnt="8">
        <dgm:presLayoutVars>
          <dgm:chMax val="0"/>
          <dgm:chPref val="0"/>
          <dgm:bulletEnabled val="1"/>
        </dgm:presLayoutVars>
      </dgm:prSet>
      <dgm:spPr/>
      <dgm:t>
        <a:bodyPr/>
        <a:lstStyle/>
        <a:p>
          <a:endParaRPr lang="en-US"/>
        </a:p>
      </dgm:t>
    </dgm:pt>
    <dgm:pt modelId="{BFC7F40E-A8ED-4DFF-AB84-4963C08A0FE6}" type="pres">
      <dgm:prSet presAssocID="{9F1E5734-2B15-41C1-A47F-5A6A7A056502}" presName="Parent" presStyleLbl="alignNode1" presStyleIdx="2" presStyleCnt="8">
        <dgm:presLayoutVars>
          <dgm:chMax val="3"/>
          <dgm:chPref val="3"/>
          <dgm:bulletEnabled val="1"/>
        </dgm:presLayoutVars>
      </dgm:prSet>
      <dgm:spPr/>
      <dgm:t>
        <a:bodyPr/>
        <a:lstStyle/>
        <a:p>
          <a:endParaRPr lang="en-US"/>
        </a:p>
      </dgm:t>
    </dgm:pt>
    <dgm:pt modelId="{3E4EB740-26E6-4C64-BF8E-A2E2F6E5215D}" type="pres">
      <dgm:prSet presAssocID="{9F1E5734-2B15-41C1-A47F-5A6A7A056502}" presName="Accent" presStyleLbl="parChTrans1D1" presStyleIdx="2" presStyleCnt="8"/>
      <dgm:spPr/>
    </dgm:pt>
    <dgm:pt modelId="{723BC485-3BD1-4701-9BCA-FDC62F9FA642}" type="pres">
      <dgm:prSet presAssocID="{D2EDF3ED-60AA-4C9D-B5DD-A84144462F63}" presName="sibTrans" presStyleCnt="0"/>
      <dgm:spPr/>
    </dgm:pt>
    <dgm:pt modelId="{EB0B67AB-8BD2-4F9D-8FBE-4C1A1FD34B2B}" type="pres">
      <dgm:prSet presAssocID="{E22F5E85-7F16-4983-8D99-490F614EFC44}" presName="composite" presStyleCnt="0"/>
      <dgm:spPr/>
    </dgm:pt>
    <dgm:pt modelId="{3B751268-80B4-4929-989F-15B95FFCDE7D}" type="pres">
      <dgm:prSet presAssocID="{E22F5E85-7F16-4983-8D99-490F614EFC44}" presName="FirstChild" presStyleLbl="revTx" presStyleIdx="3" presStyleCnt="8">
        <dgm:presLayoutVars>
          <dgm:chMax val="0"/>
          <dgm:chPref val="0"/>
          <dgm:bulletEnabled val="1"/>
        </dgm:presLayoutVars>
      </dgm:prSet>
      <dgm:spPr/>
      <dgm:t>
        <a:bodyPr/>
        <a:lstStyle/>
        <a:p>
          <a:endParaRPr lang="en-US"/>
        </a:p>
      </dgm:t>
    </dgm:pt>
    <dgm:pt modelId="{4AB2AA0E-AD7F-4B60-9CBA-6213F11E2EDF}" type="pres">
      <dgm:prSet presAssocID="{E22F5E85-7F16-4983-8D99-490F614EFC44}" presName="Parent" presStyleLbl="alignNode1" presStyleIdx="3" presStyleCnt="8">
        <dgm:presLayoutVars>
          <dgm:chMax val="3"/>
          <dgm:chPref val="3"/>
          <dgm:bulletEnabled val="1"/>
        </dgm:presLayoutVars>
      </dgm:prSet>
      <dgm:spPr/>
      <dgm:t>
        <a:bodyPr/>
        <a:lstStyle/>
        <a:p>
          <a:endParaRPr lang="en-US"/>
        </a:p>
      </dgm:t>
    </dgm:pt>
    <dgm:pt modelId="{C433C333-F04A-488A-B766-8256D28C74E2}" type="pres">
      <dgm:prSet presAssocID="{E22F5E85-7F16-4983-8D99-490F614EFC44}" presName="Accent" presStyleLbl="parChTrans1D1" presStyleIdx="3" presStyleCnt="8"/>
      <dgm:spPr/>
    </dgm:pt>
    <dgm:pt modelId="{31DEDAAC-58A6-4FA5-8A71-A447BA1A7E91}" type="pres">
      <dgm:prSet presAssocID="{A7D8FF6D-DE1A-427E-ACB3-6C9B9D7EACD4}" presName="sibTrans" presStyleCnt="0"/>
      <dgm:spPr/>
    </dgm:pt>
    <dgm:pt modelId="{CE965041-9C3F-485E-81BC-106FD8BEDBC0}" type="pres">
      <dgm:prSet presAssocID="{020983BC-F679-4F90-A61D-FC48A69306D5}" presName="composite" presStyleCnt="0"/>
      <dgm:spPr/>
    </dgm:pt>
    <dgm:pt modelId="{E1FC0B7E-BAEB-428A-85FE-0252344C1087}" type="pres">
      <dgm:prSet presAssocID="{020983BC-F679-4F90-A61D-FC48A69306D5}" presName="FirstChild" presStyleLbl="revTx" presStyleIdx="4" presStyleCnt="8">
        <dgm:presLayoutVars>
          <dgm:chMax val="0"/>
          <dgm:chPref val="0"/>
          <dgm:bulletEnabled val="1"/>
        </dgm:presLayoutVars>
      </dgm:prSet>
      <dgm:spPr/>
      <dgm:t>
        <a:bodyPr/>
        <a:lstStyle/>
        <a:p>
          <a:endParaRPr lang="en-US"/>
        </a:p>
      </dgm:t>
    </dgm:pt>
    <dgm:pt modelId="{7725F6CA-CF14-411C-9FF4-14718799B916}" type="pres">
      <dgm:prSet presAssocID="{020983BC-F679-4F90-A61D-FC48A69306D5}" presName="Parent" presStyleLbl="alignNode1" presStyleIdx="4" presStyleCnt="8">
        <dgm:presLayoutVars>
          <dgm:chMax val="3"/>
          <dgm:chPref val="3"/>
          <dgm:bulletEnabled val="1"/>
        </dgm:presLayoutVars>
      </dgm:prSet>
      <dgm:spPr/>
      <dgm:t>
        <a:bodyPr/>
        <a:lstStyle/>
        <a:p>
          <a:endParaRPr lang="en-US"/>
        </a:p>
      </dgm:t>
    </dgm:pt>
    <dgm:pt modelId="{12728ADA-AF88-4D18-B6D6-8425F6DDE48D}" type="pres">
      <dgm:prSet presAssocID="{020983BC-F679-4F90-A61D-FC48A69306D5}" presName="Accent" presStyleLbl="parChTrans1D1" presStyleIdx="4" presStyleCnt="8"/>
      <dgm:spPr/>
    </dgm:pt>
    <dgm:pt modelId="{A3B4EE2A-5BA5-4396-BF24-6A2A026D4A6B}" type="pres">
      <dgm:prSet presAssocID="{349222F4-38D1-48EF-A793-78FD13E261D2}" presName="sibTrans" presStyleCnt="0"/>
      <dgm:spPr/>
    </dgm:pt>
    <dgm:pt modelId="{308A8A3F-149E-4AB3-A650-58287D07F129}" type="pres">
      <dgm:prSet presAssocID="{EEA5E4FB-93E2-4225-9809-6AEAE215C478}" presName="composite" presStyleCnt="0"/>
      <dgm:spPr/>
    </dgm:pt>
    <dgm:pt modelId="{C32B91D1-0E12-41C5-AA36-506499DA3E2E}" type="pres">
      <dgm:prSet presAssocID="{EEA5E4FB-93E2-4225-9809-6AEAE215C478}" presName="FirstChild" presStyleLbl="revTx" presStyleIdx="5" presStyleCnt="8">
        <dgm:presLayoutVars>
          <dgm:chMax val="0"/>
          <dgm:chPref val="0"/>
          <dgm:bulletEnabled val="1"/>
        </dgm:presLayoutVars>
      </dgm:prSet>
      <dgm:spPr/>
      <dgm:t>
        <a:bodyPr/>
        <a:lstStyle/>
        <a:p>
          <a:endParaRPr lang="en-US"/>
        </a:p>
      </dgm:t>
    </dgm:pt>
    <dgm:pt modelId="{A0CFDBA7-7948-43A5-9BF6-D04F9B12D98F}" type="pres">
      <dgm:prSet presAssocID="{EEA5E4FB-93E2-4225-9809-6AEAE215C478}" presName="Parent" presStyleLbl="alignNode1" presStyleIdx="5" presStyleCnt="8">
        <dgm:presLayoutVars>
          <dgm:chMax val="3"/>
          <dgm:chPref val="3"/>
          <dgm:bulletEnabled val="1"/>
        </dgm:presLayoutVars>
      </dgm:prSet>
      <dgm:spPr/>
      <dgm:t>
        <a:bodyPr/>
        <a:lstStyle/>
        <a:p>
          <a:endParaRPr lang="en-US"/>
        </a:p>
      </dgm:t>
    </dgm:pt>
    <dgm:pt modelId="{A02FF2EA-5AB5-4984-80D8-4B127DAE75E2}" type="pres">
      <dgm:prSet presAssocID="{EEA5E4FB-93E2-4225-9809-6AEAE215C478}" presName="Accent" presStyleLbl="parChTrans1D1" presStyleIdx="5" presStyleCnt="8"/>
      <dgm:spPr/>
    </dgm:pt>
    <dgm:pt modelId="{33097D61-DF00-4078-82C1-4074AA038B6D}" type="pres">
      <dgm:prSet presAssocID="{9C9AB136-6850-4171-B3ED-50A88EB72A54}" presName="sibTrans" presStyleCnt="0"/>
      <dgm:spPr/>
    </dgm:pt>
    <dgm:pt modelId="{54A0EC89-ABD6-4188-9169-A2E22AD47EBC}" type="pres">
      <dgm:prSet presAssocID="{BF923710-C05B-40FC-A347-0DBDE9BB36B2}" presName="composite" presStyleCnt="0"/>
      <dgm:spPr/>
    </dgm:pt>
    <dgm:pt modelId="{A3825107-B07F-48B6-9317-39F2ED57EAE8}" type="pres">
      <dgm:prSet presAssocID="{BF923710-C05B-40FC-A347-0DBDE9BB36B2}" presName="FirstChild" presStyleLbl="revTx" presStyleIdx="6" presStyleCnt="8">
        <dgm:presLayoutVars>
          <dgm:chMax val="0"/>
          <dgm:chPref val="0"/>
          <dgm:bulletEnabled val="1"/>
        </dgm:presLayoutVars>
      </dgm:prSet>
      <dgm:spPr/>
      <dgm:t>
        <a:bodyPr/>
        <a:lstStyle/>
        <a:p>
          <a:endParaRPr lang="en-US"/>
        </a:p>
      </dgm:t>
    </dgm:pt>
    <dgm:pt modelId="{3203FC78-6DE4-413A-A5D8-B1F1D99DF6D3}" type="pres">
      <dgm:prSet presAssocID="{BF923710-C05B-40FC-A347-0DBDE9BB36B2}" presName="Parent" presStyleLbl="alignNode1" presStyleIdx="6" presStyleCnt="8">
        <dgm:presLayoutVars>
          <dgm:chMax val="3"/>
          <dgm:chPref val="3"/>
          <dgm:bulletEnabled val="1"/>
        </dgm:presLayoutVars>
      </dgm:prSet>
      <dgm:spPr/>
      <dgm:t>
        <a:bodyPr/>
        <a:lstStyle/>
        <a:p>
          <a:endParaRPr lang="en-US"/>
        </a:p>
      </dgm:t>
    </dgm:pt>
    <dgm:pt modelId="{2179F8C7-17A6-402D-AE68-2C628F27D567}" type="pres">
      <dgm:prSet presAssocID="{BF923710-C05B-40FC-A347-0DBDE9BB36B2}" presName="Accent" presStyleLbl="parChTrans1D1" presStyleIdx="6" presStyleCnt="8"/>
      <dgm:spPr/>
    </dgm:pt>
    <dgm:pt modelId="{064A9F7B-AB5A-40D8-9DF9-149138B63271}" type="pres">
      <dgm:prSet presAssocID="{614A7BE7-CC51-482C-8DD0-EFCC71D609A4}" presName="sibTrans" presStyleCnt="0"/>
      <dgm:spPr/>
    </dgm:pt>
    <dgm:pt modelId="{9949B733-2978-4F4C-9D7A-0846C22C57AE}" type="pres">
      <dgm:prSet presAssocID="{8FA85F50-997E-44BE-A783-D6A7BEE3314E}" presName="composite" presStyleCnt="0"/>
      <dgm:spPr/>
    </dgm:pt>
    <dgm:pt modelId="{D8444D7B-84C0-4CE3-B300-5682A82E70FE}" type="pres">
      <dgm:prSet presAssocID="{8FA85F50-997E-44BE-A783-D6A7BEE3314E}" presName="FirstChild" presStyleLbl="revTx" presStyleIdx="7" presStyleCnt="8">
        <dgm:presLayoutVars>
          <dgm:chMax val="0"/>
          <dgm:chPref val="0"/>
          <dgm:bulletEnabled val="1"/>
        </dgm:presLayoutVars>
      </dgm:prSet>
      <dgm:spPr/>
      <dgm:t>
        <a:bodyPr/>
        <a:lstStyle/>
        <a:p>
          <a:endParaRPr lang="en-US"/>
        </a:p>
      </dgm:t>
    </dgm:pt>
    <dgm:pt modelId="{EB188233-AF4E-4EC8-9AD9-25C060E9977E}" type="pres">
      <dgm:prSet presAssocID="{8FA85F50-997E-44BE-A783-D6A7BEE3314E}" presName="Parent" presStyleLbl="alignNode1" presStyleIdx="7" presStyleCnt="8">
        <dgm:presLayoutVars>
          <dgm:chMax val="3"/>
          <dgm:chPref val="3"/>
          <dgm:bulletEnabled val="1"/>
        </dgm:presLayoutVars>
      </dgm:prSet>
      <dgm:spPr/>
      <dgm:t>
        <a:bodyPr/>
        <a:lstStyle/>
        <a:p>
          <a:endParaRPr lang="en-US"/>
        </a:p>
      </dgm:t>
    </dgm:pt>
    <dgm:pt modelId="{D1E9028A-252C-4FDF-913D-34280ECA0E75}" type="pres">
      <dgm:prSet presAssocID="{8FA85F50-997E-44BE-A783-D6A7BEE3314E}" presName="Accent" presStyleLbl="parChTrans1D1" presStyleIdx="7" presStyleCnt="8"/>
      <dgm:spPr/>
    </dgm:pt>
  </dgm:ptLst>
  <dgm:cxnLst>
    <dgm:cxn modelId="{F8619DEB-72C5-4285-865A-39C264874EA1}" type="presOf" srcId="{2FAA8D3B-BC74-4E8B-B589-26126D0BB06D}" destId="{D8444D7B-84C0-4CE3-B300-5682A82E70FE}" srcOrd="0" destOrd="0" presId="urn:microsoft.com/office/officeart/2011/layout/TabList"/>
    <dgm:cxn modelId="{EBE5786E-84DF-4E0F-B97B-7ED546863F39}" type="presOf" srcId="{8FA85F50-997E-44BE-A783-D6A7BEE3314E}" destId="{EB188233-AF4E-4EC8-9AD9-25C060E9977E}" srcOrd="0" destOrd="0" presId="urn:microsoft.com/office/officeart/2011/layout/TabList"/>
    <dgm:cxn modelId="{878A1E5C-E0B3-4827-BACF-FC41DA561B14}" srcId="{020983BC-F679-4F90-A61D-FC48A69306D5}" destId="{7B6F45B0-DBD7-46F0-8666-F609A78FB088}" srcOrd="0" destOrd="0" parTransId="{A85B0A67-44DF-4769-A62D-0714F0E608CE}" sibTransId="{B9B90670-7FE8-4B2A-B623-83E22A738E3B}"/>
    <dgm:cxn modelId="{CEC763C0-5B49-498F-AD5E-3C4361D4DC37}" type="presOf" srcId="{B170FD16-C2A8-464E-822A-8AA0619E4B8D}" destId="{A3825107-B07F-48B6-9317-39F2ED57EAE8}" srcOrd="0" destOrd="0" presId="urn:microsoft.com/office/officeart/2011/layout/TabList"/>
    <dgm:cxn modelId="{48DA46E3-6658-4FD7-A271-8FA6233C1EA6}" srcId="{6F75BD93-BD8E-46F2-AE50-07171D92E938}" destId="{54E563D8-7789-4581-94C4-6F33C5C30CC9}" srcOrd="0" destOrd="0" parTransId="{516E9E00-567E-4C7C-82E9-A07E0661BDC4}" sibTransId="{AA00768D-6A4B-406A-880F-F4BF6888042A}"/>
    <dgm:cxn modelId="{4255D1B0-33CA-4E4E-8F2F-EA5869E9FCAD}" type="presOf" srcId="{236D4D66-7688-42C6-9B62-E60A720A1309}" destId="{45B33D0C-DD85-4ED5-9E4E-445C5D6602F1}" srcOrd="0" destOrd="0" presId="urn:microsoft.com/office/officeart/2011/layout/TabList"/>
    <dgm:cxn modelId="{12D7EA34-9DC2-4940-98C4-16198E3EF436}" srcId="{E22F5E85-7F16-4983-8D99-490F614EFC44}" destId="{2015D140-D409-4D1F-8F11-1E62FA1C09F1}" srcOrd="0" destOrd="0" parTransId="{9AB56FF9-3C21-4343-A308-514DB2B39615}" sibTransId="{01C08EFB-EF67-4B88-BD38-1B2483519B2E}"/>
    <dgm:cxn modelId="{AB941E03-958A-40A2-9CE0-68FF1898088F}" srcId="{39C3E3AB-D0ED-4796-B942-9F3FEEDE63E7}" destId="{C6A607BF-1A8C-48CE-A847-76771C5FC08C}" srcOrd="1" destOrd="0" parTransId="{A5A734D7-28B6-4258-B2B8-C9F672F67ED5}" sibTransId="{B7F96807-C6F1-43C2-8972-326AB856F5A3}"/>
    <dgm:cxn modelId="{21DCD708-C270-49BA-97FF-AE80128A3419}" srcId="{39C3E3AB-D0ED-4796-B942-9F3FEEDE63E7}" destId="{EEA5E4FB-93E2-4225-9809-6AEAE215C478}" srcOrd="5" destOrd="0" parTransId="{CB4BFE47-529C-4649-8F38-65C47880721F}" sibTransId="{9C9AB136-6850-4171-B3ED-50A88EB72A54}"/>
    <dgm:cxn modelId="{00B41F17-30E6-46B6-B91B-A4A50EE51199}" type="presOf" srcId="{E22F5E85-7F16-4983-8D99-490F614EFC44}" destId="{4AB2AA0E-AD7F-4B60-9CBA-6213F11E2EDF}" srcOrd="0" destOrd="0" presId="urn:microsoft.com/office/officeart/2011/layout/TabList"/>
    <dgm:cxn modelId="{75404864-9914-4C7F-A168-6B2A3375E091}" type="presOf" srcId="{9F1E5734-2B15-41C1-A47F-5A6A7A056502}" destId="{BFC7F40E-A8ED-4DFF-AB84-4963C08A0FE6}" srcOrd="0" destOrd="0" presId="urn:microsoft.com/office/officeart/2011/layout/TabList"/>
    <dgm:cxn modelId="{DDF3C2BE-FA20-44AA-84A3-9BE7B0F1AE77}" type="presOf" srcId="{54E563D8-7789-4581-94C4-6F33C5C30CC9}" destId="{38FDB736-F7CD-4203-B3A5-3F52CF3AF697}" srcOrd="0" destOrd="0" presId="urn:microsoft.com/office/officeart/2011/layout/TabList"/>
    <dgm:cxn modelId="{DB3D637F-720F-4593-B914-30D415521893}" srcId="{39C3E3AB-D0ED-4796-B942-9F3FEEDE63E7}" destId="{E22F5E85-7F16-4983-8D99-490F614EFC44}" srcOrd="3" destOrd="0" parTransId="{971ABF6E-F650-4CBA-89E7-F3E1F3BD317A}" sibTransId="{A7D8FF6D-DE1A-427E-ACB3-6C9B9D7EACD4}"/>
    <dgm:cxn modelId="{CBA88FB6-A799-4FC8-9131-3A4C891EB947}" type="presOf" srcId="{C6A607BF-1A8C-48CE-A847-76771C5FC08C}" destId="{5AB792E5-8994-4D3B-ADB6-7B32A2782037}" srcOrd="0" destOrd="0" presId="urn:microsoft.com/office/officeart/2011/layout/TabList"/>
    <dgm:cxn modelId="{F0C69880-9AF4-4188-8A90-7992066B7223}" srcId="{C6A607BF-1A8C-48CE-A847-76771C5FC08C}" destId="{4CDF200B-15D6-44DB-9D51-18BAE7B94CAF}" srcOrd="0" destOrd="0" parTransId="{467EF0A1-C496-4233-9CF1-5D2E7349FB11}" sibTransId="{B2CC49CD-94E7-4BAD-B0B2-4488A20DDE9F}"/>
    <dgm:cxn modelId="{F5837910-4FE7-4872-8344-AA56CA17FDDA}" srcId="{EEA5E4FB-93E2-4225-9809-6AEAE215C478}" destId="{5EF4F808-5FD4-4994-8459-E806756086DE}" srcOrd="0" destOrd="0" parTransId="{6ECD7656-8974-4D4F-B149-D0F9C3C125E0}" sibTransId="{B6FD052D-148A-4BDF-86EC-A86A4F0CF648}"/>
    <dgm:cxn modelId="{EC7FB613-EFEC-471F-A0AE-9E7C4A80535E}" type="presOf" srcId="{020983BC-F679-4F90-A61D-FC48A69306D5}" destId="{7725F6CA-CF14-411C-9FF4-14718799B916}" srcOrd="0" destOrd="0" presId="urn:microsoft.com/office/officeart/2011/layout/TabList"/>
    <dgm:cxn modelId="{E841BB8D-52DD-4DFB-B12D-FA274E9E6488}" srcId="{39C3E3AB-D0ED-4796-B942-9F3FEEDE63E7}" destId="{020983BC-F679-4F90-A61D-FC48A69306D5}" srcOrd="4" destOrd="0" parTransId="{0CC19351-F0E7-483A-8113-351DDC18DE74}" sibTransId="{349222F4-38D1-48EF-A793-78FD13E261D2}"/>
    <dgm:cxn modelId="{0E19CB57-ADA0-4EB3-8C44-99FBF7DB774F}" type="presOf" srcId="{4CDF200B-15D6-44DB-9D51-18BAE7B94CAF}" destId="{CF030FF4-43F7-419B-8DC1-D93B8A7D418B}" srcOrd="0" destOrd="0" presId="urn:microsoft.com/office/officeart/2011/layout/TabList"/>
    <dgm:cxn modelId="{086EDF8F-97E0-4CE4-9B0B-33C7FB72FEAE}" srcId="{8FA85F50-997E-44BE-A783-D6A7BEE3314E}" destId="{2FAA8D3B-BC74-4E8B-B589-26126D0BB06D}" srcOrd="0" destOrd="0" parTransId="{1D2632E1-8F6D-4ED0-B5D6-B82DFE99300F}" sibTransId="{46F6175D-1575-4430-BDB5-5800016D1ECF}"/>
    <dgm:cxn modelId="{D6DDB10D-3155-4028-AC51-4198A3AE2BDB}" type="presOf" srcId="{5EF4F808-5FD4-4994-8459-E806756086DE}" destId="{C32B91D1-0E12-41C5-AA36-506499DA3E2E}" srcOrd="0" destOrd="0" presId="urn:microsoft.com/office/officeart/2011/layout/TabList"/>
    <dgm:cxn modelId="{23E866AF-2E16-462E-B69B-903D0F47EB09}" type="presOf" srcId="{39C3E3AB-D0ED-4796-B942-9F3FEEDE63E7}" destId="{7A92B7C9-F90A-42AD-87BD-7D77D496A460}" srcOrd="0" destOrd="0" presId="urn:microsoft.com/office/officeart/2011/layout/TabList"/>
    <dgm:cxn modelId="{BF286173-DA6B-4F7F-92D5-82FB14D2A55F}" type="presOf" srcId="{EEA5E4FB-93E2-4225-9809-6AEAE215C478}" destId="{A0CFDBA7-7948-43A5-9BF6-D04F9B12D98F}" srcOrd="0" destOrd="0" presId="urn:microsoft.com/office/officeart/2011/layout/TabList"/>
    <dgm:cxn modelId="{C5F787C4-8622-4F25-BF28-1CE10F7A8D29}" srcId="{39C3E3AB-D0ED-4796-B942-9F3FEEDE63E7}" destId="{6F75BD93-BD8E-46F2-AE50-07171D92E938}" srcOrd="0" destOrd="0" parTransId="{D7C61621-FB98-4FAF-96A3-4814351BD8FE}" sibTransId="{FBAF67C5-1A66-4E17-91DC-46A434B65338}"/>
    <dgm:cxn modelId="{7924CA57-3308-4B36-8C4D-F78499DB7D5D}" type="presOf" srcId="{6F75BD93-BD8E-46F2-AE50-07171D92E938}" destId="{E0DB30C7-F4D8-4412-81D3-86EF80DD3CD1}" srcOrd="0" destOrd="0" presId="urn:microsoft.com/office/officeart/2011/layout/TabList"/>
    <dgm:cxn modelId="{5FEB3902-F7F6-4F7A-ABEF-6CFC374DA7A3}" srcId="{39C3E3AB-D0ED-4796-B942-9F3FEEDE63E7}" destId="{8FA85F50-997E-44BE-A783-D6A7BEE3314E}" srcOrd="7" destOrd="0" parTransId="{74B08988-BB98-4722-AA52-BDCB52AB35C9}" sibTransId="{A9326A69-1964-445C-A97E-7EA4008465AA}"/>
    <dgm:cxn modelId="{D0533DD7-6CB4-448E-BBA0-4C0A0A4F25DB}" srcId="{39C3E3AB-D0ED-4796-B942-9F3FEEDE63E7}" destId="{9F1E5734-2B15-41C1-A47F-5A6A7A056502}" srcOrd="2" destOrd="0" parTransId="{C2A8C75D-A938-40E8-84D5-05FD4F6560A2}" sibTransId="{D2EDF3ED-60AA-4C9D-B5DD-A84144462F63}"/>
    <dgm:cxn modelId="{6B61A456-BB17-402C-BEAF-BE56052878AB}" srcId="{BF923710-C05B-40FC-A347-0DBDE9BB36B2}" destId="{B170FD16-C2A8-464E-822A-8AA0619E4B8D}" srcOrd="0" destOrd="0" parTransId="{3B840B44-5E4F-44F7-A07D-B11059D08B3F}" sibTransId="{4094E8F0-EC33-47EB-9C23-B5785CE036EC}"/>
    <dgm:cxn modelId="{E45D6A8D-1A19-434D-977D-005C691FF820}" type="presOf" srcId="{7B6F45B0-DBD7-46F0-8666-F609A78FB088}" destId="{E1FC0B7E-BAEB-428A-85FE-0252344C1087}" srcOrd="0" destOrd="0" presId="urn:microsoft.com/office/officeart/2011/layout/TabList"/>
    <dgm:cxn modelId="{E277094C-E46A-442B-B9D0-C73324BCAC54}" srcId="{9F1E5734-2B15-41C1-A47F-5A6A7A056502}" destId="{236D4D66-7688-42C6-9B62-E60A720A1309}" srcOrd="0" destOrd="0" parTransId="{057631E1-0226-4275-A3F5-8BCAAB6C9C3D}" sibTransId="{93919F3F-A92E-4BD9-B533-BB8F189A7530}"/>
    <dgm:cxn modelId="{37C512F5-C83C-43BA-A22D-805D2A4B4B45}" type="presOf" srcId="{BF923710-C05B-40FC-A347-0DBDE9BB36B2}" destId="{3203FC78-6DE4-413A-A5D8-B1F1D99DF6D3}" srcOrd="0" destOrd="0" presId="urn:microsoft.com/office/officeart/2011/layout/TabList"/>
    <dgm:cxn modelId="{D1C9B4FA-C94D-46D4-B089-04E0C04A0BF4}" srcId="{39C3E3AB-D0ED-4796-B942-9F3FEEDE63E7}" destId="{BF923710-C05B-40FC-A347-0DBDE9BB36B2}" srcOrd="6" destOrd="0" parTransId="{B6F01215-7534-482C-8DFB-783AFC7074D3}" sibTransId="{614A7BE7-CC51-482C-8DD0-EFCC71D609A4}"/>
    <dgm:cxn modelId="{9EB9C15D-548C-4ABB-827C-A3EF9D21515A}" type="presOf" srcId="{2015D140-D409-4D1F-8F11-1E62FA1C09F1}" destId="{3B751268-80B4-4929-989F-15B95FFCDE7D}" srcOrd="0" destOrd="0" presId="urn:microsoft.com/office/officeart/2011/layout/TabList"/>
    <dgm:cxn modelId="{FF5B6D41-9D94-437F-8194-D2EEFF43C855}" type="presParOf" srcId="{7A92B7C9-F90A-42AD-87BD-7D77D496A460}" destId="{8476B88A-A797-4CA6-B154-6B443AD820D4}" srcOrd="0" destOrd="0" presId="urn:microsoft.com/office/officeart/2011/layout/TabList"/>
    <dgm:cxn modelId="{D32DFE93-8F0F-4EC7-A1B8-502402EA6B9F}" type="presParOf" srcId="{8476B88A-A797-4CA6-B154-6B443AD820D4}" destId="{38FDB736-F7CD-4203-B3A5-3F52CF3AF697}" srcOrd="0" destOrd="0" presId="urn:microsoft.com/office/officeart/2011/layout/TabList"/>
    <dgm:cxn modelId="{DDF9492B-4A66-44DE-8E09-E0CB0387DF0D}" type="presParOf" srcId="{8476B88A-A797-4CA6-B154-6B443AD820D4}" destId="{E0DB30C7-F4D8-4412-81D3-86EF80DD3CD1}" srcOrd="1" destOrd="0" presId="urn:microsoft.com/office/officeart/2011/layout/TabList"/>
    <dgm:cxn modelId="{AF9DCBB6-8FD2-438F-A7AC-49FA86491ED7}" type="presParOf" srcId="{8476B88A-A797-4CA6-B154-6B443AD820D4}" destId="{09E63227-0AB6-4DA0-9D90-29773AC3BE62}" srcOrd="2" destOrd="0" presId="urn:microsoft.com/office/officeart/2011/layout/TabList"/>
    <dgm:cxn modelId="{A2521A53-5D79-4D5C-BD55-D85AFBEF4603}" type="presParOf" srcId="{7A92B7C9-F90A-42AD-87BD-7D77D496A460}" destId="{5F175EEE-2D69-4AEC-8EEA-20F140912800}" srcOrd="1" destOrd="0" presId="urn:microsoft.com/office/officeart/2011/layout/TabList"/>
    <dgm:cxn modelId="{0C373691-1623-405F-BA45-E48FB07C6660}" type="presParOf" srcId="{7A92B7C9-F90A-42AD-87BD-7D77D496A460}" destId="{C832B667-F01E-4B3E-AB8A-BBDC549206F6}" srcOrd="2" destOrd="0" presId="urn:microsoft.com/office/officeart/2011/layout/TabList"/>
    <dgm:cxn modelId="{A91F925D-31FD-471B-BAC2-B3ECB27D990C}" type="presParOf" srcId="{C832B667-F01E-4B3E-AB8A-BBDC549206F6}" destId="{CF030FF4-43F7-419B-8DC1-D93B8A7D418B}" srcOrd="0" destOrd="0" presId="urn:microsoft.com/office/officeart/2011/layout/TabList"/>
    <dgm:cxn modelId="{7A3D720B-1D4E-4C56-898D-4177B8D80157}" type="presParOf" srcId="{C832B667-F01E-4B3E-AB8A-BBDC549206F6}" destId="{5AB792E5-8994-4D3B-ADB6-7B32A2782037}" srcOrd="1" destOrd="0" presId="urn:microsoft.com/office/officeart/2011/layout/TabList"/>
    <dgm:cxn modelId="{6F634026-3B67-4743-AEF9-362C62D17271}" type="presParOf" srcId="{C832B667-F01E-4B3E-AB8A-BBDC549206F6}" destId="{7AF7F382-C823-492C-9540-8BD1ACABEB5B}" srcOrd="2" destOrd="0" presId="urn:microsoft.com/office/officeart/2011/layout/TabList"/>
    <dgm:cxn modelId="{BACD7887-6C3F-4668-929E-75A44AB3EF3B}" type="presParOf" srcId="{7A92B7C9-F90A-42AD-87BD-7D77D496A460}" destId="{1517A349-838E-4267-B920-5CBA253C46EE}" srcOrd="3" destOrd="0" presId="urn:microsoft.com/office/officeart/2011/layout/TabList"/>
    <dgm:cxn modelId="{E7B78DBB-5F25-4E62-8B0D-605AC1B8EC16}" type="presParOf" srcId="{7A92B7C9-F90A-42AD-87BD-7D77D496A460}" destId="{4A58B3B1-0761-4DD1-ACD6-509E75B4EC7D}" srcOrd="4" destOrd="0" presId="urn:microsoft.com/office/officeart/2011/layout/TabList"/>
    <dgm:cxn modelId="{279981C9-3175-41B6-ACA5-AEA4861E6913}" type="presParOf" srcId="{4A58B3B1-0761-4DD1-ACD6-509E75B4EC7D}" destId="{45B33D0C-DD85-4ED5-9E4E-445C5D6602F1}" srcOrd="0" destOrd="0" presId="urn:microsoft.com/office/officeart/2011/layout/TabList"/>
    <dgm:cxn modelId="{B20902EC-6382-4836-B8EF-8D00D56B0649}" type="presParOf" srcId="{4A58B3B1-0761-4DD1-ACD6-509E75B4EC7D}" destId="{BFC7F40E-A8ED-4DFF-AB84-4963C08A0FE6}" srcOrd="1" destOrd="0" presId="urn:microsoft.com/office/officeart/2011/layout/TabList"/>
    <dgm:cxn modelId="{0A349BE6-6E18-4FF5-A431-381A800B72E6}" type="presParOf" srcId="{4A58B3B1-0761-4DD1-ACD6-509E75B4EC7D}" destId="{3E4EB740-26E6-4C64-BF8E-A2E2F6E5215D}" srcOrd="2" destOrd="0" presId="urn:microsoft.com/office/officeart/2011/layout/TabList"/>
    <dgm:cxn modelId="{A21E91D3-5CBD-49F2-942E-CECE19DF02EA}" type="presParOf" srcId="{7A92B7C9-F90A-42AD-87BD-7D77D496A460}" destId="{723BC485-3BD1-4701-9BCA-FDC62F9FA642}" srcOrd="5" destOrd="0" presId="urn:microsoft.com/office/officeart/2011/layout/TabList"/>
    <dgm:cxn modelId="{C22A34F7-662D-4B59-94D3-C5BB52BFC446}" type="presParOf" srcId="{7A92B7C9-F90A-42AD-87BD-7D77D496A460}" destId="{EB0B67AB-8BD2-4F9D-8FBE-4C1A1FD34B2B}" srcOrd="6" destOrd="0" presId="urn:microsoft.com/office/officeart/2011/layout/TabList"/>
    <dgm:cxn modelId="{46261A53-1909-4C2E-9355-C54FAFA9FB27}" type="presParOf" srcId="{EB0B67AB-8BD2-4F9D-8FBE-4C1A1FD34B2B}" destId="{3B751268-80B4-4929-989F-15B95FFCDE7D}" srcOrd="0" destOrd="0" presId="urn:microsoft.com/office/officeart/2011/layout/TabList"/>
    <dgm:cxn modelId="{DBB296C2-5DF9-4B28-86B5-2C1402BEDFD0}" type="presParOf" srcId="{EB0B67AB-8BD2-4F9D-8FBE-4C1A1FD34B2B}" destId="{4AB2AA0E-AD7F-4B60-9CBA-6213F11E2EDF}" srcOrd="1" destOrd="0" presId="urn:microsoft.com/office/officeart/2011/layout/TabList"/>
    <dgm:cxn modelId="{F1B148EC-102F-48D6-83E7-6922931C5FF7}" type="presParOf" srcId="{EB0B67AB-8BD2-4F9D-8FBE-4C1A1FD34B2B}" destId="{C433C333-F04A-488A-B766-8256D28C74E2}" srcOrd="2" destOrd="0" presId="urn:microsoft.com/office/officeart/2011/layout/TabList"/>
    <dgm:cxn modelId="{9AB87367-5D48-419D-B34C-82D8451FC0F7}" type="presParOf" srcId="{7A92B7C9-F90A-42AD-87BD-7D77D496A460}" destId="{31DEDAAC-58A6-4FA5-8A71-A447BA1A7E91}" srcOrd="7" destOrd="0" presId="urn:microsoft.com/office/officeart/2011/layout/TabList"/>
    <dgm:cxn modelId="{9C9F5AC3-E898-4983-9117-74B396668880}" type="presParOf" srcId="{7A92B7C9-F90A-42AD-87BD-7D77D496A460}" destId="{CE965041-9C3F-485E-81BC-106FD8BEDBC0}" srcOrd="8" destOrd="0" presId="urn:microsoft.com/office/officeart/2011/layout/TabList"/>
    <dgm:cxn modelId="{8A695172-EB91-4FA2-9D89-9590E2C91BAB}" type="presParOf" srcId="{CE965041-9C3F-485E-81BC-106FD8BEDBC0}" destId="{E1FC0B7E-BAEB-428A-85FE-0252344C1087}" srcOrd="0" destOrd="0" presId="urn:microsoft.com/office/officeart/2011/layout/TabList"/>
    <dgm:cxn modelId="{A350DC70-33B5-463A-A183-0E73AEFC42B6}" type="presParOf" srcId="{CE965041-9C3F-485E-81BC-106FD8BEDBC0}" destId="{7725F6CA-CF14-411C-9FF4-14718799B916}" srcOrd="1" destOrd="0" presId="urn:microsoft.com/office/officeart/2011/layout/TabList"/>
    <dgm:cxn modelId="{4A6C8278-B239-4210-BAEE-B6994616AC78}" type="presParOf" srcId="{CE965041-9C3F-485E-81BC-106FD8BEDBC0}" destId="{12728ADA-AF88-4D18-B6D6-8425F6DDE48D}" srcOrd="2" destOrd="0" presId="urn:microsoft.com/office/officeart/2011/layout/TabList"/>
    <dgm:cxn modelId="{FFCBDEFE-FC63-45A0-B705-3E7276579AA3}" type="presParOf" srcId="{7A92B7C9-F90A-42AD-87BD-7D77D496A460}" destId="{A3B4EE2A-5BA5-4396-BF24-6A2A026D4A6B}" srcOrd="9" destOrd="0" presId="urn:microsoft.com/office/officeart/2011/layout/TabList"/>
    <dgm:cxn modelId="{E26B69C3-D47B-4BFF-B07A-74A1903E5608}" type="presParOf" srcId="{7A92B7C9-F90A-42AD-87BD-7D77D496A460}" destId="{308A8A3F-149E-4AB3-A650-58287D07F129}" srcOrd="10" destOrd="0" presId="urn:microsoft.com/office/officeart/2011/layout/TabList"/>
    <dgm:cxn modelId="{75E0C65A-318D-41B8-A763-088C2B92706E}" type="presParOf" srcId="{308A8A3F-149E-4AB3-A650-58287D07F129}" destId="{C32B91D1-0E12-41C5-AA36-506499DA3E2E}" srcOrd="0" destOrd="0" presId="urn:microsoft.com/office/officeart/2011/layout/TabList"/>
    <dgm:cxn modelId="{943EB764-1C07-40E4-B279-20BB4C95493C}" type="presParOf" srcId="{308A8A3F-149E-4AB3-A650-58287D07F129}" destId="{A0CFDBA7-7948-43A5-9BF6-D04F9B12D98F}" srcOrd="1" destOrd="0" presId="urn:microsoft.com/office/officeart/2011/layout/TabList"/>
    <dgm:cxn modelId="{6C4579BC-D079-41D8-B3A6-6292C28B0FD4}" type="presParOf" srcId="{308A8A3F-149E-4AB3-A650-58287D07F129}" destId="{A02FF2EA-5AB5-4984-80D8-4B127DAE75E2}" srcOrd="2" destOrd="0" presId="urn:microsoft.com/office/officeart/2011/layout/TabList"/>
    <dgm:cxn modelId="{CD2231C5-CD49-48CE-A93E-6466C22AFFB7}" type="presParOf" srcId="{7A92B7C9-F90A-42AD-87BD-7D77D496A460}" destId="{33097D61-DF00-4078-82C1-4074AA038B6D}" srcOrd="11" destOrd="0" presId="urn:microsoft.com/office/officeart/2011/layout/TabList"/>
    <dgm:cxn modelId="{4673D5EC-2E66-4288-8CDE-125D0CD6F8A1}" type="presParOf" srcId="{7A92B7C9-F90A-42AD-87BD-7D77D496A460}" destId="{54A0EC89-ABD6-4188-9169-A2E22AD47EBC}" srcOrd="12" destOrd="0" presId="urn:microsoft.com/office/officeart/2011/layout/TabList"/>
    <dgm:cxn modelId="{23E1964E-6AA2-4EC5-A1EC-711D5B02D0D8}" type="presParOf" srcId="{54A0EC89-ABD6-4188-9169-A2E22AD47EBC}" destId="{A3825107-B07F-48B6-9317-39F2ED57EAE8}" srcOrd="0" destOrd="0" presId="urn:microsoft.com/office/officeart/2011/layout/TabList"/>
    <dgm:cxn modelId="{17909099-875D-446C-B9AA-2CE4E188F04F}" type="presParOf" srcId="{54A0EC89-ABD6-4188-9169-A2E22AD47EBC}" destId="{3203FC78-6DE4-413A-A5D8-B1F1D99DF6D3}" srcOrd="1" destOrd="0" presId="urn:microsoft.com/office/officeart/2011/layout/TabList"/>
    <dgm:cxn modelId="{D9F74A2C-7E3B-44BF-80FE-77ED932E864D}" type="presParOf" srcId="{54A0EC89-ABD6-4188-9169-A2E22AD47EBC}" destId="{2179F8C7-17A6-402D-AE68-2C628F27D567}" srcOrd="2" destOrd="0" presId="urn:microsoft.com/office/officeart/2011/layout/TabList"/>
    <dgm:cxn modelId="{B87ED292-FDC0-4494-8ED1-33423DAEA1BD}" type="presParOf" srcId="{7A92B7C9-F90A-42AD-87BD-7D77D496A460}" destId="{064A9F7B-AB5A-40D8-9DF9-149138B63271}" srcOrd="13" destOrd="0" presId="urn:microsoft.com/office/officeart/2011/layout/TabList"/>
    <dgm:cxn modelId="{8BA7A597-3E4F-4112-8971-FE113CE90562}" type="presParOf" srcId="{7A92B7C9-F90A-42AD-87BD-7D77D496A460}" destId="{9949B733-2978-4F4C-9D7A-0846C22C57AE}" srcOrd="14" destOrd="0" presId="urn:microsoft.com/office/officeart/2011/layout/TabList"/>
    <dgm:cxn modelId="{6A920CDA-C808-45D8-8866-1F5BCEE3DABB}" type="presParOf" srcId="{9949B733-2978-4F4C-9D7A-0846C22C57AE}" destId="{D8444D7B-84C0-4CE3-B300-5682A82E70FE}" srcOrd="0" destOrd="0" presId="urn:microsoft.com/office/officeart/2011/layout/TabList"/>
    <dgm:cxn modelId="{32680561-3329-4329-8115-0AA91BBEF7AC}" type="presParOf" srcId="{9949B733-2978-4F4C-9D7A-0846C22C57AE}" destId="{EB188233-AF4E-4EC8-9AD9-25C060E9977E}" srcOrd="1" destOrd="0" presId="urn:microsoft.com/office/officeart/2011/layout/TabList"/>
    <dgm:cxn modelId="{534B9612-12A2-4271-9707-3080143B40D3}" type="presParOf" srcId="{9949B733-2978-4F4C-9D7A-0846C22C57AE}" destId="{D1E9028A-252C-4FDF-913D-34280ECA0E75}" srcOrd="2" destOrd="0" presId="urn:microsoft.com/office/officeart/2011/layout/TabList"/>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B7323E-DA71-4192-A59B-DB39979F310E}">
      <dsp:nvSpPr>
        <dsp:cNvPr id="0" name=""/>
        <dsp:cNvSpPr/>
      </dsp:nvSpPr>
      <dsp:spPr>
        <a:xfrm>
          <a:off x="1725" y="104543"/>
          <a:ext cx="1369025" cy="82141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Q3 2016 Impact (Initial Recall): 2.6 USD Billion</a:t>
          </a:r>
        </a:p>
      </dsp:txBody>
      <dsp:txXfrm>
        <a:off x="1725" y="104543"/>
        <a:ext cx="1369025" cy="821415"/>
      </dsp:txXfrm>
    </dsp:sp>
    <dsp:sp modelId="{37231358-DF3A-4E93-A786-693A6890AFE6}">
      <dsp:nvSpPr>
        <dsp:cNvPr id="0" name=""/>
        <dsp:cNvSpPr/>
      </dsp:nvSpPr>
      <dsp:spPr>
        <a:xfrm>
          <a:off x="1507653" y="104543"/>
          <a:ext cx="1369025" cy="821415"/>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Q4 2016 Impact (Production Halt): 2.7 USD Billion</a:t>
          </a:r>
        </a:p>
      </dsp:txBody>
      <dsp:txXfrm>
        <a:off x="1507653" y="104543"/>
        <a:ext cx="1369025" cy="821415"/>
      </dsp:txXfrm>
    </dsp:sp>
    <dsp:sp modelId="{70287B77-CFF9-431E-B63D-6B7624231129}">
      <dsp:nvSpPr>
        <dsp:cNvPr id="0" name=""/>
        <dsp:cNvSpPr/>
      </dsp:nvSpPr>
      <dsp:spPr>
        <a:xfrm>
          <a:off x="3013581" y="104543"/>
          <a:ext cx="1369025" cy="821415"/>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Q1 2017 Impact (Additional Costs): 0.9 USD Billion</a:t>
          </a:r>
        </a:p>
      </dsp:txBody>
      <dsp:txXfrm>
        <a:off x="3013581" y="104543"/>
        <a:ext cx="1369025" cy="821415"/>
      </dsp:txXfrm>
    </dsp:sp>
    <dsp:sp modelId="{205AF1C9-7FCF-40D5-AA70-E327064533AB}">
      <dsp:nvSpPr>
        <dsp:cNvPr id="0" name=""/>
        <dsp:cNvSpPr/>
      </dsp:nvSpPr>
      <dsp:spPr>
        <a:xfrm>
          <a:off x="4519509" y="104543"/>
          <a:ext cx="1369025" cy="821415"/>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Device Recalls and Returns: 1.2 USD Billion</a:t>
          </a:r>
        </a:p>
      </dsp:txBody>
      <dsp:txXfrm>
        <a:off x="4519509" y="104543"/>
        <a:ext cx="1369025" cy="821415"/>
      </dsp:txXfrm>
    </dsp:sp>
    <dsp:sp modelId="{68C67187-E3A5-42AC-9ADD-2807834D0ACF}">
      <dsp:nvSpPr>
        <dsp:cNvPr id="0" name=""/>
        <dsp:cNvSpPr/>
      </dsp:nvSpPr>
      <dsp:spPr>
        <a:xfrm>
          <a:off x="1725" y="1062861"/>
          <a:ext cx="1369025" cy="821415"/>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Replacement Device Manufacturing: 0.8 USD Billion</a:t>
          </a:r>
        </a:p>
      </dsp:txBody>
      <dsp:txXfrm>
        <a:off x="1725" y="1062861"/>
        <a:ext cx="1369025" cy="821415"/>
      </dsp:txXfrm>
    </dsp:sp>
    <dsp:sp modelId="{39F2CDED-3D62-4FC2-B58E-C827FAAA069A}">
      <dsp:nvSpPr>
        <dsp:cNvPr id="0" name=""/>
        <dsp:cNvSpPr/>
      </dsp:nvSpPr>
      <dsp:spPr>
        <a:xfrm>
          <a:off x="1507653" y="1062861"/>
          <a:ext cx="1369025" cy="82141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Customer Service and Communication: 0.3 USD Billion</a:t>
          </a:r>
        </a:p>
      </dsp:txBody>
      <dsp:txXfrm>
        <a:off x="1507653" y="1062861"/>
        <a:ext cx="1369025" cy="821415"/>
      </dsp:txXfrm>
    </dsp:sp>
    <dsp:sp modelId="{3F48BC97-CD20-4498-833B-B400676901F9}">
      <dsp:nvSpPr>
        <dsp:cNvPr id="0" name=""/>
        <dsp:cNvSpPr/>
      </dsp:nvSpPr>
      <dsp:spPr>
        <a:xfrm>
          <a:off x="3013581" y="1062861"/>
          <a:ext cx="1369025" cy="821415"/>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Lost Revenue from Discontinued Sales: 3.5 USD Billion</a:t>
          </a:r>
        </a:p>
      </dsp:txBody>
      <dsp:txXfrm>
        <a:off x="3013581" y="1062861"/>
        <a:ext cx="1369025" cy="821415"/>
      </dsp:txXfrm>
    </dsp:sp>
    <dsp:sp modelId="{7F9EDA35-2EAB-4307-A57C-B796F629A02B}">
      <dsp:nvSpPr>
        <dsp:cNvPr id="0" name=""/>
        <dsp:cNvSpPr/>
      </dsp:nvSpPr>
      <dsp:spPr>
        <a:xfrm>
          <a:off x="4519509" y="1062861"/>
          <a:ext cx="1369025" cy="821415"/>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Total Estimated Financial Impact: 17 USD Billion</a:t>
          </a:r>
        </a:p>
      </dsp:txBody>
      <dsp:txXfrm>
        <a:off x="4519509" y="1062861"/>
        <a:ext cx="1369025" cy="82141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09A4E25-A6C1-4B6E-B5C2-BC00A1100EE6}">
      <dsp:nvSpPr>
        <dsp:cNvPr id="0" name=""/>
        <dsp:cNvSpPr/>
      </dsp:nvSpPr>
      <dsp:spPr>
        <a:xfrm>
          <a:off x="0" y="12599"/>
          <a:ext cx="1457325" cy="5544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27940" rIns="78232" bIns="2794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Battery Waste Impact</a:t>
          </a:r>
        </a:p>
      </dsp:txBody>
      <dsp:txXfrm>
        <a:off x="0" y="12599"/>
        <a:ext cx="1457325" cy="554400"/>
      </dsp:txXfrm>
    </dsp:sp>
    <dsp:sp modelId="{B1AC6E8A-931B-43BA-9A70-BB361402BFFA}">
      <dsp:nvSpPr>
        <dsp:cNvPr id="0" name=""/>
        <dsp:cNvSpPr/>
      </dsp:nvSpPr>
      <dsp:spPr>
        <a:xfrm>
          <a:off x="1457324" y="12599"/>
          <a:ext cx="291465" cy="554400"/>
        </a:xfrm>
        <a:prstGeom prst="leftBrace">
          <a:avLst>
            <a:gd name="adj1" fmla="val 35000"/>
            <a:gd name="adj2" fmla="val 5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70771F-6F04-4E86-BFDF-4563FE9B5862}">
      <dsp:nvSpPr>
        <dsp:cNvPr id="0" name=""/>
        <dsp:cNvSpPr/>
      </dsp:nvSpPr>
      <dsp:spPr>
        <a:xfrm>
          <a:off x="1865375" y="12599"/>
          <a:ext cx="3963924" cy="55440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57150" lvl="1" indent="-57150" algn="ctr" defTabSz="488950">
            <a:lnSpc>
              <a:spcPct val="90000"/>
            </a:lnSpc>
            <a:spcBef>
              <a:spcPct val="0"/>
            </a:spcBef>
            <a:spcAft>
              <a:spcPct val="15000"/>
            </a:spcAft>
            <a:buNone/>
          </a:pPr>
          <a:r>
            <a:rPr lang="en-US" sz="1100" kern="1200">
              <a:latin typeface="Times New Roman" panose="02020603050405020304" pitchFamily="18" charset="0"/>
              <a:cs typeface="Times New Roman" panose="02020603050405020304" pitchFamily="18" charset="0"/>
            </a:rPr>
            <a:t>The Note 7 recall resulted in huge amounts of lithium-ion battery waste that requires safe recycling and disposal.</a:t>
          </a:r>
        </a:p>
      </dsp:txBody>
      <dsp:txXfrm>
        <a:off x="1865375" y="12599"/>
        <a:ext cx="3963924" cy="554400"/>
      </dsp:txXfrm>
    </dsp:sp>
    <dsp:sp modelId="{06051447-B21D-40B0-979A-C1F47D532254}">
      <dsp:nvSpPr>
        <dsp:cNvPr id="0" name=""/>
        <dsp:cNvSpPr/>
      </dsp:nvSpPr>
      <dsp:spPr>
        <a:xfrm>
          <a:off x="0" y="667799"/>
          <a:ext cx="1457325" cy="5544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27940" rIns="78232" bIns="2794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Environmental Compliance</a:t>
          </a:r>
        </a:p>
      </dsp:txBody>
      <dsp:txXfrm>
        <a:off x="0" y="667799"/>
        <a:ext cx="1457325" cy="554400"/>
      </dsp:txXfrm>
    </dsp:sp>
    <dsp:sp modelId="{8AC6A481-16B8-4C6E-9CAC-CDE3FD739A12}">
      <dsp:nvSpPr>
        <dsp:cNvPr id="0" name=""/>
        <dsp:cNvSpPr/>
      </dsp:nvSpPr>
      <dsp:spPr>
        <a:xfrm>
          <a:off x="1457324" y="667799"/>
          <a:ext cx="291465" cy="554400"/>
        </a:xfrm>
        <a:prstGeom prst="leftBrace">
          <a:avLst>
            <a:gd name="adj1" fmla="val 35000"/>
            <a:gd name="adj2" fmla="val 5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DCD75DF-73D2-4A6B-8045-0B005908740B}">
      <dsp:nvSpPr>
        <dsp:cNvPr id="0" name=""/>
        <dsp:cNvSpPr/>
      </dsp:nvSpPr>
      <dsp:spPr>
        <a:xfrm>
          <a:off x="1865375" y="667799"/>
          <a:ext cx="3963924" cy="55440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57150" lvl="1" indent="-57150" algn="ctr" defTabSz="488950">
            <a:lnSpc>
              <a:spcPct val="90000"/>
            </a:lnSpc>
            <a:spcBef>
              <a:spcPct val="0"/>
            </a:spcBef>
            <a:spcAft>
              <a:spcPct val="15000"/>
            </a:spcAft>
            <a:buNone/>
          </a:pPr>
          <a:r>
            <a:rPr lang="en-US" sz="1100" kern="1200">
              <a:latin typeface="Times New Roman" panose="02020603050405020304" pitchFamily="18" charset="0"/>
              <a:cs typeface="Times New Roman" panose="02020603050405020304" pitchFamily="18" charset="0"/>
            </a:rPr>
            <a:t>Hazardous materials imposed stringent handling regulations and added ecological costs (Christensen et al., 2021).</a:t>
          </a:r>
        </a:p>
      </dsp:txBody>
      <dsp:txXfrm>
        <a:off x="1865375" y="667799"/>
        <a:ext cx="3963924" cy="554400"/>
      </dsp:txXfrm>
    </dsp:sp>
    <dsp:sp modelId="{BC988955-E244-43F3-B057-4D1CCB2C3216}">
      <dsp:nvSpPr>
        <dsp:cNvPr id="0" name=""/>
        <dsp:cNvSpPr/>
      </dsp:nvSpPr>
      <dsp:spPr>
        <a:xfrm>
          <a:off x="0" y="1323000"/>
          <a:ext cx="1457325" cy="5544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27940" rIns="78232" bIns="2794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Cost Integration Integrating with Sustainability</a:t>
          </a:r>
        </a:p>
      </dsp:txBody>
      <dsp:txXfrm>
        <a:off x="0" y="1323000"/>
        <a:ext cx="1457325" cy="554400"/>
      </dsp:txXfrm>
    </dsp:sp>
    <dsp:sp modelId="{62112DA0-2B42-4B7B-B4CC-F8F5B97C231E}">
      <dsp:nvSpPr>
        <dsp:cNvPr id="0" name=""/>
        <dsp:cNvSpPr/>
      </dsp:nvSpPr>
      <dsp:spPr>
        <a:xfrm>
          <a:off x="1457324" y="1323000"/>
          <a:ext cx="291465" cy="554400"/>
        </a:xfrm>
        <a:prstGeom prst="leftBrace">
          <a:avLst>
            <a:gd name="adj1" fmla="val 35000"/>
            <a:gd name="adj2" fmla="val 5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130918-DC1B-4508-9918-EB7F246B1408}">
      <dsp:nvSpPr>
        <dsp:cNvPr id="0" name=""/>
        <dsp:cNvSpPr/>
      </dsp:nvSpPr>
      <dsp:spPr>
        <a:xfrm>
          <a:off x="1865375" y="1323000"/>
          <a:ext cx="3963924" cy="55440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57150" lvl="1" indent="-57150" algn="ctr" defTabSz="488950">
            <a:lnSpc>
              <a:spcPct val="90000"/>
            </a:lnSpc>
            <a:spcBef>
              <a:spcPct val="0"/>
            </a:spcBef>
            <a:spcAft>
              <a:spcPct val="15000"/>
            </a:spcAft>
            <a:buNone/>
          </a:pPr>
          <a:r>
            <a:rPr lang="en-US" sz="1100" kern="1200">
              <a:latin typeface="Times New Roman" panose="02020603050405020304" pitchFamily="18" charset="0"/>
              <a:cs typeface="Times New Roman" panose="02020603050405020304" pitchFamily="18" charset="0"/>
            </a:rPr>
            <a:t>Recycling, waste management and compliance should be classified under quality-related expenses.</a:t>
          </a:r>
        </a:p>
      </dsp:txBody>
      <dsp:txXfrm>
        <a:off x="1865375" y="1323000"/>
        <a:ext cx="3963924" cy="554400"/>
      </dsp:txXfrm>
    </dsp:sp>
    <dsp:sp modelId="{23B661D5-53A6-4D68-A5B1-46280D08C114}">
      <dsp:nvSpPr>
        <dsp:cNvPr id="0" name=""/>
        <dsp:cNvSpPr/>
      </dsp:nvSpPr>
      <dsp:spPr>
        <a:xfrm>
          <a:off x="0" y="1978200"/>
          <a:ext cx="1457325" cy="5544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27940" rIns="78232" bIns="2794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Preventive Technologies</a:t>
          </a:r>
        </a:p>
      </dsp:txBody>
      <dsp:txXfrm>
        <a:off x="0" y="1978200"/>
        <a:ext cx="1457325" cy="554400"/>
      </dsp:txXfrm>
    </dsp:sp>
    <dsp:sp modelId="{39C05BC7-1C96-4528-B953-42200CFE067A}">
      <dsp:nvSpPr>
        <dsp:cNvPr id="0" name=""/>
        <dsp:cNvSpPr/>
      </dsp:nvSpPr>
      <dsp:spPr>
        <a:xfrm>
          <a:off x="1457324" y="1978200"/>
          <a:ext cx="291465" cy="554400"/>
        </a:xfrm>
        <a:prstGeom prst="leftBrace">
          <a:avLst>
            <a:gd name="adj1" fmla="val 35000"/>
            <a:gd name="adj2" fmla="val 5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CEC9AD3-26EB-477C-A1B2-9D553F45A1AD}">
      <dsp:nvSpPr>
        <dsp:cNvPr id="0" name=""/>
        <dsp:cNvSpPr/>
      </dsp:nvSpPr>
      <dsp:spPr>
        <a:xfrm>
          <a:off x="1865375" y="1978200"/>
          <a:ext cx="3963924" cy="55440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57150" lvl="1" indent="-57150" algn="ctr" defTabSz="488950">
            <a:lnSpc>
              <a:spcPct val="90000"/>
            </a:lnSpc>
            <a:spcBef>
              <a:spcPct val="0"/>
            </a:spcBef>
            <a:spcAft>
              <a:spcPct val="15000"/>
            </a:spcAft>
            <a:buNone/>
          </a:pPr>
          <a:r>
            <a:rPr lang="en-US" sz="1100" kern="1200">
              <a:latin typeface="Times New Roman" panose="02020603050405020304" pitchFamily="18" charset="0"/>
              <a:cs typeface="Times New Roman" panose="02020603050405020304" pitchFamily="18" charset="0"/>
            </a:rPr>
            <a:t>AI-based diagnostics and predictive maintenance UEs (Taylor, 2025) reduce failures and also environmental waste.</a:t>
          </a:r>
        </a:p>
      </dsp:txBody>
      <dsp:txXfrm>
        <a:off x="1865375" y="1978200"/>
        <a:ext cx="3963924" cy="554400"/>
      </dsp:txXfrm>
    </dsp:sp>
    <dsp:sp modelId="{B91091C5-DE5F-41E2-B7E3-FD540C16021F}">
      <dsp:nvSpPr>
        <dsp:cNvPr id="0" name=""/>
        <dsp:cNvSpPr/>
      </dsp:nvSpPr>
      <dsp:spPr>
        <a:xfrm>
          <a:off x="0" y="2633400"/>
          <a:ext cx="1457325" cy="5544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27940" rIns="78232" bIns="2794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Economic and Ethical Harmony</a:t>
          </a:r>
        </a:p>
      </dsp:txBody>
      <dsp:txXfrm>
        <a:off x="0" y="2633400"/>
        <a:ext cx="1457325" cy="554400"/>
      </dsp:txXfrm>
    </dsp:sp>
    <dsp:sp modelId="{E84C9C72-BEC8-46B3-8E82-C59D8520ED94}">
      <dsp:nvSpPr>
        <dsp:cNvPr id="0" name=""/>
        <dsp:cNvSpPr/>
      </dsp:nvSpPr>
      <dsp:spPr>
        <a:xfrm>
          <a:off x="1457324" y="2633400"/>
          <a:ext cx="291465" cy="554400"/>
        </a:xfrm>
        <a:prstGeom prst="leftBrace">
          <a:avLst>
            <a:gd name="adj1" fmla="val 35000"/>
            <a:gd name="adj2" fmla="val 5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6FD672-489D-4653-95FF-C55E21EF7061}">
      <dsp:nvSpPr>
        <dsp:cNvPr id="0" name=""/>
        <dsp:cNvSpPr/>
      </dsp:nvSpPr>
      <dsp:spPr>
        <a:xfrm>
          <a:off x="1865375" y="2633400"/>
          <a:ext cx="3963924" cy="55440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57150" lvl="1" indent="-57150" algn="ctr" defTabSz="488950">
            <a:lnSpc>
              <a:spcPct val="90000"/>
            </a:lnSpc>
            <a:spcBef>
              <a:spcPct val="0"/>
            </a:spcBef>
            <a:spcAft>
              <a:spcPct val="15000"/>
            </a:spcAft>
            <a:buNone/>
          </a:pPr>
          <a:r>
            <a:rPr lang="en-US" sz="1100" kern="1200">
              <a:latin typeface="Times New Roman" panose="02020603050405020304" pitchFamily="18" charset="0"/>
              <a:cs typeface="Times New Roman" panose="02020603050405020304" pitchFamily="18" charset="0"/>
            </a:rPr>
            <a:t>Linking sustainability and finance contributes to the advancement of total quality in the context of economic and moral responsibility.</a:t>
          </a:r>
        </a:p>
      </dsp:txBody>
      <dsp:txXfrm>
        <a:off x="1865375" y="2633400"/>
        <a:ext cx="3963924" cy="55440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F5006EA-C0DE-44B6-BC9E-F553D28CEE85}">
      <dsp:nvSpPr>
        <dsp:cNvPr id="0" name=""/>
        <dsp:cNvSpPr/>
      </dsp:nvSpPr>
      <dsp:spPr>
        <a:xfrm>
          <a:off x="0" y="346"/>
          <a:ext cx="5974080" cy="0"/>
        </a:xfrm>
        <a:prstGeom prst="line">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4F64AA2-60CB-469D-8540-0728F0ED8901}">
      <dsp:nvSpPr>
        <dsp:cNvPr id="0" name=""/>
        <dsp:cNvSpPr/>
      </dsp:nvSpPr>
      <dsp:spPr>
        <a:xfrm>
          <a:off x="0" y="346"/>
          <a:ext cx="1194815" cy="56831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Efficient Operations</a:t>
          </a:r>
        </a:p>
      </dsp:txBody>
      <dsp:txXfrm>
        <a:off x="0" y="346"/>
        <a:ext cx="1194815" cy="568313"/>
      </dsp:txXfrm>
    </dsp:sp>
    <dsp:sp modelId="{9BC7DC09-AB4F-492D-96AE-D93B7FA802E3}">
      <dsp:nvSpPr>
        <dsp:cNvPr id="0" name=""/>
        <dsp:cNvSpPr/>
      </dsp:nvSpPr>
      <dsp:spPr>
        <a:xfrm>
          <a:off x="1284427" y="26154"/>
          <a:ext cx="4689652" cy="5161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Good process control and fast recall response reduce direct and indirect expenses.</a:t>
          </a:r>
        </a:p>
      </dsp:txBody>
      <dsp:txXfrm>
        <a:off x="1284427" y="26154"/>
        <a:ext cx="4689652" cy="516143"/>
      </dsp:txXfrm>
    </dsp:sp>
    <dsp:sp modelId="{17CCA973-5B3E-42FD-BD87-61130FC514CB}">
      <dsp:nvSpPr>
        <dsp:cNvPr id="0" name=""/>
        <dsp:cNvSpPr/>
      </dsp:nvSpPr>
      <dsp:spPr>
        <a:xfrm>
          <a:off x="1194815" y="542297"/>
          <a:ext cx="4779263" cy="0"/>
        </a:xfrm>
        <a:prstGeom prst="line">
          <a:avLst/>
        </a:prstGeom>
        <a:solidFill>
          <a:schemeClr val="accent2">
            <a:hueOff val="0"/>
            <a:satOff val="0"/>
            <a:lumOff val="0"/>
            <a:alphaOff val="0"/>
          </a:schemeClr>
        </a:solidFill>
        <a:ln w="12700" cap="flat" cmpd="sng" algn="ctr">
          <a:solidFill>
            <a:schemeClr val="accent2">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C9EFA0F-0EA0-4A9A-B87C-89F7EC708530}">
      <dsp:nvSpPr>
        <dsp:cNvPr id="0" name=""/>
        <dsp:cNvSpPr/>
      </dsp:nvSpPr>
      <dsp:spPr>
        <a:xfrm>
          <a:off x="0" y="568660"/>
          <a:ext cx="5974080" cy="0"/>
        </a:xfrm>
        <a:prstGeom prst="line">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9EF89B5-E343-4327-A88B-F9D10ADEDF86}">
      <dsp:nvSpPr>
        <dsp:cNvPr id="0" name=""/>
        <dsp:cNvSpPr/>
      </dsp:nvSpPr>
      <dsp:spPr>
        <a:xfrm>
          <a:off x="0" y="568660"/>
          <a:ext cx="1194815" cy="56831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Customer Communication</a:t>
          </a:r>
        </a:p>
      </dsp:txBody>
      <dsp:txXfrm>
        <a:off x="0" y="568660"/>
        <a:ext cx="1194815" cy="568313"/>
      </dsp:txXfrm>
    </dsp:sp>
    <dsp:sp modelId="{DB480620-F951-43D5-8D46-0C5995FCCE07}">
      <dsp:nvSpPr>
        <dsp:cNvPr id="0" name=""/>
        <dsp:cNvSpPr/>
      </dsp:nvSpPr>
      <dsp:spPr>
        <a:xfrm>
          <a:off x="1284427" y="594467"/>
          <a:ext cx="4689652" cy="5161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Clear instructions and increased return rates minimise exposure of failure from the outside in (Raithel et al., 2023).</a:t>
          </a:r>
        </a:p>
      </dsp:txBody>
      <dsp:txXfrm>
        <a:off x="1284427" y="594467"/>
        <a:ext cx="4689652" cy="516143"/>
      </dsp:txXfrm>
    </dsp:sp>
    <dsp:sp modelId="{B993327D-6726-4C9F-AABC-8F791A509F1D}">
      <dsp:nvSpPr>
        <dsp:cNvPr id="0" name=""/>
        <dsp:cNvSpPr/>
      </dsp:nvSpPr>
      <dsp:spPr>
        <a:xfrm>
          <a:off x="1194815" y="1110611"/>
          <a:ext cx="4779263" cy="0"/>
        </a:xfrm>
        <a:prstGeom prst="line">
          <a:avLst/>
        </a:prstGeom>
        <a:solidFill>
          <a:schemeClr val="accent2">
            <a:hueOff val="0"/>
            <a:satOff val="0"/>
            <a:lumOff val="0"/>
            <a:alphaOff val="0"/>
          </a:schemeClr>
        </a:solidFill>
        <a:ln w="12700" cap="flat" cmpd="sng" algn="ctr">
          <a:solidFill>
            <a:schemeClr val="accent2">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2076956-4BCB-44C5-AB89-A94814527CAF}">
      <dsp:nvSpPr>
        <dsp:cNvPr id="0" name=""/>
        <dsp:cNvSpPr/>
      </dsp:nvSpPr>
      <dsp:spPr>
        <a:xfrm>
          <a:off x="0" y="1136973"/>
          <a:ext cx="5974080" cy="0"/>
        </a:xfrm>
        <a:prstGeom prst="line">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B9E0B39-2AB3-4179-AD25-EFD4B35B4E95}">
      <dsp:nvSpPr>
        <dsp:cNvPr id="0" name=""/>
        <dsp:cNvSpPr/>
      </dsp:nvSpPr>
      <dsp:spPr>
        <a:xfrm>
          <a:off x="0" y="1136973"/>
          <a:ext cx="1194815" cy="56831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Supplier Collaboration</a:t>
          </a:r>
        </a:p>
      </dsp:txBody>
      <dsp:txXfrm>
        <a:off x="0" y="1136973"/>
        <a:ext cx="1194815" cy="568313"/>
      </dsp:txXfrm>
    </dsp:sp>
    <dsp:sp modelId="{0BA49EFB-D2A1-4FCD-9EF3-C9CC9B10BD90}">
      <dsp:nvSpPr>
        <dsp:cNvPr id="0" name=""/>
        <dsp:cNvSpPr/>
      </dsp:nvSpPr>
      <dsp:spPr>
        <a:xfrm>
          <a:off x="1284427" y="1162780"/>
          <a:ext cx="4689652" cy="5161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Post-recall cooperation with suppliers is driving innovation and design improvement.</a:t>
          </a:r>
        </a:p>
      </dsp:txBody>
      <dsp:txXfrm>
        <a:off x="1284427" y="1162780"/>
        <a:ext cx="4689652" cy="516143"/>
      </dsp:txXfrm>
    </dsp:sp>
    <dsp:sp modelId="{6F51B2F4-BA91-44A2-AB1D-2B5226AB2C9B}">
      <dsp:nvSpPr>
        <dsp:cNvPr id="0" name=""/>
        <dsp:cNvSpPr/>
      </dsp:nvSpPr>
      <dsp:spPr>
        <a:xfrm>
          <a:off x="1194815" y="1678924"/>
          <a:ext cx="4779263" cy="0"/>
        </a:xfrm>
        <a:prstGeom prst="line">
          <a:avLst/>
        </a:prstGeom>
        <a:solidFill>
          <a:schemeClr val="accent2">
            <a:hueOff val="0"/>
            <a:satOff val="0"/>
            <a:lumOff val="0"/>
            <a:alphaOff val="0"/>
          </a:schemeClr>
        </a:solidFill>
        <a:ln w="12700" cap="flat" cmpd="sng" algn="ctr">
          <a:solidFill>
            <a:schemeClr val="accent2">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AF4DF1A-A6B0-4735-8143-287D685D5615}">
      <dsp:nvSpPr>
        <dsp:cNvPr id="0" name=""/>
        <dsp:cNvSpPr/>
      </dsp:nvSpPr>
      <dsp:spPr>
        <a:xfrm>
          <a:off x="0" y="1705286"/>
          <a:ext cx="5974080" cy="0"/>
        </a:xfrm>
        <a:prstGeom prst="line">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1593927-1EBA-46E0-930B-1702A9D545A2}">
      <dsp:nvSpPr>
        <dsp:cNvPr id="0" name=""/>
        <dsp:cNvSpPr/>
      </dsp:nvSpPr>
      <dsp:spPr>
        <a:xfrm>
          <a:off x="0" y="1705286"/>
          <a:ext cx="1194815" cy="56831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Digital Quality Systems</a:t>
          </a:r>
        </a:p>
      </dsp:txBody>
      <dsp:txXfrm>
        <a:off x="0" y="1705286"/>
        <a:ext cx="1194815" cy="568313"/>
      </dsp:txXfrm>
    </dsp:sp>
    <dsp:sp modelId="{4EAFA44C-B201-4C3A-8FE3-0847239D4BE4}">
      <dsp:nvSpPr>
        <dsp:cNvPr id="0" name=""/>
        <dsp:cNvSpPr/>
      </dsp:nvSpPr>
      <dsp:spPr>
        <a:xfrm>
          <a:off x="1284427" y="1731093"/>
          <a:ext cx="4689652" cy="5161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CAPA-based QMS tools simply ensure traceability and optimal use of resources (Honeywell, 2025).</a:t>
          </a:r>
        </a:p>
      </dsp:txBody>
      <dsp:txXfrm>
        <a:off x="1284427" y="1731093"/>
        <a:ext cx="4689652" cy="516143"/>
      </dsp:txXfrm>
    </dsp:sp>
    <dsp:sp modelId="{0D14DCC4-D092-4ED0-B945-B26DB183D482}">
      <dsp:nvSpPr>
        <dsp:cNvPr id="0" name=""/>
        <dsp:cNvSpPr/>
      </dsp:nvSpPr>
      <dsp:spPr>
        <a:xfrm>
          <a:off x="1194815" y="2247237"/>
          <a:ext cx="4779263" cy="0"/>
        </a:xfrm>
        <a:prstGeom prst="line">
          <a:avLst/>
        </a:prstGeom>
        <a:solidFill>
          <a:schemeClr val="accent2">
            <a:hueOff val="0"/>
            <a:satOff val="0"/>
            <a:lumOff val="0"/>
            <a:alphaOff val="0"/>
          </a:schemeClr>
        </a:solidFill>
        <a:ln w="12700" cap="flat" cmpd="sng" algn="ctr">
          <a:solidFill>
            <a:schemeClr val="accent2">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D78C96D-C623-4F51-A051-27F6F171EEA2}">
      <dsp:nvSpPr>
        <dsp:cNvPr id="0" name=""/>
        <dsp:cNvSpPr/>
      </dsp:nvSpPr>
      <dsp:spPr>
        <a:xfrm>
          <a:off x="0" y="2273599"/>
          <a:ext cx="5974080" cy="0"/>
        </a:xfrm>
        <a:prstGeom prst="line">
          <a:avLst/>
        </a:prstGeom>
        <a:solidFill>
          <a:schemeClr val="accent6">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4814CB3-76B4-4013-AEFB-F4FF6F5ADF2A}">
      <dsp:nvSpPr>
        <dsp:cNvPr id="0" name=""/>
        <dsp:cNvSpPr/>
      </dsp:nvSpPr>
      <dsp:spPr>
        <a:xfrm>
          <a:off x="0" y="2273599"/>
          <a:ext cx="1194815" cy="56831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Organisational Learning</a:t>
          </a:r>
        </a:p>
      </dsp:txBody>
      <dsp:txXfrm>
        <a:off x="0" y="2273599"/>
        <a:ext cx="1194815" cy="568313"/>
      </dsp:txXfrm>
    </dsp:sp>
    <dsp:sp modelId="{2349ECBA-6931-43C7-8690-39F56F468F2A}">
      <dsp:nvSpPr>
        <dsp:cNvPr id="0" name=""/>
        <dsp:cNvSpPr/>
      </dsp:nvSpPr>
      <dsp:spPr>
        <a:xfrm>
          <a:off x="1284427" y="2299407"/>
          <a:ext cx="4689652" cy="5161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Real-time surveillance and data-based data implement economy over the long term.</a:t>
          </a:r>
        </a:p>
      </dsp:txBody>
      <dsp:txXfrm>
        <a:off x="1284427" y="2299407"/>
        <a:ext cx="4689652" cy="516143"/>
      </dsp:txXfrm>
    </dsp:sp>
    <dsp:sp modelId="{8E758FC9-B2E6-40E7-8A10-A371034C2E7F}">
      <dsp:nvSpPr>
        <dsp:cNvPr id="0" name=""/>
        <dsp:cNvSpPr/>
      </dsp:nvSpPr>
      <dsp:spPr>
        <a:xfrm>
          <a:off x="1194815" y="2815550"/>
          <a:ext cx="4779263" cy="0"/>
        </a:xfrm>
        <a:prstGeom prst="line">
          <a:avLst/>
        </a:prstGeom>
        <a:solidFill>
          <a:schemeClr val="accent2">
            <a:hueOff val="0"/>
            <a:satOff val="0"/>
            <a:lumOff val="0"/>
            <a:alphaOff val="0"/>
          </a:schemeClr>
        </a:solidFill>
        <a:ln w="12700" cap="flat" cmpd="sng" algn="ctr">
          <a:solidFill>
            <a:schemeClr val="accent2">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74BD080-158F-4B04-9B17-5B79E32E8C64}">
      <dsp:nvSpPr>
        <dsp:cNvPr id="0" name=""/>
        <dsp:cNvSpPr/>
      </dsp:nvSpPr>
      <dsp:spPr>
        <a:xfrm>
          <a:off x="2753" y="13776"/>
          <a:ext cx="1055667" cy="422267"/>
        </a:xfrm>
        <a:prstGeom prst="rect">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Reputation Risk</a:t>
          </a:r>
        </a:p>
      </dsp:txBody>
      <dsp:txXfrm>
        <a:off x="2753" y="13776"/>
        <a:ext cx="1055667" cy="422267"/>
      </dsp:txXfrm>
    </dsp:sp>
    <dsp:sp modelId="{681CC393-52AB-4FFC-BB8D-925BBB23A8A8}">
      <dsp:nvSpPr>
        <dsp:cNvPr id="0" name=""/>
        <dsp:cNvSpPr/>
      </dsp:nvSpPr>
      <dsp:spPr>
        <a:xfrm>
          <a:off x="2753" y="436043"/>
          <a:ext cx="1055667" cy="1493279"/>
        </a:xfrm>
        <a:prstGeom prst="rect">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ctr"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Brand damage is an intangible but important cost incurred by recalls.</a:t>
          </a:r>
        </a:p>
      </dsp:txBody>
      <dsp:txXfrm>
        <a:off x="2753" y="436043"/>
        <a:ext cx="1055667" cy="1493279"/>
      </dsp:txXfrm>
    </dsp:sp>
    <dsp:sp modelId="{12D720EB-AAAC-430A-A35A-15A175360011}">
      <dsp:nvSpPr>
        <dsp:cNvPr id="0" name=""/>
        <dsp:cNvSpPr/>
      </dsp:nvSpPr>
      <dsp:spPr>
        <a:xfrm>
          <a:off x="1206215" y="13776"/>
          <a:ext cx="1055667" cy="422267"/>
        </a:xfrm>
        <a:prstGeom prst="rect">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Transparency and Accountability</a:t>
          </a:r>
        </a:p>
      </dsp:txBody>
      <dsp:txXfrm>
        <a:off x="1206215" y="13776"/>
        <a:ext cx="1055667" cy="422267"/>
      </dsp:txXfrm>
    </dsp:sp>
    <dsp:sp modelId="{C14EB1EF-DF7A-42C9-8DFD-832A10988B2F}">
      <dsp:nvSpPr>
        <dsp:cNvPr id="0" name=""/>
        <dsp:cNvSpPr/>
      </dsp:nvSpPr>
      <dsp:spPr>
        <a:xfrm>
          <a:off x="1206215" y="436043"/>
          <a:ext cx="1055667" cy="1493279"/>
        </a:xfrm>
        <a:prstGeom prst="rect">
          <a:avLst/>
        </a:prstGeom>
        <a:solidFill>
          <a:schemeClr val="accent3">
            <a:tint val="40000"/>
            <a:alpha val="90000"/>
            <a:hueOff val="0"/>
            <a:satOff val="0"/>
            <a:lumOff val="0"/>
            <a:alphaOff val="0"/>
          </a:schemeClr>
        </a:solidFill>
        <a:ln w="12700" cap="flat" cmpd="sng" algn="ctr">
          <a:solidFill>
            <a:schemeClr val="accent3">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ctr"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Open communication and rapid response reduce the public backlash (Dholakia, 2016).</a:t>
          </a:r>
        </a:p>
      </dsp:txBody>
      <dsp:txXfrm>
        <a:off x="1206215" y="436043"/>
        <a:ext cx="1055667" cy="1493279"/>
      </dsp:txXfrm>
    </dsp:sp>
    <dsp:sp modelId="{2724E57A-327F-447C-8821-533BB2A3E7ED}">
      <dsp:nvSpPr>
        <dsp:cNvPr id="0" name=""/>
        <dsp:cNvSpPr/>
      </dsp:nvSpPr>
      <dsp:spPr>
        <a:xfrm>
          <a:off x="2409676" y="13776"/>
          <a:ext cx="1055667" cy="422267"/>
        </a:xfrm>
        <a:prstGeom prst="rect">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Crisis Response</a:t>
          </a:r>
        </a:p>
      </dsp:txBody>
      <dsp:txXfrm>
        <a:off x="2409676" y="13776"/>
        <a:ext cx="1055667" cy="422267"/>
      </dsp:txXfrm>
    </dsp:sp>
    <dsp:sp modelId="{5D9E5983-349E-431C-90A9-A89E6B73879E}">
      <dsp:nvSpPr>
        <dsp:cNvPr id="0" name=""/>
        <dsp:cNvSpPr/>
      </dsp:nvSpPr>
      <dsp:spPr>
        <a:xfrm>
          <a:off x="2409676" y="436043"/>
          <a:ext cx="1055667" cy="1493279"/>
        </a:xfrm>
        <a:prstGeom prst="rect">
          <a:avLst/>
        </a:prstGeom>
        <a:solidFill>
          <a:schemeClr val="accent4">
            <a:tint val="40000"/>
            <a:alpha val="90000"/>
            <a:hueOff val="0"/>
            <a:satOff val="0"/>
            <a:lumOff val="0"/>
            <a:alphaOff val="0"/>
          </a:schemeClr>
        </a:solidFill>
        <a:ln w="12700" cap="flat" cmpd="sng" algn="ctr">
          <a:solidFill>
            <a:schemeClr val="accent4">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ctr"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Samsung's public apology and explanation restored credibility.</a:t>
          </a:r>
        </a:p>
      </dsp:txBody>
      <dsp:txXfrm>
        <a:off x="2409676" y="436043"/>
        <a:ext cx="1055667" cy="1493279"/>
      </dsp:txXfrm>
    </dsp:sp>
    <dsp:sp modelId="{537E171F-7D14-44F5-802E-C032C33BEEF9}">
      <dsp:nvSpPr>
        <dsp:cNvPr id="0" name=""/>
        <dsp:cNvSpPr/>
      </dsp:nvSpPr>
      <dsp:spPr>
        <a:xfrm>
          <a:off x="3613137" y="13776"/>
          <a:ext cx="1055667" cy="422267"/>
        </a:xfrm>
        <a:prstGeom prst="rect">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Governance Reforms</a:t>
          </a:r>
        </a:p>
      </dsp:txBody>
      <dsp:txXfrm>
        <a:off x="3613137" y="13776"/>
        <a:ext cx="1055667" cy="422267"/>
      </dsp:txXfrm>
    </dsp:sp>
    <dsp:sp modelId="{CB743524-B684-4741-A6CB-76F927DF28FE}">
      <dsp:nvSpPr>
        <dsp:cNvPr id="0" name=""/>
        <dsp:cNvSpPr/>
      </dsp:nvSpPr>
      <dsp:spPr>
        <a:xfrm>
          <a:off x="3613137" y="436043"/>
          <a:ext cx="1055667" cy="1493279"/>
        </a:xfrm>
        <a:prstGeom prst="rect">
          <a:avLst/>
        </a:prstGeom>
        <a:solidFill>
          <a:schemeClr val="accent5">
            <a:tint val="40000"/>
            <a:alpha val="90000"/>
            <a:hueOff val="0"/>
            <a:satOff val="0"/>
            <a:lumOff val="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ctr"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Real brand recovery was due to structural quality improvements (Abbas, 2023).</a:t>
          </a:r>
        </a:p>
      </dsp:txBody>
      <dsp:txXfrm>
        <a:off x="3613137" y="436043"/>
        <a:ext cx="1055667" cy="1493279"/>
      </dsp:txXfrm>
    </dsp:sp>
    <dsp:sp modelId="{8991FD25-6A6C-4749-96A0-08C8A3B35551}">
      <dsp:nvSpPr>
        <dsp:cNvPr id="0" name=""/>
        <dsp:cNvSpPr/>
      </dsp:nvSpPr>
      <dsp:spPr>
        <a:xfrm>
          <a:off x="4816598" y="13776"/>
          <a:ext cx="1055667" cy="422267"/>
        </a:xfrm>
        <a:prstGeom prst="rect">
          <a:avLst/>
        </a:prstGeom>
        <a:solidFill>
          <a:schemeClr val="accent6">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Trust Reinvestment</a:t>
          </a:r>
        </a:p>
      </dsp:txBody>
      <dsp:txXfrm>
        <a:off x="4816598" y="13776"/>
        <a:ext cx="1055667" cy="422267"/>
      </dsp:txXfrm>
    </dsp:sp>
    <dsp:sp modelId="{1F62B68C-6DE0-4A10-8856-3DC8BD1A063D}">
      <dsp:nvSpPr>
        <dsp:cNvPr id="0" name=""/>
        <dsp:cNvSpPr/>
      </dsp:nvSpPr>
      <dsp:spPr>
        <a:xfrm>
          <a:off x="4816598" y="436043"/>
          <a:ext cx="1055667" cy="1493279"/>
        </a:xfrm>
        <a:prstGeom prst="rect">
          <a:avLst/>
        </a:prstGeom>
        <a:solidFill>
          <a:schemeClr val="accent6">
            <a:tint val="40000"/>
            <a:alpha val="90000"/>
            <a:hueOff val="0"/>
            <a:satOff val="0"/>
            <a:lumOff val="0"/>
            <a:alphaOff val="0"/>
          </a:schemeClr>
        </a:solidFill>
        <a:ln w="12700" cap="flat" cmpd="sng" algn="ctr">
          <a:solidFill>
            <a:schemeClr val="accent6">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ctr"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Transparency is continuous so short-term loss turns into long-term loyalty.</a:t>
          </a:r>
        </a:p>
      </dsp:txBody>
      <dsp:txXfrm>
        <a:off x="4816598" y="436043"/>
        <a:ext cx="1055667" cy="1493279"/>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9028A-252C-4FDF-913D-34280ECA0E75}">
      <dsp:nvSpPr>
        <dsp:cNvPr id="0" name=""/>
        <dsp:cNvSpPr/>
      </dsp:nvSpPr>
      <dsp:spPr>
        <a:xfrm>
          <a:off x="0" y="4995724"/>
          <a:ext cx="6080760" cy="0"/>
        </a:xfrm>
        <a:prstGeom prst="line">
          <a:avLst/>
        </a:pr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179F8C7-17A6-402D-AE68-2C628F27D567}">
      <dsp:nvSpPr>
        <dsp:cNvPr id="0" name=""/>
        <dsp:cNvSpPr/>
      </dsp:nvSpPr>
      <dsp:spPr>
        <a:xfrm>
          <a:off x="0" y="4367896"/>
          <a:ext cx="6080760" cy="0"/>
        </a:xfrm>
        <a:prstGeom prst="line">
          <a:avLst/>
        </a:pr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02FF2EA-5AB5-4984-80D8-4B127DAE75E2}">
      <dsp:nvSpPr>
        <dsp:cNvPr id="0" name=""/>
        <dsp:cNvSpPr/>
      </dsp:nvSpPr>
      <dsp:spPr>
        <a:xfrm>
          <a:off x="0" y="3740068"/>
          <a:ext cx="6080760" cy="0"/>
        </a:xfrm>
        <a:prstGeom prst="line">
          <a:avLst/>
        </a:pr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2728ADA-AF88-4D18-B6D6-8425F6DDE48D}">
      <dsp:nvSpPr>
        <dsp:cNvPr id="0" name=""/>
        <dsp:cNvSpPr/>
      </dsp:nvSpPr>
      <dsp:spPr>
        <a:xfrm>
          <a:off x="0" y="3112239"/>
          <a:ext cx="6080760" cy="0"/>
        </a:xfrm>
        <a:prstGeom prst="line">
          <a:avLst/>
        </a:pr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433C333-F04A-488A-B766-8256D28C74E2}">
      <dsp:nvSpPr>
        <dsp:cNvPr id="0" name=""/>
        <dsp:cNvSpPr/>
      </dsp:nvSpPr>
      <dsp:spPr>
        <a:xfrm>
          <a:off x="0" y="2484411"/>
          <a:ext cx="6080760" cy="0"/>
        </a:xfrm>
        <a:prstGeom prst="line">
          <a:avLst/>
        </a:pr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4EB740-26E6-4C64-BF8E-A2E2F6E5215D}">
      <dsp:nvSpPr>
        <dsp:cNvPr id="0" name=""/>
        <dsp:cNvSpPr/>
      </dsp:nvSpPr>
      <dsp:spPr>
        <a:xfrm>
          <a:off x="0" y="1856583"/>
          <a:ext cx="6080760" cy="0"/>
        </a:xfrm>
        <a:prstGeom prst="line">
          <a:avLst/>
        </a:pr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F7F382-C823-492C-9540-8BD1ACABEB5B}">
      <dsp:nvSpPr>
        <dsp:cNvPr id="0" name=""/>
        <dsp:cNvSpPr/>
      </dsp:nvSpPr>
      <dsp:spPr>
        <a:xfrm>
          <a:off x="0" y="1228755"/>
          <a:ext cx="6080760" cy="0"/>
        </a:xfrm>
        <a:prstGeom prst="line">
          <a:avLst/>
        </a:pr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E63227-0AB6-4DA0-9D90-29773AC3BE62}">
      <dsp:nvSpPr>
        <dsp:cNvPr id="0" name=""/>
        <dsp:cNvSpPr/>
      </dsp:nvSpPr>
      <dsp:spPr>
        <a:xfrm>
          <a:off x="0" y="600927"/>
          <a:ext cx="6080760" cy="0"/>
        </a:xfrm>
        <a:prstGeom prst="line">
          <a:avLst/>
        </a:pr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8FDB736-F7CD-4203-B3A5-3F52CF3AF697}">
      <dsp:nvSpPr>
        <dsp:cNvPr id="0" name=""/>
        <dsp:cNvSpPr/>
      </dsp:nvSpPr>
      <dsp:spPr>
        <a:xfrm>
          <a:off x="1580997" y="2995"/>
          <a:ext cx="4499762" cy="5979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955" tIns="20955" rIns="20955" bIns="20955" numCol="1" spcCol="1270" anchor="b"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Battery problems were confirmed by independent investigations, not just fixing, so you can believe that Samsung did not lie about facts (BBC News, 2017; Loveridge et al., 2018).</a:t>
          </a:r>
        </a:p>
      </dsp:txBody>
      <dsp:txXfrm>
        <a:off x="1580997" y="2995"/>
        <a:ext cx="4499762" cy="597931"/>
      </dsp:txXfrm>
    </dsp:sp>
    <dsp:sp modelId="{E0DB30C7-F4D8-4412-81D3-86EF80DD3CD1}">
      <dsp:nvSpPr>
        <dsp:cNvPr id="0" name=""/>
        <dsp:cNvSpPr/>
      </dsp:nvSpPr>
      <dsp:spPr>
        <a:xfrm>
          <a:off x="0" y="2995"/>
          <a:ext cx="1580997" cy="597931"/>
        </a:xfrm>
        <a:prstGeom prst="round2SameRect">
          <a:avLst>
            <a:gd name="adj1" fmla="val 16670"/>
            <a:gd name="adj2" fmla="val 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Technical Transparency</a:t>
          </a:r>
        </a:p>
      </dsp:txBody>
      <dsp:txXfrm>
        <a:off x="29194" y="32189"/>
        <a:ext cx="1522609" cy="568737"/>
      </dsp:txXfrm>
    </dsp:sp>
    <dsp:sp modelId="{CF030FF4-43F7-419B-8DC1-D93B8A7D418B}">
      <dsp:nvSpPr>
        <dsp:cNvPr id="0" name=""/>
        <dsp:cNvSpPr/>
      </dsp:nvSpPr>
      <dsp:spPr>
        <a:xfrm>
          <a:off x="1580997" y="630823"/>
          <a:ext cx="4499762" cy="5979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955" tIns="20955" rIns="20955" bIns="20955" numCol="1" spcCol="1270" anchor="b"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Samsung announced a rigorous battery testing protocol with 8 steps of battery testing, including durability, x-ray inspection, and charge-discharge testing (Samsung, 2016).</a:t>
          </a:r>
        </a:p>
      </dsp:txBody>
      <dsp:txXfrm>
        <a:off x="1580997" y="630823"/>
        <a:ext cx="4499762" cy="597931"/>
      </dsp:txXfrm>
    </dsp:sp>
    <dsp:sp modelId="{5AB792E5-8994-4D3B-ADB6-7B32A2782037}">
      <dsp:nvSpPr>
        <dsp:cNvPr id="0" name=""/>
        <dsp:cNvSpPr/>
      </dsp:nvSpPr>
      <dsp:spPr>
        <a:xfrm>
          <a:off x="0" y="630823"/>
          <a:ext cx="1580997" cy="597931"/>
        </a:xfrm>
        <a:prstGeom prst="round2SameRect">
          <a:avLst>
            <a:gd name="adj1" fmla="val 16670"/>
            <a:gd name="adj2" fmla="val 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Eight-Point Safety Check</a:t>
          </a:r>
        </a:p>
      </dsp:txBody>
      <dsp:txXfrm>
        <a:off x="29194" y="660017"/>
        <a:ext cx="1522609" cy="568737"/>
      </dsp:txXfrm>
    </dsp:sp>
    <dsp:sp modelId="{45B33D0C-DD85-4ED5-9E4E-445C5D6602F1}">
      <dsp:nvSpPr>
        <dsp:cNvPr id="0" name=""/>
        <dsp:cNvSpPr/>
      </dsp:nvSpPr>
      <dsp:spPr>
        <a:xfrm>
          <a:off x="1580997" y="1258651"/>
          <a:ext cx="4499762" cy="5979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955" tIns="20955" rIns="20955" bIns="20955" numCol="1" spcCol="1270" anchor="b"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The company established independent panels of academic and industry experts to monitor product safety reforms (Lee et al., 2017).</a:t>
          </a:r>
        </a:p>
      </dsp:txBody>
      <dsp:txXfrm>
        <a:off x="1580997" y="1258651"/>
        <a:ext cx="4499762" cy="597931"/>
      </dsp:txXfrm>
    </dsp:sp>
    <dsp:sp modelId="{BFC7F40E-A8ED-4DFF-AB84-4963C08A0FE6}">
      <dsp:nvSpPr>
        <dsp:cNvPr id="0" name=""/>
        <dsp:cNvSpPr/>
      </dsp:nvSpPr>
      <dsp:spPr>
        <a:xfrm>
          <a:off x="0" y="1258651"/>
          <a:ext cx="1580997" cy="597931"/>
        </a:xfrm>
        <a:prstGeom prst="round2SameRect">
          <a:avLst>
            <a:gd name="adj1" fmla="val 16670"/>
            <a:gd name="adj2" fmla="val 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External Advisory Panels</a:t>
          </a:r>
        </a:p>
      </dsp:txBody>
      <dsp:txXfrm>
        <a:off x="29194" y="1287845"/>
        <a:ext cx="1522609" cy="568737"/>
      </dsp:txXfrm>
    </dsp:sp>
    <dsp:sp modelId="{3B751268-80B4-4929-989F-15B95FFCDE7D}">
      <dsp:nvSpPr>
        <dsp:cNvPr id="0" name=""/>
        <dsp:cNvSpPr/>
      </dsp:nvSpPr>
      <dsp:spPr>
        <a:xfrm>
          <a:off x="1580997" y="1886480"/>
          <a:ext cx="4499762" cy="5979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955" tIns="20955" rIns="20955" bIns="20955" numCol="1" spcCol="1270" anchor="b"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System-wide value distribution across the enterprise to bridge engineering, compliance, and quality to improve supervision.</a:t>
          </a:r>
        </a:p>
      </dsp:txBody>
      <dsp:txXfrm>
        <a:off x="1580997" y="1886480"/>
        <a:ext cx="4499762" cy="597931"/>
      </dsp:txXfrm>
    </dsp:sp>
    <dsp:sp modelId="{4AB2AA0E-AD7F-4B60-9CBA-6213F11E2EDF}">
      <dsp:nvSpPr>
        <dsp:cNvPr id="0" name=""/>
        <dsp:cNvSpPr/>
      </dsp:nvSpPr>
      <dsp:spPr>
        <a:xfrm>
          <a:off x="0" y="1886480"/>
          <a:ext cx="1580997" cy="597931"/>
        </a:xfrm>
        <a:prstGeom prst="round2SameRect">
          <a:avLst>
            <a:gd name="adj1" fmla="val 16670"/>
            <a:gd name="adj2" fmla="val 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Risk-Governance Framework</a:t>
          </a:r>
        </a:p>
      </dsp:txBody>
      <dsp:txXfrm>
        <a:off x="29194" y="1915674"/>
        <a:ext cx="1522609" cy="568737"/>
      </dsp:txXfrm>
    </dsp:sp>
    <dsp:sp modelId="{E1FC0B7E-BAEB-428A-85FE-0252344C1087}">
      <dsp:nvSpPr>
        <dsp:cNvPr id="0" name=""/>
        <dsp:cNvSpPr/>
      </dsp:nvSpPr>
      <dsp:spPr>
        <a:xfrm>
          <a:off x="1580997" y="2514308"/>
          <a:ext cx="4499762" cy="5979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955" tIns="20955" rIns="20955" bIns="20955" numCol="1" spcCol="1270" anchor="b"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Full publication of test results was a credibility and transparency indicator of technical appraisal.</a:t>
          </a:r>
        </a:p>
      </dsp:txBody>
      <dsp:txXfrm>
        <a:off x="1580997" y="2514308"/>
        <a:ext cx="4499762" cy="597931"/>
      </dsp:txXfrm>
    </dsp:sp>
    <dsp:sp modelId="{7725F6CA-CF14-411C-9FF4-14718799B916}">
      <dsp:nvSpPr>
        <dsp:cNvPr id="0" name=""/>
        <dsp:cNvSpPr/>
      </dsp:nvSpPr>
      <dsp:spPr>
        <a:xfrm>
          <a:off x="0" y="2514308"/>
          <a:ext cx="1580997" cy="597931"/>
        </a:xfrm>
        <a:prstGeom prst="round2SameRect">
          <a:avLst>
            <a:gd name="adj1" fmla="val 16670"/>
            <a:gd name="adj2" fmla="val 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"Show Your Homework" Approach</a:t>
          </a:r>
        </a:p>
      </dsp:txBody>
      <dsp:txXfrm>
        <a:off x="29194" y="2543502"/>
        <a:ext cx="1522609" cy="568737"/>
      </dsp:txXfrm>
    </dsp:sp>
    <dsp:sp modelId="{C32B91D1-0E12-41C5-AA36-506499DA3E2E}">
      <dsp:nvSpPr>
        <dsp:cNvPr id="0" name=""/>
        <dsp:cNvSpPr/>
      </dsp:nvSpPr>
      <dsp:spPr>
        <a:xfrm>
          <a:off x="1580997" y="3142136"/>
          <a:ext cx="4499762" cy="5979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955" tIns="20955" rIns="20955" bIns="20955" numCol="1" spcCol="1270" anchor="b"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This represented a change in the tone of communication away from apology and towards the language of change, positioning Samsung in a position of responsibility and action (Dholakia, 2016).</a:t>
          </a:r>
        </a:p>
      </dsp:txBody>
      <dsp:txXfrm>
        <a:off x="1580997" y="3142136"/>
        <a:ext cx="4499762" cy="597931"/>
      </dsp:txXfrm>
    </dsp:sp>
    <dsp:sp modelId="{A0CFDBA7-7948-43A5-9BF6-D04F9B12D98F}">
      <dsp:nvSpPr>
        <dsp:cNvPr id="0" name=""/>
        <dsp:cNvSpPr/>
      </dsp:nvSpPr>
      <dsp:spPr>
        <a:xfrm>
          <a:off x="0" y="3142136"/>
          <a:ext cx="1580997" cy="597931"/>
        </a:xfrm>
        <a:prstGeom prst="round2SameRect">
          <a:avLst>
            <a:gd name="adj1" fmla="val 16670"/>
            <a:gd name="adj2" fmla="val 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Narrative Reframing</a:t>
          </a:r>
        </a:p>
      </dsp:txBody>
      <dsp:txXfrm>
        <a:off x="29194" y="3171330"/>
        <a:ext cx="1522609" cy="568737"/>
      </dsp:txXfrm>
    </dsp:sp>
    <dsp:sp modelId="{A3825107-B07F-48B6-9317-39F2ED57EAE8}">
      <dsp:nvSpPr>
        <dsp:cNvPr id="0" name=""/>
        <dsp:cNvSpPr/>
      </dsp:nvSpPr>
      <dsp:spPr>
        <a:xfrm>
          <a:off x="1580997" y="3769964"/>
          <a:ext cx="4499762" cy="5979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955" tIns="20955" rIns="20955" bIns="20955" numCol="1" spcCol="1270" anchor="b"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Long-term quality programmes which concentrate on prevention and learning (Abbas, 2023)</a:t>
          </a:r>
        </a:p>
      </dsp:txBody>
      <dsp:txXfrm>
        <a:off x="1580997" y="3769964"/>
        <a:ext cx="4499762" cy="597931"/>
      </dsp:txXfrm>
    </dsp:sp>
    <dsp:sp modelId="{3203FC78-6DE4-413A-A5D8-B1F1D99DF6D3}">
      <dsp:nvSpPr>
        <dsp:cNvPr id="0" name=""/>
        <dsp:cNvSpPr/>
      </dsp:nvSpPr>
      <dsp:spPr>
        <a:xfrm>
          <a:off x="0" y="3769964"/>
          <a:ext cx="1580997" cy="597931"/>
        </a:xfrm>
        <a:prstGeom prst="round2SameRect">
          <a:avLst>
            <a:gd name="adj1" fmla="val 16670"/>
            <a:gd name="adj2" fmla="val 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Continuous Improvement Seeking Culture</a:t>
          </a:r>
        </a:p>
      </dsp:txBody>
      <dsp:txXfrm>
        <a:off x="29194" y="3799158"/>
        <a:ext cx="1522609" cy="568737"/>
      </dsp:txXfrm>
    </dsp:sp>
    <dsp:sp modelId="{D8444D7B-84C0-4CE3-B300-5682A82E70FE}">
      <dsp:nvSpPr>
        <dsp:cNvPr id="0" name=""/>
        <dsp:cNvSpPr/>
      </dsp:nvSpPr>
      <dsp:spPr>
        <a:xfrm>
          <a:off x="1580997" y="4397792"/>
          <a:ext cx="4499762" cy="5979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955" tIns="20955" rIns="20955" bIns="20955" numCol="1" spcCol="1270" anchor="b"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Regular news releases and media engagement ensured building trust and strengthening elucidation of that authenticated reform (Novark, 2025).</a:t>
          </a:r>
        </a:p>
      </dsp:txBody>
      <dsp:txXfrm>
        <a:off x="1580997" y="4397792"/>
        <a:ext cx="4499762" cy="597931"/>
      </dsp:txXfrm>
    </dsp:sp>
    <dsp:sp modelId="{EB188233-AF4E-4EC8-9AD9-25C060E9977E}">
      <dsp:nvSpPr>
        <dsp:cNvPr id="0" name=""/>
        <dsp:cNvSpPr/>
      </dsp:nvSpPr>
      <dsp:spPr>
        <a:xfrm>
          <a:off x="0" y="4397792"/>
          <a:ext cx="1580997" cy="597931"/>
        </a:xfrm>
        <a:prstGeom prst="round2SameRect">
          <a:avLst>
            <a:gd name="adj1" fmla="val 16670"/>
            <a:gd name="adj2" fmla="val 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Routine Communication Frequency</a:t>
          </a:r>
        </a:p>
      </dsp:txBody>
      <dsp:txXfrm>
        <a:off x="29194" y="4426986"/>
        <a:ext cx="1522609" cy="568737"/>
      </dsp:txXfrm>
    </dsp:sp>
  </dsp:spTree>
</dsp:drawing>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11/layout/TabList">
  <dgm:title val="Tab List"/>
  <dgm:desc val="Use to show non-sequential or grouped blocks of information. Works well for lists with a small amount of Level 1 text. The first Level 2 displays next to the Level 1 text  and the remaining Level 2 text appears beneath the Level 1 text."/>
  <dgm:catLst>
    <dgm:cat type="list" pri="4500"/>
    <dgm:cat type="officeonline" pri="11000"/>
  </dgm:catLst>
  <dgm:sampData>
    <dgm:dataModel>
      <dgm:ptLst>
        <dgm:pt modelId="0" type="doc"/>
        <dgm:pt modelId="10">
          <dgm:prSet phldr="1"/>
        </dgm:pt>
        <dgm:pt modelId="11">
          <dgm:prSet phldr="1"/>
        </dgm:pt>
        <dgm:pt modelId="12">
          <dgm:prSet phldr="1"/>
        </dgm:pt>
        <dgm:pt modelId="20">
          <dgm:prSet phldr="1"/>
        </dgm:pt>
        <dgm:pt modelId="21">
          <dgm:prSet phldr="1"/>
        </dgm:pt>
        <dgm:pt modelId="22">
          <dgm:prSet phldr="1"/>
        </dgm:pt>
        <dgm:pt modelId="30">
          <dgm:prSet phldr="1"/>
        </dgm:pt>
        <dgm:pt modelId="31">
          <dgm:prSet phldr="1"/>
        </dgm:pt>
        <dgm:pt modelId="32">
          <dgm:prSet phldr="1"/>
        </dgm:pt>
      </dgm:ptLst>
      <dgm:cxnLst>
        <dgm:cxn modelId="40" srcId="0" destId="10" srcOrd="0" destOrd="0"/>
        <dgm:cxn modelId="41" srcId="10" destId="11" srcOrd="0" destOrd="0"/>
        <dgm:cxn modelId="42" srcId="10" destId="12" srcOrd="0" destOrd="0"/>
        <dgm:cxn modelId="50" srcId="0" destId="20" srcOrd="1" destOrd="0"/>
        <dgm:cxn modelId="51" srcId="20" destId="21" srcOrd="1" destOrd="0"/>
        <dgm:cxn modelId="52" srcId="20" destId="22" srcOrd="1" destOrd="0"/>
        <dgm:cxn modelId="60" srcId="0" destId="30" srcOrd="2" destOrd="0"/>
        <dgm:cxn modelId="61" srcId="30" destId="31" srcOrd="2" destOrd="0"/>
        <dgm:cxn modelId="62" srcId="30" destId="32"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dgm:chPref val="3"/>
      <dgm:dir/>
      <dgm:animOne val="branch"/>
      <dgm:animLvl val="lvl"/>
    </dgm:varLst>
    <dgm:alg type="lin">
      <dgm:param type="linDir" val="fromT"/>
    </dgm:alg>
    <dgm:shape xmlns:r="http://schemas.openxmlformats.org/officeDocument/2006/relationships" r:blip="">
      <dgm:adjLst/>
    </dgm:shape>
    <dgm:constrLst>
      <dgm:constr type="w" for="ch" forName="Child" refType="w"/>
      <dgm:constr type="h" for="ch" forName="Child" refType="h" fact="0.6667"/>
      <dgm:constr type="primFontSz" for="des" forName="Parent" op="equ" val="65"/>
      <dgm:constr type="primFontSz" for="des" forName="Child" op="equ" val="65"/>
      <dgm:constr type="primFontSz" for="des" forName="FirstChild" op="equ" val="65"/>
      <dgm:constr type="primFontSz" for="des" forName="Child" refType="primFontSz" refFor="des" refForName="Parent" op="lte"/>
      <dgm:constr type="primFontSz" for="des" forName="FirstChild" refType="primFontSz" refFor="des" refForName="Parent" op="lte"/>
      <dgm:constr type="primFontSz" for="des" forName="Child" refType="primFontSz" refFor="des" refForName="FirstChild" op="lte"/>
      <dgm:constr type="w" for="ch" forName="composite" refType="w"/>
      <dgm:constr type="h" for="ch" forName="composite" refType="h" fact="0.3333"/>
      <dgm:constr type="sp" refType="h" refFor="ch" refForName="composite" op="equ" fact="0.05"/>
      <dgm:constr type="h" for="ch" forName="sibTrans" refType="h" refFor="ch" refForName="composite" op="equ" fact="0.05"/>
      <dgm:constr type="w" for="ch" forName="sibTrans" refType="h" refFor="ch" refForName="sibTrans" op="equ"/>
    </dgm:constrLst>
    <dgm:forEach name="nodesForEach" axis="ch" ptType="node">
      <dgm:layoutNode name="composite">
        <dgm:alg type="composite"/>
        <dgm:shape xmlns:r="http://schemas.openxmlformats.org/officeDocument/2006/relationships" r:blip="">
          <dgm:adjLst/>
        </dgm:shape>
        <dgm:choose name="Name1">
          <dgm:if name="Name2" func="var" arg="dir" op="equ" val="norm">
            <dgm:constrLst>
              <dgm:constr type="l" for="ch" forName="Accent" refType="w" fact="0"/>
              <dgm:constr type="b" for="ch" forName="Accent" refType="h"/>
              <dgm:constr type="w" for="ch" forName="Accent" refType="w"/>
              <dgm:constr type="h" for="ch" forName="Accent" refType="h" fact="0"/>
              <dgm:constr type="l" for="ch" forName="FirstChild" refType="w" fact="0.26"/>
              <dgm:constr type="t" for="ch" forName="FirstChild" refType="h" fact="0"/>
              <dgm:constr type="w" for="ch" forName="FirstChild" refType="w" fact="0.74"/>
              <dgm:constr type="h" for="ch" forName="FirstChild" refType="h"/>
              <dgm:constr type="l" for="ch" forName="Parent" refType="w" fact="0"/>
              <dgm:constr type="t" for="ch" forName="Parent" refType="h" fact="0"/>
              <dgm:constr type="w" for="ch" forName="Parent" refType="w" fact="0.26"/>
              <dgm:constr type="h" for="ch" forName="Parent" refType="h"/>
            </dgm:constrLst>
          </dgm:if>
          <dgm:else name="Name3">
            <dgm:constrLst>
              <dgm:constr type="l" for="ch" forName="Accent" refType="w" fact="0"/>
              <dgm:constr type="b" for="ch" forName="Accent" refType="h"/>
              <dgm:constr type="w" for="ch" forName="Accent" refType="w"/>
              <dgm:constr type="h" for="ch" forName="Accent" refType="h" fact="0"/>
              <dgm:constr type="r" for="ch" forName="FirstChild" refType="w" fact="0.74"/>
              <dgm:constr type="t" for="ch" forName="FirstChild" refType="h" fact="0"/>
              <dgm:constr type="w" for="ch" forName="FirstChild" refType="w" fact="0.74"/>
              <dgm:constr type="h" for="ch" forName="FirstChild" refType="h"/>
              <dgm:constr type="r" for="ch" forName="Parent" refType="w"/>
              <dgm:constr type="t" for="ch" forName="Parent" refType="h" fact="0"/>
              <dgm:constr type="w" for="ch" forName="Parent" refType="w" fact="0.26"/>
              <dgm:constr type="h" for="ch" forName="Parent" refType="h"/>
            </dgm:constrLst>
          </dgm:else>
        </dgm:choose>
        <dgm:layoutNode name="FirstChild" styleLbl="revTx">
          <dgm:varLst>
            <dgm:chMax val="0"/>
            <dgm:chPref val="0"/>
            <dgm:bulletEnabled val="1"/>
          </dgm:varLst>
          <dgm:choose name="Name4">
            <dgm:if name="Name5" func="var" arg="dir" op="equ" val="norm">
              <dgm:alg type="tx">
                <dgm:param type="parTxLTRAlign" val="l"/>
                <dgm:param type="txAnchorVert" val="b"/>
                <dgm:param type="txAnchorVertCh" val="b"/>
                <dgm:param type="parTxRTLAlign" val="l"/>
              </dgm:alg>
            </dgm:if>
            <dgm:else name="Name6">
              <dgm:alg type="tx">
                <dgm:param type="parTxLTRAlign" val="r"/>
                <dgm:param type="shpTxLTRAlignCh" val="r"/>
                <dgm:param type="txAnchorVert" val="b"/>
                <dgm:param type="txAnchorVertCh" val="b"/>
                <dgm:param type="parTxRTLAlign" val="r"/>
              </dgm:alg>
            </dgm:else>
          </dgm:choose>
          <dgm:shape xmlns:r="http://schemas.openxmlformats.org/officeDocument/2006/relationships" type="rect" r:blip="">
            <dgm:adjLst/>
          </dgm:shape>
          <dgm:choose name="Name7">
            <dgm:if name="Name8" axis="ch" ptType="node" func="cnt" op="gte" val="1">
              <dgm:presOf axis="ch desOrSelf" ptType="node node" st="1 1" cnt="1 0"/>
            </dgm:if>
            <dgm:else name="Name9">
              <dgm:presOf/>
            </dgm:else>
          </dgm:choos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 styleLbl="alignNode1">
          <dgm:varLst>
            <dgm:chMax val="3"/>
            <dgm:chPref val="3"/>
            <dgm:bulletEnabled val="1"/>
          </dgm:varLst>
          <dgm:alg type="tx">
            <dgm:param type="shpTxLTRAlignCh" val="ctr"/>
            <dgm:param type="txAnchorVertCh" val="mid"/>
          </dgm:alg>
          <dgm:shape xmlns:r="http://schemas.openxmlformats.org/officeDocument/2006/relationships" type="round2SameRect" r:blip="">
            <dgm:adjLst>
              <dgm:adj idx="1" val="0.1667"/>
              <dgm:adj idx="2" val="0"/>
            </dgm:adjLst>
          </dgm:shape>
          <dgm:presOf axis="self" ptType="nod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Accent" styleLbl="parChTrans1D1">
          <dgm:alg type="sp"/>
          <dgm:shape xmlns:r="http://schemas.openxmlformats.org/officeDocument/2006/relationships" type="line" r:blip="" zOrderOff="-99999">
            <dgm:adjLst/>
          </dgm:shape>
          <dgm:presOf/>
        </dgm:layoutNode>
      </dgm:layoutNode>
      <dgm:choose name="Name10">
        <dgm:if name="Name11" axis="ch" ptType="node" st="2" cnt="1" func="cnt" op="gte" val="1">
          <dgm:layoutNode name="Child" styleLbl="revTx">
            <dgm:varLst>
              <dgm:chMax val="0"/>
              <dgm:chPref val="0"/>
              <dgm:bulletEnabled val="1"/>
            </dgm:varLst>
            <dgm:choose name="Name12">
              <dgm:if name="Name13" func="var" arg="dir" op="equ" val="norm">
                <dgm:alg type="tx">
                  <dgm:param type="stBulletLvl" val="1"/>
                  <dgm:param type="parTxLTRAlign" val="l"/>
                  <dgm:param type="parTxRTLAlign" val="l"/>
                  <dgm:param type="txAnchorVert" val="t"/>
                </dgm:alg>
              </dgm:if>
              <dgm:else name="Name14">
                <dgm:alg type="tx">
                  <dgm:param type="stBulletLvl" val="1"/>
                  <dgm:param type="parTxLTRAlign" val="r"/>
                  <dgm:param type="shpTxLTRAlignCh" val="r"/>
                  <dgm:param type="txAnchorVert" val="t"/>
                  <dgm:param type="parTxRTLAlign" val="r"/>
                </dgm:alg>
              </dgm:else>
            </dgm:choose>
            <dgm:shape xmlns:r="http://schemas.openxmlformats.org/officeDocument/2006/relationships" type="rect" r:blip="">
              <dgm:adjLst/>
            </dgm:shape>
            <dgm:presOf axis="ch desOrSelf" ptType="node node" st="2 1" cnt="0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if>
        <dgm:else name="Name15"/>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5649</Words>
  <Characters>32201</Characters>
  <Application>Microsoft Office Word</Application>
  <DocSecurity>0</DocSecurity>
  <Lines>268</Lines>
  <Paragraphs>75</Paragraphs>
  <ScaleCrop>false</ScaleCrop>
  <LinksUpToDate>false</LinksUpToDate>
  <CharactersWithSpaces>37775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2025-10-09T09:19:00Z</dcterms:created>
  <dcterms:modified xsi:type="dcterms:W3CDTF">2025-10-09T09:19:00Z</dcterms:modified>
</cp:coreProperties>
</file>