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3697821"/>
        <w:docPartObj>
          <w:docPartGallery w:val="Cover Pages"/>
          <w:docPartUnique/>
        </w:docPartObj>
      </w:sdtPr>
      <w:sdtEndPr>
        <w:rPr>
          <w:rFonts w:ascii="Arial" w:eastAsia="Arial" w:hAnsi="Arial" w:cs="Arial"/>
          <w:sz w:val="48"/>
        </w:rPr>
      </w:sdtEndPr>
      <w:sdtContent>
        <w:p w14:paraId="2E52E19D" w14:textId="6A9081AA" w:rsidR="00EE368D" w:rsidRDefault="008F2881">
          <w:r>
            <w:rPr>
              <w:noProof/>
            </w:rPr>
            <mc:AlternateContent>
              <mc:Choice Requires="wps">
                <w:drawing>
                  <wp:anchor distT="0" distB="0" distL="114300" distR="114300" simplePos="0" relativeHeight="251660288" behindDoc="0" locked="0" layoutInCell="1" allowOverlap="1" wp14:anchorId="669E3C9B" wp14:editId="2654E889">
                    <wp:simplePos x="0" y="0"/>
                    <wp:positionH relativeFrom="page">
                      <wp:posOffset>222250</wp:posOffset>
                    </wp:positionH>
                    <wp:positionV relativeFrom="page">
                      <wp:posOffset>863600</wp:posOffset>
                    </wp:positionV>
                    <wp:extent cx="7315200" cy="8855710"/>
                    <wp:effectExtent l="0" t="0" r="0" b="254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8855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D04A50" w14:textId="4A6CD3CF" w:rsidR="00EE368D" w:rsidRDefault="008F2881">
                                <w:r>
                                  <w:rPr>
                                    <w:noProof/>
                                  </w:rPr>
                                  <w:drawing>
                                    <wp:inline distT="0" distB="0" distL="0" distR="0" wp14:anchorId="4C068417" wp14:editId="1B901844">
                                      <wp:extent cx="2977415" cy="1066165"/>
                                      <wp:effectExtent l="0" t="0" r="0" b="635"/>
                                      <wp:docPr id="1527037396" name="Picture 1527037396"/>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3023424" cy="1082640"/>
                                              </a:xfrm>
                                              <a:prstGeom prst="rect">
                                                <a:avLst/>
                                              </a:prstGeom>
                                            </pic:spPr>
                                          </pic:pic>
                                        </a:graphicData>
                                      </a:graphic>
                                    </wp:inline>
                                  </w:drawing>
                                </w:r>
                              </w:p>
                              <w:p w14:paraId="75B2E5C8" w14:textId="77777777" w:rsidR="008F2881" w:rsidRDefault="008F2881" w:rsidP="008F2881">
                                <w:pPr>
                                  <w:spacing w:after="231" w:line="270" w:lineRule="auto"/>
                                  <w:ind w:left="-5"/>
                                </w:pPr>
                                <w:r>
                                  <w:rPr>
                                    <w:rFonts w:ascii="Arial" w:eastAsia="Arial" w:hAnsi="Arial" w:cs="Arial"/>
                                    <w:b/>
                                    <w:sz w:val="48"/>
                                  </w:rPr>
                                  <w:t xml:space="preserve">Module Name: </w:t>
                                </w:r>
                                <w:r>
                                  <w:rPr>
                                    <w:rFonts w:ascii="Arial" w:eastAsia="Arial" w:hAnsi="Arial" w:cs="Arial"/>
                                    <w:sz w:val="48"/>
                                  </w:rPr>
                                  <w:t xml:space="preserve">Developing Strategic Capability </w:t>
                                </w:r>
                              </w:p>
                              <w:p w14:paraId="6B261660" w14:textId="77777777" w:rsidR="008F2881" w:rsidRDefault="008F2881" w:rsidP="008F2881">
                                <w:pPr>
                                  <w:spacing w:after="244"/>
                                  <w:ind w:left="-5"/>
                                </w:pPr>
                                <w:r>
                                  <w:rPr>
                                    <w:rFonts w:ascii="Arial" w:eastAsia="Arial" w:hAnsi="Arial" w:cs="Arial"/>
                                    <w:b/>
                                    <w:sz w:val="48"/>
                                  </w:rPr>
                                  <w:t xml:space="preserve">Module Code:  </w:t>
                                </w:r>
                                <w:r>
                                  <w:rPr>
                                    <w:rFonts w:ascii="Arial" w:eastAsia="Arial" w:hAnsi="Arial" w:cs="Arial"/>
                                    <w:sz w:val="48"/>
                                  </w:rPr>
                                  <w:t>BMSW6011</w:t>
                                </w:r>
                                <w:r>
                                  <w:rPr>
                                    <w:rFonts w:ascii="Arial" w:eastAsia="Arial" w:hAnsi="Arial" w:cs="Arial"/>
                                    <w:b/>
                                    <w:sz w:val="48"/>
                                  </w:rPr>
                                  <w:t xml:space="preserve"> </w:t>
                                </w:r>
                              </w:p>
                              <w:p w14:paraId="2F35504B" w14:textId="36058AE8" w:rsidR="008F2881" w:rsidRDefault="008F2881" w:rsidP="008F2881">
                                <w:pPr>
                                  <w:spacing w:after="171" w:line="270" w:lineRule="auto"/>
                                </w:pPr>
                                <w:r>
                                  <w:rPr>
                                    <w:rFonts w:ascii="Arial" w:eastAsia="Arial" w:hAnsi="Arial" w:cs="Arial"/>
                                    <w:b/>
                                    <w:sz w:val="48"/>
                                  </w:rPr>
                                  <w:t xml:space="preserve">Assignment Title: </w:t>
                                </w:r>
                                <w:r>
                                  <w:rPr>
                                    <w:rFonts w:ascii="Arial" w:eastAsia="Arial" w:hAnsi="Arial" w:cs="Arial"/>
                                    <w:sz w:val="48"/>
                                  </w:rPr>
                                  <w:t>Strategic Evaluation of First Port Property Management</w:t>
                                </w:r>
                                <w:r w:rsidR="00DC0B7E">
                                  <w:rPr>
                                    <w:rFonts w:ascii="Arial" w:eastAsia="Arial" w:hAnsi="Arial" w:cs="Arial"/>
                                    <w:sz w:val="48"/>
                                  </w:rPr>
                                  <w:t xml:space="preserve"> Services</w:t>
                                </w:r>
                              </w:p>
                              <w:p w14:paraId="2B562AFC" w14:textId="77777777" w:rsidR="008F2881" w:rsidRDefault="008F2881" w:rsidP="008F2881">
                                <w:pPr>
                                  <w:spacing w:after="199"/>
                                  <w:ind w:left="-5"/>
                                  <w:rPr>
                                    <w:rFonts w:ascii="Arial" w:eastAsia="Arial" w:hAnsi="Arial" w:cs="Arial"/>
                                    <w:b/>
                                    <w:sz w:val="48"/>
                                  </w:rPr>
                                </w:pPr>
                                <w:r>
                                  <w:rPr>
                                    <w:rFonts w:ascii="Arial" w:eastAsia="Arial" w:hAnsi="Arial" w:cs="Arial"/>
                                    <w:b/>
                                    <w:sz w:val="48"/>
                                  </w:rPr>
                                  <w:t>Student Name: Violeta Alina Moros</w:t>
                                </w:r>
                              </w:p>
                              <w:p w14:paraId="23BBC1F1" w14:textId="77777777" w:rsidR="008F2881" w:rsidRDefault="008F2881" w:rsidP="008F2881">
                                <w:pPr>
                                  <w:spacing w:after="199"/>
                                  <w:ind w:left="-5"/>
                                </w:pPr>
                                <w:r>
                                  <w:rPr>
                                    <w:rFonts w:ascii="Arial" w:eastAsia="Arial" w:hAnsi="Arial" w:cs="Arial"/>
                                    <w:b/>
                                    <w:sz w:val="48"/>
                                  </w:rPr>
                                  <w:t>Student Number: 2219608</w:t>
                                </w:r>
                              </w:p>
                              <w:p w14:paraId="750BFD75" w14:textId="77777777" w:rsidR="008F2881" w:rsidRDefault="008F2881" w:rsidP="008F2881">
                                <w:pPr>
                                  <w:spacing w:after="35" w:line="270" w:lineRule="auto"/>
                                  <w:ind w:left="-5"/>
                                </w:pPr>
                                <w:r>
                                  <w:rPr>
                                    <w:rFonts w:ascii="Arial" w:eastAsia="Arial" w:hAnsi="Arial" w:cs="Arial"/>
                                    <w:b/>
                                    <w:sz w:val="48"/>
                                  </w:rPr>
                                  <w:t xml:space="preserve">Lecturer: </w:t>
                                </w:r>
                                <w:r>
                                  <w:rPr>
                                    <w:rFonts w:ascii="Arial" w:eastAsia="Arial" w:hAnsi="Arial" w:cs="Arial"/>
                                    <w:sz w:val="48"/>
                                  </w:rPr>
                                  <w:t>Scott James</w:t>
                                </w:r>
                                <w:r>
                                  <w:rPr>
                                    <w:rFonts w:ascii="Arial" w:eastAsia="Arial" w:hAnsi="Arial" w:cs="Arial"/>
                                    <w:b/>
                                    <w:sz w:val="48"/>
                                  </w:rPr>
                                  <w:t xml:space="preserve"> </w:t>
                                </w:r>
                              </w:p>
                              <w:p w14:paraId="68077992" w14:textId="77777777" w:rsidR="008F2881" w:rsidRDefault="008F2881" w:rsidP="008F2881"/>
                              <w:p w14:paraId="512E3BA4" w14:textId="77777777" w:rsidR="008F2881" w:rsidRDefault="008F2881"/>
                              <w:p w14:paraId="543E98B2" w14:textId="77777777" w:rsidR="008F2881" w:rsidRDefault="008F2881"/>
                              <w:p w14:paraId="44E2D925" w14:textId="77777777" w:rsidR="00643F0B" w:rsidRDefault="00643F0B" w:rsidP="00643F0B">
                                <w:pPr>
                                  <w:spacing w:after="134"/>
                                </w:pPr>
                                <w:r>
                                  <w:rPr>
                                    <w:rFonts w:ascii="Calibri" w:eastAsia="Calibri" w:hAnsi="Calibri" w:cs="Calibri"/>
                                    <w:b/>
                                    <w:sz w:val="29"/>
                                  </w:rPr>
                                  <w:t xml:space="preserve">AI Acknowledgement Statement: </w:t>
                                </w:r>
                              </w:p>
                              <w:p w14:paraId="4DB135A2" w14:textId="77777777" w:rsidR="00643F0B" w:rsidRDefault="00643F0B" w:rsidP="00643F0B">
                                <w:pPr>
                                  <w:ind w:left="-5" w:right="80"/>
                                </w:pPr>
                                <w:r>
                                  <w:t xml:space="preserve">I confirm that I have not presented any AI generated materials as my own work. </w:t>
                                </w:r>
                                <w:r>
                                  <w:rPr>
                                    <w:rFonts w:ascii="Calibri" w:eastAsia="Calibri" w:hAnsi="Calibri" w:cs="Calibri"/>
                                  </w:rPr>
                                  <w:t xml:space="preserve"> </w:t>
                                </w:r>
                              </w:p>
                              <w:p w14:paraId="226375D9" w14:textId="77777777" w:rsidR="00643F0B" w:rsidRDefault="00643F0B" w:rsidP="00643F0B">
                                <w:pPr>
                                  <w:spacing w:after="301" w:line="283" w:lineRule="auto"/>
                                  <w:ind w:left="-5" w:right="80"/>
                                </w:pPr>
                                <w:r>
                                  <w:t>I confirm that I have copies of my drafts, notes, and other resources I used, which I may be asked to provide in evidence.</w:t>
                                </w:r>
                                <w:r>
                                  <w:rPr>
                                    <w:rFonts w:ascii="Calibri" w:eastAsia="Calibri" w:hAnsi="Calibri" w:cs="Calibri"/>
                                  </w:rPr>
                                  <w:t xml:space="preserve"> </w:t>
                                </w:r>
                              </w:p>
                              <w:p w14:paraId="668E7785" w14:textId="77777777" w:rsidR="008F2881" w:rsidRDefault="008F2881"/>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69E3C9B" id="_x0000_t202" coordsize="21600,21600" o:spt="202" path="m,l,21600r21600,l21600,xe">
                    <v:stroke joinstyle="miter"/>
                    <v:path gradientshapeok="t" o:connecttype="rect"/>
                  </v:shapetype>
                  <v:shape id="Text Box 159" o:spid="_x0000_s1026" type="#_x0000_t202" style="position:absolute;margin-left:17.5pt;margin-top:68pt;width:8in;height:697.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" filled="f" stroked="f" strokeweight=".5pt">
                    <v:textbox inset="126pt,0,54pt,0">
                      <w:txbxContent>
                        <w:p w14:paraId="4ED04A50" w14:textId="4A6CD3CF" w:rsidR="00EE368D" w:rsidRDefault="008F2881">
                          <w:r>
                            <w:rPr>
                              <w:noProof/>
                            </w:rPr>
                            <w:drawing>
                              <wp:inline distT="0" distB="0" distL="0" distR="0" wp14:anchorId="4C068417" wp14:editId="1B901844">
                                <wp:extent cx="2977415" cy="1066165"/>
                                <wp:effectExtent l="0" t="0" r="0" b="635"/>
                                <wp:docPr id="1527037396" name="Picture 1527037396"/>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3023424" cy="1082640"/>
                                        </a:xfrm>
                                        <a:prstGeom prst="rect">
                                          <a:avLst/>
                                        </a:prstGeom>
                                      </pic:spPr>
                                    </pic:pic>
                                  </a:graphicData>
                                </a:graphic>
                              </wp:inline>
                            </w:drawing>
                          </w:r>
                        </w:p>
                        <w:p w14:paraId="75B2E5C8" w14:textId="77777777" w:rsidR="008F2881" w:rsidRDefault="008F2881" w:rsidP="008F2881">
                          <w:pPr>
                            <w:spacing w:after="231" w:line="270" w:lineRule="auto"/>
                            <w:ind w:left="-5"/>
                          </w:pPr>
                          <w:r>
                            <w:rPr>
                              <w:rFonts w:ascii="Arial" w:eastAsia="Arial" w:hAnsi="Arial" w:cs="Arial"/>
                              <w:b/>
                              <w:sz w:val="48"/>
                            </w:rPr>
                            <w:t xml:space="preserve">Module Name: </w:t>
                          </w:r>
                          <w:r>
                            <w:rPr>
                              <w:rFonts w:ascii="Arial" w:eastAsia="Arial" w:hAnsi="Arial" w:cs="Arial"/>
                              <w:sz w:val="48"/>
                            </w:rPr>
                            <w:t xml:space="preserve">Developing Strategic Capability </w:t>
                          </w:r>
                        </w:p>
                        <w:p w14:paraId="6B261660" w14:textId="77777777" w:rsidR="008F2881" w:rsidRDefault="008F2881" w:rsidP="008F2881">
                          <w:pPr>
                            <w:spacing w:after="244"/>
                            <w:ind w:left="-5"/>
                          </w:pPr>
                          <w:r>
                            <w:rPr>
                              <w:rFonts w:ascii="Arial" w:eastAsia="Arial" w:hAnsi="Arial" w:cs="Arial"/>
                              <w:b/>
                              <w:sz w:val="48"/>
                            </w:rPr>
                            <w:t xml:space="preserve">Module Code:  </w:t>
                          </w:r>
                          <w:r>
                            <w:rPr>
                              <w:rFonts w:ascii="Arial" w:eastAsia="Arial" w:hAnsi="Arial" w:cs="Arial"/>
                              <w:sz w:val="48"/>
                            </w:rPr>
                            <w:t>BMSW6011</w:t>
                          </w:r>
                          <w:r>
                            <w:rPr>
                              <w:rFonts w:ascii="Arial" w:eastAsia="Arial" w:hAnsi="Arial" w:cs="Arial"/>
                              <w:b/>
                              <w:sz w:val="48"/>
                            </w:rPr>
                            <w:t xml:space="preserve"> </w:t>
                          </w:r>
                        </w:p>
                        <w:p w14:paraId="2F35504B" w14:textId="36058AE8" w:rsidR="008F2881" w:rsidRDefault="008F2881" w:rsidP="008F2881">
                          <w:pPr>
                            <w:spacing w:after="171" w:line="270" w:lineRule="auto"/>
                          </w:pPr>
                          <w:r>
                            <w:rPr>
                              <w:rFonts w:ascii="Arial" w:eastAsia="Arial" w:hAnsi="Arial" w:cs="Arial"/>
                              <w:b/>
                              <w:sz w:val="48"/>
                            </w:rPr>
                            <w:t xml:space="preserve">Assignment Title: </w:t>
                          </w:r>
                          <w:r>
                            <w:rPr>
                              <w:rFonts w:ascii="Arial" w:eastAsia="Arial" w:hAnsi="Arial" w:cs="Arial"/>
                              <w:sz w:val="48"/>
                            </w:rPr>
                            <w:t>Strategic Evaluation of First Port Property Management</w:t>
                          </w:r>
                          <w:r w:rsidR="00DC0B7E">
                            <w:rPr>
                              <w:rFonts w:ascii="Arial" w:eastAsia="Arial" w:hAnsi="Arial" w:cs="Arial"/>
                              <w:sz w:val="48"/>
                            </w:rPr>
                            <w:t xml:space="preserve"> Services</w:t>
                          </w:r>
                        </w:p>
                        <w:p w14:paraId="2B562AFC" w14:textId="77777777" w:rsidR="008F2881" w:rsidRDefault="008F2881" w:rsidP="008F2881">
                          <w:pPr>
                            <w:spacing w:after="199"/>
                            <w:ind w:left="-5"/>
                            <w:rPr>
                              <w:rFonts w:ascii="Arial" w:eastAsia="Arial" w:hAnsi="Arial" w:cs="Arial"/>
                              <w:b/>
                              <w:sz w:val="48"/>
                            </w:rPr>
                          </w:pPr>
                          <w:r>
                            <w:rPr>
                              <w:rFonts w:ascii="Arial" w:eastAsia="Arial" w:hAnsi="Arial" w:cs="Arial"/>
                              <w:b/>
                              <w:sz w:val="48"/>
                            </w:rPr>
                            <w:t>Student Name: Violeta Alina Moros</w:t>
                          </w:r>
                        </w:p>
                        <w:p w14:paraId="23BBC1F1" w14:textId="77777777" w:rsidR="008F2881" w:rsidRDefault="008F2881" w:rsidP="008F2881">
                          <w:pPr>
                            <w:spacing w:after="199"/>
                            <w:ind w:left="-5"/>
                          </w:pPr>
                          <w:r>
                            <w:rPr>
                              <w:rFonts w:ascii="Arial" w:eastAsia="Arial" w:hAnsi="Arial" w:cs="Arial"/>
                              <w:b/>
                              <w:sz w:val="48"/>
                            </w:rPr>
                            <w:t>Student Number: 2219608</w:t>
                          </w:r>
                        </w:p>
                        <w:p w14:paraId="750BFD75" w14:textId="77777777" w:rsidR="008F2881" w:rsidRDefault="008F2881" w:rsidP="008F2881">
                          <w:pPr>
                            <w:spacing w:after="35" w:line="270" w:lineRule="auto"/>
                            <w:ind w:left="-5"/>
                          </w:pPr>
                          <w:r>
                            <w:rPr>
                              <w:rFonts w:ascii="Arial" w:eastAsia="Arial" w:hAnsi="Arial" w:cs="Arial"/>
                              <w:b/>
                              <w:sz w:val="48"/>
                            </w:rPr>
                            <w:t xml:space="preserve">Lecturer: </w:t>
                          </w:r>
                          <w:r>
                            <w:rPr>
                              <w:rFonts w:ascii="Arial" w:eastAsia="Arial" w:hAnsi="Arial" w:cs="Arial"/>
                              <w:sz w:val="48"/>
                            </w:rPr>
                            <w:t>Scott James</w:t>
                          </w:r>
                          <w:r>
                            <w:rPr>
                              <w:rFonts w:ascii="Arial" w:eastAsia="Arial" w:hAnsi="Arial" w:cs="Arial"/>
                              <w:b/>
                              <w:sz w:val="48"/>
                            </w:rPr>
                            <w:t xml:space="preserve"> </w:t>
                          </w:r>
                        </w:p>
                        <w:p w14:paraId="68077992" w14:textId="77777777" w:rsidR="008F2881" w:rsidRDefault="008F2881" w:rsidP="008F2881"/>
                        <w:p w14:paraId="512E3BA4" w14:textId="77777777" w:rsidR="008F2881" w:rsidRDefault="008F2881"/>
                        <w:p w14:paraId="543E98B2" w14:textId="77777777" w:rsidR="008F2881" w:rsidRDefault="008F2881"/>
                        <w:p w14:paraId="44E2D925" w14:textId="77777777" w:rsidR="00643F0B" w:rsidRDefault="00643F0B" w:rsidP="00643F0B">
                          <w:pPr>
                            <w:spacing w:after="134"/>
                          </w:pPr>
                          <w:r>
                            <w:rPr>
                              <w:rFonts w:ascii="Calibri" w:eastAsia="Calibri" w:hAnsi="Calibri" w:cs="Calibri"/>
                              <w:b/>
                              <w:sz w:val="29"/>
                            </w:rPr>
                            <w:t xml:space="preserve">AI Acknowledgement Statement: </w:t>
                          </w:r>
                        </w:p>
                        <w:p w14:paraId="4DB135A2" w14:textId="77777777" w:rsidR="00643F0B" w:rsidRDefault="00643F0B" w:rsidP="00643F0B">
                          <w:pPr>
                            <w:ind w:left="-5" w:right="80"/>
                          </w:pPr>
                          <w:r>
                            <w:t xml:space="preserve">I confirm that I have not presented any AI generated materials as my own work. </w:t>
                          </w:r>
                          <w:r>
                            <w:rPr>
                              <w:rFonts w:ascii="Calibri" w:eastAsia="Calibri" w:hAnsi="Calibri" w:cs="Calibri"/>
                            </w:rPr>
                            <w:t xml:space="preserve"> </w:t>
                          </w:r>
                        </w:p>
                        <w:p w14:paraId="226375D9" w14:textId="77777777" w:rsidR="00643F0B" w:rsidRDefault="00643F0B" w:rsidP="00643F0B">
                          <w:pPr>
                            <w:spacing w:after="301" w:line="283" w:lineRule="auto"/>
                            <w:ind w:left="-5" w:right="80"/>
                          </w:pPr>
                          <w:r>
                            <w:t>I confirm that I have copies of my drafts, notes, and other resources I used, which I may be asked to provide in evidence.</w:t>
                          </w:r>
                          <w:r>
                            <w:rPr>
                              <w:rFonts w:ascii="Calibri" w:eastAsia="Calibri" w:hAnsi="Calibri" w:cs="Calibri"/>
                            </w:rPr>
                            <w:t xml:space="preserve"> </w:t>
                          </w:r>
                        </w:p>
                        <w:p w14:paraId="668E7785" w14:textId="77777777" w:rsidR="008F2881" w:rsidRDefault="008F2881"/>
                      </w:txbxContent>
                    </v:textbox>
                    <w10:wrap type="square" anchorx="page" anchory="page"/>
                  </v:shape>
                </w:pict>
              </mc:Fallback>
            </mc:AlternateContent>
          </w:r>
          <w:r w:rsidR="00EE368D">
            <w:rPr>
              <w:noProof/>
            </w:rPr>
            <mc:AlternateContent>
              <mc:Choice Requires="wpg">
                <w:drawing>
                  <wp:anchor distT="0" distB="0" distL="114300" distR="114300" simplePos="0" relativeHeight="251662336" behindDoc="0" locked="0" layoutInCell="1" allowOverlap="1" wp14:anchorId="3CA60081" wp14:editId="476E1E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5AF88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EE368D">
            <w:rPr>
              <w:noProof/>
            </w:rPr>
            <mc:AlternateContent>
              <mc:Choice Requires="wps">
                <w:drawing>
                  <wp:anchor distT="0" distB="0" distL="114300" distR="114300" simplePos="0" relativeHeight="251661312" behindDoc="0" locked="0" layoutInCell="1" allowOverlap="1" wp14:anchorId="7FAE09EC" wp14:editId="58A8126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60F7B3" w14:textId="011C8F19" w:rsidR="00EE368D" w:rsidRDefault="00EE368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AE09EC"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60F7B3" w14:textId="011C8F19" w:rsidR="00EE368D" w:rsidRDefault="00EE368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EE368D">
            <w:rPr>
              <w:noProof/>
            </w:rPr>
            <mc:AlternateContent>
              <mc:Choice Requires="wps">
                <w:drawing>
                  <wp:anchor distT="0" distB="0" distL="114300" distR="114300" simplePos="0" relativeHeight="251659264" behindDoc="0" locked="0" layoutInCell="1" allowOverlap="1" wp14:anchorId="1DEBB6BA" wp14:editId="76CDB6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C52DF" w14:textId="6FB9DB48" w:rsidR="00EE368D" w:rsidRDefault="00EE368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EBB6BA"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BDC52DF" w14:textId="6FB9DB48" w:rsidR="00EE368D" w:rsidRDefault="00EE368D">
                          <w:pPr>
                            <w:jc w:val="right"/>
                            <w:rPr>
                              <w:smallCaps/>
                              <w:color w:val="404040" w:themeColor="text1" w:themeTint="BF"/>
                              <w:sz w:val="36"/>
                              <w:szCs w:val="36"/>
                            </w:rPr>
                          </w:pPr>
                        </w:p>
                      </w:txbxContent>
                    </v:textbox>
                    <w10:wrap type="square" anchorx="page" anchory="page"/>
                  </v:shape>
                </w:pict>
              </mc:Fallback>
            </mc:AlternateContent>
          </w:r>
        </w:p>
        <w:sdt>
          <w:sdtPr>
            <w:id w:val="-239789316"/>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E879AB3" w14:textId="6A8E86EE" w:rsidR="004D2B18" w:rsidRDefault="004D2B18">
              <w:pPr>
                <w:pStyle w:val="TOCHeading"/>
              </w:pPr>
              <w:r>
                <w:t>Table of Contents</w:t>
              </w:r>
            </w:p>
            <w:p w14:paraId="6346A5AF" w14:textId="17DF637E" w:rsidR="004D2B18" w:rsidRDefault="004A787D">
              <w:pPr>
                <w:pStyle w:val="TOC1"/>
              </w:pPr>
              <w:r w:rsidRPr="001430A6">
                <w:rPr>
                  <w:rFonts w:ascii="Times New Roman" w:hAnsi="Times New Roman"/>
                  <w:b/>
                  <w:bCs/>
                  <w:sz w:val="24"/>
                  <w:szCs w:val="24"/>
                </w:rPr>
                <w:t>1. Organisational Overview: FirstPort Property Services</w:t>
              </w:r>
              <w:r>
                <w:rPr>
                  <w:rFonts w:ascii="Times New Roman" w:hAnsi="Times New Roman"/>
                  <w:b/>
                  <w:bCs/>
                  <w:sz w:val="24"/>
                  <w:szCs w:val="24"/>
                </w:rPr>
                <w:t xml:space="preserve"> </w:t>
              </w:r>
              <w:r w:rsidR="004D2B18">
                <w:ptab w:relativeTo="margin" w:alignment="right" w:leader="dot"/>
              </w:r>
              <w:r w:rsidR="00767D60">
                <w:rPr>
                  <w:b/>
                  <w:bCs/>
                </w:rPr>
                <w:t>2</w:t>
              </w:r>
            </w:p>
            <w:p w14:paraId="284F10B4" w14:textId="13B81E24" w:rsidR="004D2B18" w:rsidRDefault="004A787D">
              <w:pPr>
                <w:pStyle w:val="TOC2"/>
                <w:ind w:left="216"/>
              </w:pPr>
              <w:r w:rsidRPr="001430A6">
                <w:rPr>
                  <w:rFonts w:ascii="Times New Roman" w:hAnsi="Times New Roman" w:cs="Times New Roman"/>
                  <w:b/>
                  <w:bCs/>
                  <w:sz w:val="24"/>
                  <w:szCs w:val="24"/>
                </w:rPr>
                <w:t>1.1 Organisation Background</w:t>
              </w:r>
              <w:r>
                <w:rPr>
                  <w:rFonts w:ascii="Times New Roman" w:hAnsi="Times New Roman"/>
                  <w:b/>
                  <w:bCs/>
                  <w:sz w:val="24"/>
                  <w:szCs w:val="24"/>
                </w:rPr>
                <w:t xml:space="preserve"> </w:t>
              </w:r>
              <w:r w:rsidR="004D2B18">
                <w:ptab w:relativeTo="margin" w:alignment="right" w:leader="dot"/>
              </w:r>
              <w:r w:rsidR="004D2B18">
                <w:t>2</w:t>
              </w:r>
            </w:p>
            <w:p w14:paraId="7C4092F8" w14:textId="2DF27BDF" w:rsidR="004D2B18" w:rsidRDefault="004A787D" w:rsidP="004A787D">
              <w:pPr>
                <w:pStyle w:val="TOC3"/>
                <w:ind w:left="0"/>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 xml:space="preserve">1.2 Products and </w:t>
              </w:r>
              <w:r>
                <w:rPr>
                  <w:rFonts w:ascii="Times New Roman" w:hAnsi="Times New Roman" w:cs="Times New Roman"/>
                  <w:b/>
                  <w:bCs/>
                  <w:sz w:val="24"/>
                  <w:szCs w:val="24"/>
                </w:rPr>
                <w:t xml:space="preserve">Services </w:t>
              </w:r>
              <w:r w:rsidR="004D2B18">
                <w:ptab w:relativeTo="margin" w:alignment="right" w:leader="dot"/>
              </w:r>
              <w:r w:rsidR="00767D60">
                <w:t>2</w:t>
              </w:r>
            </w:p>
            <w:p w14:paraId="55507DCB" w14:textId="4A86DF78" w:rsidR="004A787D" w:rsidRDefault="004A787D" w:rsidP="004A787D">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1.3 Markets and Geographic Scope</w:t>
              </w:r>
              <w:r>
                <w:rPr>
                  <w:rFonts w:ascii="Times New Roman" w:hAnsi="Times New Roman" w:cs="Times New Roman"/>
                  <w:b/>
                  <w:bCs/>
                  <w:sz w:val="24"/>
                  <w:szCs w:val="24"/>
                </w:rPr>
                <w:t>……………………………………………………….</w:t>
              </w:r>
              <w:r w:rsidR="00767D60">
                <w:rPr>
                  <w:rFonts w:ascii="Times New Roman" w:hAnsi="Times New Roman" w:cs="Times New Roman"/>
                  <w:b/>
                  <w:bCs/>
                  <w:sz w:val="24"/>
                  <w:szCs w:val="24"/>
                </w:rPr>
                <w:t>3</w:t>
              </w:r>
            </w:p>
            <w:p w14:paraId="54440180" w14:textId="3337E70B" w:rsidR="004A787D" w:rsidRDefault="0014045E" w:rsidP="0014045E">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1.4 Recent Strategic Developments</w:t>
              </w:r>
              <w:r>
                <w:rPr>
                  <w:rFonts w:ascii="Times New Roman" w:hAnsi="Times New Roman" w:cs="Times New Roman"/>
                  <w:b/>
                  <w:bCs/>
                  <w:sz w:val="24"/>
                  <w:szCs w:val="24"/>
                </w:rPr>
                <w:t>………………………………………………………..</w:t>
              </w:r>
              <w:r w:rsidR="00767D60">
                <w:rPr>
                  <w:rFonts w:ascii="Times New Roman" w:hAnsi="Times New Roman" w:cs="Times New Roman"/>
                  <w:b/>
                  <w:bCs/>
                  <w:sz w:val="24"/>
                  <w:szCs w:val="24"/>
                </w:rPr>
                <w:t>3</w:t>
              </w:r>
            </w:p>
            <w:p w14:paraId="777F03A0" w14:textId="6E6E7B6C" w:rsidR="0014045E" w:rsidRDefault="0014045E" w:rsidP="0014045E">
              <w:pPr>
                <w:jc w:val="both"/>
                <w:rPr>
                  <w:rFonts w:ascii="Times New Roman" w:hAnsi="Times New Roman" w:cs="Times New Roman"/>
                  <w:b/>
                  <w:bCs/>
                  <w:sz w:val="24"/>
                  <w:szCs w:val="24"/>
                </w:rPr>
              </w:pPr>
              <w:r w:rsidRPr="001430A6">
                <w:rPr>
                  <w:rFonts w:ascii="Times New Roman" w:hAnsi="Times New Roman" w:cs="Times New Roman"/>
                  <w:b/>
                  <w:bCs/>
                  <w:sz w:val="24"/>
                  <w:szCs w:val="24"/>
                </w:rPr>
                <w:t>2. External Environment and Stakeholders</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767D60">
                <w:rPr>
                  <w:rFonts w:ascii="Times New Roman" w:hAnsi="Times New Roman" w:cs="Times New Roman"/>
                  <w:b/>
                  <w:bCs/>
                  <w:sz w:val="24"/>
                  <w:szCs w:val="24"/>
                </w:rPr>
                <w:t>4</w:t>
              </w:r>
            </w:p>
            <w:p w14:paraId="73DC62C8" w14:textId="20CDFBEB" w:rsidR="0014045E" w:rsidRDefault="0014045E" w:rsidP="0014045E">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2.1 PESTLE Analysis</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767D60">
                <w:rPr>
                  <w:rFonts w:ascii="Times New Roman" w:hAnsi="Times New Roman" w:cs="Times New Roman"/>
                  <w:b/>
                  <w:bCs/>
                  <w:sz w:val="24"/>
                  <w:szCs w:val="24"/>
                </w:rPr>
                <w:t>4</w:t>
              </w:r>
            </w:p>
            <w:p w14:paraId="7156C3CA" w14:textId="6F3C5F3E" w:rsidR="00B96516" w:rsidRDefault="00B96516" w:rsidP="00B9651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2.2 Porter's Five Forces</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6861AE">
                <w:rPr>
                  <w:rFonts w:ascii="Times New Roman" w:hAnsi="Times New Roman" w:cs="Times New Roman"/>
                  <w:b/>
                  <w:bCs/>
                  <w:sz w:val="24"/>
                  <w:szCs w:val="24"/>
                </w:rPr>
                <w:t>5</w:t>
              </w:r>
            </w:p>
            <w:p w14:paraId="16300C07" w14:textId="75C348A0" w:rsidR="00B96516" w:rsidRDefault="00B96516" w:rsidP="00B9651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2.3 Stakeholder Analysis</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6861AE">
                <w:rPr>
                  <w:rFonts w:ascii="Times New Roman" w:hAnsi="Times New Roman" w:cs="Times New Roman"/>
                  <w:b/>
                  <w:bCs/>
                  <w:sz w:val="24"/>
                  <w:szCs w:val="24"/>
                </w:rPr>
                <w:t>7</w:t>
              </w:r>
            </w:p>
            <w:p w14:paraId="13F78DB6" w14:textId="5437C715" w:rsidR="00B96516" w:rsidRDefault="00B96516" w:rsidP="00B96516">
              <w:pPr>
                <w:jc w:val="both"/>
                <w:rPr>
                  <w:rFonts w:ascii="Times New Roman" w:hAnsi="Times New Roman" w:cs="Times New Roman"/>
                  <w:b/>
                  <w:bCs/>
                  <w:sz w:val="24"/>
                  <w:szCs w:val="24"/>
                </w:rPr>
              </w:pPr>
              <w:r w:rsidRPr="001430A6">
                <w:rPr>
                  <w:rFonts w:ascii="Times New Roman" w:hAnsi="Times New Roman" w:cs="Times New Roman"/>
                  <w:b/>
                  <w:bCs/>
                  <w:sz w:val="24"/>
                  <w:szCs w:val="24"/>
                </w:rPr>
                <w:t>3. Internal Strategic Capability Analysis</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6861AE">
                <w:rPr>
                  <w:rFonts w:ascii="Times New Roman" w:hAnsi="Times New Roman" w:cs="Times New Roman"/>
                  <w:b/>
                  <w:bCs/>
                  <w:sz w:val="24"/>
                  <w:szCs w:val="24"/>
                </w:rPr>
                <w:t>7,8</w:t>
              </w:r>
            </w:p>
            <w:p w14:paraId="59AD0F70" w14:textId="0CEF43C6" w:rsidR="00B96516" w:rsidRDefault="00B96516" w:rsidP="00B9651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3.1 Resource and Capability Analysis</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6861AE">
                <w:rPr>
                  <w:rFonts w:ascii="Times New Roman" w:hAnsi="Times New Roman" w:cs="Times New Roman"/>
                  <w:b/>
                  <w:bCs/>
                  <w:sz w:val="24"/>
                  <w:szCs w:val="24"/>
                </w:rPr>
                <w:t>7,8</w:t>
              </w:r>
            </w:p>
            <w:p w14:paraId="32DDBCA6" w14:textId="1237A4AF" w:rsidR="005F6E26" w:rsidRDefault="005F6E26" w:rsidP="005F6E2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3.2 VRIO Framework</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6861AE">
                <w:rPr>
                  <w:rFonts w:ascii="Times New Roman" w:hAnsi="Times New Roman" w:cs="Times New Roman"/>
                  <w:b/>
                  <w:bCs/>
                  <w:sz w:val="24"/>
                  <w:szCs w:val="24"/>
                </w:rPr>
                <w:t>9</w:t>
              </w:r>
            </w:p>
            <w:p w14:paraId="1AF903F7" w14:textId="585344D9" w:rsidR="005F6E26" w:rsidRDefault="005F6E26" w:rsidP="005F6E2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3.3 Strengths and Weaknesses</w:t>
              </w:r>
              <w:r>
                <w:rPr>
                  <w:rFonts w:ascii="Times New Roman" w:hAnsi="Times New Roman" w:cs="Times New Roman"/>
                  <w:b/>
                  <w:bCs/>
                  <w:sz w:val="24"/>
                  <w:szCs w:val="24"/>
                </w:rPr>
                <w:t>…………………………………………………</w:t>
              </w:r>
              <w:r w:rsidR="00105F7B">
                <w:rPr>
                  <w:rFonts w:ascii="Times New Roman" w:hAnsi="Times New Roman" w:cs="Times New Roman"/>
                  <w:b/>
                  <w:bCs/>
                  <w:sz w:val="24"/>
                  <w:szCs w:val="24"/>
                </w:rPr>
                <w:t>…..</w:t>
              </w:r>
              <w:r>
                <w:rPr>
                  <w:rFonts w:ascii="Times New Roman" w:hAnsi="Times New Roman" w:cs="Times New Roman"/>
                  <w:b/>
                  <w:bCs/>
                  <w:sz w:val="24"/>
                  <w:szCs w:val="24"/>
                </w:rPr>
                <w:t>……</w:t>
              </w:r>
              <w:r w:rsidR="00D169CA">
                <w:rPr>
                  <w:rFonts w:ascii="Times New Roman" w:hAnsi="Times New Roman" w:cs="Times New Roman"/>
                  <w:b/>
                  <w:bCs/>
                  <w:sz w:val="24"/>
                  <w:szCs w:val="24"/>
                </w:rPr>
                <w:t>10</w:t>
              </w:r>
            </w:p>
            <w:p w14:paraId="72841EC2" w14:textId="6B64313B" w:rsidR="005F6E26" w:rsidRPr="001430A6" w:rsidRDefault="005F6E26" w:rsidP="005F6E26">
              <w:pPr>
                <w:jc w:val="both"/>
                <w:rPr>
                  <w:rFonts w:ascii="Times New Roman" w:hAnsi="Times New Roman" w:cs="Times New Roman"/>
                  <w:b/>
                  <w:bCs/>
                  <w:sz w:val="24"/>
                  <w:szCs w:val="24"/>
                </w:rPr>
              </w:pPr>
              <w:r w:rsidRPr="001430A6">
                <w:rPr>
                  <w:rFonts w:ascii="Times New Roman" w:hAnsi="Times New Roman" w:cs="Times New Roman"/>
                  <w:b/>
                  <w:bCs/>
                  <w:sz w:val="24"/>
                  <w:szCs w:val="24"/>
                </w:rPr>
                <w:t>4. Strategy and Competitive Position</w:t>
              </w:r>
              <w:r>
                <w:rPr>
                  <w:rFonts w:ascii="Times New Roman" w:hAnsi="Times New Roman" w:cs="Times New Roman"/>
                  <w:b/>
                  <w:bCs/>
                  <w:sz w:val="24"/>
                  <w:szCs w:val="24"/>
                </w:rPr>
                <w:t>………………………………………………</w:t>
              </w:r>
              <w:r w:rsidR="00105F7B">
                <w:rPr>
                  <w:rFonts w:ascii="Times New Roman" w:hAnsi="Times New Roman" w:cs="Times New Roman"/>
                  <w:b/>
                  <w:bCs/>
                  <w:sz w:val="24"/>
                  <w:szCs w:val="24"/>
                </w:rPr>
                <w:t>….</w:t>
              </w:r>
              <w:r>
                <w:rPr>
                  <w:rFonts w:ascii="Times New Roman" w:hAnsi="Times New Roman" w:cs="Times New Roman"/>
                  <w:b/>
                  <w:bCs/>
                  <w:sz w:val="24"/>
                  <w:szCs w:val="24"/>
                </w:rPr>
                <w:t>……</w:t>
              </w:r>
              <w:r w:rsidR="00D169CA">
                <w:rPr>
                  <w:rFonts w:ascii="Times New Roman" w:hAnsi="Times New Roman" w:cs="Times New Roman"/>
                  <w:b/>
                  <w:bCs/>
                  <w:sz w:val="24"/>
                  <w:szCs w:val="24"/>
                </w:rPr>
                <w:t>11</w:t>
              </w:r>
            </w:p>
            <w:p w14:paraId="519CE3B3" w14:textId="3F7D087A" w:rsidR="005F6E26" w:rsidRDefault="005F6E26" w:rsidP="005F6E2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4.1 Current Strategic Approach</w:t>
              </w:r>
              <w:r>
                <w:rPr>
                  <w:rFonts w:ascii="Times New Roman" w:hAnsi="Times New Roman" w:cs="Times New Roman"/>
                  <w:b/>
                  <w:bCs/>
                  <w:sz w:val="24"/>
                  <w:szCs w:val="24"/>
                </w:rPr>
                <w:t>………………………………………………</w:t>
              </w:r>
              <w:r w:rsidR="00105F7B">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D169CA">
                <w:rPr>
                  <w:rFonts w:ascii="Times New Roman" w:hAnsi="Times New Roman" w:cs="Times New Roman"/>
                  <w:b/>
                  <w:bCs/>
                  <w:sz w:val="24"/>
                  <w:szCs w:val="24"/>
                </w:rPr>
                <w:t>.11</w:t>
              </w:r>
            </w:p>
            <w:p w14:paraId="0A2CA245" w14:textId="0CCF88A7" w:rsidR="005F6E26" w:rsidRDefault="005F6E26" w:rsidP="005F6E2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4.2 Competitive Position</w:t>
              </w:r>
              <w:r>
                <w:rPr>
                  <w:rFonts w:ascii="Times New Roman" w:hAnsi="Times New Roman" w:cs="Times New Roman"/>
                  <w:b/>
                  <w:bCs/>
                  <w:sz w:val="24"/>
                  <w:szCs w:val="24"/>
                </w:rPr>
                <w:t>……………………………………………………</w:t>
              </w:r>
              <w:r w:rsidR="00105F7B">
                <w:rPr>
                  <w:rFonts w:ascii="Times New Roman" w:hAnsi="Times New Roman" w:cs="Times New Roman"/>
                  <w:b/>
                  <w:bCs/>
                  <w:sz w:val="24"/>
                  <w:szCs w:val="24"/>
                </w:rPr>
                <w:t>...</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9D694C">
                <w:rPr>
                  <w:rFonts w:ascii="Times New Roman" w:hAnsi="Times New Roman" w:cs="Times New Roman"/>
                  <w:b/>
                  <w:bCs/>
                  <w:sz w:val="24"/>
                  <w:szCs w:val="24"/>
                </w:rPr>
                <w:t>.</w:t>
              </w:r>
              <w:r>
                <w:rPr>
                  <w:rFonts w:ascii="Times New Roman" w:hAnsi="Times New Roman" w:cs="Times New Roman"/>
                  <w:b/>
                  <w:bCs/>
                  <w:sz w:val="24"/>
                  <w:szCs w:val="24"/>
                </w:rPr>
                <w:t>…..</w:t>
              </w:r>
              <w:r w:rsidR="00D169CA">
                <w:rPr>
                  <w:rFonts w:ascii="Times New Roman" w:hAnsi="Times New Roman" w:cs="Times New Roman"/>
                  <w:b/>
                  <w:bCs/>
                  <w:sz w:val="24"/>
                  <w:szCs w:val="24"/>
                </w:rPr>
                <w:t>11</w:t>
              </w:r>
            </w:p>
            <w:p w14:paraId="45E4A3BE" w14:textId="0A2E31FE" w:rsidR="005F6E26" w:rsidRDefault="005F6E26" w:rsidP="005F6E2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4.3 Strategic Alignment or Drift</w:t>
              </w:r>
              <w:r>
                <w:rPr>
                  <w:rFonts w:ascii="Times New Roman" w:hAnsi="Times New Roman" w:cs="Times New Roman"/>
                  <w:b/>
                  <w:bCs/>
                  <w:sz w:val="24"/>
                  <w:szCs w:val="24"/>
                </w:rPr>
                <w:t>…………………………………………………</w:t>
              </w:r>
              <w:r w:rsidR="00105F7B">
                <w:rPr>
                  <w:rFonts w:ascii="Times New Roman" w:hAnsi="Times New Roman" w:cs="Times New Roman"/>
                  <w:b/>
                  <w:bCs/>
                  <w:sz w:val="24"/>
                  <w:szCs w:val="24"/>
                </w:rPr>
                <w:t>...</w:t>
              </w:r>
              <w:r>
                <w:rPr>
                  <w:rFonts w:ascii="Times New Roman" w:hAnsi="Times New Roman" w:cs="Times New Roman"/>
                  <w:b/>
                  <w:bCs/>
                  <w:sz w:val="24"/>
                  <w:szCs w:val="24"/>
                </w:rPr>
                <w:t>……</w:t>
              </w:r>
              <w:r w:rsidR="00D169CA">
                <w:rPr>
                  <w:rFonts w:ascii="Times New Roman" w:hAnsi="Times New Roman" w:cs="Times New Roman"/>
                  <w:b/>
                  <w:bCs/>
                  <w:sz w:val="24"/>
                  <w:szCs w:val="24"/>
                </w:rPr>
                <w:t>12</w:t>
              </w:r>
            </w:p>
            <w:p w14:paraId="4172AF50" w14:textId="4FE877A5" w:rsidR="005F6E26" w:rsidRDefault="005F6E26" w:rsidP="005F6E26">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1430A6">
                <w:rPr>
                  <w:rFonts w:ascii="Times New Roman" w:hAnsi="Times New Roman" w:cs="Times New Roman"/>
                  <w:b/>
                  <w:bCs/>
                  <w:sz w:val="24"/>
                  <w:szCs w:val="24"/>
                </w:rPr>
                <w:t>4.4 Risks and Limitations</w:t>
              </w:r>
              <w:r>
                <w:rPr>
                  <w:rFonts w:ascii="Times New Roman" w:hAnsi="Times New Roman" w:cs="Times New Roman"/>
                  <w:b/>
                  <w:bCs/>
                  <w:sz w:val="24"/>
                  <w:szCs w:val="24"/>
                </w:rPr>
                <w:t>……………………………………………………</w:t>
              </w:r>
              <w:r w:rsidR="00D169CA">
                <w:rPr>
                  <w:rFonts w:ascii="Times New Roman" w:hAnsi="Times New Roman" w:cs="Times New Roman"/>
                  <w:b/>
                  <w:bCs/>
                  <w:sz w:val="24"/>
                  <w:szCs w:val="24"/>
                </w:rPr>
                <w:t>..</w:t>
              </w:r>
              <w:r>
                <w:rPr>
                  <w:rFonts w:ascii="Times New Roman" w:hAnsi="Times New Roman" w:cs="Times New Roman"/>
                  <w:b/>
                  <w:bCs/>
                  <w:sz w:val="24"/>
                  <w:szCs w:val="24"/>
                </w:rPr>
                <w:t>…</w:t>
              </w:r>
              <w:r w:rsidR="00105F7B">
                <w:rPr>
                  <w:rFonts w:ascii="Times New Roman" w:hAnsi="Times New Roman" w:cs="Times New Roman"/>
                  <w:b/>
                  <w:bCs/>
                  <w:sz w:val="24"/>
                  <w:szCs w:val="24"/>
                </w:rPr>
                <w:t>...</w:t>
              </w:r>
              <w:r>
                <w:rPr>
                  <w:rFonts w:ascii="Times New Roman" w:hAnsi="Times New Roman" w:cs="Times New Roman"/>
                  <w:b/>
                  <w:bCs/>
                  <w:sz w:val="24"/>
                  <w:szCs w:val="24"/>
                </w:rPr>
                <w:t>……</w:t>
              </w:r>
              <w:r w:rsidR="00D169CA">
                <w:rPr>
                  <w:rFonts w:ascii="Times New Roman" w:hAnsi="Times New Roman" w:cs="Times New Roman"/>
                  <w:b/>
                  <w:bCs/>
                  <w:sz w:val="24"/>
                  <w:szCs w:val="24"/>
                </w:rPr>
                <w:t>12</w:t>
              </w:r>
            </w:p>
            <w:p w14:paraId="5008A216" w14:textId="0B0F0A5E" w:rsidR="005F6E26" w:rsidRPr="001430A6" w:rsidRDefault="005F6E26" w:rsidP="005F6E26">
              <w:pPr>
                <w:spacing w:before="100" w:beforeAutospacing="1" w:after="100" w:afterAutospacing="1" w:line="240" w:lineRule="auto"/>
                <w:jc w:val="both"/>
                <w:outlineLvl w:val="1"/>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5. Future Strategic Direction</w:t>
              </w:r>
              <w:r>
                <w:rPr>
                  <w:rFonts w:ascii="Times New Roman" w:eastAsia="Times New Roman" w:hAnsi="Times New Roman" w:cs="Times New Roman"/>
                  <w:b/>
                  <w:bCs/>
                  <w:kern w:val="0"/>
                  <w:sz w:val="24"/>
                  <w:szCs w:val="24"/>
                  <w:lang w:eastAsia="en-GB"/>
                  <w14:ligatures w14:val="none"/>
                </w:rPr>
                <w:t>…………………………………………………………</w:t>
              </w:r>
              <w:r w:rsidR="00105F7B">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w:t>
              </w:r>
              <w:r w:rsidR="009D694C">
                <w:rPr>
                  <w:rFonts w:ascii="Times New Roman" w:eastAsia="Times New Roman" w:hAnsi="Times New Roman" w:cs="Times New Roman"/>
                  <w:b/>
                  <w:bCs/>
                  <w:kern w:val="0"/>
                  <w:sz w:val="24"/>
                  <w:szCs w:val="24"/>
                  <w:lang w:eastAsia="en-GB"/>
                  <w14:ligatures w14:val="none"/>
                </w:rPr>
                <w:t>13</w:t>
              </w:r>
            </w:p>
            <w:p w14:paraId="34648553" w14:textId="02B0C8A8" w:rsidR="005F6E26" w:rsidRDefault="005F6E26" w:rsidP="005F6E26">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Pr="001430A6">
                <w:rPr>
                  <w:rFonts w:ascii="Times New Roman" w:eastAsia="Times New Roman" w:hAnsi="Times New Roman" w:cs="Times New Roman"/>
                  <w:b/>
                  <w:bCs/>
                  <w:kern w:val="0"/>
                  <w:sz w:val="24"/>
                  <w:szCs w:val="24"/>
                  <w:lang w:eastAsia="en-GB"/>
                  <w14:ligatures w14:val="none"/>
                </w:rPr>
                <w:t>5.1 Vision, Mission, and Values</w:t>
              </w:r>
              <w:r>
                <w:rPr>
                  <w:rFonts w:ascii="Times New Roman" w:eastAsia="Times New Roman" w:hAnsi="Times New Roman" w:cs="Times New Roman"/>
                  <w:b/>
                  <w:bCs/>
                  <w:kern w:val="0"/>
                  <w:sz w:val="24"/>
                  <w:szCs w:val="24"/>
                  <w:lang w:eastAsia="en-GB"/>
                  <w14:ligatures w14:val="none"/>
                </w:rPr>
                <w:t>……………………………………………………</w:t>
              </w:r>
              <w:r w:rsidR="00105F7B">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w:t>
              </w:r>
              <w:r w:rsidR="009D694C">
                <w:rPr>
                  <w:rFonts w:ascii="Times New Roman" w:eastAsia="Times New Roman" w:hAnsi="Times New Roman" w:cs="Times New Roman"/>
                  <w:b/>
                  <w:bCs/>
                  <w:kern w:val="0"/>
                  <w:sz w:val="24"/>
                  <w:szCs w:val="24"/>
                  <w:lang w:eastAsia="en-GB"/>
                  <w14:ligatures w14:val="none"/>
                </w:rPr>
                <w:t>13</w:t>
              </w:r>
            </w:p>
            <w:p w14:paraId="01786CB4" w14:textId="478411C3" w:rsidR="005F6E26" w:rsidRDefault="005F6E26" w:rsidP="005F6E26">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Pr="001430A6">
                <w:rPr>
                  <w:rFonts w:ascii="Times New Roman" w:eastAsia="Times New Roman" w:hAnsi="Times New Roman" w:cs="Times New Roman"/>
                  <w:b/>
                  <w:bCs/>
                  <w:kern w:val="0"/>
                  <w:sz w:val="24"/>
                  <w:szCs w:val="24"/>
                  <w:lang w:eastAsia="en-GB"/>
                  <w14:ligatures w14:val="none"/>
                </w:rPr>
                <w:t>5.2 Strategic Risks</w:t>
              </w:r>
              <w:r>
                <w:rPr>
                  <w:rFonts w:ascii="Times New Roman" w:eastAsia="Times New Roman" w:hAnsi="Times New Roman" w:cs="Times New Roman"/>
                  <w:b/>
                  <w:bCs/>
                  <w:kern w:val="0"/>
                  <w:sz w:val="24"/>
                  <w:szCs w:val="24"/>
                  <w:lang w:eastAsia="en-GB"/>
                  <w14:ligatures w14:val="none"/>
                </w:rPr>
                <w:t>…………………………………………………………………</w:t>
              </w:r>
              <w:r w:rsidR="00105F7B">
                <w:rPr>
                  <w:rFonts w:ascii="Times New Roman" w:eastAsia="Times New Roman" w:hAnsi="Times New Roman" w:cs="Times New Roman"/>
                  <w:b/>
                  <w:bCs/>
                  <w:kern w:val="0"/>
                  <w:sz w:val="24"/>
                  <w:szCs w:val="24"/>
                  <w:lang w:eastAsia="en-GB"/>
                  <w14:ligatures w14:val="none"/>
                </w:rPr>
                <w:t>...</w:t>
              </w:r>
              <w:r w:rsidR="009D694C">
                <w:rPr>
                  <w:rFonts w:ascii="Times New Roman" w:eastAsia="Times New Roman" w:hAnsi="Times New Roman" w:cs="Times New Roman"/>
                  <w:b/>
                  <w:bCs/>
                  <w:kern w:val="0"/>
                  <w:sz w:val="24"/>
                  <w:szCs w:val="24"/>
                  <w:lang w:eastAsia="en-GB"/>
                  <w14:ligatures w14:val="none"/>
                </w:rPr>
                <w:t>…..13</w:t>
              </w:r>
            </w:p>
            <w:p w14:paraId="5E92FB6F" w14:textId="5A65B57E" w:rsidR="005F6E26" w:rsidRDefault="005F6E26" w:rsidP="005F6E26">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Pr="001430A6">
                <w:rPr>
                  <w:rFonts w:ascii="Times New Roman" w:eastAsia="Times New Roman" w:hAnsi="Times New Roman" w:cs="Times New Roman"/>
                  <w:b/>
                  <w:bCs/>
                  <w:kern w:val="0"/>
                  <w:sz w:val="24"/>
                  <w:szCs w:val="24"/>
                  <w:lang w:eastAsia="en-GB"/>
                  <w14:ligatures w14:val="none"/>
                </w:rPr>
                <w:t>5.3 Strategic Options for the Future</w:t>
              </w:r>
              <w:r>
                <w:rPr>
                  <w:rFonts w:ascii="Times New Roman" w:eastAsia="Times New Roman" w:hAnsi="Times New Roman" w:cs="Times New Roman"/>
                  <w:b/>
                  <w:bCs/>
                  <w:kern w:val="0"/>
                  <w:sz w:val="24"/>
                  <w:szCs w:val="24"/>
                  <w:lang w:eastAsia="en-GB"/>
                  <w14:ligatures w14:val="none"/>
                </w:rPr>
                <w:t>……………………………………………</w:t>
              </w:r>
              <w:r w:rsidR="00105F7B">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w:t>
              </w:r>
              <w:r w:rsidR="009D694C">
                <w:rPr>
                  <w:rFonts w:ascii="Times New Roman" w:eastAsia="Times New Roman" w:hAnsi="Times New Roman" w:cs="Times New Roman"/>
                  <w:b/>
                  <w:bCs/>
                  <w:kern w:val="0"/>
                  <w:sz w:val="24"/>
                  <w:szCs w:val="24"/>
                  <w:lang w:eastAsia="en-GB"/>
                  <w14:ligatures w14:val="none"/>
                </w:rPr>
                <w:t>14</w:t>
              </w:r>
            </w:p>
            <w:p w14:paraId="60BD1496" w14:textId="3EC48FED" w:rsidR="005F6E26" w:rsidRDefault="005F6E26" w:rsidP="005F6E26">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6. Conclusion</w:t>
              </w:r>
              <w:r>
                <w:rPr>
                  <w:rFonts w:ascii="Times New Roman" w:eastAsia="Times New Roman" w:hAnsi="Times New Roman" w:cs="Times New Roman"/>
                  <w:b/>
                  <w:bCs/>
                  <w:kern w:val="0"/>
                  <w:sz w:val="24"/>
                  <w:szCs w:val="24"/>
                  <w:lang w:eastAsia="en-GB"/>
                  <w14:ligatures w14:val="none"/>
                </w:rPr>
                <w:t>………………………………………………………………………</w:t>
              </w:r>
              <w:r w:rsidR="00105F7B">
                <w:rPr>
                  <w:rFonts w:ascii="Times New Roman" w:eastAsia="Times New Roman" w:hAnsi="Times New Roman" w:cs="Times New Roman"/>
                  <w:b/>
                  <w:bCs/>
                  <w:kern w:val="0"/>
                  <w:sz w:val="24"/>
                  <w:szCs w:val="24"/>
                  <w:lang w:eastAsia="en-GB"/>
                  <w14:ligatures w14:val="none"/>
                </w:rPr>
                <w:t>…..</w:t>
              </w:r>
              <w:r w:rsidR="00294084">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w:t>
              </w:r>
              <w:r w:rsidR="009D694C">
                <w:rPr>
                  <w:rFonts w:ascii="Times New Roman" w:eastAsia="Times New Roman" w:hAnsi="Times New Roman" w:cs="Times New Roman"/>
                  <w:b/>
                  <w:bCs/>
                  <w:kern w:val="0"/>
                  <w:sz w:val="24"/>
                  <w:szCs w:val="24"/>
                  <w:lang w:eastAsia="en-GB"/>
                  <w14:ligatures w14:val="none"/>
                </w:rPr>
                <w:t>15</w:t>
              </w:r>
            </w:p>
            <w:p w14:paraId="44EA679F" w14:textId="091B3788" w:rsidR="004D2B18" w:rsidRPr="00767D60" w:rsidRDefault="005F6E26" w:rsidP="00767D60">
              <w:pPr>
                <w:jc w:val="both"/>
                <w:rPr>
                  <w:rFonts w:ascii="Times New Roman" w:hAnsi="Times New Roman" w:cs="Times New Roman"/>
                  <w:b/>
                  <w:bCs/>
                  <w:sz w:val="24"/>
                  <w:szCs w:val="24"/>
                </w:rPr>
              </w:pPr>
              <w:r>
                <w:rPr>
                  <w:rFonts w:ascii="Times New Roman" w:hAnsi="Times New Roman" w:cs="Times New Roman"/>
                  <w:b/>
                  <w:bCs/>
                  <w:sz w:val="24"/>
                  <w:szCs w:val="24"/>
                </w:rPr>
                <w:t xml:space="preserve">7. </w:t>
              </w:r>
              <w:r w:rsidRPr="00C06E05">
                <w:rPr>
                  <w:rFonts w:ascii="Times New Roman" w:hAnsi="Times New Roman" w:cs="Times New Roman"/>
                  <w:b/>
                  <w:bCs/>
                  <w:sz w:val="24"/>
                  <w:szCs w:val="24"/>
                </w:rPr>
                <w:t>References</w:t>
              </w:r>
              <w:r>
                <w:rPr>
                  <w:rFonts w:ascii="Times New Roman" w:hAnsi="Times New Roman" w:cs="Times New Roman"/>
                  <w:b/>
                  <w:bCs/>
                  <w:sz w:val="24"/>
                  <w:szCs w:val="24"/>
                </w:rPr>
                <w:t>…………………………………………………………………</w:t>
              </w:r>
              <w:r w:rsidR="00294084">
                <w:rPr>
                  <w:rFonts w:ascii="Times New Roman" w:hAnsi="Times New Roman" w:cs="Times New Roman"/>
                  <w:b/>
                  <w:bCs/>
                  <w:sz w:val="24"/>
                  <w:szCs w:val="24"/>
                </w:rPr>
                <w:t>...</w:t>
              </w:r>
              <w:r>
                <w:rPr>
                  <w:rFonts w:ascii="Times New Roman" w:hAnsi="Times New Roman" w:cs="Times New Roman"/>
                  <w:b/>
                  <w:bCs/>
                  <w:sz w:val="24"/>
                  <w:szCs w:val="24"/>
                </w:rPr>
                <w:t>……</w:t>
              </w:r>
              <w:r w:rsidR="00202ED0">
                <w:rPr>
                  <w:rFonts w:ascii="Times New Roman" w:hAnsi="Times New Roman" w:cs="Times New Roman"/>
                  <w:b/>
                  <w:bCs/>
                  <w:sz w:val="24"/>
                  <w:szCs w:val="24"/>
                </w:rPr>
                <w:t>...</w:t>
              </w:r>
              <w:r>
                <w:rPr>
                  <w:rFonts w:ascii="Times New Roman" w:hAnsi="Times New Roman" w:cs="Times New Roman"/>
                  <w:b/>
                  <w:bCs/>
                  <w:sz w:val="24"/>
                  <w:szCs w:val="24"/>
                </w:rPr>
                <w:t>…</w:t>
              </w:r>
              <w:r w:rsidR="00294084">
                <w:rPr>
                  <w:rFonts w:ascii="Times New Roman" w:hAnsi="Times New Roman" w:cs="Times New Roman"/>
                  <w:b/>
                  <w:bCs/>
                  <w:sz w:val="24"/>
                  <w:szCs w:val="24"/>
                </w:rPr>
                <w:t>16-1</w:t>
              </w:r>
              <w:r w:rsidR="00202ED0">
                <w:rPr>
                  <w:rFonts w:ascii="Times New Roman" w:hAnsi="Times New Roman" w:cs="Times New Roman"/>
                  <w:b/>
                  <w:bCs/>
                  <w:sz w:val="24"/>
                  <w:szCs w:val="24"/>
                </w:rPr>
                <w:t>9</w:t>
              </w:r>
            </w:p>
          </w:sdtContent>
        </w:sdt>
        <w:p w14:paraId="79C2F8BC" w14:textId="77777777" w:rsidR="000C5AAE" w:rsidRPr="006548CC" w:rsidRDefault="000C5AAE" w:rsidP="002C7C2E">
          <w:pPr>
            <w:jc w:val="both"/>
            <w:rPr>
              <w:rFonts w:ascii="Times New Roman" w:eastAsia="Arial" w:hAnsi="Times New Roman" w:cs="Times New Roman"/>
              <w:sz w:val="24"/>
              <w:szCs w:val="24"/>
            </w:rPr>
          </w:pPr>
        </w:p>
        <w:p w14:paraId="25517C49" w14:textId="77777777" w:rsidR="000C5AAE" w:rsidRDefault="000C5AAE" w:rsidP="002C7C2E">
          <w:pPr>
            <w:jc w:val="both"/>
            <w:rPr>
              <w:rFonts w:ascii="Arial" w:eastAsia="Arial" w:hAnsi="Arial" w:cs="Arial"/>
              <w:sz w:val="48"/>
            </w:rPr>
          </w:pPr>
        </w:p>
        <w:p w14:paraId="77FDBA96" w14:textId="3D8E860E" w:rsidR="00976E79" w:rsidRPr="00385EA2" w:rsidRDefault="00000000" w:rsidP="00385EA2">
          <w:pPr>
            <w:jc w:val="both"/>
            <w:rPr>
              <w:rFonts w:ascii="Arial" w:eastAsia="Arial" w:hAnsi="Arial" w:cs="Arial"/>
              <w:sz w:val="48"/>
            </w:rPr>
          </w:pPr>
        </w:p>
      </w:sdtContent>
    </w:sdt>
    <w:p w14:paraId="5BEC07BF" w14:textId="77777777" w:rsidR="00976E79" w:rsidRPr="001430A6" w:rsidRDefault="00976E79"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1. Organisational Overview: FirstPort Property Services</w:t>
      </w:r>
    </w:p>
    <w:p w14:paraId="08F222F3" w14:textId="77777777" w:rsidR="00976E79" w:rsidRPr="001430A6" w:rsidRDefault="00976E79"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1.1 Organisation Background</w:t>
      </w:r>
    </w:p>
    <w:p w14:paraId="488957C1" w14:textId="77777777" w:rsidR="003638FE" w:rsidRPr="001430A6" w:rsidRDefault="003638FE" w:rsidP="001430A6">
      <w:pPr>
        <w:jc w:val="both"/>
        <w:rPr>
          <w:rFonts w:ascii="Times New Roman" w:hAnsi="Times New Roman" w:cs="Times New Roman"/>
          <w:sz w:val="24"/>
          <w:szCs w:val="24"/>
        </w:rPr>
      </w:pPr>
    </w:p>
    <w:p w14:paraId="7E50DC5A" w14:textId="079940C8" w:rsidR="002C7C2E" w:rsidRPr="001430A6" w:rsidRDefault="002C7C2E"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FirstPort is the UK's leading residential property management </w:t>
      </w:r>
      <w:r w:rsidR="001F4665">
        <w:rPr>
          <w:rFonts w:ascii="Times New Roman" w:hAnsi="Times New Roman" w:cs="Times New Roman"/>
          <w:sz w:val="24"/>
          <w:szCs w:val="24"/>
        </w:rPr>
        <w:t>organisation</w:t>
      </w:r>
      <w:r w:rsidRPr="001430A6">
        <w:rPr>
          <w:rFonts w:ascii="Times New Roman" w:hAnsi="Times New Roman" w:cs="Times New Roman"/>
          <w:sz w:val="24"/>
          <w:szCs w:val="24"/>
        </w:rPr>
        <w:t>, managing developments nationwide for almost 40 years (FirstPort, 2026). The primary firm, FirstPort Property Services Limited, was created on October 3, 1986, as a private limited company in England (Companies House, n</w:t>
      </w:r>
      <w:r w:rsidR="00D82BAF">
        <w:rPr>
          <w:rFonts w:ascii="Times New Roman" w:hAnsi="Times New Roman" w:cs="Times New Roman"/>
          <w:sz w:val="24"/>
          <w:szCs w:val="24"/>
        </w:rPr>
        <w:t>.d.</w:t>
      </w:r>
      <w:r w:rsidRPr="001430A6">
        <w:rPr>
          <w:rFonts w:ascii="Times New Roman" w:hAnsi="Times New Roman" w:cs="Times New Roman"/>
          <w:sz w:val="24"/>
          <w:szCs w:val="24"/>
        </w:rPr>
        <w:t>). It manages real estate under SIC code 68320 (Management as a Fee or Contract Basis).</w:t>
      </w:r>
    </w:p>
    <w:p w14:paraId="1C52BB66" w14:textId="3AF84AB7" w:rsidR="00672A5E" w:rsidRPr="001430A6" w:rsidRDefault="00672A5E"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The UK's large and growing residential property management </w:t>
      </w:r>
      <w:r w:rsidR="00EB63EE">
        <w:rPr>
          <w:rFonts w:ascii="Times New Roman" w:hAnsi="Times New Roman" w:cs="Times New Roman"/>
          <w:sz w:val="24"/>
          <w:szCs w:val="24"/>
        </w:rPr>
        <w:t>industry</w:t>
      </w:r>
      <w:r w:rsidRPr="001430A6">
        <w:rPr>
          <w:rFonts w:ascii="Times New Roman" w:hAnsi="Times New Roman" w:cs="Times New Roman"/>
          <w:sz w:val="24"/>
          <w:szCs w:val="24"/>
        </w:rPr>
        <w:t xml:space="preserve"> is due to more leasehold and build-to-rent homes, changing building safety rules and more leaseholders needing professional help with their estates. The sector has been under a lot of regulatory scrutiny in the past few years, notably following the Grenfell Tower incident, which led to big changes in the Building Safety Act 2022.</w:t>
      </w:r>
    </w:p>
    <w:p w14:paraId="61C8CE12" w14:textId="2D1C46FB" w:rsidR="00175915" w:rsidRPr="001430A6" w:rsidRDefault="00175915"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FirstPort works with developers, investors, freeholders, and resident management businesses to provide services to leaseholders. They </w:t>
      </w:r>
      <w:r w:rsidR="00F64013">
        <w:rPr>
          <w:rFonts w:ascii="Times New Roman" w:hAnsi="Times New Roman" w:cs="Times New Roman"/>
          <w:sz w:val="24"/>
          <w:szCs w:val="24"/>
        </w:rPr>
        <w:t>manage</w:t>
      </w:r>
      <w:r w:rsidRPr="001430A6">
        <w:rPr>
          <w:rFonts w:ascii="Times New Roman" w:hAnsi="Times New Roman" w:cs="Times New Roman"/>
          <w:sz w:val="24"/>
          <w:szCs w:val="24"/>
        </w:rPr>
        <w:t xml:space="preserve"> and organise the general maintenance, health and safety r</w:t>
      </w:r>
      <w:r w:rsidR="00973E2A">
        <w:rPr>
          <w:rFonts w:ascii="Times New Roman" w:hAnsi="Times New Roman" w:cs="Times New Roman"/>
          <w:sz w:val="24"/>
          <w:szCs w:val="24"/>
        </w:rPr>
        <w:t>egulation</w:t>
      </w:r>
      <w:r w:rsidR="00430BE9">
        <w:rPr>
          <w:rFonts w:ascii="Times New Roman" w:hAnsi="Times New Roman" w:cs="Times New Roman"/>
          <w:sz w:val="24"/>
          <w:szCs w:val="24"/>
        </w:rPr>
        <w:t>s</w:t>
      </w:r>
      <w:r w:rsidRPr="001430A6">
        <w:rPr>
          <w:rFonts w:ascii="Times New Roman" w:hAnsi="Times New Roman" w:cs="Times New Roman"/>
          <w:sz w:val="24"/>
          <w:szCs w:val="24"/>
        </w:rPr>
        <w:t xml:space="preserve">, and financing for residential buildings in communal settings. Epiris, Equistone Partners Europe, and Knight Square are all private equity firms that have put money into the privately owned company </w:t>
      </w:r>
      <w:r w:rsidR="00430BE9">
        <w:rPr>
          <w:rFonts w:ascii="Times New Roman" w:hAnsi="Times New Roman" w:cs="Times New Roman"/>
          <w:sz w:val="24"/>
          <w:szCs w:val="24"/>
        </w:rPr>
        <w:t>(</w:t>
      </w:r>
      <w:r w:rsidRPr="001430A6">
        <w:rPr>
          <w:rFonts w:ascii="Times New Roman" w:hAnsi="Times New Roman" w:cs="Times New Roman"/>
          <w:sz w:val="24"/>
          <w:szCs w:val="24"/>
        </w:rPr>
        <w:t>Tracxn</w:t>
      </w:r>
      <w:r w:rsidR="00430BE9">
        <w:rPr>
          <w:rFonts w:ascii="Times New Roman" w:hAnsi="Times New Roman" w:cs="Times New Roman"/>
          <w:sz w:val="24"/>
          <w:szCs w:val="24"/>
        </w:rPr>
        <w:t>,</w:t>
      </w:r>
      <w:r w:rsidRPr="001430A6">
        <w:rPr>
          <w:rFonts w:ascii="Times New Roman" w:hAnsi="Times New Roman" w:cs="Times New Roman"/>
          <w:sz w:val="24"/>
          <w:szCs w:val="24"/>
        </w:rPr>
        <w:t xml:space="preserve"> n</w:t>
      </w:r>
      <w:r w:rsidR="00430BE9">
        <w:rPr>
          <w:rFonts w:ascii="Times New Roman" w:hAnsi="Times New Roman" w:cs="Times New Roman"/>
          <w:sz w:val="24"/>
          <w:szCs w:val="24"/>
        </w:rPr>
        <w:t>.d.</w:t>
      </w:r>
      <w:r w:rsidRPr="001430A6">
        <w:rPr>
          <w:rFonts w:ascii="Times New Roman" w:hAnsi="Times New Roman" w:cs="Times New Roman"/>
          <w:sz w:val="24"/>
          <w:szCs w:val="24"/>
        </w:rPr>
        <w:t>). Most recently, Equistone sold its investment in Fund VI to Emeria, a top European company that helps people buy and sell homes (Qurated, n</w:t>
      </w:r>
      <w:r w:rsidR="006060AD">
        <w:rPr>
          <w:rFonts w:ascii="Times New Roman" w:hAnsi="Times New Roman" w:cs="Times New Roman"/>
          <w:sz w:val="24"/>
          <w:szCs w:val="24"/>
        </w:rPr>
        <w:t>.d.</w:t>
      </w:r>
      <w:r w:rsidRPr="001430A6">
        <w:rPr>
          <w:rFonts w:ascii="Times New Roman" w:hAnsi="Times New Roman" w:cs="Times New Roman"/>
          <w:sz w:val="24"/>
          <w:szCs w:val="24"/>
        </w:rPr>
        <w:t>).</w:t>
      </w:r>
    </w:p>
    <w:p w14:paraId="5C656455" w14:textId="77777777" w:rsidR="000C22F1" w:rsidRPr="001430A6" w:rsidRDefault="000C22F1" w:rsidP="001430A6">
      <w:pPr>
        <w:jc w:val="both"/>
        <w:rPr>
          <w:rFonts w:ascii="Times New Roman" w:hAnsi="Times New Roman" w:cs="Times New Roman"/>
          <w:sz w:val="24"/>
          <w:szCs w:val="24"/>
        </w:rPr>
      </w:pPr>
    </w:p>
    <w:p w14:paraId="07FE07BB" w14:textId="77777777" w:rsidR="000C22F1" w:rsidRDefault="000C22F1"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1.2 Products and Services</w:t>
      </w:r>
    </w:p>
    <w:p w14:paraId="6623CAAD" w14:textId="77777777" w:rsidR="00EE70D2" w:rsidRPr="001430A6" w:rsidRDefault="00EE70D2" w:rsidP="001430A6">
      <w:pPr>
        <w:jc w:val="both"/>
        <w:rPr>
          <w:rFonts w:ascii="Times New Roman" w:hAnsi="Times New Roman" w:cs="Times New Roman"/>
          <w:b/>
          <w:bCs/>
          <w:sz w:val="24"/>
          <w:szCs w:val="24"/>
        </w:rPr>
      </w:pPr>
    </w:p>
    <w:p w14:paraId="6A38A175" w14:textId="367F3194" w:rsidR="00D47B2C" w:rsidRPr="001430A6" w:rsidRDefault="00D47B2C"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FirstPort offers a lot of different services, such </w:t>
      </w:r>
      <w:r w:rsidR="00F16A13">
        <w:rPr>
          <w:rFonts w:ascii="Times New Roman" w:hAnsi="Times New Roman" w:cs="Times New Roman"/>
          <w:sz w:val="24"/>
          <w:szCs w:val="24"/>
        </w:rPr>
        <w:t xml:space="preserve">as </w:t>
      </w:r>
      <w:r w:rsidRPr="001430A6">
        <w:rPr>
          <w:rFonts w:ascii="Times New Roman" w:hAnsi="Times New Roman" w:cs="Times New Roman"/>
          <w:sz w:val="24"/>
          <w:szCs w:val="24"/>
        </w:rPr>
        <w:t>building technologies with communication and security systems, insurance services, specialist retirement property management, and property management and rental (FirstPort, n</w:t>
      </w:r>
      <w:r w:rsidR="00F16A13">
        <w:rPr>
          <w:rFonts w:ascii="Times New Roman" w:hAnsi="Times New Roman" w:cs="Times New Roman"/>
          <w:sz w:val="24"/>
          <w:szCs w:val="24"/>
        </w:rPr>
        <w:t>.d.</w:t>
      </w:r>
      <w:r w:rsidRPr="001430A6">
        <w:rPr>
          <w:rFonts w:ascii="Times New Roman" w:hAnsi="Times New Roman" w:cs="Times New Roman"/>
          <w:sz w:val="24"/>
          <w:szCs w:val="24"/>
        </w:rPr>
        <w:t>). The company works with national and regional developers, investors, freeholders, and over 1,700 Right to Manage and Resident Management Companies to help clients find the best solutions for their developments while making sure that residents feel safe and happy in their homes.</w:t>
      </w:r>
    </w:p>
    <w:p w14:paraId="08348EE3" w14:textId="5A7860A5" w:rsidR="00701B60" w:rsidRPr="001430A6" w:rsidRDefault="00701B60" w:rsidP="001430A6">
      <w:pPr>
        <w:jc w:val="both"/>
        <w:rPr>
          <w:rFonts w:ascii="Times New Roman" w:hAnsi="Times New Roman" w:cs="Times New Roman"/>
          <w:sz w:val="24"/>
          <w:szCs w:val="24"/>
        </w:rPr>
      </w:pPr>
      <w:r w:rsidRPr="001430A6">
        <w:rPr>
          <w:rFonts w:ascii="Times New Roman" w:hAnsi="Times New Roman" w:cs="Times New Roman"/>
          <w:sz w:val="24"/>
          <w:szCs w:val="24"/>
        </w:rPr>
        <w:t>The upkeep of community spaces and vital infrastructure, financial management of service fees, adherence to health and safety regulations, and connection with residents are core service functions. The corporation has many income sources throughout the property lifespan, including</w:t>
      </w:r>
      <w:r w:rsidR="00D4783D">
        <w:rPr>
          <w:rFonts w:ascii="Times New Roman" w:hAnsi="Times New Roman" w:cs="Times New Roman"/>
          <w:sz w:val="24"/>
          <w:szCs w:val="24"/>
        </w:rPr>
        <w:t xml:space="preserve"> </w:t>
      </w:r>
      <w:r w:rsidRPr="001430A6">
        <w:rPr>
          <w:rFonts w:ascii="Times New Roman" w:hAnsi="Times New Roman" w:cs="Times New Roman"/>
          <w:sz w:val="24"/>
          <w:szCs w:val="24"/>
        </w:rPr>
        <w:t>additional revenue streams</w:t>
      </w:r>
      <w:r w:rsidR="00CF7867">
        <w:rPr>
          <w:rFonts w:ascii="Times New Roman" w:hAnsi="Times New Roman" w:cs="Times New Roman"/>
          <w:sz w:val="24"/>
          <w:szCs w:val="24"/>
        </w:rPr>
        <w:t>, such as</w:t>
      </w:r>
      <w:r w:rsidRPr="001430A6">
        <w:rPr>
          <w:rFonts w:ascii="Times New Roman" w:hAnsi="Times New Roman" w:cs="Times New Roman"/>
          <w:sz w:val="24"/>
          <w:szCs w:val="24"/>
        </w:rPr>
        <w:t xml:space="preserve"> insurance products, real estate investor services, and leasing services (First Property Group plc, 2024).</w:t>
      </w:r>
    </w:p>
    <w:p w14:paraId="25C45FAF" w14:textId="77777777" w:rsidR="005E3E2C" w:rsidRPr="001430A6" w:rsidRDefault="005E3E2C" w:rsidP="001430A6">
      <w:pPr>
        <w:jc w:val="both"/>
        <w:rPr>
          <w:rFonts w:ascii="Times New Roman" w:hAnsi="Times New Roman" w:cs="Times New Roman"/>
          <w:sz w:val="24"/>
          <w:szCs w:val="24"/>
        </w:rPr>
      </w:pPr>
    </w:p>
    <w:p w14:paraId="42844AF4" w14:textId="77777777" w:rsidR="005E3E2C" w:rsidRPr="001430A6" w:rsidRDefault="005E3E2C" w:rsidP="001430A6">
      <w:pPr>
        <w:jc w:val="both"/>
        <w:rPr>
          <w:rFonts w:ascii="Times New Roman" w:hAnsi="Times New Roman" w:cs="Times New Roman"/>
          <w:sz w:val="24"/>
          <w:szCs w:val="24"/>
        </w:rPr>
      </w:pPr>
    </w:p>
    <w:p w14:paraId="6D295286" w14:textId="77777777" w:rsidR="005E3E2C" w:rsidRPr="001430A6" w:rsidRDefault="005E3E2C" w:rsidP="001430A6">
      <w:pPr>
        <w:jc w:val="both"/>
        <w:rPr>
          <w:rFonts w:ascii="Times New Roman" w:hAnsi="Times New Roman" w:cs="Times New Roman"/>
          <w:sz w:val="24"/>
          <w:szCs w:val="24"/>
        </w:rPr>
      </w:pPr>
    </w:p>
    <w:p w14:paraId="44944A95" w14:textId="77777777" w:rsidR="000C22F1" w:rsidRPr="001430A6" w:rsidRDefault="000C22F1" w:rsidP="001430A6">
      <w:pPr>
        <w:jc w:val="both"/>
        <w:rPr>
          <w:rFonts w:ascii="Times New Roman" w:hAnsi="Times New Roman" w:cs="Times New Roman"/>
          <w:sz w:val="24"/>
          <w:szCs w:val="24"/>
        </w:rPr>
      </w:pPr>
    </w:p>
    <w:p w14:paraId="20F4857E" w14:textId="77777777" w:rsidR="00A9101C" w:rsidRPr="001430A6" w:rsidRDefault="00A9101C"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1.3 Markets and Geographic Scope</w:t>
      </w:r>
    </w:p>
    <w:p w14:paraId="65B70AE7" w14:textId="77777777" w:rsidR="00FE0A85" w:rsidRPr="001430A6" w:rsidRDefault="00FE0A85" w:rsidP="001430A6">
      <w:pPr>
        <w:jc w:val="both"/>
        <w:rPr>
          <w:rFonts w:ascii="Times New Roman" w:hAnsi="Times New Roman" w:cs="Times New Roman"/>
          <w:b/>
          <w:bCs/>
          <w:sz w:val="24"/>
          <w:szCs w:val="24"/>
        </w:rPr>
      </w:pPr>
    </w:p>
    <w:p w14:paraId="1743794D" w14:textId="3FF15425" w:rsidR="00FE0A85" w:rsidRPr="001430A6" w:rsidRDefault="00FE0A85"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FirstPort runs around 310,000 residences in England, Wales, and Scotland throughout more than 5,600 complexes (FirstPort, n.d.). Managed property types include flat complexes, residential estates, independent retirement communities, </w:t>
      </w:r>
      <w:r w:rsidR="00B47174" w:rsidRPr="001430A6">
        <w:rPr>
          <w:rFonts w:ascii="Times New Roman" w:hAnsi="Times New Roman" w:cs="Times New Roman"/>
          <w:sz w:val="24"/>
          <w:szCs w:val="24"/>
        </w:rPr>
        <w:t>big</w:t>
      </w:r>
      <w:r w:rsidRPr="001430A6">
        <w:rPr>
          <w:rFonts w:ascii="Times New Roman" w:hAnsi="Times New Roman" w:cs="Times New Roman"/>
          <w:sz w:val="24"/>
          <w:szCs w:val="24"/>
        </w:rPr>
        <w:t xml:space="preserve"> and </w:t>
      </w:r>
      <w:r w:rsidR="00B47174" w:rsidRPr="001430A6">
        <w:rPr>
          <w:rFonts w:ascii="Times New Roman" w:hAnsi="Times New Roman" w:cs="Times New Roman"/>
          <w:sz w:val="24"/>
          <w:szCs w:val="24"/>
        </w:rPr>
        <w:t>complex</w:t>
      </w:r>
      <w:r w:rsidRPr="001430A6">
        <w:rPr>
          <w:rFonts w:ascii="Times New Roman" w:hAnsi="Times New Roman" w:cs="Times New Roman"/>
          <w:sz w:val="24"/>
          <w:szCs w:val="24"/>
        </w:rPr>
        <w:t xml:space="preserve"> mixed-use developments, build-to-rent communities, and high-end apartments. The company solely does business in the UK, making it a leader in the domestic market rather than an international or global enterprise.</w:t>
      </w:r>
    </w:p>
    <w:p w14:paraId="35B3B2CE" w14:textId="77777777" w:rsidR="00B47174" w:rsidRPr="001430A6" w:rsidRDefault="00B47174" w:rsidP="001430A6">
      <w:pPr>
        <w:jc w:val="both"/>
        <w:rPr>
          <w:rFonts w:ascii="Times New Roman" w:hAnsi="Times New Roman" w:cs="Times New Roman"/>
          <w:sz w:val="24"/>
          <w:szCs w:val="24"/>
        </w:rPr>
      </w:pPr>
    </w:p>
    <w:p w14:paraId="63802277" w14:textId="77777777" w:rsidR="00C5349F" w:rsidRPr="001430A6" w:rsidRDefault="00C5349F" w:rsidP="001430A6">
      <w:pPr>
        <w:jc w:val="both"/>
        <w:rPr>
          <w:rFonts w:ascii="Times New Roman" w:hAnsi="Times New Roman" w:cs="Times New Roman"/>
          <w:sz w:val="24"/>
          <w:szCs w:val="24"/>
        </w:rPr>
      </w:pPr>
      <w:r w:rsidRPr="001430A6">
        <w:rPr>
          <w:rFonts w:ascii="Times New Roman" w:hAnsi="Times New Roman" w:cs="Times New Roman"/>
          <w:sz w:val="24"/>
          <w:szCs w:val="24"/>
        </w:rPr>
        <w:t>Individual leaseholders, resident management companies, major home builders, institutional investors, and freeholders are among the client categories. FirstPort competes with companies like LSL, Countrywide Limited, and VPS Holdings in the competitive UK property management business, but its size and broad portfolio set it apart as the leading player in the residential sector.</w:t>
      </w:r>
    </w:p>
    <w:p w14:paraId="19637DD3" w14:textId="77777777" w:rsidR="00B47174" w:rsidRPr="001430A6" w:rsidRDefault="00B47174" w:rsidP="001430A6">
      <w:pPr>
        <w:jc w:val="both"/>
        <w:rPr>
          <w:rFonts w:ascii="Times New Roman" w:hAnsi="Times New Roman" w:cs="Times New Roman"/>
          <w:sz w:val="24"/>
          <w:szCs w:val="24"/>
        </w:rPr>
      </w:pPr>
    </w:p>
    <w:p w14:paraId="78619F57" w14:textId="77777777" w:rsidR="00A9698D" w:rsidRPr="001430A6" w:rsidRDefault="00A9698D"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1.4 Recent Strategic Developments</w:t>
      </w:r>
    </w:p>
    <w:p w14:paraId="6027F7FD" w14:textId="77777777" w:rsidR="00A9698D" w:rsidRPr="001430A6" w:rsidRDefault="00A9698D" w:rsidP="001430A6">
      <w:pPr>
        <w:jc w:val="both"/>
        <w:rPr>
          <w:rFonts w:ascii="Times New Roman" w:hAnsi="Times New Roman" w:cs="Times New Roman"/>
          <w:sz w:val="24"/>
          <w:szCs w:val="24"/>
        </w:rPr>
      </w:pPr>
    </w:p>
    <w:p w14:paraId="434EFDED" w14:textId="13085116" w:rsidR="003B4590" w:rsidRPr="001430A6" w:rsidRDefault="003B4590"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FirstPort's latest strategy efforts have been mostly about changing ownership and going digital. Equistone Partners Europe helped FirstPort </w:t>
      </w:r>
      <w:r w:rsidR="006A6294" w:rsidRPr="001430A6">
        <w:rPr>
          <w:rFonts w:ascii="Times New Roman" w:hAnsi="Times New Roman" w:cs="Times New Roman"/>
          <w:sz w:val="24"/>
          <w:szCs w:val="24"/>
        </w:rPr>
        <w:t>transition to a digitally driven</w:t>
      </w:r>
      <w:r w:rsidRPr="001430A6">
        <w:rPr>
          <w:rFonts w:ascii="Times New Roman" w:hAnsi="Times New Roman" w:cs="Times New Roman"/>
          <w:sz w:val="24"/>
          <w:szCs w:val="24"/>
        </w:rPr>
        <w:t xml:space="preserve"> business model. They did this by making it easier to create and carry out a top-notch digital transformation project that improved operating efficiency and customer satisfaction (Qurated, n</w:t>
      </w:r>
      <w:r w:rsidR="00E337D8">
        <w:rPr>
          <w:rFonts w:ascii="Times New Roman" w:hAnsi="Times New Roman" w:cs="Times New Roman"/>
          <w:sz w:val="24"/>
          <w:szCs w:val="24"/>
        </w:rPr>
        <w:t>.d.</w:t>
      </w:r>
      <w:r w:rsidRPr="001430A6">
        <w:rPr>
          <w:rFonts w:ascii="Times New Roman" w:hAnsi="Times New Roman" w:cs="Times New Roman"/>
          <w:sz w:val="24"/>
          <w:szCs w:val="24"/>
        </w:rPr>
        <w:t>).</w:t>
      </w:r>
    </w:p>
    <w:p w14:paraId="04E0F6E6" w14:textId="6FADCBE0" w:rsidR="004A6DDF" w:rsidRPr="004A6DDF" w:rsidRDefault="004A6DDF" w:rsidP="001430A6">
      <w:pPr>
        <w:jc w:val="both"/>
        <w:rPr>
          <w:rFonts w:ascii="Times New Roman" w:hAnsi="Times New Roman" w:cs="Times New Roman"/>
          <w:sz w:val="24"/>
          <w:szCs w:val="24"/>
        </w:rPr>
      </w:pPr>
      <w:r w:rsidRPr="004A6DDF">
        <w:rPr>
          <w:rFonts w:ascii="Times New Roman" w:hAnsi="Times New Roman" w:cs="Times New Roman"/>
          <w:sz w:val="24"/>
          <w:szCs w:val="24"/>
        </w:rPr>
        <w:t xml:space="preserve">An AI-driven smart buildings platform that monitors boiler plants and lift mechanics is a key new idea. This makes it simpler to see patterns and anomalies that anticipate equipment failure. After the pilot program was successful, the platform was employed in other projects to make them more affordable, open, and pleasurable for </w:t>
      </w:r>
      <w:r w:rsidR="008D62C2">
        <w:rPr>
          <w:rFonts w:ascii="Times New Roman" w:hAnsi="Times New Roman" w:cs="Times New Roman"/>
          <w:sz w:val="24"/>
          <w:szCs w:val="24"/>
        </w:rPr>
        <w:t>residents</w:t>
      </w:r>
      <w:r w:rsidRPr="004A6DDF">
        <w:rPr>
          <w:rFonts w:ascii="Times New Roman" w:hAnsi="Times New Roman" w:cs="Times New Roman"/>
          <w:sz w:val="24"/>
          <w:szCs w:val="24"/>
        </w:rPr>
        <w:t xml:space="preserve"> (First Property Group plc, 2025).</w:t>
      </w:r>
    </w:p>
    <w:p w14:paraId="2A1C1713" w14:textId="77777777" w:rsidR="006A6294" w:rsidRPr="001430A6" w:rsidRDefault="006A6294" w:rsidP="001430A6">
      <w:pPr>
        <w:jc w:val="both"/>
        <w:rPr>
          <w:rFonts w:ascii="Times New Roman" w:hAnsi="Times New Roman" w:cs="Times New Roman"/>
          <w:sz w:val="24"/>
          <w:szCs w:val="24"/>
        </w:rPr>
      </w:pPr>
    </w:p>
    <w:p w14:paraId="6B9ED2FD" w14:textId="473160D8" w:rsidR="00E14001" w:rsidRDefault="00E14001" w:rsidP="001430A6">
      <w:pPr>
        <w:jc w:val="both"/>
        <w:rPr>
          <w:rFonts w:ascii="Times New Roman" w:hAnsi="Times New Roman" w:cs="Times New Roman"/>
          <w:sz w:val="24"/>
          <w:szCs w:val="24"/>
        </w:rPr>
      </w:pPr>
      <w:r w:rsidRPr="00E14001">
        <w:rPr>
          <w:rFonts w:ascii="Times New Roman" w:hAnsi="Times New Roman" w:cs="Times New Roman"/>
          <w:sz w:val="24"/>
          <w:szCs w:val="24"/>
        </w:rPr>
        <w:t>FirstPort signed up over 1,000 individuals after replacing their old system with an end-to-end CRM system that includes marketing, sales, support, and customer platforms. Emeria Europe's takeover is the biggest ownership shift in years. Whitton &amp; Laing's January 2024 purchase maintained the group's ten-year consolidation strategy</w:t>
      </w:r>
      <w:r w:rsidR="00B62473">
        <w:rPr>
          <w:rFonts w:ascii="Times New Roman" w:hAnsi="Times New Roman" w:cs="Times New Roman"/>
          <w:sz w:val="24"/>
          <w:szCs w:val="24"/>
        </w:rPr>
        <w:t xml:space="preserve"> </w:t>
      </w:r>
      <w:r w:rsidR="00B62473" w:rsidRPr="00E14001">
        <w:rPr>
          <w:rFonts w:ascii="Times New Roman" w:hAnsi="Times New Roman" w:cs="Times New Roman"/>
          <w:sz w:val="24"/>
          <w:szCs w:val="24"/>
        </w:rPr>
        <w:t>(Tracxn, n</w:t>
      </w:r>
      <w:r w:rsidR="00B62473">
        <w:rPr>
          <w:rFonts w:ascii="Times New Roman" w:hAnsi="Times New Roman" w:cs="Times New Roman"/>
          <w:sz w:val="24"/>
          <w:szCs w:val="24"/>
        </w:rPr>
        <w:t>.d.</w:t>
      </w:r>
      <w:r w:rsidR="00B62473" w:rsidRPr="00E14001">
        <w:rPr>
          <w:rFonts w:ascii="Times New Roman" w:hAnsi="Times New Roman" w:cs="Times New Roman"/>
          <w:sz w:val="24"/>
          <w:szCs w:val="24"/>
        </w:rPr>
        <w:t>)</w:t>
      </w:r>
      <w:r w:rsidRPr="00E14001">
        <w:rPr>
          <w:rFonts w:ascii="Times New Roman" w:hAnsi="Times New Roman" w:cs="Times New Roman"/>
          <w:sz w:val="24"/>
          <w:szCs w:val="24"/>
        </w:rPr>
        <w:t>. Previous financial reports (First Property Group plc, 2009) indicate how this growth has altered.</w:t>
      </w:r>
    </w:p>
    <w:p w14:paraId="51675E02" w14:textId="77777777" w:rsidR="001430A6" w:rsidRDefault="001430A6" w:rsidP="001430A6">
      <w:pPr>
        <w:jc w:val="both"/>
        <w:rPr>
          <w:rFonts w:ascii="Times New Roman" w:hAnsi="Times New Roman" w:cs="Times New Roman"/>
          <w:sz w:val="24"/>
          <w:szCs w:val="24"/>
        </w:rPr>
      </w:pPr>
    </w:p>
    <w:p w14:paraId="3DA67929" w14:textId="77777777" w:rsidR="001430A6" w:rsidRDefault="001430A6" w:rsidP="001430A6">
      <w:pPr>
        <w:jc w:val="both"/>
        <w:rPr>
          <w:rFonts w:ascii="Times New Roman" w:hAnsi="Times New Roman" w:cs="Times New Roman"/>
          <w:sz w:val="24"/>
          <w:szCs w:val="24"/>
        </w:rPr>
      </w:pPr>
    </w:p>
    <w:p w14:paraId="1BC7644D" w14:textId="77777777" w:rsidR="001430A6" w:rsidRDefault="001430A6" w:rsidP="001430A6">
      <w:pPr>
        <w:jc w:val="both"/>
        <w:rPr>
          <w:rFonts w:ascii="Times New Roman" w:hAnsi="Times New Roman" w:cs="Times New Roman"/>
          <w:sz w:val="24"/>
          <w:szCs w:val="24"/>
        </w:rPr>
      </w:pPr>
    </w:p>
    <w:p w14:paraId="153B61A7" w14:textId="77777777" w:rsidR="001430A6" w:rsidRDefault="001430A6" w:rsidP="001430A6">
      <w:pPr>
        <w:jc w:val="both"/>
        <w:rPr>
          <w:rFonts w:ascii="Times New Roman" w:hAnsi="Times New Roman" w:cs="Times New Roman"/>
          <w:sz w:val="24"/>
          <w:szCs w:val="24"/>
        </w:rPr>
      </w:pPr>
    </w:p>
    <w:p w14:paraId="17DE3A83" w14:textId="77777777" w:rsidR="006C2E5E" w:rsidRPr="00E14001" w:rsidRDefault="006C2E5E" w:rsidP="001430A6">
      <w:pPr>
        <w:jc w:val="both"/>
        <w:rPr>
          <w:rFonts w:ascii="Times New Roman" w:hAnsi="Times New Roman" w:cs="Times New Roman"/>
          <w:sz w:val="24"/>
          <w:szCs w:val="24"/>
        </w:rPr>
      </w:pPr>
    </w:p>
    <w:p w14:paraId="6C6B92A5" w14:textId="5617A497" w:rsidR="00E14E3E" w:rsidRPr="001430A6" w:rsidRDefault="00E14E3E" w:rsidP="001430A6">
      <w:pPr>
        <w:jc w:val="both"/>
        <w:rPr>
          <w:rFonts w:ascii="Times New Roman" w:hAnsi="Times New Roman" w:cs="Times New Roman"/>
          <w:b/>
          <w:bCs/>
          <w:sz w:val="24"/>
          <w:szCs w:val="24"/>
        </w:rPr>
      </w:pPr>
    </w:p>
    <w:p w14:paraId="75E5A977" w14:textId="54399419" w:rsidR="00E14E3E" w:rsidRPr="001430A6" w:rsidRDefault="00E14E3E"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2. External Environment and Stakeholders</w:t>
      </w:r>
    </w:p>
    <w:p w14:paraId="06A33F3B" w14:textId="77777777" w:rsidR="00E14E3E" w:rsidRPr="001430A6" w:rsidRDefault="00E14E3E"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2.1 PESTLE Analysis</w:t>
      </w:r>
    </w:p>
    <w:p w14:paraId="5644773F" w14:textId="77777777" w:rsidR="009808C5" w:rsidRPr="001430A6" w:rsidRDefault="009808C5" w:rsidP="001430A6">
      <w:pPr>
        <w:jc w:val="both"/>
        <w:rPr>
          <w:rFonts w:ascii="Times New Roman" w:hAnsi="Times New Roman" w:cs="Times New Roman"/>
          <w:b/>
          <w:bCs/>
          <w:sz w:val="24"/>
          <w:szCs w:val="24"/>
        </w:rPr>
      </w:pPr>
    </w:p>
    <w:p w14:paraId="73251C07" w14:textId="1AE8F661" w:rsidR="00895BEA" w:rsidRPr="001430A6" w:rsidRDefault="00895BEA" w:rsidP="001430A6">
      <w:pPr>
        <w:jc w:val="both"/>
        <w:rPr>
          <w:rFonts w:ascii="Times New Roman" w:hAnsi="Times New Roman" w:cs="Times New Roman"/>
          <w:sz w:val="24"/>
          <w:szCs w:val="24"/>
        </w:rPr>
      </w:pPr>
      <w:r w:rsidRPr="001430A6">
        <w:rPr>
          <w:rFonts w:ascii="Times New Roman" w:hAnsi="Times New Roman" w:cs="Times New Roman"/>
          <w:sz w:val="24"/>
          <w:szCs w:val="24"/>
        </w:rPr>
        <w:t>The PESTLE framework provides a structured approach for evaluating the macro-environmental elements that affect an organi</w:t>
      </w:r>
      <w:r w:rsidR="0028706E">
        <w:rPr>
          <w:rFonts w:ascii="Times New Roman" w:hAnsi="Times New Roman" w:cs="Times New Roman"/>
          <w:sz w:val="24"/>
          <w:szCs w:val="24"/>
        </w:rPr>
        <w:t>s</w:t>
      </w:r>
      <w:r w:rsidRPr="001430A6">
        <w:rPr>
          <w:rFonts w:ascii="Times New Roman" w:hAnsi="Times New Roman" w:cs="Times New Roman"/>
          <w:sz w:val="24"/>
          <w:szCs w:val="24"/>
        </w:rPr>
        <w:t xml:space="preserve">ation (Marmol, Feys, and Probert, 2016). This is especially important when looking at industries that are going through big changes in the law and technology, </w:t>
      </w:r>
      <w:r w:rsidR="0028706E">
        <w:rPr>
          <w:rFonts w:ascii="Times New Roman" w:hAnsi="Times New Roman" w:cs="Times New Roman"/>
          <w:sz w:val="24"/>
          <w:szCs w:val="24"/>
        </w:rPr>
        <w:t xml:space="preserve">such </w:t>
      </w:r>
      <w:r w:rsidRPr="001430A6">
        <w:rPr>
          <w:rFonts w:ascii="Times New Roman" w:hAnsi="Times New Roman" w:cs="Times New Roman"/>
          <w:sz w:val="24"/>
          <w:szCs w:val="24"/>
        </w:rPr>
        <w:t xml:space="preserve">as UK residential property management </w:t>
      </w:r>
      <w:r w:rsidR="00342706" w:rsidRPr="00342706">
        <w:rPr>
          <w:rFonts w:ascii="Times New Roman" w:hAnsi="Times New Roman" w:cs="Times New Roman"/>
          <w:sz w:val="24"/>
          <w:szCs w:val="24"/>
        </w:rPr>
        <w:t>(Gond and Spicer, 2021)</w:t>
      </w:r>
      <w:r w:rsidRPr="001430A6">
        <w:rPr>
          <w:rFonts w:ascii="Times New Roman" w:hAnsi="Times New Roman" w:cs="Times New Roman"/>
          <w:sz w:val="24"/>
          <w:szCs w:val="24"/>
        </w:rPr>
        <w:t>.</w:t>
      </w:r>
    </w:p>
    <w:p w14:paraId="08F91A0C" w14:textId="77777777" w:rsidR="00E37E0A" w:rsidRPr="001430A6" w:rsidRDefault="00E37E0A" w:rsidP="001430A6">
      <w:pPr>
        <w:jc w:val="both"/>
        <w:rPr>
          <w:rFonts w:ascii="Times New Roman" w:hAnsi="Times New Roman" w:cs="Times New Roman"/>
          <w:sz w:val="24"/>
          <w:szCs w:val="24"/>
        </w:rPr>
      </w:pPr>
    </w:p>
    <w:p w14:paraId="05408D4A" w14:textId="77777777" w:rsidR="005D1CCC" w:rsidRPr="001430A6" w:rsidRDefault="005D1CCC"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Political</w:t>
      </w:r>
    </w:p>
    <w:p w14:paraId="720F3985" w14:textId="77777777" w:rsidR="00E37E0A" w:rsidRPr="001430A6" w:rsidRDefault="00E37E0A" w:rsidP="001430A6">
      <w:pPr>
        <w:jc w:val="both"/>
        <w:rPr>
          <w:rFonts w:ascii="Times New Roman" w:hAnsi="Times New Roman" w:cs="Times New Roman"/>
          <w:b/>
          <w:bCs/>
          <w:sz w:val="24"/>
          <w:szCs w:val="24"/>
        </w:rPr>
      </w:pPr>
    </w:p>
    <w:p w14:paraId="15A38224" w14:textId="1368C0F8" w:rsidR="00E37E0A" w:rsidRPr="001430A6" w:rsidRDefault="004A61E1" w:rsidP="001430A6">
      <w:pPr>
        <w:jc w:val="both"/>
        <w:rPr>
          <w:rFonts w:ascii="Times New Roman" w:hAnsi="Times New Roman" w:cs="Times New Roman"/>
          <w:sz w:val="24"/>
          <w:szCs w:val="24"/>
        </w:rPr>
      </w:pPr>
      <w:r w:rsidRPr="004A61E1">
        <w:rPr>
          <w:rFonts w:ascii="Times New Roman" w:hAnsi="Times New Roman" w:cs="Times New Roman"/>
          <w:sz w:val="24"/>
          <w:szCs w:val="24"/>
        </w:rPr>
        <w:t>The UK political atmosphere has tremendously impacted property management. The Leasehold and Freehold Reform Act received royal assent in May 2024. The greatest leaseholder rights reform in decades. Managing uncontrolled ground rents, removing forfeiture as a law enforcement tool, and implementing Law Commission enfranchisement and Right to Manage proposals are further improvements (Homes Partnership, 2025</w:t>
      </w:r>
      <w:r w:rsidR="002F3D1C">
        <w:rPr>
          <w:rFonts w:ascii="Times New Roman" w:hAnsi="Times New Roman" w:cs="Times New Roman"/>
          <w:sz w:val="24"/>
          <w:szCs w:val="24"/>
        </w:rPr>
        <w:t>)</w:t>
      </w:r>
      <w:r w:rsidR="002E6441">
        <w:rPr>
          <w:rFonts w:ascii="Times New Roman" w:hAnsi="Times New Roman" w:cs="Times New Roman"/>
          <w:sz w:val="24"/>
          <w:szCs w:val="24"/>
        </w:rPr>
        <w:t>.</w:t>
      </w:r>
      <w:r w:rsidRPr="004A61E1">
        <w:rPr>
          <w:rFonts w:ascii="Times New Roman" w:hAnsi="Times New Roman" w:cs="Times New Roman"/>
          <w:sz w:val="24"/>
          <w:szCs w:val="24"/>
        </w:rPr>
        <w:t xml:space="preserve"> FirstPort faces threats and benefits from these shifts. Leaseholders may boost Right to Manage applications, reducing freeholder-appointed management. This may increase demand for competent operators who can fulfil new criteria.</w:t>
      </w:r>
    </w:p>
    <w:p w14:paraId="2B4E98D2" w14:textId="77777777" w:rsidR="00E37E0A" w:rsidRPr="001430A6" w:rsidRDefault="00E37E0A" w:rsidP="001430A6">
      <w:pPr>
        <w:jc w:val="both"/>
        <w:rPr>
          <w:rFonts w:ascii="Times New Roman" w:hAnsi="Times New Roman" w:cs="Times New Roman"/>
          <w:sz w:val="24"/>
          <w:szCs w:val="24"/>
        </w:rPr>
      </w:pPr>
    </w:p>
    <w:p w14:paraId="121352BC" w14:textId="77777777" w:rsidR="00CE1144" w:rsidRDefault="00CE1144"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Economic</w:t>
      </w:r>
    </w:p>
    <w:p w14:paraId="5170761A" w14:textId="77777777" w:rsidR="006075A4" w:rsidRPr="001430A6" w:rsidRDefault="006075A4" w:rsidP="001430A6">
      <w:pPr>
        <w:jc w:val="both"/>
        <w:rPr>
          <w:rFonts w:ascii="Times New Roman" w:hAnsi="Times New Roman" w:cs="Times New Roman"/>
          <w:sz w:val="24"/>
          <w:szCs w:val="24"/>
        </w:rPr>
      </w:pPr>
    </w:p>
    <w:p w14:paraId="5CC77EF6" w14:textId="62B65F2C" w:rsidR="00A35A5A" w:rsidRPr="00A35A5A" w:rsidRDefault="00A35A5A" w:rsidP="001430A6">
      <w:pPr>
        <w:jc w:val="both"/>
        <w:rPr>
          <w:rFonts w:ascii="Times New Roman" w:hAnsi="Times New Roman" w:cs="Times New Roman"/>
          <w:sz w:val="24"/>
          <w:szCs w:val="24"/>
        </w:rPr>
      </w:pPr>
      <w:r w:rsidRPr="00A35A5A">
        <w:rPr>
          <w:rFonts w:ascii="Times New Roman" w:hAnsi="Times New Roman" w:cs="Times New Roman"/>
          <w:sz w:val="24"/>
          <w:szCs w:val="24"/>
        </w:rPr>
        <w:t>High rental prices and build-to-rent expansion benefited property management firms in 2024–</w:t>
      </w:r>
      <w:r w:rsidR="00AB48B0">
        <w:rPr>
          <w:rFonts w:ascii="Times New Roman" w:hAnsi="Times New Roman" w:cs="Times New Roman"/>
          <w:sz w:val="24"/>
          <w:szCs w:val="24"/>
        </w:rPr>
        <w:t>20</w:t>
      </w:r>
      <w:r w:rsidRPr="00A35A5A">
        <w:rPr>
          <w:rFonts w:ascii="Times New Roman" w:hAnsi="Times New Roman" w:cs="Times New Roman"/>
          <w:sz w:val="24"/>
          <w:szCs w:val="24"/>
        </w:rPr>
        <w:t>25 (IBISWorld, 2025). Insurance and contractor rates have risen due to inflation, reducing profitability and driving businesses to enhance operations. Interest rates should drop to 3.5–4% by 202</w:t>
      </w:r>
      <w:r w:rsidR="008C74A7">
        <w:rPr>
          <w:rFonts w:ascii="Times New Roman" w:hAnsi="Times New Roman" w:cs="Times New Roman"/>
          <w:sz w:val="24"/>
          <w:szCs w:val="24"/>
        </w:rPr>
        <w:t>7</w:t>
      </w:r>
      <w:r w:rsidRPr="00A35A5A">
        <w:rPr>
          <w:rFonts w:ascii="Times New Roman" w:hAnsi="Times New Roman" w:cs="Times New Roman"/>
          <w:sz w:val="24"/>
          <w:szCs w:val="24"/>
        </w:rPr>
        <w:t>. This lowers housing prices and boosts market activity (Wonderful, 2021). When the housing market rebounds, more houses are built. Increasing the number of projects needing competent management would help FirstPort grow (Datamonitor Plc, n</w:t>
      </w:r>
      <w:r w:rsidR="008C74A7">
        <w:rPr>
          <w:rFonts w:ascii="Times New Roman" w:hAnsi="Times New Roman" w:cs="Times New Roman"/>
          <w:sz w:val="24"/>
          <w:szCs w:val="24"/>
        </w:rPr>
        <w:t>.d.</w:t>
      </w:r>
      <w:r w:rsidRPr="00A35A5A">
        <w:rPr>
          <w:rFonts w:ascii="Times New Roman" w:hAnsi="Times New Roman" w:cs="Times New Roman"/>
          <w:sz w:val="24"/>
          <w:szCs w:val="24"/>
        </w:rPr>
        <w:t>).</w:t>
      </w:r>
    </w:p>
    <w:p w14:paraId="41FFEC26" w14:textId="77777777" w:rsidR="00CE1144" w:rsidRPr="001430A6" w:rsidRDefault="00CE1144" w:rsidP="001430A6">
      <w:pPr>
        <w:jc w:val="both"/>
        <w:rPr>
          <w:rFonts w:ascii="Times New Roman" w:hAnsi="Times New Roman" w:cs="Times New Roman"/>
          <w:sz w:val="24"/>
          <w:szCs w:val="24"/>
        </w:rPr>
      </w:pPr>
    </w:p>
    <w:p w14:paraId="369EBDA8" w14:textId="77777777" w:rsidR="006C7604" w:rsidRPr="001430A6" w:rsidRDefault="006C7604" w:rsidP="001430A6">
      <w:pPr>
        <w:jc w:val="both"/>
        <w:rPr>
          <w:rFonts w:ascii="Times New Roman" w:hAnsi="Times New Roman" w:cs="Times New Roman"/>
          <w:sz w:val="24"/>
          <w:szCs w:val="24"/>
        </w:rPr>
      </w:pPr>
      <w:r w:rsidRPr="001430A6">
        <w:rPr>
          <w:rFonts w:ascii="Times New Roman" w:hAnsi="Times New Roman" w:cs="Times New Roman"/>
          <w:b/>
          <w:bCs/>
          <w:sz w:val="24"/>
          <w:szCs w:val="24"/>
        </w:rPr>
        <w:t>Social</w:t>
      </w:r>
    </w:p>
    <w:p w14:paraId="22411A68" w14:textId="77777777" w:rsidR="006C7604" w:rsidRPr="001430A6" w:rsidRDefault="006C7604" w:rsidP="001430A6">
      <w:pPr>
        <w:jc w:val="both"/>
        <w:rPr>
          <w:rFonts w:ascii="Times New Roman" w:hAnsi="Times New Roman" w:cs="Times New Roman"/>
          <w:sz w:val="24"/>
          <w:szCs w:val="24"/>
        </w:rPr>
      </w:pPr>
    </w:p>
    <w:p w14:paraId="55ADA06A" w14:textId="3F4FD719" w:rsidR="001800D2" w:rsidRPr="001800D2" w:rsidRDefault="001800D2" w:rsidP="001430A6">
      <w:pPr>
        <w:jc w:val="both"/>
        <w:rPr>
          <w:rFonts w:ascii="Times New Roman" w:hAnsi="Times New Roman" w:cs="Times New Roman"/>
          <w:sz w:val="24"/>
          <w:szCs w:val="24"/>
        </w:rPr>
      </w:pPr>
      <w:r w:rsidRPr="001800D2">
        <w:rPr>
          <w:rFonts w:ascii="Times New Roman" w:hAnsi="Times New Roman" w:cs="Times New Roman"/>
          <w:sz w:val="24"/>
          <w:szCs w:val="24"/>
        </w:rPr>
        <w:t xml:space="preserve">Opago (2025) reports that property owners and operators are realising the practical and financial benefits of outsourcing management to professionals. Residents demand straightforward communication, service fee information, and fast repair. The government discussion shows that </w:t>
      </w:r>
      <w:r w:rsidR="00A36210">
        <w:rPr>
          <w:rFonts w:ascii="Times New Roman" w:hAnsi="Times New Roman" w:cs="Times New Roman"/>
          <w:sz w:val="24"/>
          <w:szCs w:val="24"/>
        </w:rPr>
        <w:t>Prop</w:t>
      </w:r>
      <w:r w:rsidR="00554A32">
        <w:rPr>
          <w:rFonts w:ascii="Times New Roman" w:hAnsi="Times New Roman" w:cs="Times New Roman"/>
          <w:sz w:val="24"/>
          <w:szCs w:val="24"/>
        </w:rPr>
        <w:t>erty Management’s</w:t>
      </w:r>
      <w:r w:rsidRPr="001800D2">
        <w:rPr>
          <w:rFonts w:ascii="Times New Roman" w:hAnsi="Times New Roman" w:cs="Times New Roman"/>
          <w:sz w:val="24"/>
          <w:szCs w:val="24"/>
        </w:rPr>
        <w:t xml:space="preserve"> service expenses are caused by inadequate communication, openness, and service</w:t>
      </w:r>
      <w:r w:rsidR="00B37728">
        <w:rPr>
          <w:rFonts w:ascii="Times New Roman" w:hAnsi="Times New Roman" w:cs="Times New Roman"/>
          <w:sz w:val="24"/>
          <w:szCs w:val="24"/>
        </w:rPr>
        <w:t xml:space="preserve"> delivery</w:t>
      </w:r>
      <w:r w:rsidRPr="001800D2">
        <w:rPr>
          <w:rFonts w:ascii="Times New Roman" w:hAnsi="Times New Roman" w:cs="Times New Roman"/>
          <w:sz w:val="24"/>
          <w:szCs w:val="24"/>
        </w:rPr>
        <w:t xml:space="preserve"> (Hansard, 2025). This illustrates how not meeting social norms damages </w:t>
      </w:r>
      <w:r w:rsidR="004C26B3">
        <w:rPr>
          <w:rFonts w:ascii="Times New Roman" w:hAnsi="Times New Roman" w:cs="Times New Roman"/>
          <w:sz w:val="24"/>
          <w:szCs w:val="24"/>
        </w:rPr>
        <w:t>the company’s</w:t>
      </w:r>
      <w:r w:rsidRPr="001800D2">
        <w:rPr>
          <w:rFonts w:ascii="Times New Roman" w:hAnsi="Times New Roman" w:cs="Times New Roman"/>
          <w:sz w:val="24"/>
          <w:szCs w:val="24"/>
        </w:rPr>
        <w:t xml:space="preserve"> image. Kahraman and Şahin (2026) argue that digitising service industries is altering client expectations for the speed and clarity of work.</w:t>
      </w:r>
    </w:p>
    <w:p w14:paraId="7BCBF310" w14:textId="77777777" w:rsidR="006C7604" w:rsidRPr="001430A6" w:rsidRDefault="006C7604" w:rsidP="001430A6">
      <w:pPr>
        <w:jc w:val="both"/>
        <w:rPr>
          <w:rFonts w:ascii="Times New Roman" w:hAnsi="Times New Roman" w:cs="Times New Roman"/>
          <w:sz w:val="24"/>
          <w:szCs w:val="24"/>
        </w:rPr>
      </w:pPr>
    </w:p>
    <w:p w14:paraId="7838D486" w14:textId="77777777" w:rsidR="0041324A" w:rsidRDefault="0041324A"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Technological</w:t>
      </w:r>
    </w:p>
    <w:p w14:paraId="46F4F95B" w14:textId="77777777" w:rsidR="004B3690" w:rsidRPr="001430A6" w:rsidRDefault="004B3690" w:rsidP="001430A6">
      <w:pPr>
        <w:jc w:val="both"/>
        <w:rPr>
          <w:rFonts w:ascii="Times New Roman" w:hAnsi="Times New Roman" w:cs="Times New Roman"/>
          <w:sz w:val="24"/>
          <w:szCs w:val="24"/>
        </w:rPr>
      </w:pPr>
    </w:p>
    <w:p w14:paraId="1C477F7B" w14:textId="454B4FE2" w:rsidR="006E343E" w:rsidRDefault="006E343E" w:rsidP="001430A6">
      <w:pPr>
        <w:jc w:val="both"/>
        <w:rPr>
          <w:rFonts w:ascii="Times New Roman" w:hAnsi="Times New Roman" w:cs="Times New Roman"/>
          <w:sz w:val="24"/>
          <w:szCs w:val="24"/>
        </w:rPr>
      </w:pPr>
      <w:r w:rsidRPr="006E343E">
        <w:rPr>
          <w:rFonts w:ascii="Times New Roman" w:hAnsi="Times New Roman" w:cs="Times New Roman"/>
          <w:sz w:val="24"/>
          <w:szCs w:val="24"/>
        </w:rPr>
        <w:t xml:space="preserve">Smart buildings are quickly adopting remote access control, energy tracking, leak detection, and autonomous maintenance. Early users of digital tools benefit </w:t>
      </w:r>
      <w:r w:rsidR="006B55AC">
        <w:rPr>
          <w:rFonts w:ascii="Times New Roman" w:hAnsi="Times New Roman" w:cs="Times New Roman"/>
          <w:sz w:val="24"/>
          <w:szCs w:val="24"/>
        </w:rPr>
        <w:t xml:space="preserve">from </w:t>
      </w:r>
      <w:r w:rsidRPr="006E343E">
        <w:rPr>
          <w:rFonts w:ascii="Times New Roman" w:hAnsi="Times New Roman" w:cs="Times New Roman"/>
          <w:sz w:val="24"/>
          <w:szCs w:val="24"/>
        </w:rPr>
        <w:t xml:space="preserve">automatic payments, decreased admin, and better service </w:t>
      </w:r>
      <w:r w:rsidR="00385785" w:rsidRPr="00385785">
        <w:rPr>
          <w:rFonts w:ascii="Times New Roman" w:hAnsi="Times New Roman" w:cs="Times New Roman"/>
          <w:sz w:val="24"/>
          <w:szCs w:val="24"/>
        </w:rPr>
        <w:t>(Robson, Simpson and Tucker, 2013)</w:t>
      </w:r>
      <w:r w:rsidRPr="006E343E">
        <w:rPr>
          <w:rFonts w:ascii="Times New Roman" w:hAnsi="Times New Roman" w:cs="Times New Roman"/>
          <w:sz w:val="24"/>
          <w:szCs w:val="24"/>
        </w:rPr>
        <w:t>. British property management software is expected to reach £644.3 million by 2030, growing 10.9% yearly from 2025 to 2030 (Grand View Research, 2021). FirstPort first invested in AI-powered smart building systems and CRM technologies to profit from this change (FirstPort, n</w:t>
      </w:r>
      <w:r w:rsidR="00304C07">
        <w:rPr>
          <w:rFonts w:ascii="Times New Roman" w:hAnsi="Times New Roman" w:cs="Times New Roman"/>
          <w:sz w:val="24"/>
          <w:szCs w:val="24"/>
        </w:rPr>
        <w:t>.d.</w:t>
      </w:r>
      <w:r w:rsidRPr="006E343E">
        <w:rPr>
          <w:rFonts w:ascii="Times New Roman" w:hAnsi="Times New Roman" w:cs="Times New Roman"/>
          <w:sz w:val="24"/>
          <w:szCs w:val="24"/>
        </w:rPr>
        <w:t>). Enterprise research tools are essential for organisations that want their digital projects to fulfil their long-term goals, according to Mirabelli (2022).</w:t>
      </w:r>
    </w:p>
    <w:p w14:paraId="59CF402F" w14:textId="77777777" w:rsidR="004E36B4" w:rsidRPr="006E343E" w:rsidRDefault="004E36B4" w:rsidP="001430A6">
      <w:pPr>
        <w:jc w:val="both"/>
        <w:rPr>
          <w:rFonts w:ascii="Times New Roman" w:hAnsi="Times New Roman" w:cs="Times New Roman"/>
          <w:sz w:val="24"/>
          <w:szCs w:val="24"/>
        </w:rPr>
      </w:pPr>
    </w:p>
    <w:p w14:paraId="4EB17E15" w14:textId="77777777" w:rsidR="00D769C8" w:rsidRPr="001430A6" w:rsidRDefault="00D769C8" w:rsidP="001430A6">
      <w:pPr>
        <w:jc w:val="both"/>
        <w:rPr>
          <w:rFonts w:ascii="Times New Roman" w:hAnsi="Times New Roman" w:cs="Times New Roman"/>
          <w:sz w:val="24"/>
          <w:szCs w:val="24"/>
        </w:rPr>
      </w:pPr>
      <w:r w:rsidRPr="001430A6">
        <w:rPr>
          <w:rFonts w:ascii="Times New Roman" w:hAnsi="Times New Roman" w:cs="Times New Roman"/>
          <w:b/>
          <w:bCs/>
          <w:sz w:val="24"/>
          <w:szCs w:val="24"/>
        </w:rPr>
        <w:t>Legal</w:t>
      </w:r>
    </w:p>
    <w:p w14:paraId="7FF51523" w14:textId="77777777" w:rsidR="0041324A" w:rsidRPr="001430A6" w:rsidRDefault="0041324A" w:rsidP="001430A6">
      <w:pPr>
        <w:jc w:val="both"/>
        <w:rPr>
          <w:rFonts w:ascii="Times New Roman" w:hAnsi="Times New Roman" w:cs="Times New Roman"/>
          <w:sz w:val="24"/>
          <w:szCs w:val="24"/>
        </w:rPr>
      </w:pPr>
    </w:p>
    <w:p w14:paraId="660624CF" w14:textId="5CCCABF6" w:rsidR="00CB177B" w:rsidRPr="001430A6" w:rsidRDefault="005A14D4" w:rsidP="001430A6">
      <w:pPr>
        <w:jc w:val="both"/>
        <w:rPr>
          <w:rFonts w:ascii="Times New Roman" w:hAnsi="Times New Roman" w:cs="Times New Roman"/>
          <w:sz w:val="24"/>
          <w:szCs w:val="24"/>
        </w:rPr>
      </w:pPr>
      <w:r>
        <w:rPr>
          <w:rFonts w:ascii="Times New Roman" w:hAnsi="Times New Roman" w:cs="Times New Roman"/>
          <w:sz w:val="24"/>
          <w:szCs w:val="24"/>
        </w:rPr>
        <w:t>Several</w:t>
      </w:r>
      <w:r w:rsidR="00CB177B" w:rsidRPr="001430A6">
        <w:rPr>
          <w:rFonts w:ascii="Times New Roman" w:hAnsi="Times New Roman" w:cs="Times New Roman"/>
          <w:sz w:val="24"/>
          <w:szCs w:val="24"/>
        </w:rPr>
        <w:t xml:space="preserve"> regulations have been implemented by the Leasehold and Freehold Reform Act 2024, including restrictions on the use of service charges to cover legal expenses and modifications that facilitate the monitoring of building problems by regulators (Kingsley Napley, 2025). The Act prohibits freeholders and managing agents from receiving commissions on insurance, mandates that service fees be requested consistently, and promotes transparency on insurance pricing. Due to these modifications, FirstPort's almost 5,600 projects are subject to several regulations </w:t>
      </w:r>
      <w:r w:rsidR="00A3158A" w:rsidRPr="006E343E">
        <w:rPr>
          <w:rFonts w:ascii="Times New Roman" w:hAnsi="Times New Roman" w:cs="Times New Roman"/>
          <w:sz w:val="24"/>
          <w:szCs w:val="24"/>
        </w:rPr>
        <w:t>(FirstPort, n</w:t>
      </w:r>
      <w:r w:rsidR="00A3158A">
        <w:rPr>
          <w:rFonts w:ascii="Times New Roman" w:hAnsi="Times New Roman" w:cs="Times New Roman"/>
          <w:sz w:val="24"/>
          <w:szCs w:val="24"/>
        </w:rPr>
        <w:t>.d.</w:t>
      </w:r>
      <w:r w:rsidR="00A3158A" w:rsidRPr="006E343E">
        <w:rPr>
          <w:rFonts w:ascii="Times New Roman" w:hAnsi="Times New Roman" w:cs="Times New Roman"/>
          <w:sz w:val="24"/>
          <w:szCs w:val="24"/>
        </w:rPr>
        <w:t xml:space="preserve">). </w:t>
      </w:r>
    </w:p>
    <w:p w14:paraId="2616CDA6" w14:textId="77777777" w:rsidR="00D769C8" w:rsidRPr="001430A6" w:rsidRDefault="00D769C8" w:rsidP="001430A6">
      <w:pPr>
        <w:jc w:val="both"/>
        <w:rPr>
          <w:rFonts w:ascii="Times New Roman" w:hAnsi="Times New Roman" w:cs="Times New Roman"/>
          <w:sz w:val="24"/>
          <w:szCs w:val="24"/>
        </w:rPr>
      </w:pPr>
    </w:p>
    <w:p w14:paraId="4FD53DBE" w14:textId="77777777" w:rsidR="00313D17" w:rsidRPr="001430A6" w:rsidRDefault="00313D17" w:rsidP="001430A6">
      <w:pPr>
        <w:jc w:val="both"/>
        <w:rPr>
          <w:rFonts w:ascii="Times New Roman" w:hAnsi="Times New Roman" w:cs="Times New Roman"/>
          <w:sz w:val="24"/>
          <w:szCs w:val="24"/>
        </w:rPr>
      </w:pPr>
      <w:r w:rsidRPr="001430A6">
        <w:rPr>
          <w:rFonts w:ascii="Times New Roman" w:hAnsi="Times New Roman" w:cs="Times New Roman"/>
          <w:b/>
          <w:bCs/>
          <w:sz w:val="24"/>
          <w:szCs w:val="24"/>
        </w:rPr>
        <w:t>Environmental</w:t>
      </w:r>
    </w:p>
    <w:p w14:paraId="68F6E955" w14:textId="37E3ECD7" w:rsidR="00914536" w:rsidRPr="001430A6" w:rsidRDefault="00914536"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In fields where demand exceeds supply, such </w:t>
      </w:r>
      <w:r w:rsidR="0023387F">
        <w:rPr>
          <w:rFonts w:ascii="Times New Roman" w:hAnsi="Times New Roman" w:cs="Times New Roman"/>
          <w:sz w:val="24"/>
          <w:szCs w:val="24"/>
        </w:rPr>
        <w:t xml:space="preserve">as </w:t>
      </w:r>
      <w:r w:rsidRPr="001430A6">
        <w:rPr>
          <w:rFonts w:ascii="Times New Roman" w:hAnsi="Times New Roman" w:cs="Times New Roman"/>
          <w:sz w:val="24"/>
          <w:szCs w:val="24"/>
        </w:rPr>
        <w:t xml:space="preserve">energy efficiency and retrofitting, the industry is facing a growing skills shortage (IBISWorld, 2025). Due to the growing influence of institutional investors' ESG expectations on procurement choices, property managers </w:t>
      </w:r>
      <w:r w:rsidR="0023387F">
        <w:rPr>
          <w:rFonts w:ascii="Times New Roman" w:hAnsi="Times New Roman" w:cs="Times New Roman"/>
          <w:sz w:val="24"/>
          <w:szCs w:val="24"/>
        </w:rPr>
        <w:t>who</w:t>
      </w:r>
      <w:r w:rsidRPr="001430A6">
        <w:rPr>
          <w:rFonts w:ascii="Times New Roman" w:hAnsi="Times New Roman" w:cs="Times New Roman"/>
          <w:sz w:val="24"/>
          <w:szCs w:val="24"/>
        </w:rPr>
        <w:t xml:space="preserve"> can demonstrate energy performance, sustainability reporting, and green building management will have a competitive edge. For FirstPort, this is a singular opportunity and a cause of urgency</w:t>
      </w:r>
      <w:r w:rsidR="00494016">
        <w:rPr>
          <w:rFonts w:ascii="Times New Roman" w:hAnsi="Times New Roman" w:cs="Times New Roman"/>
          <w:sz w:val="24"/>
          <w:szCs w:val="24"/>
        </w:rPr>
        <w:t xml:space="preserve"> </w:t>
      </w:r>
      <w:r w:rsidR="00494016" w:rsidRPr="001430A6">
        <w:rPr>
          <w:rFonts w:ascii="Times New Roman" w:hAnsi="Times New Roman" w:cs="Times New Roman"/>
          <w:sz w:val="24"/>
          <w:szCs w:val="24"/>
        </w:rPr>
        <w:t>(Qurated, n</w:t>
      </w:r>
      <w:r w:rsidR="00494016">
        <w:rPr>
          <w:rFonts w:ascii="Times New Roman" w:hAnsi="Times New Roman" w:cs="Times New Roman"/>
          <w:sz w:val="24"/>
          <w:szCs w:val="24"/>
        </w:rPr>
        <w:t>.d.</w:t>
      </w:r>
      <w:r w:rsidR="00494016" w:rsidRPr="001430A6">
        <w:rPr>
          <w:rFonts w:ascii="Times New Roman" w:hAnsi="Times New Roman" w:cs="Times New Roman"/>
          <w:sz w:val="24"/>
          <w:szCs w:val="24"/>
        </w:rPr>
        <w:t>)</w:t>
      </w:r>
      <w:r w:rsidRPr="001430A6">
        <w:rPr>
          <w:rFonts w:ascii="Times New Roman" w:hAnsi="Times New Roman" w:cs="Times New Roman"/>
          <w:sz w:val="24"/>
          <w:szCs w:val="24"/>
        </w:rPr>
        <w:t>.</w:t>
      </w:r>
    </w:p>
    <w:p w14:paraId="5F6A2A98" w14:textId="77777777" w:rsidR="00CB177B" w:rsidRPr="001430A6" w:rsidRDefault="00CB177B" w:rsidP="001430A6">
      <w:pPr>
        <w:jc w:val="both"/>
        <w:rPr>
          <w:rFonts w:ascii="Times New Roman" w:hAnsi="Times New Roman" w:cs="Times New Roman"/>
          <w:sz w:val="24"/>
          <w:szCs w:val="24"/>
        </w:rPr>
      </w:pPr>
    </w:p>
    <w:p w14:paraId="7E5BC497" w14:textId="77777777" w:rsidR="003D2DEC" w:rsidRPr="001430A6" w:rsidRDefault="003D2DEC"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2.2 Porter's Five Forces</w:t>
      </w:r>
    </w:p>
    <w:p w14:paraId="5E99ED60" w14:textId="77777777" w:rsidR="00914536" w:rsidRPr="001430A6" w:rsidRDefault="00914536" w:rsidP="001430A6">
      <w:pPr>
        <w:jc w:val="both"/>
        <w:rPr>
          <w:rFonts w:ascii="Times New Roman" w:hAnsi="Times New Roman" w:cs="Times New Roman"/>
          <w:sz w:val="24"/>
          <w:szCs w:val="24"/>
        </w:rPr>
      </w:pPr>
    </w:p>
    <w:p w14:paraId="5C299173" w14:textId="19725035" w:rsidR="00301C5B" w:rsidRPr="001430A6" w:rsidRDefault="00301C5B"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Many still utilise Porter's Five Forces model to assess field competitiveness (Kock, 2021). Isabelle et al. (2020) believe the framework is still beneficial for today's knowledge- and capital-based firms, as long as it is adapted to the context. Rice (2022) illustrates how the Five Forces model may be utilised for risk management and competitive strategy. This displays the model's analytical flexibility. Strategic planning involves the external competitive environment, according to Tovstiga (2021). This emphasises the need </w:t>
      </w:r>
      <w:r w:rsidR="006A5E70">
        <w:rPr>
          <w:rFonts w:ascii="Times New Roman" w:hAnsi="Times New Roman" w:cs="Times New Roman"/>
          <w:sz w:val="24"/>
          <w:szCs w:val="24"/>
        </w:rPr>
        <w:t>for</w:t>
      </w:r>
      <w:r w:rsidRPr="001430A6">
        <w:rPr>
          <w:rFonts w:ascii="Times New Roman" w:hAnsi="Times New Roman" w:cs="Times New Roman"/>
          <w:sz w:val="24"/>
          <w:szCs w:val="24"/>
        </w:rPr>
        <w:t xml:space="preserve"> firms </w:t>
      </w:r>
      <w:r w:rsidR="006A52A7">
        <w:rPr>
          <w:rFonts w:ascii="Times New Roman" w:hAnsi="Times New Roman" w:cs="Times New Roman"/>
          <w:sz w:val="24"/>
          <w:szCs w:val="24"/>
        </w:rPr>
        <w:t>to monitor</w:t>
      </w:r>
      <w:r w:rsidRPr="001430A6">
        <w:rPr>
          <w:rFonts w:ascii="Times New Roman" w:hAnsi="Times New Roman" w:cs="Times New Roman"/>
          <w:sz w:val="24"/>
          <w:szCs w:val="24"/>
        </w:rPr>
        <w:t xml:space="preserve"> industry variables.</w:t>
      </w:r>
    </w:p>
    <w:p w14:paraId="753CE1EF" w14:textId="77777777" w:rsidR="003D2DEC" w:rsidRDefault="003D2DEC" w:rsidP="001430A6">
      <w:pPr>
        <w:jc w:val="both"/>
        <w:rPr>
          <w:rFonts w:ascii="Times New Roman" w:hAnsi="Times New Roman" w:cs="Times New Roman"/>
          <w:sz w:val="24"/>
          <w:szCs w:val="24"/>
        </w:rPr>
      </w:pPr>
    </w:p>
    <w:p w14:paraId="4A3861DA" w14:textId="77777777" w:rsidR="006A52A7" w:rsidRPr="001430A6" w:rsidRDefault="006A52A7" w:rsidP="001430A6">
      <w:pPr>
        <w:jc w:val="both"/>
        <w:rPr>
          <w:rFonts w:ascii="Times New Roman" w:hAnsi="Times New Roman" w:cs="Times New Roman"/>
          <w:sz w:val="24"/>
          <w:szCs w:val="24"/>
        </w:rPr>
      </w:pPr>
    </w:p>
    <w:p w14:paraId="3D514E5F" w14:textId="519C66B9" w:rsidR="004B3690" w:rsidRPr="004B3690" w:rsidRDefault="006204AA"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 xml:space="preserve">Threat of New </w:t>
      </w:r>
      <w:r w:rsidR="002C76D3">
        <w:rPr>
          <w:rFonts w:ascii="Times New Roman" w:hAnsi="Times New Roman" w:cs="Times New Roman"/>
          <w:b/>
          <w:bCs/>
          <w:sz w:val="24"/>
          <w:szCs w:val="24"/>
        </w:rPr>
        <w:t>Competitors</w:t>
      </w:r>
      <w:r w:rsidRPr="001430A6">
        <w:rPr>
          <w:rFonts w:ascii="Times New Roman" w:hAnsi="Times New Roman" w:cs="Times New Roman"/>
          <w:b/>
          <w:bCs/>
          <w:sz w:val="24"/>
          <w:szCs w:val="24"/>
        </w:rPr>
        <w:t xml:space="preserve"> — Low to Moderate</w:t>
      </w:r>
    </w:p>
    <w:p w14:paraId="60C099B9" w14:textId="6A43D7EF" w:rsidR="001A2C9A" w:rsidRPr="001430A6" w:rsidRDefault="001A2C9A" w:rsidP="001430A6">
      <w:pPr>
        <w:jc w:val="both"/>
        <w:rPr>
          <w:rFonts w:ascii="Times New Roman" w:hAnsi="Times New Roman" w:cs="Times New Roman"/>
          <w:sz w:val="24"/>
          <w:szCs w:val="24"/>
        </w:rPr>
      </w:pPr>
      <w:r w:rsidRPr="001430A6">
        <w:rPr>
          <w:rFonts w:ascii="Times New Roman" w:hAnsi="Times New Roman" w:cs="Times New Roman"/>
          <w:sz w:val="24"/>
          <w:szCs w:val="24"/>
        </w:rPr>
        <w:t>In the private property management business, a strong operational framework, professional qualifications, knowledge of compliance rules, and established customer relationships</w:t>
      </w:r>
      <w:r w:rsidR="00B15B5A" w:rsidRPr="001430A6">
        <w:rPr>
          <w:rFonts w:ascii="Times New Roman" w:hAnsi="Times New Roman" w:cs="Times New Roman"/>
          <w:sz w:val="24"/>
          <w:szCs w:val="24"/>
        </w:rPr>
        <w:t xml:space="preserve"> are needed</w:t>
      </w:r>
      <w:r w:rsidRPr="001430A6">
        <w:rPr>
          <w:rFonts w:ascii="Times New Roman" w:hAnsi="Times New Roman" w:cs="Times New Roman"/>
          <w:sz w:val="24"/>
          <w:szCs w:val="24"/>
        </w:rPr>
        <w:t>. The scope is big; FirstPort's collection of more than 310,000 homes leads to price cuts that are hard for new rivals to copy (FirstPort, no date). However, PropTech start-ups that offer management tools that are built for digital environments are a new and growing danger that could change the way things are done (Grand View Research, 2025.5).</w:t>
      </w:r>
    </w:p>
    <w:p w14:paraId="520F107A" w14:textId="77777777" w:rsidR="002007F2" w:rsidRPr="001430A6" w:rsidRDefault="002007F2" w:rsidP="001430A6">
      <w:pPr>
        <w:jc w:val="both"/>
        <w:rPr>
          <w:rFonts w:ascii="Times New Roman" w:hAnsi="Times New Roman" w:cs="Times New Roman"/>
          <w:sz w:val="24"/>
          <w:szCs w:val="24"/>
        </w:rPr>
      </w:pPr>
    </w:p>
    <w:p w14:paraId="531AF2FA" w14:textId="050A9425" w:rsidR="004B3690" w:rsidRPr="004B3690" w:rsidRDefault="00A205B8"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Bargaining Power of Suppliers — Moderate</w:t>
      </w:r>
    </w:p>
    <w:p w14:paraId="5D6F0C9B" w14:textId="77777777" w:rsidR="00A413D4" w:rsidRPr="001430A6" w:rsidRDefault="00A413D4" w:rsidP="001430A6">
      <w:pPr>
        <w:jc w:val="both"/>
        <w:rPr>
          <w:rFonts w:ascii="Times New Roman" w:hAnsi="Times New Roman" w:cs="Times New Roman"/>
          <w:sz w:val="24"/>
          <w:szCs w:val="24"/>
        </w:rPr>
      </w:pPr>
      <w:r w:rsidRPr="001430A6">
        <w:rPr>
          <w:rFonts w:ascii="Times New Roman" w:hAnsi="Times New Roman" w:cs="Times New Roman"/>
          <w:sz w:val="24"/>
          <w:szCs w:val="24"/>
        </w:rPr>
        <w:t>FirstPort depends on a network of contractors for maintenance, insurance, and technology. There is a documented lack of skilled workers in fields like energy efficiency and building compliance, which gives specialist contractors more power in negotiations (IBISWorld, 2025). Rising contractor costs make it even harder to stay within service charge budgets and make a profit (Datamonitor Plc, n.d.).</w:t>
      </w:r>
    </w:p>
    <w:p w14:paraId="11BB51BF" w14:textId="77777777" w:rsidR="00A205B8" w:rsidRPr="001430A6" w:rsidRDefault="00A205B8" w:rsidP="001430A6">
      <w:pPr>
        <w:jc w:val="both"/>
        <w:rPr>
          <w:rFonts w:ascii="Times New Roman" w:hAnsi="Times New Roman" w:cs="Times New Roman"/>
          <w:sz w:val="24"/>
          <w:szCs w:val="24"/>
        </w:rPr>
      </w:pPr>
    </w:p>
    <w:p w14:paraId="258149B1" w14:textId="6AC5DF57" w:rsidR="004B3690" w:rsidRPr="004B3690" w:rsidRDefault="00613ECD"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Bargaining Power of Buyers — Increasing</w:t>
      </w:r>
    </w:p>
    <w:p w14:paraId="67EB6C75" w14:textId="24426407" w:rsidR="007B30CF" w:rsidRPr="001430A6" w:rsidRDefault="007B30CF" w:rsidP="001430A6">
      <w:pPr>
        <w:jc w:val="both"/>
        <w:rPr>
          <w:rFonts w:ascii="Times New Roman" w:hAnsi="Times New Roman" w:cs="Times New Roman"/>
          <w:sz w:val="24"/>
          <w:szCs w:val="24"/>
        </w:rPr>
      </w:pPr>
      <w:r w:rsidRPr="001430A6">
        <w:rPr>
          <w:rFonts w:ascii="Times New Roman" w:hAnsi="Times New Roman" w:cs="Times New Roman"/>
          <w:sz w:val="24"/>
          <w:szCs w:val="24"/>
        </w:rPr>
        <w:t>Thanks to the Leasehold and Freehold Reform Act of 2024, leaseholders can now go to the First Tier Tribunal more quickly and successfully to fight unfair charges</w:t>
      </w:r>
      <w:r w:rsidR="008D4E61">
        <w:rPr>
          <w:rFonts w:ascii="Times New Roman" w:hAnsi="Times New Roman" w:cs="Times New Roman"/>
          <w:sz w:val="24"/>
          <w:szCs w:val="24"/>
        </w:rPr>
        <w:t xml:space="preserve"> </w:t>
      </w:r>
      <w:r w:rsidR="008D4E61" w:rsidRPr="001430A6">
        <w:rPr>
          <w:rFonts w:ascii="Times New Roman" w:hAnsi="Times New Roman" w:cs="Times New Roman"/>
          <w:sz w:val="24"/>
          <w:szCs w:val="24"/>
        </w:rPr>
        <w:t>(Kingsley Napley, 2025)</w:t>
      </w:r>
      <w:r w:rsidRPr="001430A6">
        <w:rPr>
          <w:rFonts w:ascii="Times New Roman" w:hAnsi="Times New Roman" w:cs="Times New Roman"/>
          <w:sz w:val="24"/>
          <w:szCs w:val="24"/>
        </w:rPr>
        <w:t>. This gives resident groups and Right to Manage companies a lot more negotiating power, which makes it easier for them to change managing agents or question costs. Isabelle et al. (2020) say that buying power goes up a lot in markets where moving costs go down because of changes in technology or rules.</w:t>
      </w:r>
    </w:p>
    <w:p w14:paraId="4CC8AC2D" w14:textId="77777777" w:rsidR="00A413D4" w:rsidRPr="001430A6" w:rsidRDefault="00A413D4" w:rsidP="001430A6">
      <w:pPr>
        <w:jc w:val="both"/>
        <w:rPr>
          <w:rFonts w:ascii="Times New Roman" w:hAnsi="Times New Roman" w:cs="Times New Roman"/>
          <w:sz w:val="24"/>
          <w:szCs w:val="24"/>
        </w:rPr>
      </w:pPr>
    </w:p>
    <w:p w14:paraId="0247948C" w14:textId="4FAD0C89" w:rsidR="00CF25DB" w:rsidRPr="001430A6" w:rsidRDefault="00CF25DB" w:rsidP="001430A6">
      <w:pPr>
        <w:jc w:val="both"/>
        <w:rPr>
          <w:rFonts w:ascii="Times New Roman" w:hAnsi="Times New Roman" w:cs="Times New Roman"/>
          <w:sz w:val="24"/>
          <w:szCs w:val="24"/>
        </w:rPr>
      </w:pPr>
      <w:r w:rsidRPr="001430A6">
        <w:rPr>
          <w:rFonts w:ascii="Times New Roman" w:hAnsi="Times New Roman" w:cs="Times New Roman"/>
          <w:b/>
          <w:bCs/>
          <w:sz w:val="24"/>
          <w:szCs w:val="24"/>
        </w:rPr>
        <w:t>Threat of Substitutes — Moderate</w:t>
      </w:r>
    </w:p>
    <w:p w14:paraId="2519CEE7" w14:textId="77777777" w:rsidR="00353D22" w:rsidRPr="001430A6" w:rsidRDefault="00353D22" w:rsidP="001430A6">
      <w:pPr>
        <w:jc w:val="both"/>
        <w:rPr>
          <w:rFonts w:ascii="Times New Roman" w:hAnsi="Times New Roman" w:cs="Times New Roman"/>
          <w:sz w:val="24"/>
          <w:szCs w:val="24"/>
        </w:rPr>
      </w:pPr>
      <w:r w:rsidRPr="001430A6">
        <w:rPr>
          <w:rFonts w:ascii="Times New Roman" w:hAnsi="Times New Roman" w:cs="Times New Roman"/>
          <w:sz w:val="24"/>
          <w:szCs w:val="24"/>
        </w:rPr>
        <w:t>The regulatory framework is letting leaseholders take control, which is why self-management via Resident Management Companies is becoming a better option (Homes Partnership, 2025). However, most of FirstPort's properties need specialist management because it is hard to keep an eye on large mixed-use and high-rise buildings (First Property Group plc, 2024).</w:t>
      </w:r>
    </w:p>
    <w:p w14:paraId="4E1D849A" w14:textId="77777777" w:rsidR="00353D22" w:rsidRPr="001430A6" w:rsidRDefault="00353D22" w:rsidP="001430A6">
      <w:pPr>
        <w:jc w:val="both"/>
        <w:rPr>
          <w:rFonts w:ascii="Times New Roman" w:hAnsi="Times New Roman" w:cs="Times New Roman"/>
          <w:sz w:val="24"/>
          <w:szCs w:val="24"/>
        </w:rPr>
      </w:pPr>
    </w:p>
    <w:p w14:paraId="5F8484C5" w14:textId="77777777" w:rsidR="00045858" w:rsidRPr="001430A6" w:rsidRDefault="00045858" w:rsidP="001430A6">
      <w:pPr>
        <w:jc w:val="both"/>
        <w:rPr>
          <w:rFonts w:ascii="Times New Roman" w:hAnsi="Times New Roman" w:cs="Times New Roman"/>
          <w:sz w:val="24"/>
          <w:szCs w:val="24"/>
        </w:rPr>
      </w:pPr>
      <w:r w:rsidRPr="001430A6">
        <w:rPr>
          <w:rFonts w:ascii="Times New Roman" w:hAnsi="Times New Roman" w:cs="Times New Roman"/>
          <w:b/>
          <w:bCs/>
          <w:sz w:val="24"/>
          <w:szCs w:val="24"/>
        </w:rPr>
        <w:t>Competitive Rivalry — High</w:t>
      </w:r>
    </w:p>
    <w:p w14:paraId="074AB74E" w14:textId="044EBC6A" w:rsidR="0063315A" w:rsidRPr="001430A6" w:rsidRDefault="0063315A" w:rsidP="001430A6">
      <w:pPr>
        <w:jc w:val="both"/>
        <w:rPr>
          <w:rFonts w:ascii="Times New Roman" w:hAnsi="Times New Roman" w:cs="Times New Roman"/>
          <w:sz w:val="24"/>
          <w:szCs w:val="24"/>
        </w:rPr>
      </w:pPr>
      <w:r w:rsidRPr="001430A6">
        <w:rPr>
          <w:rFonts w:ascii="Times New Roman" w:hAnsi="Times New Roman" w:cs="Times New Roman"/>
          <w:sz w:val="24"/>
          <w:szCs w:val="24"/>
        </w:rPr>
        <w:t>Both national and regional companies compete in this highly fragmented market (Tracxn, n</w:t>
      </w:r>
      <w:r w:rsidR="00EE284A">
        <w:rPr>
          <w:rFonts w:ascii="Times New Roman" w:hAnsi="Times New Roman" w:cs="Times New Roman"/>
          <w:sz w:val="24"/>
          <w:szCs w:val="24"/>
        </w:rPr>
        <w:t>.d.</w:t>
      </w:r>
      <w:r w:rsidRPr="001430A6">
        <w:rPr>
          <w:rFonts w:ascii="Times New Roman" w:hAnsi="Times New Roman" w:cs="Times New Roman"/>
          <w:sz w:val="24"/>
          <w:szCs w:val="24"/>
        </w:rPr>
        <w:t xml:space="preserve">). London dominates the property management sector due to its </w:t>
      </w:r>
      <w:r w:rsidR="0060757E">
        <w:rPr>
          <w:rFonts w:ascii="Times New Roman" w:hAnsi="Times New Roman" w:cs="Times New Roman"/>
          <w:sz w:val="24"/>
          <w:szCs w:val="24"/>
        </w:rPr>
        <w:t>large</w:t>
      </w:r>
      <w:r w:rsidRPr="001430A6">
        <w:rPr>
          <w:rFonts w:ascii="Times New Roman" w:hAnsi="Times New Roman" w:cs="Times New Roman"/>
          <w:sz w:val="24"/>
          <w:szCs w:val="24"/>
        </w:rPr>
        <w:t xml:space="preserve"> population, high residential building density, and predominance of enterprises. As a result, there is fierce rivalry for the highest-paying contracts (Datamonitor Plc, n</w:t>
      </w:r>
      <w:r w:rsidR="0035752C">
        <w:rPr>
          <w:rFonts w:ascii="Times New Roman" w:hAnsi="Times New Roman" w:cs="Times New Roman"/>
          <w:sz w:val="24"/>
          <w:szCs w:val="24"/>
        </w:rPr>
        <w:t>.d.</w:t>
      </w:r>
      <w:r w:rsidRPr="001430A6">
        <w:rPr>
          <w:rFonts w:ascii="Times New Roman" w:hAnsi="Times New Roman" w:cs="Times New Roman"/>
          <w:sz w:val="24"/>
          <w:szCs w:val="24"/>
        </w:rPr>
        <w:t>). Businesses must constantly innovate and distinguish their service offerings to reduce strategic risk, which is made worse by heightened competition, claims Rice (2022).</w:t>
      </w:r>
    </w:p>
    <w:p w14:paraId="5FFE9F51" w14:textId="77777777" w:rsidR="00283AF2" w:rsidRPr="001430A6" w:rsidRDefault="00283AF2" w:rsidP="001430A6">
      <w:pPr>
        <w:jc w:val="both"/>
        <w:rPr>
          <w:rFonts w:ascii="Times New Roman" w:hAnsi="Times New Roman" w:cs="Times New Roman"/>
          <w:sz w:val="24"/>
          <w:szCs w:val="24"/>
        </w:rPr>
      </w:pPr>
    </w:p>
    <w:p w14:paraId="76AC51FC" w14:textId="77777777" w:rsidR="00283AF2" w:rsidRPr="001430A6" w:rsidRDefault="00283AF2"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2.3 Stakeholder Analysis</w:t>
      </w:r>
    </w:p>
    <w:p w14:paraId="1183BB60" w14:textId="11506A3F" w:rsidR="00C21AE5" w:rsidRPr="001430A6" w:rsidRDefault="00C21AE5"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Efficient stakeholder management is a critical element </w:t>
      </w:r>
      <w:r w:rsidR="003C73E1">
        <w:rPr>
          <w:rFonts w:ascii="Times New Roman" w:hAnsi="Times New Roman" w:cs="Times New Roman"/>
          <w:sz w:val="24"/>
          <w:szCs w:val="24"/>
        </w:rPr>
        <w:t xml:space="preserve">in the </w:t>
      </w:r>
      <w:r w:rsidR="00AB3535">
        <w:rPr>
          <w:rFonts w:ascii="Times New Roman" w:hAnsi="Times New Roman" w:cs="Times New Roman"/>
          <w:sz w:val="24"/>
          <w:szCs w:val="24"/>
        </w:rPr>
        <w:t>Property Management</w:t>
      </w:r>
      <w:r w:rsidRPr="001430A6">
        <w:rPr>
          <w:rFonts w:ascii="Times New Roman" w:hAnsi="Times New Roman" w:cs="Times New Roman"/>
          <w:sz w:val="24"/>
          <w:szCs w:val="24"/>
        </w:rPr>
        <w:t xml:space="preserve"> business strategy (Charenkova, 2022). The following are </w:t>
      </w:r>
      <w:r w:rsidR="00057969">
        <w:rPr>
          <w:rFonts w:ascii="Times New Roman" w:hAnsi="Times New Roman" w:cs="Times New Roman"/>
          <w:sz w:val="24"/>
          <w:szCs w:val="24"/>
        </w:rPr>
        <w:t>FirstPort</w:t>
      </w:r>
      <w:r w:rsidR="00E93705">
        <w:rPr>
          <w:rFonts w:ascii="Times New Roman" w:hAnsi="Times New Roman" w:cs="Times New Roman"/>
          <w:sz w:val="24"/>
          <w:szCs w:val="24"/>
        </w:rPr>
        <w:t xml:space="preserve">’s </w:t>
      </w:r>
      <w:r w:rsidRPr="001430A6">
        <w:rPr>
          <w:rFonts w:ascii="Times New Roman" w:hAnsi="Times New Roman" w:cs="Times New Roman"/>
          <w:sz w:val="24"/>
          <w:szCs w:val="24"/>
        </w:rPr>
        <w:t>significant stakeholders and their expectations.</w:t>
      </w:r>
    </w:p>
    <w:p w14:paraId="210F68F8" w14:textId="77777777" w:rsidR="0012339B" w:rsidRPr="001430A6" w:rsidRDefault="0012339B" w:rsidP="001430A6">
      <w:pPr>
        <w:jc w:val="both"/>
        <w:rPr>
          <w:rFonts w:ascii="Times New Roman" w:hAnsi="Times New Roman" w:cs="Times New Roman"/>
          <w:sz w:val="24"/>
          <w:szCs w:val="24"/>
        </w:rPr>
      </w:pPr>
      <w:r w:rsidRPr="001430A6">
        <w:rPr>
          <w:rFonts w:ascii="Times New Roman" w:hAnsi="Times New Roman" w:cs="Times New Roman"/>
          <w:b/>
          <w:bCs/>
          <w:sz w:val="24"/>
          <w:szCs w:val="24"/>
        </w:rPr>
        <w:t>Leaseholders and residents</w:t>
      </w:r>
      <w:r w:rsidRPr="001430A6">
        <w:rPr>
          <w:rFonts w:ascii="Times New Roman" w:hAnsi="Times New Roman" w:cs="Times New Roman"/>
          <w:sz w:val="24"/>
          <w:szCs w:val="24"/>
        </w:rPr>
        <w:t xml:space="preserve"> are the end-users of FirstPort's services and the group of stakeholders that is most directly affected. They want clear service fees, quick maintenance, easy communication, and safe shared spaces. Parliamentary inquiry has found cases when these expectations have not been satisfied (Hansard, 2025), which might lead to regulatory exposure and damage to the company's image.</w:t>
      </w:r>
    </w:p>
    <w:p w14:paraId="4756363A" w14:textId="77777777" w:rsidR="00B71C42" w:rsidRPr="001430A6" w:rsidRDefault="00B71C42" w:rsidP="001430A6">
      <w:pPr>
        <w:jc w:val="both"/>
        <w:rPr>
          <w:rFonts w:ascii="Times New Roman" w:hAnsi="Times New Roman" w:cs="Times New Roman"/>
          <w:sz w:val="24"/>
          <w:szCs w:val="24"/>
        </w:rPr>
      </w:pPr>
      <w:r w:rsidRPr="001430A6">
        <w:rPr>
          <w:rFonts w:ascii="Times New Roman" w:hAnsi="Times New Roman" w:cs="Times New Roman"/>
          <w:b/>
          <w:bCs/>
          <w:sz w:val="24"/>
          <w:szCs w:val="24"/>
        </w:rPr>
        <w:t>Freeholders and developers</w:t>
      </w:r>
      <w:r w:rsidRPr="001430A6">
        <w:rPr>
          <w:rFonts w:ascii="Times New Roman" w:hAnsi="Times New Roman" w:cs="Times New Roman"/>
          <w:sz w:val="24"/>
          <w:szCs w:val="24"/>
        </w:rPr>
        <w:t xml:space="preserve"> use FirstPort to manage their projects in anticipation of operational effectiveness, compliance with regulations, and asset value protection. Because they control contract allocations, they have a significant amount of influence (Datamonitor Plc, n.d.).</w:t>
      </w:r>
    </w:p>
    <w:p w14:paraId="4D65291D" w14:textId="200C7EA5" w:rsidR="00B260C7" w:rsidRPr="001430A6" w:rsidRDefault="00B260C7" w:rsidP="001430A6">
      <w:pPr>
        <w:jc w:val="both"/>
        <w:rPr>
          <w:rFonts w:ascii="Times New Roman" w:hAnsi="Times New Roman" w:cs="Times New Roman"/>
          <w:sz w:val="24"/>
          <w:szCs w:val="24"/>
        </w:rPr>
      </w:pPr>
      <w:r w:rsidRPr="001430A6">
        <w:rPr>
          <w:rFonts w:ascii="Times New Roman" w:hAnsi="Times New Roman" w:cs="Times New Roman"/>
          <w:b/>
          <w:bCs/>
          <w:sz w:val="24"/>
          <w:szCs w:val="24"/>
        </w:rPr>
        <w:t>Resident Management Companies (RMCs</w:t>
      </w:r>
      <w:r w:rsidRPr="001430A6">
        <w:rPr>
          <w:rFonts w:ascii="Times New Roman" w:hAnsi="Times New Roman" w:cs="Times New Roman"/>
          <w:sz w:val="24"/>
          <w:szCs w:val="24"/>
        </w:rPr>
        <w:t xml:space="preserve">) want to work together, get expert advice, and get good value. The continuing leasehold changes will enhance RMCs' powers, giving them greater control over management choices and contract retention </w:t>
      </w:r>
      <w:r w:rsidR="002C06B0" w:rsidRPr="002C06B0">
        <w:rPr>
          <w:rFonts w:ascii="Times New Roman" w:hAnsi="Times New Roman" w:cs="Times New Roman"/>
          <w:sz w:val="24"/>
          <w:szCs w:val="24"/>
        </w:rPr>
        <w:t>(Suau-Sanchez and Burghouwt, 2012)</w:t>
      </w:r>
      <w:r w:rsidRPr="001430A6">
        <w:rPr>
          <w:rFonts w:ascii="Times New Roman" w:hAnsi="Times New Roman" w:cs="Times New Roman"/>
          <w:sz w:val="24"/>
          <w:szCs w:val="24"/>
        </w:rPr>
        <w:t>.</w:t>
      </w:r>
    </w:p>
    <w:p w14:paraId="1862D8AC" w14:textId="4A6F2858" w:rsidR="00A40EA2" w:rsidRPr="001430A6" w:rsidRDefault="006E22AE" w:rsidP="001430A6">
      <w:pPr>
        <w:jc w:val="both"/>
        <w:rPr>
          <w:rFonts w:ascii="Times New Roman" w:hAnsi="Times New Roman" w:cs="Times New Roman"/>
          <w:sz w:val="24"/>
          <w:szCs w:val="24"/>
        </w:rPr>
      </w:pPr>
      <w:r w:rsidRPr="001430A6">
        <w:rPr>
          <w:rFonts w:ascii="Times New Roman" w:hAnsi="Times New Roman" w:cs="Times New Roman"/>
          <w:b/>
          <w:bCs/>
          <w:sz w:val="24"/>
          <w:szCs w:val="24"/>
        </w:rPr>
        <w:t xml:space="preserve">Regulators and </w:t>
      </w:r>
      <w:r w:rsidR="00B126B3">
        <w:rPr>
          <w:rFonts w:ascii="Times New Roman" w:hAnsi="Times New Roman" w:cs="Times New Roman"/>
          <w:b/>
          <w:bCs/>
          <w:sz w:val="24"/>
          <w:szCs w:val="24"/>
        </w:rPr>
        <w:t xml:space="preserve">the </w:t>
      </w:r>
      <w:r w:rsidRPr="001430A6">
        <w:rPr>
          <w:rFonts w:ascii="Times New Roman" w:hAnsi="Times New Roman" w:cs="Times New Roman"/>
          <w:b/>
          <w:bCs/>
          <w:sz w:val="24"/>
          <w:szCs w:val="24"/>
        </w:rPr>
        <w:t xml:space="preserve">Government </w:t>
      </w:r>
      <w:r w:rsidR="00A40EA2" w:rsidRPr="001430A6">
        <w:rPr>
          <w:rFonts w:ascii="Times New Roman" w:hAnsi="Times New Roman" w:cs="Times New Roman"/>
          <w:sz w:val="24"/>
          <w:szCs w:val="24"/>
        </w:rPr>
        <w:t>expect strict compliance with the Leasehold and Freehold Reform Act of 2024, the Building Safety Act of 2022, and future secondary legislation. Significant financial and reputational consequences result from noncompliance (Homes Partnership, 2025).</w:t>
      </w:r>
    </w:p>
    <w:p w14:paraId="362AE1A4" w14:textId="42A49097" w:rsidR="0023214E" w:rsidRPr="001430A6" w:rsidRDefault="0023214E" w:rsidP="001430A6">
      <w:pPr>
        <w:jc w:val="both"/>
        <w:rPr>
          <w:rFonts w:ascii="Times New Roman" w:hAnsi="Times New Roman" w:cs="Times New Roman"/>
          <w:sz w:val="24"/>
          <w:szCs w:val="24"/>
        </w:rPr>
      </w:pPr>
      <w:r w:rsidRPr="001430A6">
        <w:rPr>
          <w:rFonts w:ascii="Times New Roman" w:hAnsi="Times New Roman" w:cs="Times New Roman"/>
          <w:b/>
          <w:bCs/>
          <w:sz w:val="24"/>
          <w:szCs w:val="24"/>
        </w:rPr>
        <w:t xml:space="preserve">Investors </w:t>
      </w:r>
      <w:r w:rsidRPr="001430A6">
        <w:rPr>
          <w:rFonts w:ascii="Times New Roman" w:hAnsi="Times New Roman" w:cs="Times New Roman"/>
          <w:sz w:val="24"/>
          <w:szCs w:val="24"/>
        </w:rPr>
        <w:t>expect steady sales growth, efficient operations, strong margins, and a believable plan for digital transformation (Qurated, n</w:t>
      </w:r>
      <w:r w:rsidR="00E133CE">
        <w:rPr>
          <w:rFonts w:ascii="Times New Roman" w:hAnsi="Times New Roman" w:cs="Times New Roman"/>
          <w:sz w:val="24"/>
          <w:szCs w:val="24"/>
        </w:rPr>
        <w:t>.d.</w:t>
      </w:r>
      <w:r w:rsidRPr="001430A6">
        <w:rPr>
          <w:rFonts w:ascii="Times New Roman" w:hAnsi="Times New Roman" w:cs="Times New Roman"/>
          <w:sz w:val="24"/>
          <w:szCs w:val="24"/>
        </w:rPr>
        <w:t>). The strategic analytical tools of the company must demonstrate consistency between investment and value creation (Mirabelli, 2022).</w:t>
      </w:r>
    </w:p>
    <w:p w14:paraId="732B2BB2" w14:textId="77777777" w:rsidR="006F6C6B" w:rsidRDefault="004C7525" w:rsidP="001430A6">
      <w:pPr>
        <w:jc w:val="both"/>
        <w:rPr>
          <w:rFonts w:ascii="Times New Roman" w:hAnsi="Times New Roman" w:cs="Times New Roman"/>
          <w:sz w:val="24"/>
          <w:szCs w:val="24"/>
        </w:rPr>
      </w:pPr>
      <w:r w:rsidRPr="001430A6">
        <w:rPr>
          <w:rFonts w:ascii="Times New Roman" w:hAnsi="Times New Roman" w:cs="Times New Roman"/>
          <w:b/>
          <w:bCs/>
          <w:sz w:val="24"/>
          <w:szCs w:val="24"/>
        </w:rPr>
        <w:t>Employees</w:t>
      </w:r>
      <w:r w:rsidRPr="001430A6">
        <w:rPr>
          <w:rFonts w:ascii="Times New Roman" w:hAnsi="Times New Roman" w:cs="Times New Roman"/>
          <w:sz w:val="24"/>
          <w:szCs w:val="24"/>
        </w:rPr>
        <w:t xml:space="preserve"> expect fair pay, chances to advance professionally, and a clear objective for the firm, especially because it is changing under new management and is a large corporation </w:t>
      </w:r>
      <w:r w:rsidR="006F6C6B" w:rsidRPr="001430A6">
        <w:rPr>
          <w:rFonts w:ascii="Times New Roman" w:hAnsi="Times New Roman" w:cs="Times New Roman"/>
          <w:sz w:val="24"/>
          <w:szCs w:val="24"/>
        </w:rPr>
        <w:t>(Qurated, n</w:t>
      </w:r>
      <w:r w:rsidR="006F6C6B">
        <w:rPr>
          <w:rFonts w:ascii="Times New Roman" w:hAnsi="Times New Roman" w:cs="Times New Roman"/>
          <w:sz w:val="24"/>
          <w:szCs w:val="24"/>
        </w:rPr>
        <w:t>.d.</w:t>
      </w:r>
      <w:r w:rsidR="006F6C6B" w:rsidRPr="001430A6">
        <w:rPr>
          <w:rFonts w:ascii="Times New Roman" w:hAnsi="Times New Roman" w:cs="Times New Roman"/>
          <w:sz w:val="24"/>
          <w:szCs w:val="24"/>
        </w:rPr>
        <w:t xml:space="preserve">). </w:t>
      </w:r>
    </w:p>
    <w:p w14:paraId="6A45C089" w14:textId="00449343" w:rsidR="000C5CC5" w:rsidRPr="001430A6" w:rsidRDefault="000C5CC5" w:rsidP="001430A6">
      <w:pPr>
        <w:jc w:val="both"/>
        <w:rPr>
          <w:rFonts w:ascii="Times New Roman" w:hAnsi="Times New Roman" w:cs="Times New Roman"/>
          <w:sz w:val="24"/>
          <w:szCs w:val="24"/>
        </w:rPr>
      </w:pPr>
      <w:r w:rsidRPr="001430A6">
        <w:rPr>
          <w:rFonts w:ascii="Times New Roman" w:hAnsi="Times New Roman" w:cs="Times New Roman"/>
          <w:sz w:val="24"/>
          <w:szCs w:val="24"/>
        </w:rPr>
        <w:t>In summary, the external setting in which FirstPort works is marked by major legislative upheaval, enhanced technological possibilities, more competition, and higher resident expectations (Marmol, Feys, &amp; Probert, 2016). Successful organisations, such as FirstPort, will showcase operational excellence, compliance leadership, and true digital capabilities (FirstPort, n</w:t>
      </w:r>
      <w:r w:rsidR="00966845">
        <w:rPr>
          <w:rFonts w:ascii="Times New Roman" w:hAnsi="Times New Roman" w:cs="Times New Roman"/>
          <w:sz w:val="24"/>
          <w:szCs w:val="24"/>
        </w:rPr>
        <w:t>.d.</w:t>
      </w:r>
      <w:r w:rsidRPr="001430A6">
        <w:rPr>
          <w:rFonts w:ascii="Times New Roman" w:hAnsi="Times New Roman" w:cs="Times New Roman"/>
          <w:sz w:val="24"/>
          <w:szCs w:val="24"/>
        </w:rPr>
        <w:t>; Kock, 2021).</w:t>
      </w:r>
    </w:p>
    <w:p w14:paraId="59609B20" w14:textId="77777777" w:rsidR="004C7525" w:rsidRPr="001430A6" w:rsidRDefault="004C7525" w:rsidP="001430A6">
      <w:pPr>
        <w:jc w:val="both"/>
        <w:rPr>
          <w:rFonts w:ascii="Times New Roman" w:hAnsi="Times New Roman" w:cs="Times New Roman"/>
          <w:sz w:val="24"/>
          <w:szCs w:val="24"/>
        </w:rPr>
      </w:pPr>
    </w:p>
    <w:p w14:paraId="74DD8718" w14:textId="77777777" w:rsidR="007240FB" w:rsidRPr="001430A6" w:rsidRDefault="007240FB"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3. Internal Strategic Capability Analysis</w:t>
      </w:r>
    </w:p>
    <w:p w14:paraId="71949B74" w14:textId="77777777" w:rsidR="007240FB" w:rsidRPr="001430A6" w:rsidRDefault="007240FB"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3.1 Resource and Capability Analysis</w:t>
      </w:r>
    </w:p>
    <w:p w14:paraId="05673E34" w14:textId="77777777" w:rsidR="000C5CC5" w:rsidRPr="001430A6" w:rsidRDefault="000C5CC5" w:rsidP="001430A6">
      <w:pPr>
        <w:jc w:val="both"/>
        <w:rPr>
          <w:rFonts w:ascii="Times New Roman" w:hAnsi="Times New Roman" w:cs="Times New Roman"/>
          <w:sz w:val="24"/>
          <w:szCs w:val="24"/>
        </w:rPr>
      </w:pPr>
    </w:p>
    <w:p w14:paraId="23C30100" w14:textId="6802CE75" w:rsidR="0021693D" w:rsidRPr="001430A6" w:rsidRDefault="0021693D"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A comprehensive assessment of an </w:t>
      </w:r>
      <w:r w:rsidR="00E54FF1">
        <w:rPr>
          <w:rFonts w:ascii="Times New Roman" w:hAnsi="Times New Roman" w:cs="Times New Roman"/>
          <w:sz w:val="24"/>
          <w:szCs w:val="24"/>
        </w:rPr>
        <w:t>organisation's</w:t>
      </w:r>
      <w:r w:rsidRPr="001430A6">
        <w:rPr>
          <w:rFonts w:ascii="Times New Roman" w:hAnsi="Times New Roman" w:cs="Times New Roman"/>
          <w:sz w:val="24"/>
          <w:szCs w:val="24"/>
        </w:rPr>
        <w:t xml:space="preserve"> internal environment requires the systematic identification of its resources—both tangible and intangible—and the competencies that emerge from their utilisation (Barney and Hesterly, 2019). A long-term competitive edge comes </w:t>
      </w:r>
      <w:r w:rsidRPr="001430A6">
        <w:rPr>
          <w:rFonts w:ascii="Times New Roman" w:hAnsi="Times New Roman" w:cs="Times New Roman"/>
          <w:sz w:val="24"/>
          <w:szCs w:val="24"/>
        </w:rPr>
        <w:lastRenderedPageBreak/>
        <w:t>not just from being in the right market, but also from having resources that are hard for competitors to copy (Lee, Lee, and Pennings, 2001).</w:t>
      </w:r>
    </w:p>
    <w:p w14:paraId="72490A3D" w14:textId="77777777" w:rsidR="007240FB" w:rsidRPr="001430A6" w:rsidRDefault="007240FB" w:rsidP="001430A6">
      <w:pPr>
        <w:jc w:val="both"/>
        <w:rPr>
          <w:rFonts w:ascii="Times New Roman" w:hAnsi="Times New Roman" w:cs="Times New Roman"/>
          <w:sz w:val="24"/>
          <w:szCs w:val="24"/>
        </w:rPr>
      </w:pPr>
    </w:p>
    <w:p w14:paraId="07969F2C" w14:textId="77777777" w:rsidR="00B20E58" w:rsidRDefault="00B20E58"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Tangible Resources</w:t>
      </w:r>
    </w:p>
    <w:p w14:paraId="267B3B38" w14:textId="77777777" w:rsidR="004B3690" w:rsidRPr="001430A6" w:rsidRDefault="004B3690" w:rsidP="001430A6">
      <w:pPr>
        <w:jc w:val="both"/>
        <w:rPr>
          <w:rFonts w:ascii="Times New Roman" w:hAnsi="Times New Roman" w:cs="Times New Roman"/>
          <w:sz w:val="24"/>
          <w:szCs w:val="24"/>
        </w:rPr>
      </w:pPr>
    </w:p>
    <w:p w14:paraId="7CBBBFF9" w14:textId="29F05CD9" w:rsidR="001E652B" w:rsidRPr="001E652B" w:rsidRDefault="001E652B" w:rsidP="001E652B">
      <w:pPr>
        <w:jc w:val="both"/>
        <w:rPr>
          <w:rFonts w:ascii="Times New Roman" w:hAnsi="Times New Roman" w:cs="Times New Roman"/>
          <w:sz w:val="24"/>
          <w:szCs w:val="24"/>
        </w:rPr>
      </w:pPr>
      <w:r w:rsidRPr="001E652B">
        <w:rPr>
          <w:rFonts w:ascii="Times New Roman" w:hAnsi="Times New Roman" w:cs="Times New Roman"/>
          <w:sz w:val="24"/>
          <w:szCs w:val="24"/>
        </w:rPr>
        <w:t xml:space="preserve">The size of FirstPort's managed portfolio is its principal asset. Physical and contractual assets enable it to save money on purchasing, insurance, and contractor management that smaller rivals can't match (FirstPort, 2026). Both private equity and Emeria Europe's takeover have boosted the firm's finances. The firm has received funding from Emeria Europe to adapt. FirstPort paid for a complete CRM platform for marketing, sales, and customer care. They also funded an AI-powered smart buildings platform that monitors critical infrastructure, detects issues, and forecasts equipment failure (First Property Group plc, 2024; 2025). An </w:t>
      </w:r>
      <w:r w:rsidR="007C5412">
        <w:rPr>
          <w:rFonts w:ascii="Times New Roman" w:hAnsi="Times New Roman" w:cs="Times New Roman"/>
          <w:sz w:val="24"/>
          <w:szCs w:val="24"/>
        </w:rPr>
        <w:t>organisation's</w:t>
      </w:r>
      <w:r w:rsidRPr="001E652B">
        <w:rPr>
          <w:rFonts w:ascii="Times New Roman" w:hAnsi="Times New Roman" w:cs="Times New Roman"/>
          <w:sz w:val="24"/>
          <w:szCs w:val="24"/>
        </w:rPr>
        <w:t xml:space="preserve"> technical competency and how well the investment matches strategic objectives affect </w:t>
      </w:r>
      <w:r w:rsidR="00E11733">
        <w:rPr>
          <w:rFonts w:ascii="Times New Roman" w:hAnsi="Times New Roman" w:cs="Times New Roman"/>
          <w:sz w:val="24"/>
          <w:szCs w:val="24"/>
        </w:rPr>
        <w:t xml:space="preserve">the </w:t>
      </w:r>
      <w:r w:rsidRPr="001E652B">
        <w:rPr>
          <w:rFonts w:ascii="Times New Roman" w:hAnsi="Times New Roman" w:cs="Times New Roman"/>
          <w:sz w:val="24"/>
          <w:szCs w:val="24"/>
        </w:rPr>
        <w:t>technology investment's strategic effectiveness, according to Voudouris et al. (2012).</w:t>
      </w:r>
    </w:p>
    <w:p w14:paraId="061B29B2" w14:textId="77777777" w:rsidR="00BC6954" w:rsidRPr="001430A6" w:rsidRDefault="00BC6954" w:rsidP="001430A6">
      <w:pPr>
        <w:jc w:val="both"/>
        <w:rPr>
          <w:rFonts w:ascii="Times New Roman" w:hAnsi="Times New Roman" w:cs="Times New Roman"/>
          <w:sz w:val="24"/>
          <w:szCs w:val="24"/>
        </w:rPr>
      </w:pPr>
    </w:p>
    <w:p w14:paraId="60A23DC8" w14:textId="77777777" w:rsidR="00D730B2" w:rsidRPr="001430A6" w:rsidRDefault="00D730B2" w:rsidP="001430A6">
      <w:pPr>
        <w:jc w:val="both"/>
        <w:rPr>
          <w:rFonts w:ascii="Times New Roman" w:hAnsi="Times New Roman" w:cs="Times New Roman"/>
          <w:sz w:val="24"/>
          <w:szCs w:val="24"/>
        </w:rPr>
      </w:pPr>
      <w:r w:rsidRPr="001430A6">
        <w:rPr>
          <w:rFonts w:ascii="Times New Roman" w:hAnsi="Times New Roman" w:cs="Times New Roman"/>
          <w:b/>
          <w:bCs/>
          <w:sz w:val="24"/>
          <w:szCs w:val="24"/>
        </w:rPr>
        <w:t>Intangible Resources</w:t>
      </w:r>
    </w:p>
    <w:p w14:paraId="270BB7CB" w14:textId="77777777" w:rsidR="00B20E58" w:rsidRPr="001430A6" w:rsidRDefault="00B20E58" w:rsidP="001430A6">
      <w:pPr>
        <w:jc w:val="both"/>
        <w:rPr>
          <w:rFonts w:ascii="Times New Roman" w:hAnsi="Times New Roman" w:cs="Times New Roman"/>
          <w:sz w:val="24"/>
          <w:szCs w:val="24"/>
        </w:rPr>
      </w:pPr>
    </w:p>
    <w:p w14:paraId="6347FC44" w14:textId="77777777" w:rsidR="007B26C9" w:rsidRDefault="00CC6608" w:rsidP="00CC6608">
      <w:pPr>
        <w:jc w:val="both"/>
        <w:rPr>
          <w:rFonts w:ascii="Times New Roman" w:hAnsi="Times New Roman" w:cs="Times New Roman"/>
          <w:sz w:val="24"/>
          <w:szCs w:val="24"/>
        </w:rPr>
      </w:pPr>
      <w:r w:rsidRPr="00CC6608">
        <w:rPr>
          <w:rFonts w:ascii="Times New Roman" w:hAnsi="Times New Roman" w:cs="Times New Roman"/>
          <w:sz w:val="24"/>
          <w:szCs w:val="24"/>
        </w:rPr>
        <w:t xml:space="preserve">FirstPort (2026) considers its name and position as the UK's top residential property management </w:t>
      </w:r>
      <w:r>
        <w:rPr>
          <w:rFonts w:ascii="Times New Roman" w:hAnsi="Times New Roman" w:cs="Times New Roman"/>
          <w:sz w:val="24"/>
          <w:szCs w:val="24"/>
        </w:rPr>
        <w:t>organisation's</w:t>
      </w:r>
      <w:r w:rsidRPr="00CC6608">
        <w:rPr>
          <w:rFonts w:ascii="Times New Roman" w:hAnsi="Times New Roman" w:cs="Times New Roman"/>
          <w:sz w:val="24"/>
          <w:szCs w:val="24"/>
        </w:rPr>
        <w:t xml:space="preserve"> intangible assets. These are supported by big </w:t>
      </w:r>
      <w:r>
        <w:rPr>
          <w:rFonts w:ascii="Times New Roman" w:hAnsi="Times New Roman" w:cs="Times New Roman"/>
          <w:sz w:val="24"/>
          <w:szCs w:val="24"/>
        </w:rPr>
        <w:t>housebuilders</w:t>
      </w:r>
      <w:r w:rsidRPr="00CC6608">
        <w:rPr>
          <w:rFonts w:ascii="Times New Roman" w:hAnsi="Times New Roman" w:cs="Times New Roman"/>
          <w:sz w:val="24"/>
          <w:szCs w:val="24"/>
        </w:rPr>
        <w:t xml:space="preserve">, institutional </w:t>
      </w:r>
      <w:r>
        <w:rPr>
          <w:rFonts w:ascii="Times New Roman" w:hAnsi="Times New Roman" w:cs="Times New Roman"/>
          <w:sz w:val="24"/>
          <w:szCs w:val="24"/>
        </w:rPr>
        <w:t>investors</w:t>
      </w:r>
      <w:r w:rsidRPr="00CC6608">
        <w:rPr>
          <w:rFonts w:ascii="Times New Roman" w:hAnsi="Times New Roman" w:cs="Times New Roman"/>
          <w:sz w:val="24"/>
          <w:szCs w:val="24"/>
        </w:rPr>
        <w:t>, and freeholder contracts. Parliament supervises service price disclosure and communication, thus leaders' and constituents' views differ (Hansard, 2021).</w:t>
      </w:r>
    </w:p>
    <w:p w14:paraId="032CBF3B" w14:textId="5BA5BB8E" w:rsidR="00CC6608" w:rsidRDefault="00CC6608" w:rsidP="00CC6608">
      <w:pPr>
        <w:jc w:val="both"/>
        <w:rPr>
          <w:rFonts w:ascii="Times New Roman" w:hAnsi="Times New Roman" w:cs="Times New Roman"/>
          <w:sz w:val="24"/>
          <w:szCs w:val="24"/>
        </w:rPr>
      </w:pPr>
      <w:r w:rsidRPr="00CC6608">
        <w:rPr>
          <w:rFonts w:ascii="Times New Roman" w:hAnsi="Times New Roman" w:cs="Times New Roman"/>
          <w:sz w:val="24"/>
          <w:szCs w:val="24"/>
        </w:rPr>
        <w:t xml:space="preserve"> Piercy (2010) asserts </w:t>
      </w:r>
      <w:r w:rsidR="007B26C9">
        <w:rPr>
          <w:rFonts w:ascii="Times New Roman" w:hAnsi="Times New Roman" w:cs="Times New Roman"/>
          <w:sz w:val="24"/>
          <w:szCs w:val="24"/>
        </w:rPr>
        <w:t xml:space="preserve">that </w:t>
      </w:r>
      <w:r w:rsidRPr="00CC6608">
        <w:rPr>
          <w:rFonts w:ascii="Times New Roman" w:hAnsi="Times New Roman" w:cs="Times New Roman"/>
          <w:sz w:val="24"/>
          <w:szCs w:val="24"/>
        </w:rPr>
        <w:t>service claims vs. actions may quickly depreciate a relationship. The company's staff has vast knowledge of leasehold regulations, building safety compliance, and service charge accounting from decades of handling complicated, regulated projects. This knowledge is scarce and hard to pass on (Hervas-Oliver and Albors-Garrigos, 2009).</w:t>
      </w:r>
    </w:p>
    <w:p w14:paraId="4C170193" w14:textId="77777777" w:rsidR="00CC6608" w:rsidRPr="00CC6608" w:rsidRDefault="00CC6608" w:rsidP="00CC6608">
      <w:pPr>
        <w:jc w:val="both"/>
        <w:rPr>
          <w:rFonts w:ascii="Times New Roman" w:hAnsi="Times New Roman" w:cs="Times New Roman"/>
          <w:sz w:val="24"/>
          <w:szCs w:val="24"/>
        </w:rPr>
      </w:pPr>
    </w:p>
    <w:p w14:paraId="6E0AB136" w14:textId="4134FEB7" w:rsidR="00BB08EF" w:rsidRDefault="00BB08EF"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Capabilities</w:t>
      </w:r>
    </w:p>
    <w:p w14:paraId="3DE262A6" w14:textId="77777777" w:rsidR="00BC6954" w:rsidRPr="001430A6" w:rsidRDefault="00BC6954" w:rsidP="001430A6">
      <w:pPr>
        <w:jc w:val="both"/>
        <w:rPr>
          <w:rFonts w:ascii="Times New Roman" w:hAnsi="Times New Roman" w:cs="Times New Roman"/>
          <w:b/>
          <w:bCs/>
          <w:sz w:val="24"/>
          <w:szCs w:val="24"/>
        </w:rPr>
      </w:pPr>
    </w:p>
    <w:p w14:paraId="1D1FBA59" w14:textId="77777777" w:rsidR="00136DCC" w:rsidRDefault="00136DCC" w:rsidP="001430A6">
      <w:pPr>
        <w:jc w:val="both"/>
        <w:rPr>
          <w:rFonts w:ascii="Times New Roman" w:hAnsi="Times New Roman" w:cs="Times New Roman"/>
          <w:sz w:val="24"/>
          <w:szCs w:val="24"/>
        </w:rPr>
      </w:pPr>
      <w:r w:rsidRPr="001430A6">
        <w:rPr>
          <w:rFonts w:ascii="Times New Roman" w:hAnsi="Times New Roman" w:cs="Times New Roman"/>
          <w:sz w:val="24"/>
          <w:szCs w:val="24"/>
        </w:rPr>
        <w:t>FirstPort's biggest strengths are its ability to handle service costs, its ability to manage intricate residential complexes, and its ability to make sure that compliance needs are met across a wide range of properties. Its expanding digital capabilities offer a novel dimension of operational distinction. Dang-Van et al. (2024) say that internal strategic resources and capacities are essential aspects that affect service innovation, especially when companies have systems in place to make sure that new technology expenditures lead to better customer results.</w:t>
      </w:r>
    </w:p>
    <w:p w14:paraId="55F90D84" w14:textId="77777777" w:rsidR="00BC6954" w:rsidRDefault="00BC6954" w:rsidP="001430A6">
      <w:pPr>
        <w:jc w:val="both"/>
        <w:rPr>
          <w:rFonts w:ascii="Times New Roman" w:hAnsi="Times New Roman" w:cs="Times New Roman"/>
          <w:sz w:val="24"/>
          <w:szCs w:val="24"/>
        </w:rPr>
      </w:pPr>
    </w:p>
    <w:p w14:paraId="5EB13F32" w14:textId="77777777" w:rsidR="00BC6954" w:rsidRDefault="00BC6954" w:rsidP="001430A6">
      <w:pPr>
        <w:jc w:val="both"/>
        <w:rPr>
          <w:rFonts w:ascii="Times New Roman" w:hAnsi="Times New Roman" w:cs="Times New Roman"/>
          <w:sz w:val="24"/>
          <w:szCs w:val="24"/>
        </w:rPr>
      </w:pPr>
    </w:p>
    <w:p w14:paraId="022BDC85" w14:textId="77777777" w:rsidR="00BC6954" w:rsidRPr="001430A6" w:rsidRDefault="00BC6954" w:rsidP="001430A6">
      <w:pPr>
        <w:jc w:val="both"/>
        <w:rPr>
          <w:rFonts w:ascii="Times New Roman" w:hAnsi="Times New Roman" w:cs="Times New Roman"/>
          <w:sz w:val="24"/>
          <w:szCs w:val="24"/>
        </w:rPr>
      </w:pPr>
    </w:p>
    <w:p w14:paraId="32DE338A" w14:textId="77777777" w:rsidR="00B006BD" w:rsidRPr="001430A6" w:rsidRDefault="00B006BD"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3.2 VRIO Framework</w:t>
      </w:r>
    </w:p>
    <w:p w14:paraId="40D2B05F" w14:textId="77777777" w:rsidR="00B006BD" w:rsidRPr="001430A6" w:rsidRDefault="00B006BD" w:rsidP="001430A6">
      <w:pPr>
        <w:jc w:val="both"/>
        <w:rPr>
          <w:rFonts w:ascii="Times New Roman" w:hAnsi="Times New Roman" w:cs="Times New Roman"/>
          <w:b/>
          <w:bCs/>
          <w:sz w:val="24"/>
          <w:szCs w:val="24"/>
        </w:rPr>
      </w:pPr>
    </w:p>
    <w:p w14:paraId="1A5CAD1A" w14:textId="77777777" w:rsidR="00C82FA5" w:rsidRPr="001430A6" w:rsidRDefault="00C82FA5" w:rsidP="001430A6">
      <w:pPr>
        <w:jc w:val="both"/>
        <w:rPr>
          <w:rFonts w:ascii="Times New Roman" w:hAnsi="Times New Roman" w:cs="Times New Roman"/>
          <w:sz w:val="24"/>
          <w:szCs w:val="24"/>
        </w:rPr>
      </w:pPr>
      <w:r w:rsidRPr="001430A6">
        <w:rPr>
          <w:rFonts w:ascii="Times New Roman" w:hAnsi="Times New Roman" w:cs="Times New Roman"/>
          <w:sz w:val="24"/>
          <w:szCs w:val="24"/>
        </w:rPr>
        <w:t>The VRIO model looks at resources and skills based on their Value, Rarity, Inimitability, and Organisational Support to find assets that give a business a competitive edge (Barney and Hesterly, 2019).</w:t>
      </w:r>
    </w:p>
    <w:p w14:paraId="01B9C1B9" w14:textId="77777777" w:rsidR="00C82FA5" w:rsidRPr="001430A6" w:rsidRDefault="00C82FA5" w:rsidP="001430A6">
      <w:pPr>
        <w:jc w:val="both"/>
        <w:rPr>
          <w:rFonts w:ascii="Times New Roman" w:hAnsi="Times New Roman" w:cs="Times New Roman"/>
          <w:sz w:val="24"/>
          <w:szCs w:val="24"/>
        </w:rPr>
      </w:pPr>
    </w:p>
    <w:p w14:paraId="22EAD67B" w14:textId="77777777" w:rsidR="00DB6A02" w:rsidRPr="001430A6" w:rsidRDefault="00DB6A02" w:rsidP="001430A6">
      <w:pPr>
        <w:jc w:val="both"/>
        <w:rPr>
          <w:rFonts w:ascii="Times New Roman" w:hAnsi="Times New Roman" w:cs="Times New Roman"/>
          <w:sz w:val="24"/>
          <w:szCs w:val="24"/>
        </w:rPr>
      </w:pPr>
      <w:r w:rsidRPr="001430A6">
        <w:rPr>
          <w:rFonts w:ascii="Times New Roman" w:hAnsi="Times New Roman" w:cs="Times New Roman"/>
          <w:b/>
          <w:bCs/>
          <w:sz w:val="24"/>
          <w:szCs w:val="24"/>
        </w:rPr>
        <w:t>Portfolio Scale and National Reach</w:t>
      </w:r>
    </w:p>
    <w:p w14:paraId="76564EB2" w14:textId="77777777" w:rsidR="00C82FA5" w:rsidRPr="001430A6" w:rsidRDefault="00C82FA5" w:rsidP="001430A6">
      <w:pPr>
        <w:jc w:val="both"/>
        <w:rPr>
          <w:rFonts w:ascii="Times New Roman" w:hAnsi="Times New Roman" w:cs="Times New Roman"/>
          <w:sz w:val="24"/>
          <w:szCs w:val="24"/>
        </w:rPr>
      </w:pPr>
    </w:p>
    <w:p w14:paraId="4F3ED0FE" w14:textId="4FB9493F" w:rsidR="00407B8A" w:rsidRPr="001430A6" w:rsidRDefault="00407B8A"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Because FirstPort's portfolio is so valuable, </w:t>
      </w:r>
      <w:r w:rsidR="00AE24C5">
        <w:rPr>
          <w:rFonts w:ascii="Times New Roman" w:hAnsi="Times New Roman" w:cs="Times New Roman"/>
          <w:sz w:val="24"/>
          <w:szCs w:val="24"/>
        </w:rPr>
        <w:t>big savings</w:t>
      </w:r>
      <w:r w:rsidRPr="001430A6">
        <w:rPr>
          <w:rFonts w:ascii="Times New Roman" w:hAnsi="Times New Roman" w:cs="Times New Roman"/>
          <w:sz w:val="24"/>
          <w:szCs w:val="24"/>
        </w:rPr>
        <w:t xml:space="preserve"> make it possible for services to be offered at reasonable prices (FirstPort, 20</w:t>
      </w:r>
      <w:r w:rsidR="000D72F4">
        <w:rPr>
          <w:rFonts w:ascii="Times New Roman" w:hAnsi="Times New Roman" w:cs="Times New Roman"/>
          <w:sz w:val="24"/>
          <w:szCs w:val="24"/>
        </w:rPr>
        <w:t>24</w:t>
      </w:r>
      <w:r w:rsidRPr="001430A6">
        <w:rPr>
          <w:rFonts w:ascii="Times New Roman" w:hAnsi="Times New Roman" w:cs="Times New Roman"/>
          <w:sz w:val="24"/>
          <w:szCs w:val="24"/>
        </w:rPr>
        <w:t>).</w:t>
      </w:r>
      <w:r w:rsidR="00116236">
        <w:rPr>
          <w:rFonts w:ascii="Times New Roman" w:hAnsi="Times New Roman" w:cs="Times New Roman"/>
          <w:sz w:val="24"/>
          <w:szCs w:val="24"/>
        </w:rPr>
        <w:t xml:space="preserve"> </w:t>
      </w:r>
      <w:r w:rsidR="00B06B8B">
        <w:rPr>
          <w:rFonts w:ascii="Times New Roman" w:hAnsi="Times New Roman" w:cs="Times New Roman"/>
          <w:sz w:val="24"/>
          <w:szCs w:val="24"/>
        </w:rPr>
        <w:t>N</w:t>
      </w:r>
      <w:r w:rsidRPr="001430A6">
        <w:rPr>
          <w:rFonts w:ascii="Times New Roman" w:hAnsi="Times New Roman" w:cs="Times New Roman"/>
          <w:sz w:val="24"/>
          <w:szCs w:val="24"/>
        </w:rPr>
        <w:t>o similar-sized company in the UK exists (Tracxn, n</w:t>
      </w:r>
      <w:r w:rsidR="00B06B8B">
        <w:rPr>
          <w:rFonts w:ascii="Times New Roman" w:hAnsi="Times New Roman" w:cs="Times New Roman"/>
          <w:sz w:val="24"/>
          <w:szCs w:val="24"/>
        </w:rPr>
        <w:t>.d.</w:t>
      </w:r>
      <w:r w:rsidRPr="001430A6">
        <w:rPr>
          <w:rFonts w:ascii="Times New Roman" w:hAnsi="Times New Roman" w:cs="Times New Roman"/>
          <w:sz w:val="24"/>
          <w:szCs w:val="24"/>
        </w:rPr>
        <w:t>)—and it will be hard to copy soon because it would require big purchases or decades of growth. The national working framework of FirstPort is made to make the most of its size. All four VRIO conditions are met by portfolio size as a source of long-term economic advantage (Barney and Hesterly, 2019).</w:t>
      </w:r>
    </w:p>
    <w:p w14:paraId="200C0880" w14:textId="77777777" w:rsidR="00DB6A02" w:rsidRPr="001430A6" w:rsidRDefault="00DB6A02" w:rsidP="001430A6">
      <w:pPr>
        <w:jc w:val="both"/>
        <w:rPr>
          <w:rFonts w:ascii="Times New Roman" w:hAnsi="Times New Roman" w:cs="Times New Roman"/>
          <w:sz w:val="24"/>
          <w:szCs w:val="24"/>
        </w:rPr>
      </w:pPr>
    </w:p>
    <w:p w14:paraId="50B7B28A" w14:textId="77777777" w:rsidR="00B87AAD" w:rsidRPr="001430A6" w:rsidRDefault="00B87AAD" w:rsidP="001430A6">
      <w:pPr>
        <w:jc w:val="both"/>
        <w:rPr>
          <w:rFonts w:ascii="Times New Roman" w:hAnsi="Times New Roman" w:cs="Times New Roman"/>
          <w:sz w:val="24"/>
          <w:szCs w:val="24"/>
        </w:rPr>
      </w:pPr>
      <w:r w:rsidRPr="001430A6">
        <w:rPr>
          <w:rFonts w:ascii="Times New Roman" w:hAnsi="Times New Roman" w:cs="Times New Roman"/>
          <w:b/>
          <w:bCs/>
          <w:sz w:val="24"/>
          <w:szCs w:val="24"/>
        </w:rPr>
        <w:t>AI-Powered Smart Buildings Platform</w:t>
      </w:r>
    </w:p>
    <w:p w14:paraId="01EF3458" w14:textId="77777777" w:rsidR="00B87AAD" w:rsidRPr="001430A6" w:rsidRDefault="00B87AAD" w:rsidP="001430A6">
      <w:pPr>
        <w:jc w:val="both"/>
        <w:rPr>
          <w:rFonts w:ascii="Times New Roman" w:hAnsi="Times New Roman" w:cs="Times New Roman"/>
          <w:sz w:val="24"/>
          <w:szCs w:val="24"/>
        </w:rPr>
      </w:pPr>
    </w:p>
    <w:p w14:paraId="18CCB056" w14:textId="006BE0EC" w:rsidR="00D27918" w:rsidRDefault="00D27918" w:rsidP="001430A6">
      <w:pPr>
        <w:jc w:val="both"/>
        <w:rPr>
          <w:rFonts w:ascii="Times New Roman" w:hAnsi="Times New Roman" w:cs="Times New Roman"/>
          <w:sz w:val="24"/>
          <w:szCs w:val="24"/>
        </w:rPr>
      </w:pPr>
      <w:r w:rsidRPr="001430A6">
        <w:rPr>
          <w:rFonts w:ascii="Times New Roman" w:hAnsi="Times New Roman" w:cs="Times New Roman"/>
          <w:sz w:val="24"/>
          <w:szCs w:val="24"/>
        </w:rPr>
        <w:t>The predictive maintenance tool is currently not popular in the industry, but it is very important for lowering reactive costs and increasing resident happiness (First Property Group plc, 202</w:t>
      </w:r>
      <w:r w:rsidR="00964DF2">
        <w:rPr>
          <w:rFonts w:ascii="Times New Roman" w:hAnsi="Times New Roman" w:cs="Times New Roman"/>
          <w:sz w:val="24"/>
          <w:szCs w:val="24"/>
        </w:rPr>
        <w:t>4</w:t>
      </w:r>
      <w:r w:rsidRPr="001430A6">
        <w:rPr>
          <w:rFonts w:ascii="Times New Roman" w:hAnsi="Times New Roman" w:cs="Times New Roman"/>
          <w:sz w:val="24"/>
          <w:szCs w:val="24"/>
        </w:rPr>
        <w:t xml:space="preserve">). Even so, it's not really unique because the basic technical parts are still available for purchase (Management Association, I.R., 2021). As </w:t>
      </w:r>
      <w:r w:rsidR="00FE6E23" w:rsidRPr="00F15CC2">
        <w:rPr>
          <w:rFonts w:ascii="Times New Roman" w:hAnsi="Times New Roman" w:cs="Times New Roman"/>
          <w:sz w:val="24"/>
          <w:szCs w:val="24"/>
        </w:rPr>
        <w:t>Azeez Hussein (2020)</w:t>
      </w:r>
      <w:r w:rsidR="00FE6E23">
        <w:rPr>
          <w:rFonts w:ascii="Times New Roman" w:hAnsi="Times New Roman" w:cs="Times New Roman"/>
          <w:sz w:val="24"/>
          <w:szCs w:val="24"/>
        </w:rPr>
        <w:t xml:space="preserve"> points</w:t>
      </w:r>
      <w:r w:rsidRPr="001430A6">
        <w:rPr>
          <w:rFonts w:ascii="Times New Roman" w:hAnsi="Times New Roman" w:cs="Times New Roman"/>
          <w:sz w:val="24"/>
          <w:szCs w:val="24"/>
        </w:rPr>
        <w:t xml:space="preserve"> out, the long-term viability of technology-driven benefits depends on how well companies can gather private information about their systems, rather than relying solely on technology as a defence. This resource gives a short-term competitive edge, which could get better as more private info is collected.</w:t>
      </w:r>
    </w:p>
    <w:p w14:paraId="0F545288" w14:textId="77777777" w:rsidR="00025F63" w:rsidRPr="001430A6" w:rsidRDefault="00025F63" w:rsidP="001430A6">
      <w:pPr>
        <w:jc w:val="both"/>
        <w:rPr>
          <w:rFonts w:ascii="Times New Roman" w:hAnsi="Times New Roman" w:cs="Times New Roman"/>
          <w:sz w:val="24"/>
          <w:szCs w:val="24"/>
        </w:rPr>
      </w:pPr>
    </w:p>
    <w:p w14:paraId="43ADF7F3" w14:textId="77777777" w:rsidR="00971A9E" w:rsidRPr="001430A6" w:rsidRDefault="00971A9E" w:rsidP="001430A6">
      <w:pPr>
        <w:jc w:val="both"/>
        <w:rPr>
          <w:rFonts w:ascii="Times New Roman" w:hAnsi="Times New Roman" w:cs="Times New Roman"/>
          <w:sz w:val="24"/>
          <w:szCs w:val="24"/>
        </w:rPr>
      </w:pPr>
      <w:r w:rsidRPr="001430A6">
        <w:rPr>
          <w:rFonts w:ascii="Times New Roman" w:hAnsi="Times New Roman" w:cs="Times New Roman"/>
          <w:b/>
          <w:bCs/>
          <w:sz w:val="24"/>
          <w:szCs w:val="24"/>
        </w:rPr>
        <w:t>Sector-Specific Knowledge and Compliance Expertise</w:t>
      </w:r>
    </w:p>
    <w:p w14:paraId="1C8494E6" w14:textId="77777777" w:rsidR="00B87AAD" w:rsidRPr="001430A6" w:rsidRDefault="00B87AAD" w:rsidP="001430A6">
      <w:pPr>
        <w:jc w:val="both"/>
        <w:rPr>
          <w:rFonts w:ascii="Times New Roman" w:hAnsi="Times New Roman" w:cs="Times New Roman"/>
          <w:sz w:val="24"/>
          <w:szCs w:val="24"/>
        </w:rPr>
      </w:pPr>
    </w:p>
    <w:p w14:paraId="1493573F" w14:textId="7D6ED6A0" w:rsidR="00E8365D" w:rsidRDefault="00E8365D" w:rsidP="001430A6">
      <w:pPr>
        <w:jc w:val="both"/>
        <w:rPr>
          <w:rFonts w:ascii="Times New Roman" w:hAnsi="Times New Roman" w:cs="Times New Roman"/>
          <w:sz w:val="24"/>
          <w:szCs w:val="24"/>
        </w:rPr>
      </w:pPr>
      <w:r w:rsidRPr="001430A6">
        <w:rPr>
          <w:rFonts w:ascii="Times New Roman" w:hAnsi="Times New Roman" w:cs="Times New Roman"/>
          <w:sz w:val="24"/>
          <w:szCs w:val="24"/>
        </w:rPr>
        <w:t xml:space="preserve">Since the sector lacks skilled workers, compliance expertise is essential yet difficult to acquire (IBISWorld, 2025). It is also difficult to reproduce since it is kept in experienced people's brains and institutional memory, not in transferable assets (Leskovar-Spacapan and Bastic, 2007). FirstPort has a long-term advantage over its competition when it leverages this expertise regularly. However, reliance on key personnel and differential performance across initiatives </w:t>
      </w:r>
      <w:r w:rsidR="00ED2976">
        <w:rPr>
          <w:rFonts w:ascii="Times New Roman" w:hAnsi="Times New Roman" w:cs="Times New Roman"/>
          <w:sz w:val="24"/>
          <w:szCs w:val="24"/>
        </w:rPr>
        <w:t>generates</w:t>
      </w:r>
      <w:r w:rsidRPr="001430A6">
        <w:rPr>
          <w:rFonts w:ascii="Times New Roman" w:hAnsi="Times New Roman" w:cs="Times New Roman"/>
          <w:sz w:val="24"/>
          <w:szCs w:val="24"/>
        </w:rPr>
        <w:t xml:space="preserve"> an organisational gap that must be handled proactively.</w:t>
      </w:r>
    </w:p>
    <w:p w14:paraId="5A982B5A" w14:textId="77777777" w:rsidR="00025F63" w:rsidRDefault="00025F63" w:rsidP="001430A6">
      <w:pPr>
        <w:jc w:val="both"/>
        <w:rPr>
          <w:rFonts w:ascii="Times New Roman" w:hAnsi="Times New Roman" w:cs="Times New Roman"/>
          <w:sz w:val="24"/>
          <w:szCs w:val="24"/>
        </w:rPr>
      </w:pPr>
    </w:p>
    <w:p w14:paraId="6F04E885" w14:textId="77777777" w:rsidR="00025F63" w:rsidRDefault="00025F63" w:rsidP="001430A6">
      <w:pPr>
        <w:jc w:val="both"/>
        <w:rPr>
          <w:rFonts w:ascii="Times New Roman" w:hAnsi="Times New Roman" w:cs="Times New Roman"/>
          <w:sz w:val="24"/>
          <w:szCs w:val="24"/>
        </w:rPr>
      </w:pPr>
    </w:p>
    <w:p w14:paraId="38CFFD9F" w14:textId="77777777" w:rsidR="00025F63" w:rsidRPr="001430A6" w:rsidRDefault="00025F63" w:rsidP="001430A6">
      <w:pPr>
        <w:jc w:val="both"/>
        <w:rPr>
          <w:rFonts w:ascii="Times New Roman" w:hAnsi="Times New Roman" w:cs="Times New Roman"/>
          <w:sz w:val="24"/>
          <w:szCs w:val="24"/>
        </w:rPr>
      </w:pPr>
    </w:p>
    <w:p w14:paraId="1A13D964" w14:textId="77777777" w:rsidR="0051136B" w:rsidRDefault="0051136B"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Established Developer and Investor Relationships</w:t>
      </w:r>
    </w:p>
    <w:p w14:paraId="46CEE5F0" w14:textId="77777777" w:rsidR="00507CC7" w:rsidRPr="001430A6" w:rsidRDefault="00507CC7" w:rsidP="001430A6">
      <w:pPr>
        <w:jc w:val="both"/>
        <w:rPr>
          <w:rFonts w:ascii="Times New Roman" w:hAnsi="Times New Roman" w:cs="Times New Roman"/>
          <w:sz w:val="24"/>
          <w:szCs w:val="24"/>
        </w:rPr>
      </w:pPr>
    </w:p>
    <w:p w14:paraId="1BA035C0" w14:textId="77777777" w:rsidR="00FB4EB2" w:rsidRDefault="00FB4EB2" w:rsidP="001430A6">
      <w:pPr>
        <w:jc w:val="both"/>
        <w:rPr>
          <w:rFonts w:ascii="Times New Roman" w:hAnsi="Times New Roman" w:cs="Times New Roman"/>
          <w:sz w:val="24"/>
          <w:szCs w:val="24"/>
        </w:rPr>
      </w:pPr>
      <w:r w:rsidRPr="001430A6">
        <w:rPr>
          <w:rFonts w:ascii="Times New Roman" w:hAnsi="Times New Roman" w:cs="Times New Roman"/>
          <w:sz w:val="24"/>
          <w:szCs w:val="24"/>
        </w:rPr>
        <w:t>Time-tested customer relationships are rare and hard to replicate. According to Rodríguez-Díaz and Espino-Rodríguez (2006), building trust and flexibility via interpersonal skills is a key strategy for success in the service business, rather than with contracts. Due to competent account management and digital reporting, these linkages help firms sustain contracts over time.</w:t>
      </w:r>
    </w:p>
    <w:p w14:paraId="19C536D5" w14:textId="77777777" w:rsidR="00202ED0" w:rsidRPr="001430A6" w:rsidRDefault="00202ED0" w:rsidP="001430A6">
      <w:pPr>
        <w:jc w:val="both"/>
        <w:rPr>
          <w:rFonts w:ascii="Times New Roman" w:hAnsi="Times New Roman" w:cs="Times New Roman"/>
          <w:sz w:val="24"/>
          <w:szCs w:val="24"/>
        </w:rPr>
      </w:pPr>
    </w:p>
    <w:p w14:paraId="2B70D736" w14:textId="77777777" w:rsidR="00F7753E" w:rsidRPr="001430A6" w:rsidRDefault="00F7753E"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3.3 Strengths and Weaknesses</w:t>
      </w:r>
    </w:p>
    <w:p w14:paraId="22FCF72E" w14:textId="77777777" w:rsidR="00F7753E" w:rsidRDefault="00F7753E"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Strengths</w:t>
      </w:r>
    </w:p>
    <w:p w14:paraId="6BB1CAF7" w14:textId="77777777" w:rsidR="00507CC7" w:rsidRPr="001430A6" w:rsidRDefault="00507CC7" w:rsidP="001430A6">
      <w:pPr>
        <w:jc w:val="both"/>
        <w:rPr>
          <w:rFonts w:ascii="Times New Roman" w:hAnsi="Times New Roman" w:cs="Times New Roman"/>
          <w:sz w:val="24"/>
          <w:szCs w:val="24"/>
        </w:rPr>
      </w:pPr>
    </w:p>
    <w:p w14:paraId="6D155AFF" w14:textId="58701C43" w:rsidR="001E19F9" w:rsidRPr="001430A6" w:rsidRDefault="001E19F9" w:rsidP="001430A6">
      <w:pPr>
        <w:jc w:val="both"/>
        <w:rPr>
          <w:rFonts w:ascii="Times New Roman" w:hAnsi="Times New Roman" w:cs="Times New Roman"/>
          <w:sz w:val="24"/>
          <w:szCs w:val="24"/>
        </w:rPr>
      </w:pPr>
      <w:r w:rsidRPr="001430A6">
        <w:rPr>
          <w:rFonts w:ascii="Times New Roman" w:hAnsi="Times New Roman" w:cs="Times New Roman"/>
          <w:sz w:val="24"/>
          <w:szCs w:val="24"/>
        </w:rPr>
        <w:t>A strong market position provides FirstPort benefits in procurement, revenue size, and brand recognition that competitors cannot match (FirstPort, 2026). Early digital transformation expenditures like CRM infrastructure and AI-driven building management have made the company more efficient than its competitors (First Property Group plc, 2024; 2025). Voudouris et al. (2012) claim companies with strong internal technical expertise earn superior technological returns. This conclusion applies to FirstPort's platform installations. Knowing how to observe regulations becomes more important as they grow harsher. Emeria Europe's purchase gives them European best practices and money (Qurated, n</w:t>
      </w:r>
      <w:r w:rsidR="009A3687">
        <w:rPr>
          <w:rFonts w:ascii="Times New Roman" w:hAnsi="Times New Roman" w:cs="Times New Roman"/>
          <w:sz w:val="24"/>
          <w:szCs w:val="24"/>
        </w:rPr>
        <w:t>.d.</w:t>
      </w:r>
      <w:r w:rsidRPr="001430A6">
        <w:rPr>
          <w:rFonts w:ascii="Times New Roman" w:hAnsi="Times New Roman" w:cs="Times New Roman"/>
          <w:sz w:val="24"/>
          <w:szCs w:val="24"/>
        </w:rPr>
        <w:t>).</w:t>
      </w:r>
    </w:p>
    <w:p w14:paraId="15B17019" w14:textId="77777777" w:rsidR="00971A9E" w:rsidRPr="001430A6" w:rsidRDefault="00971A9E" w:rsidP="001430A6">
      <w:pPr>
        <w:jc w:val="both"/>
        <w:rPr>
          <w:rFonts w:ascii="Times New Roman" w:hAnsi="Times New Roman" w:cs="Times New Roman"/>
          <w:sz w:val="24"/>
          <w:szCs w:val="24"/>
        </w:rPr>
      </w:pPr>
    </w:p>
    <w:p w14:paraId="2A370564" w14:textId="77777777" w:rsidR="004320B0" w:rsidRDefault="004320B0"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Weaknesses</w:t>
      </w:r>
    </w:p>
    <w:p w14:paraId="70FFC59B" w14:textId="77777777" w:rsidR="009A3687" w:rsidRPr="001430A6" w:rsidRDefault="009A3687" w:rsidP="001430A6">
      <w:pPr>
        <w:jc w:val="both"/>
        <w:rPr>
          <w:rFonts w:ascii="Times New Roman" w:hAnsi="Times New Roman" w:cs="Times New Roman"/>
          <w:sz w:val="24"/>
          <w:szCs w:val="24"/>
        </w:rPr>
      </w:pPr>
    </w:p>
    <w:p w14:paraId="27799E72" w14:textId="1F5D74FF" w:rsidR="00383049" w:rsidRPr="00383049" w:rsidRDefault="00383049" w:rsidP="00383049">
      <w:pPr>
        <w:jc w:val="both"/>
        <w:rPr>
          <w:rFonts w:ascii="Times New Roman" w:hAnsi="Times New Roman" w:cs="Times New Roman"/>
          <w:sz w:val="24"/>
          <w:szCs w:val="24"/>
        </w:rPr>
      </w:pPr>
      <w:r w:rsidRPr="00383049">
        <w:rPr>
          <w:rFonts w:ascii="Times New Roman" w:hAnsi="Times New Roman" w:cs="Times New Roman"/>
          <w:sz w:val="24"/>
          <w:szCs w:val="24"/>
        </w:rPr>
        <w:t xml:space="preserve">Bad reputation matters. Hansard (2025) discovered large gaps in service charge responsiveness, openness, and performance. Drummond, Ensor, and Ashford (2008) note that market leadership may lose strategic relevance without service performance supporting brand positioning. The ability of leaseholders to question management standards increases this risk. Second, maintaining 5,600 buildings with a large staff makes service standards hard to enforce. Strategy reorientation might cause unequal competence development among company divisions, hindering strategic objectives, according to Leskovar-Spacapan and Bastic (2007). Competent contractors diminish earnings and expose the supply chain in skills shortages (IBISWorld, 2025). </w:t>
      </w:r>
      <w:r w:rsidRPr="00383049">
        <w:rPr>
          <w:rFonts w:ascii="Times New Roman" w:hAnsi="Times New Roman" w:cs="Times New Roman"/>
          <w:sz w:val="24"/>
          <w:szCs w:val="24"/>
        </w:rPr>
        <w:br/>
        <w:t xml:space="preserve">The gap between its digital objectives and the necessity for constant execution in front of consumers hinders the strategic success of an </w:t>
      </w:r>
      <w:r w:rsidR="00146A03">
        <w:rPr>
          <w:rFonts w:ascii="Times New Roman" w:hAnsi="Times New Roman" w:cs="Times New Roman"/>
          <w:sz w:val="24"/>
          <w:szCs w:val="24"/>
        </w:rPr>
        <w:t>organisation</w:t>
      </w:r>
      <w:r w:rsidRPr="00383049">
        <w:rPr>
          <w:rFonts w:ascii="Times New Roman" w:hAnsi="Times New Roman" w:cs="Times New Roman"/>
          <w:sz w:val="24"/>
          <w:szCs w:val="24"/>
        </w:rPr>
        <w:t xml:space="preserve"> with a solid competitive foundation. FirstPort's top internal strategy aim for the near future is to close this gap via transformation and cultural alignment (Barney and Hesterly, 2019; Dang-Van et al., 2024).</w:t>
      </w:r>
    </w:p>
    <w:p w14:paraId="48BC3362" w14:textId="77777777" w:rsidR="00235A02" w:rsidRDefault="00235A02" w:rsidP="001430A6">
      <w:pPr>
        <w:jc w:val="both"/>
        <w:rPr>
          <w:rFonts w:ascii="Times New Roman" w:hAnsi="Times New Roman" w:cs="Times New Roman"/>
          <w:sz w:val="24"/>
          <w:szCs w:val="24"/>
        </w:rPr>
      </w:pPr>
    </w:p>
    <w:p w14:paraId="3E353357" w14:textId="77777777" w:rsidR="00646AB9" w:rsidRDefault="00646AB9" w:rsidP="001430A6">
      <w:pPr>
        <w:jc w:val="both"/>
        <w:rPr>
          <w:rFonts w:ascii="Times New Roman" w:hAnsi="Times New Roman" w:cs="Times New Roman"/>
          <w:sz w:val="24"/>
          <w:szCs w:val="24"/>
        </w:rPr>
      </w:pPr>
    </w:p>
    <w:p w14:paraId="7C9F5EC8" w14:textId="77777777" w:rsidR="00BB2FE1" w:rsidRPr="001430A6" w:rsidRDefault="00BB2FE1" w:rsidP="001430A6">
      <w:pPr>
        <w:jc w:val="both"/>
        <w:rPr>
          <w:rFonts w:ascii="Times New Roman" w:hAnsi="Times New Roman" w:cs="Times New Roman"/>
          <w:sz w:val="24"/>
          <w:szCs w:val="24"/>
        </w:rPr>
      </w:pPr>
    </w:p>
    <w:p w14:paraId="09042A1A" w14:textId="77777777" w:rsidR="00BB2FE1" w:rsidRPr="001430A6" w:rsidRDefault="00BB2FE1"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4. Strategy and Competitive Position</w:t>
      </w:r>
    </w:p>
    <w:p w14:paraId="7FCFDC44" w14:textId="77777777" w:rsidR="00BB2FE1" w:rsidRDefault="00BB2FE1"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4.1 Current Strategic Approach</w:t>
      </w:r>
    </w:p>
    <w:p w14:paraId="677B2819" w14:textId="77777777" w:rsidR="004B3690" w:rsidRPr="001430A6" w:rsidRDefault="004B3690" w:rsidP="001430A6">
      <w:pPr>
        <w:jc w:val="both"/>
        <w:rPr>
          <w:rFonts w:ascii="Times New Roman" w:hAnsi="Times New Roman" w:cs="Times New Roman"/>
          <w:b/>
          <w:bCs/>
          <w:sz w:val="24"/>
          <w:szCs w:val="24"/>
        </w:rPr>
      </w:pPr>
    </w:p>
    <w:p w14:paraId="5F664C22" w14:textId="77777777" w:rsidR="00234780" w:rsidRDefault="00234780" w:rsidP="00234780">
      <w:pPr>
        <w:jc w:val="both"/>
        <w:rPr>
          <w:rFonts w:ascii="Times New Roman" w:hAnsi="Times New Roman" w:cs="Times New Roman"/>
          <w:sz w:val="24"/>
          <w:szCs w:val="24"/>
        </w:rPr>
      </w:pPr>
      <w:r w:rsidRPr="00234780">
        <w:rPr>
          <w:rFonts w:ascii="Times New Roman" w:hAnsi="Times New Roman" w:cs="Times New Roman"/>
          <w:sz w:val="24"/>
          <w:szCs w:val="24"/>
        </w:rPr>
        <w:t xml:space="preserve">Johnson, Whittington, and Scholes (2012) say differentiated cost leadership, which combines its unrivalled portfolio size with a rising emphasis on service differentiation via digital capabilities and compliance expertise, is the major competitive strategy. The company will differentiate in price, service quality, regulatory expertise, and technology-driven operations (FirstPort, 2026). Premium contracts with institutional investors, big housebuilders, and sophisticated mixed-use complexes are its specialities. </w:t>
      </w:r>
    </w:p>
    <w:p w14:paraId="479771F5" w14:textId="1F66031A" w:rsidR="00234780" w:rsidRPr="00234780" w:rsidRDefault="00234780" w:rsidP="00234780">
      <w:pPr>
        <w:jc w:val="both"/>
        <w:rPr>
          <w:rFonts w:ascii="Times New Roman" w:hAnsi="Times New Roman" w:cs="Times New Roman"/>
          <w:sz w:val="24"/>
          <w:szCs w:val="24"/>
        </w:rPr>
      </w:pPr>
      <w:r w:rsidRPr="00234780">
        <w:rPr>
          <w:rFonts w:ascii="Times New Roman" w:hAnsi="Times New Roman" w:cs="Times New Roman"/>
          <w:sz w:val="24"/>
          <w:szCs w:val="24"/>
        </w:rPr>
        <w:br/>
      </w:r>
      <w:r w:rsidRPr="00234780">
        <w:rPr>
          <w:rFonts w:ascii="Times New Roman" w:hAnsi="Times New Roman" w:cs="Times New Roman"/>
          <w:sz w:val="24"/>
          <w:szCs w:val="24"/>
        </w:rPr>
        <w:br/>
        <w:t xml:space="preserve">FirstPort streamlines business and acquisitions with its size. First Property Group plc (2025) funds resident communication, service transparency, and predictive maintenance digital technologies. Reduced back-office staff, a fully integrated CRM system, and AI-powered smart buildings set FirstPort apart from other service providers. Hooley et al. (2024) feel </w:t>
      </w:r>
      <w:r w:rsidR="005B3852">
        <w:rPr>
          <w:rFonts w:ascii="Times New Roman" w:hAnsi="Times New Roman" w:cs="Times New Roman"/>
          <w:sz w:val="24"/>
          <w:szCs w:val="24"/>
        </w:rPr>
        <w:t xml:space="preserve">that </w:t>
      </w:r>
      <w:r w:rsidRPr="00234780">
        <w:rPr>
          <w:rFonts w:ascii="Times New Roman" w:hAnsi="Times New Roman" w:cs="Times New Roman"/>
          <w:sz w:val="24"/>
          <w:szCs w:val="24"/>
        </w:rPr>
        <w:t xml:space="preserve">digital expenditure supports fragmented service market </w:t>
      </w:r>
      <w:r w:rsidR="0063212A">
        <w:rPr>
          <w:rFonts w:ascii="Times New Roman" w:hAnsi="Times New Roman" w:cs="Times New Roman"/>
          <w:sz w:val="24"/>
          <w:szCs w:val="24"/>
        </w:rPr>
        <w:t>firms'</w:t>
      </w:r>
      <w:r w:rsidRPr="00234780">
        <w:rPr>
          <w:rFonts w:ascii="Times New Roman" w:hAnsi="Times New Roman" w:cs="Times New Roman"/>
          <w:sz w:val="24"/>
          <w:szCs w:val="24"/>
        </w:rPr>
        <w:t xml:space="preserve"> demand </w:t>
      </w:r>
      <w:r w:rsidR="0063212A">
        <w:rPr>
          <w:rFonts w:ascii="Times New Roman" w:hAnsi="Times New Roman" w:cs="Times New Roman"/>
          <w:sz w:val="24"/>
          <w:szCs w:val="24"/>
        </w:rPr>
        <w:t xml:space="preserve">for </w:t>
      </w:r>
      <w:r w:rsidRPr="00234780">
        <w:rPr>
          <w:rFonts w:ascii="Times New Roman" w:hAnsi="Times New Roman" w:cs="Times New Roman"/>
          <w:sz w:val="24"/>
          <w:szCs w:val="24"/>
        </w:rPr>
        <w:t>distinctive, trusted people.</w:t>
      </w:r>
      <w:r w:rsidRPr="00234780">
        <w:rPr>
          <w:rFonts w:ascii="Times New Roman" w:hAnsi="Times New Roman" w:cs="Times New Roman"/>
          <w:sz w:val="24"/>
          <w:szCs w:val="24"/>
        </w:rPr>
        <w:br/>
        <w:t>Emeria Europe bought First Port Property Services to professionalise and globalise its leading European residential real estate services business model using best practices. This will improve the company's reputation in a consolidating UK market (Qurated, n.d.).</w:t>
      </w:r>
    </w:p>
    <w:p w14:paraId="5A0EFC62" w14:textId="77777777" w:rsidR="00792A66" w:rsidRPr="001430A6" w:rsidRDefault="00792A66" w:rsidP="001430A6">
      <w:pPr>
        <w:jc w:val="both"/>
        <w:rPr>
          <w:rFonts w:ascii="Times New Roman" w:hAnsi="Times New Roman" w:cs="Times New Roman"/>
          <w:sz w:val="24"/>
          <w:szCs w:val="24"/>
        </w:rPr>
      </w:pPr>
    </w:p>
    <w:p w14:paraId="5E1CA693" w14:textId="77777777" w:rsidR="00D621F1" w:rsidRDefault="00D621F1"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4.2 Competitive Position</w:t>
      </w:r>
    </w:p>
    <w:p w14:paraId="6C214279" w14:textId="77777777" w:rsidR="004B3690" w:rsidRDefault="004B3690" w:rsidP="001430A6">
      <w:pPr>
        <w:jc w:val="both"/>
        <w:rPr>
          <w:rFonts w:ascii="Times New Roman" w:hAnsi="Times New Roman" w:cs="Times New Roman"/>
          <w:b/>
          <w:bCs/>
          <w:sz w:val="24"/>
          <w:szCs w:val="24"/>
        </w:rPr>
      </w:pPr>
    </w:p>
    <w:p w14:paraId="38F4D3CB" w14:textId="77777777" w:rsidR="004C010D" w:rsidRDefault="002F271E" w:rsidP="002F271E">
      <w:pPr>
        <w:jc w:val="both"/>
        <w:rPr>
          <w:rFonts w:ascii="Times New Roman" w:hAnsi="Times New Roman" w:cs="Times New Roman"/>
          <w:sz w:val="24"/>
          <w:szCs w:val="24"/>
        </w:rPr>
      </w:pPr>
      <w:r w:rsidRPr="002F271E">
        <w:rPr>
          <w:rFonts w:ascii="Times New Roman" w:hAnsi="Times New Roman" w:cs="Times New Roman"/>
          <w:sz w:val="24"/>
          <w:szCs w:val="24"/>
        </w:rPr>
        <w:t xml:space="preserve">UK residential property management leader FirstPort outperforms domestic competitors (FirstPort, 2026). Smaller rivals like LSL, Countrywide Limited, and VPS Holdings lack FirstPort's institutional client </w:t>
      </w:r>
      <w:r w:rsidR="00AE592D">
        <w:rPr>
          <w:rFonts w:ascii="Times New Roman" w:hAnsi="Times New Roman" w:cs="Times New Roman"/>
          <w:sz w:val="24"/>
          <w:szCs w:val="24"/>
        </w:rPr>
        <w:t>relationships</w:t>
      </w:r>
      <w:r w:rsidRPr="002F271E">
        <w:rPr>
          <w:rFonts w:ascii="Times New Roman" w:hAnsi="Times New Roman" w:cs="Times New Roman"/>
          <w:sz w:val="24"/>
          <w:szCs w:val="24"/>
        </w:rPr>
        <w:t xml:space="preserve">, geographic reach, and procurement power (Tracxn, n.d.). </w:t>
      </w:r>
      <w:r w:rsidR="006C1CAD">
        <w:rPr>
          <w:rFonts w:ascii="Times New Roman" w:hAnsi="Times New Roman" w:cs="Times New Roman"/>
          <w:sz w:val="24"/>
          <w:szCs w:val="24"/>
        </w:rPr>
        <w:t>A</w:t>
      </w:r>
      <w:r w:rsidRPr="002F271E">
        <w:rPr>
          <w:rFonts w:ascii="Times New Roman" w:hAnsi="Times New Roman" w:cs="Times New Roman"/>
          <w:sz w:val="24"/>
          <w:szCs w:val="24"/>
        </w:rPr>
        <w:t>dvantage increases competitiveness. Larger, regionally specialised operators may negotiate lower contractor and insurance rates, distribute compliance expenses over a wide portfolio, and invest in proprietary technology platforms (Allon, 2013). According to Azeez Hussein (2020), market knowledge and service diversity make service organisations competitive. FirstPort wins contracts via long-term collaborations with big housebuilders and institutional freeholders.</w:t>
      </w:r>
    </w:p>
    <w:p w14:paraId="5CFFB325" w14:textId="14F22B55" w:rsidR="002F271E" w:rsidRDefault="002F271E" w:rsidP="002F271E">
      <w:pPr>
        <w:jc w:val="both"/>
        <w:rPr>
          <w:rFonts w:ascii="Times New Roman" w:hAnsi="Times New Roman" w:cs="Times New Roman"/>
          <w:sz w:val="24"/>
          <w:szCs w:val="24"/>
        </w:rPr>
      </w:pPr>
      <w:r w:rsidRPr="002F271E">
        <w:rPr>
          <w:rFonts w:ascii="Times New Roman" w:hAnsi="Times New Roman" w:cs="Times New Roman"/>
          <w:sz w:val="24"/>
          <w:szCs w:val="24"/>
        </w:rPr>
        <w:t xml:space="preserve"> </w:t>
      </w:r>
      <w:r w:rsidRPr="002F271E">
        <w:rPr>
          <w:rFonts w:ascii="Times New Roman" w:hAnsi="Times New Roman" w:cs="Times New Roman"/>
          <w:sz w:val="24"/>
          <w:szCs w:val="24"/>
        </w:rPr>
        <w:br/>
      </w:r>
      <w:r w:rsidRPr="002F271E">
        <w:rPr>
          <w:rFonts w:ascii="Times New Roman" w:hAnsi="Times New Roman" w:cs="Times New Roman"/>
          <w:sz w:val="24"/>
          <w:szCs w:val="24"/>
        </w:rPr>
        <w:br/>
        <w:t>However, FirstPort's competitive approach has limits. Legislation reviewing service charge systems and communication requirements affects reputation as leaseholder empowerment rises (Hansard, 2025). The residential sector, which has less service complexity and greater price sensitivity, faces increasing competition from emerging PropTech companies that provide digitally native management solutions at lower prices (Grand View Research, 2025).</w:t>
      </w:r>
    </w:p>
    <w:p w14:paraId="41F5544D" w14:textId="77777777" w:rsidR="004B3690" w:rsidRDefault="004B3690" w:rsidP="002F271E">
      <w:pPr>
        <w:jc w:val="both"/>
        <w:rPr>
          <w:rFonts w:ascii="Times New Roman" w:hAnsi="Times New Roman" w:cs="Times New Roman"/>
          <w:sz w:val="24"/>
          <w:szCs w:val="24"/>
        </w:rPr>
      </w:pPr>
    </w:p>
    <w:p w14:paraId="0DD4A576" w14:textId="77777777" w:rsidR="00D86A2E" w:rsidRPr="002F271E" w:rsidRDefault="00D86A2E" w:rsidP="002F271E">
      <w:pPr>
        <w:jc w:val="both"/>
        <w:rPr>
          <w:rFonts w:ascii="Times New Roman" w:hAnsi="Times New Roman" w:cs="Times New Roman"/>
          <w:sz w:val="24"/>
          <w:szCs w:val="24"/>
        </w:rPr>
      </w:pPr>
    </w:p>
    <w:p w14:paraId="33BC1347" w14:textId="77777777" w:rsidR="000F222E" w:rsidRDefault="000F222E"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lastRenderedPageBreak/>
        <w:t>4.3 Strategic Alignment or Drift</w:t>
      </w:r>
    </w:p>
    <w:p w14:paraId="2E785288" w14:textId="77777777" w:rsidR="00AA542E" w:rsidRPr="001430A6" w:rsidRDefault="00AA542E" w:rsidP="001430A6">
      <w:pPr>
        <w:jc w:val="both"/>
        <w:rPr>
          <w:rFonts w:ascii="Times New Roman" w:hAnsi="Times New Roman" w:cs="Times New Roman"/>
          <w:b/>
          <w:bCs/>
          <w:sz w:val="24"/>
          <w:szCs w:val="24"/>
        </w:rPr>
      </w:pPr>
    </w:p>
    <w:p w14:paraId="51AE705B" w14:textId="77777777" w:rsidR="003B033F" w:rsidRPr="003B033F" w:rsidRDefault="003B033F" w:rsidP="001430A6">
      <w:pPr>
        <w:jc w:val="both"/>
        <w:rPr>
          <w:rFonts w:ascii="Times New Roman" w:hAnsi="Times New Roman" w:cs="Times New Roman"/>
          <w:sz w:val="24"/>
          <w:szCs w:val="24"/>
        </w:rPr>
      </w:pPr>
      <w:r w:rsidRPr="003B033F">
        <w:rPr>
          <w:rFonts w:ascii="Times New Roman" w:hAnsi="Times New Roman" w:cs="Times New Roman"/>
          <w:sz w:val="24"/>
          <w:szCs w:val="24"/>
        </w:rPr>
        <w:t>FirstPort's strategy, external environment, and internal capabilities usually coincide. The corporation accurately identified its primary competitive factors: tougher laws, rising resident expectations, and growing technology. Investment in these sectors is predicted (First Property Group plc, 2024; 2025). A restructuring industry matched the digital transformation project, compliance framework, and Emeria purchase (Homes Partnership, 2025).</w:t>
      </w:r>
    </w:p>
    <w:p w14:paraId="0D751552" w14:textId="171CE577" w:rsidR="00137DE9" w:rsidRDefault="00137DE9" w:rsidP="001430A6">
      <w:pPr>
        <w:jc w:val="both"/>
        <w:rPr>
          <w:rFonts w:ascii="Times New Roman" w:hAnsi="Times New Roman" w:cs="Times New Roman"/>
          <w:sz w:val="24"/>
          <w:szCs w:val="24"/>
        </w:rPr>
      </w:pPr>
      <w:r w:rsidRPr="00137DE9">
        <w:rPr>
          <w:rFonts w:ascii="Times New Roman" w:hAnsi="Times New Roman" w:cs="Times New Roman"/>
          <w:sz w:val="24"/>
          <w:szCs w:val="24"/>
        </w:rPr>
        <w:t xml:space="preserve">Strategic drift occurs when operational execution differs from strategic purpose. Johnson, Whittington, and Scholes (2012) define strategic drift as an </w:t>
      </w:r>
      <w:r w:rsidR="0091715C">
        <w:rPr>
          <w:rFonts w:ascii="Times New Roman" w:hAnsi="Times New Roman" w:cs="Times New Roman"/>
          <w:sz w:val="24"/>
          <w:szCs w:val="24"/>
        </w:rPr>
        <w:t>organisation's</w:t>
      </w:r>
      <w:r w:rsidRPr="00137DE9">
        <w:rPr>
          <w:rFonts w:ascii="Times New Roman" w:hAnsi="Times New Roman" w:cs="Times New Roman"/>
          <w:sz w:val="24"/>
          <w:szCs w:val="24"/>
        </w:rPr>
        <w:t xml:space="preserve"> strategy diverging from its environment's shifting expectations. Often, transformation efforts fail to enhance frontline performance. Onufrey and Bergek (2021) observed that established significant industry companies in transition fail to link innovation aspirations with operational execution, resulting in internal inconsistencies that endanger competitive repositioning. Service cost transparency and resident communication concerns indicate FirstPort's incomplete digital and cultural transformation </w:t>
      </w:r>
      <w:r w:rsidR="00D358FB" w:rsidRPr="00D358FB">
        <w:rPr>
          <w:rFonts w:ascii="Times New Roman" w:hAnsi="Times New Roman" w:cs="Times New Roman"/>
          <w:sz w:val="24"/>
          <w:szCs w:val="24"/>
        </w:rPr>
        <w:t>(Ali, Li and Latif, 2020)</w:t>
      </w:r>
      <w:r w:rsidR="00D358FB">
        <w:rPr>
          <w:rFonts w:ascii="Times New Roman" w:hAnsi="Times New Roman" w:cs="Times New Roman"/>
          <w:sz w:val="24"/>
          <w:szCs w:val="24"/>
        </w:rPr>
        <w:t>.</w:t>
      </w:r>
    </w:p>
    <w:p w14:paraId="01E5FD0E" w14:textId="77777777" w:rsidR="006A52A7" w:rsidRDefault="006A52A7" w:rsidP="001430A6">
      <w:pPr>
        <w:jc w:val="both"/>
        <w:rPr>
          <w:rFonts w:ascii="Times New Roman" w:hAnsi="Times New Roman" w:cs="Times New Roman"/>
          <w:sz w:val="24"/>
          <w:szCs w:val="24"/>
        </w:rPr>
      </w:pPr>
    </w:p>
    <w:p w14:paraId="2CDE00A2" w14:textId="77777777" w:rsidR="00B31E6E" w:rsidRPr="001430A6" w:rsidRDefault="00B31E6E" w:rsidP="001430A6">
      <w:pPr>
        <w:jc w:val="both"/>
        <w:rPr>
          <w:rFonts w:ascii="Times New Roman" w:hAnsi="Times New Roman" w:cs="Times New Roman"/>
          <w:sz w:val="24"/>
          <w:szCs w:val="24"/>
        </w:rPr>
      </w:pPr>
    </w:p>
    <w:p w14:paraId="4E487D4C" w14:textId="77777777" w:rsidR="00B31E6E" w:rsidRPr="001430A6" w:rsidRDefault="00B31E6E" w:rsidP="001430A6">
      <w:pPr>
        <w:jc w:val="both"/>
        <w:rPr>
          <w:rFonts w:ascii="Times New Roman" w:hAnsi="Times New Roman" w:cs="Times New Roman"/>
          <w:b/>
          <w:bCs/>
          <w:sz w:val="24"/>
          <w:szCs w:val="24"/>
        </w:rPr>
      </w:pPr>
      <w:r w:rsidRPr="001430A6">
        <w:rPr>
          <w:rFonts w:ascii="Times New Roman" w:hAnsi="Times New Roman" w:cs="Times New Roman"/>
          <w:b/>
          <w:bCs/>
          <w:sz w:val="24"/>
          <w:szCs w:val="24"/>
        </w:rPr>
        <w:t>4.4 Risks and Limitations</w:t>
      </w:r>
    </w:p>
    <w:p w14:paraId="1A085F9B" w14:textId="77777777" w:rsidR="00B31E6E" w:rsidRPr="00011AFD" w:rsidRDefault="00B31E6E" w:rsidP="001430A6">
      <w:pPr>
        <w:jc w:val="both"/>
        <w:rPr>
          <w:rFonts w:ascii="Times New Roman" w:hAnsi="Times New Roman" w:cs="Times New Roman"/>
          <w:sz w:val="24"/>
          <w:szCs w:val="24"/>
        </w:rPr>
      </w:pPr>
    </w:p>
    <w:p w14:paraId="5103A0BF" w14:textId="74120A49" w:rsidR="00C23476" w:rsidRDefault="003B529F" w:rsidP="00C23476">
      <w:pPr>
        <w:jc w:val="both"/>
        <w:rPr>
          <w:rFonts w:ascii="Times New Roman" w:hAnsi="Times New Roman" w:cs="Times New Roman"/>
          <w:sz w:val="24"/>
          <w:szCs w:val="24"/>
        </w:rPr>
      </w:pPr>
      <w:r>
        <w:rPr>
          <w:rFonts w:ascii="Times New Roman" w:hAnsi="Times New Roman" w:cs="Times New Roman"/>
          <w:sz w:val="24"/>
          <w:szCs w:val="24"/>
        </w:rPr>
        <w:t>S</w:t>
      </w:r>
      <w:r w:rsidR="00C23476" w:rsidRPr="00C23476">
        <w:rPr>
          <w:rFonts w:ascii="Times New Roman" w:hAnsi="Times New Roman" w:cs="Times New Roman"/>
          <w:sz w:val="24"/>
          <w:szCs w:val="24"/>
        </w:rPr>
        <w:t>everal strategic risks</w:t>
      </w:r>
      <w:r>
        <w:rPr>
          <w:rFonts w:ascii="Times New Roman" w:hAnsi="Times New Roman" w:cs="Times New Roman"/>
          <w:sz w:val="24"/>
          <w:szCs w:val="24"/>
        </w:rPr>
        <w:t xml:space="preserve"> must be considered</w:t>
      </w:r>
      <w:r w:rsidR="00C23476" w:rsidRPr="00C23476">
        <w:rPr>
          <w:rFonts w:ascii="Times New Roman" w:hAnsi="Times New Roman" w:cs="Times New Roman"/>
          <w:sz w:val="24"/>
          <w:szCs w:val="24"/>
        </w:rPr>
        <w:t xml:space="preserve">. Leaseholder rights are constantly improved by the Leasehold and Freehold Reform Act 2024. Right to Manage petitions and contract terminations are increasingly likely, threatening freeholder management contract income (Kingsley Napley, 2025). The organisation's size and complexity make it difficult to incorporate new systems and cultural practises throughout transformations (May, 2011). </w:t>
      </w:r>
    </w:p>
    <w:p w14:paraId="1DD6C039" w14:textId="77777777" w:rsidR="00914A5C" w:rsidRDefault="00C23476" w:rsidP="00C23476">
      <w:pPr>
        <w:jc w:val="both"/>
        <w:rPr>
          <w:rFonts w:ascii="Times New Roman" w:hAnsi="Times New Roman" w:cs="Times New Roman"/>
          <w:sz w:val="24"/>
          <w:szCs w:val="24"/>
        </w:rPr>
      </w:pPr>
      <w:r w:rsidRPr="00C23476">
        <w:rPr>
          <w:rFonts w:ascii="Times New Roman" w:hAnsi="Times New Roman" w:cs="Times New Roman"/>
          <w:sz w:val="24"/>
          <w:szCs w:val="24"/>
        </w:rPr>
        <w:br/>
        <w:t>Technical differentiation risks duplication as alternative PropTech platforms proliferate and become more accessible (Onufrey and Bergek, 2021). In a market with limited capabilities, experienced contractors may cause delivery and cost challenges that lower profits and service quality (IBISWorld, 2025).</w:t>
      </w:r>
    </w:p>
    <w:p w14:paraId="54674B35" w14:textId="752DAB20" w:rsidR="00914A5C" w:rsidRDefault="00C23476" w:rsidP="00C23476">
      <w:pPr>
        <w:jc w:val="both"/>
        <w:rPr>
          <w:rFonts w:ascii="Times New Roman" w:hAnsi="Times New Roman" w:cs="Times New Roman"/>
          <w:sz w:val="24"/>
          <w:szCs w:val="24"/>
        </w:rPr>
      </w:pPr>
      <w:r w:rsidRPr="00C23476">
        <w:rPr>
          <w:rFonts w:ascii="Times New Roman" w:hAnsi="Times New Roman" w:cs="Times New Roman"/>
          <w:sz w:val="24"/>
          <w:szCs w:val="24"/>
        </w:rPr>
        <w:t xml:space="preserve"> Ghauri, Elg, and H déell (2023) warn that inconsistent service standards increase ethical and reputational problems for scaled, regulated service organisations. This matters</w:t>
      </w:r>
      <w:r w:rsidR="00E30607">
        <w:rPr>
          <w:rFonts w:ascii="Times New Roman" w:hAnsi="Times New Roman" w:cs="Times New Roman"/>
          <w:sz w:val="24"/>
          <w:szCs w:val="24"/>
        </w:rPr>
        <w:t>,</w:t>
      </w:r>
      <w:r w:rsidRPr="00C23476">
        <w:rPr>
          <w:rFonts w:ascii="Times New Roman" w:hAnsi="Times New Roman" w:cs="Times New Roman"/>
          <w:sz w:val="24"/>
          <w:szCs w:val="24"/>
        </w:rPr>
        <w:t xml:space="preserve"> considering FirstPort's legal difficulties.</w:t>
      </w:r>
    </w:p>
    <w:p w14:paraId="0EECF522" w14:textId="52990BD2" w:rsidR="00C23476" w:rsidRPr="00C23476" w:rsidRDefault="00C23476" w:rsidP="00C23476">
      <w:pPr>
        <w:jc w:val="both"/>
        <w:rPr>
          <w:rFonts w:ascii="Times New Roman" w:hAnsi="Times New Roman" w:cs="Times New Roman"/>
          <w:sz w:val="24"/>
          <w:szCs w:val="24"/>
        </w:rPr>
      </w:pPr>
      <w:r w:rsidRPr="00C23476">
        <w:rPr>
          <w:rFonts w:ascii="Times New Roman" w:hAnsi="Times New Roman" w:cs="Times New Roman"/>
          <w:sz w:val="24"/>
          <w:szCs w:val="24"/>
        </w:rPr>
        <w:br/>
        <w:t>The concerns outlined by Yu (2021) and Hooley et al. (2024) suggest that FirstPort's approach is operationally vulnerable yet fundamentally good, needing closer alignment between strategic goals and frontline execution to preserve and enhance market leadership.</w:t>
      </w:r>
    </w:p>
    <w:p w14:paraId="4F772039" w14:textId="77777777" w:rsidR="00252A6E" w:rsidRDefault="00252A6E" w:rsidP="001430A6">
      <w:pPr>
        <w:jc w:val="both"/>
        <w:rPr>
          <w:rFonts w:ascii="Times New Roman" w:hAnsi="Times New Roman" w:cs="Times New Roman"/>
          <w:sz w:val="24"/>
          <w:szCs w:val="24"/>
        </w:rPr>
      </w:pPr>
    </w:p>
    <w:p w14:paraId="58EB4A5F" w14:textId="77777777" w:rsidR="005D360E" w:rsidRDefault="005D360E" w:rsidP="001430A6">
      <w:pPr>
        <w:jc w:val="both"/>
        <w:rPr>
          <w:rFonts w:ascii="Times New Roman" w:hAnsi="Times New Roman" w:cs="Times New Roman"/>
          <w:sz w:val="24"/>
          <w:szCs w:val="24"/>
        </w:rPr>
      </w:pPr>
    </w:p>
    <w:p w14:paraId="56CD41A6" w14:textId="77777777" w:rsidR="00252A6E" w:rsidRPr="009A6B6D" w:rsidRDefault="00252A6E" w:rsidP="001430A6">
      <w:pPr>
        <w:jc w:val="both"/>
        <w:rPr>
          <w:rFonts w:ascii="Times New Roman" w:hAnsi="Times New Roman" w:cs="Times New Roman"/>
          <w:sz w:val="24"/>
          <w:szCs w:val="24"/>
        </w:rPr>
      </w:pPr>
    </w:p>
    <w:p w14:paraId="4A94DDCD" w14:textId="77777777" w:rsidR="00E64BF7" w:rsidRPr="001430A6" w:rsidRDefault="00E64BF7" w:rsidP="001430A6">
      <w:pPr>
        <w:spacing w:before="100" w:beforeAutospacing="1" w:after="100" w:afterAutospacing="1" w:line="240" w:lineRule="auto"/>
        <w:jc w:val="both"/>
        <w:outlineLvl w:val="1"/>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lastRenderedPageBreak/>
        <w:t>5. Future Strategic Direction</w:t>
      </w:r>
    </w:p>
    <w:p w14:paraId="4C0DEF51" w14:textId="77777777" w:rsidR="00E64BF7" w:rsidRPr="001430A6" w:rsidRDefault="00E64BF7" w:rsidP="001430A6">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5.1 Vision, Mission, and Values</w:t>
      </w:r>
    </w:p>
    <w:p w14:paraId="02296454" w14:textId="77777777" w:rsidR="00AE5D8E" w:rsidRDefault="00C121DE" w:rsidP="00C121DE">
      <w:pPr>
        <w:spacing w:before="100" w:beforeAutospacing="1" w:after="100" w:afterAutospacing="1" w:line="240" w:lineRule="auto"/>
        <w:jc w:val="both"/>
        <w:outlineLvl w:val="2"/>
        <w:rPr>
          <w:rFonts w:ascii="Times New Roman" w:hAnsi="Times New Roman" w:cs="Times New Roman"/>
          <w:sz w:val="24"/>
          <w:szCs w:val="24"/>
        </w:rPr>
      </w:pPr>
      <w:r w:rsidRPr="00C121DE">
        <w:rPr>
          <w:rFonts w:ascii="Times New Roman" w:hAnsi="Times New Roman" w:cs="Times New Roman"/>
          <w:sz w:val="24"/>
          <w:szCs w:val="24"/>
        </w:rPr>
        <w:t xml:space="preserve">FirstPort aims to enhance customers' lives by providing superior property management services and ensuring inhabitants feel secure and happy in their homes (FirstPort, 2026). Transparency, professionalism, and progress are company values. Residential health and digital innovation are crucial throughout Emeria's ownership transfer. </w:t>
      </w:r>
    </w:p>
    <w:p w14:paraId="37CB4D40" w14:textId="3B95F01D" w:rsidR="00AE5D8E" w:rsidRDefault="00C121DE" w:rsidP="00C121DE">
      <w:pPr>
        <w:spacing w:before="100" w:beforeAutospacing="1" w:after="100" w:afterAutospacing="1" w:line="240" w:lineRule="auto"/>
        <w:jc w:val="both"/>
        <w:outlineLvl w:val="2"/>
        <w:rPr>
          <w:rFonts w:ascii="Times New Roman" w:hAnsi="Times New Roman" w:cs="Times New Roman"/>
          <w:sz w:val="24"/>
          <w:szCs w:val="24"/>
        </w:rPr>
      </w:pPr>
      <w:r w:rsidRPr="00C121DE">
        <w:rPr>
          <w:rFonts w:ascii="Times New Roman" w:hAnsi="Times New Roman" w:cs="Times New Roman"/>
          <w:sz w:val="24"/>
          <w:szCs w:val="24"/>
        </w:rPr>
        <w:br/>
        <w:t xml:space="preserve">Positive but imperfect links exist between pledges and strategic endeavours. Digital transformation, compliance investment, and smart buildings platform aim to protect and serve (First Property Group plc, 2025). The legislative issues around service pricing transparency and inadequate communication are problematic (Hansard, 2025). </w:t>
      </w:r>
    </w:p>
    <w:p w14:paraId="4457FFCD" w14:textId="557655ED" w:rsidR="00C121DE" w:rsidRPr="00C121DE" w:rsidRDefault="00C121DE" w:rsidP="00C121DE">
      <w:pPr>
        <w:spacing w:before="100" w:beforeAutospacing="1" w:after="100" w:afterAutospacing="1" w:line="240" w:lineRule="auto"/>
        <w:jc w:val="both"/>
        <w:outlineLvl w:val="2"/>
        <w:rPr>
          <w:rFonts w:ascii="Times New Roman" w:hAnsi="Times New Roman" w:cs="Times New Roman"/>
          <w:sz w:val="24"/>
          <w:szCs w:val="24"/>
        </w:rPr>
      </w:pPr>
      <w:r w:rsidRPr="00C121DE">
        <w:rPr>
          <w:rFonts w:ascii="Times New Roman" w:hAnsi="Times New Roman" w:cs="Times New Roman"/>
          <w:sz w:val="24"/>
          <w:szCs w:val="24"/>
        </w:rPr>
        <w:t>Spear (2017) states that vision and mission statements are used for image management rather than practical guidance and depend on frontline implementation for strategic sustainability. Given FirstPort's geographical and operational complexity, Shankar (2024) suggests that inclusive and consultative approaches must infiltrate all levels of the workforce to promote core organisational values.</w:t>
      </w:r>
    </w:p>
    <w:p w14:paraId="7AEF2596" w14:textId="77777777" w:rsidR="00CC5F36" w:rsidRPr="00964C42" w:rsidRDefault="00CC5F36" w:rsidP="001430A6">
      <w:pPr>
        <w:spacing w:before="100" w:beforeAutospacing="1" w:after="100" w:afterAutospacing="1" w:line="240" w:lineRule="auto"/>
        <w:jc w:val="both"/>
        <w:outlineLvl w:val="2"/>
        <w:rPr>
          <w:rFonts w:ascii="Times New Roman" w:hAnsi="Times New Roman" w:cs="Times New Roman"/>
          <w:sz w:val="24"/>
          <w:szCs w:val="24"/>
        </w:rPr>
      </w:pPr>
    </w:p>
    <w:p w14:paraId="6BC89207" w14:textId="77777777" w:rsidR="00F21152" w:rsidRPr="001430A6" w:rsidRDefault="00F21152" w:rsidP="001430A6">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5.2 Strategic Risks</w:t>
      </w:r>
    </w:p>
    <w:p w14:paraId="6B85D5E8" w14:textId="6FFC508A" w:rsidR="000A75AB" w:rsidRDefault="000A75AB" w:rsidP="000A75AB">
      <w:pPr>
        <w:jc w:val="both"/>
        <w:rPr>
          <w:rFonts w:ascii="Times New Roman" w:hAnsi="Times New Roman" w:cs="Times New Roman"/>
          <w:sz w:val="24"/>
          <w:szCs w:val="24"/>
        </w:rPr>
      </w:pPr>
      <w:r w:rsidRPr="000A75AB">
        <w:rPr>
          <w:rFonts w:ascii="Times New Roman" w:hAnsi="Times New Roman" w:cs="Times New Roman"/>
          <w:sz w:val="24"/>
          <w:szCs w:val="24"/>
        </w:rPr>
        <w:t>Three strategic risks might hurt FirstPort. Slowness threatens initially. FirstPort's size and market domination put it at danger of organisational convenience, which might impede its ability to respond to tech-savvy rivals. FirstPort manages evolving legal and technical business Due to outdated techniques and structures, large, complex enterprises undergo strategic revitalisation</w:t>
      </w:r>
      <w:r w:rsidR="007047E2">
        <w:rPr>
          <w:rFonts w:ascii="Times New Roman" w:hAnsi="Times New Roman" w:cs="Times New Roman"/>
          <w:sz w:val="24"/>
          <w:szCs w:val="24"/>
        </w:rPr>
        <w:t xml:space="preserve"> </w:t>
      </w:r>
      <w:r w:rsidR="007047E2" w:rsidRPr="000A75AB">
        <w:rPr>
          <w:rFonts w:ascii="Times New Roman" w:hAnsi="Times New Roman" w:cs="Times New Roman"/>
          <w:sz w:val="24"/>
          <w:szCs w:val="24"/>
        </w:rPr>
        <w:t xml:space="preserve">(Goodman and Dingli, 2017). </w:t>
      </w:r>
      <w:r w:rsidRPr="000A75AB">
        <w:rPr>
          <w:rFonts w:ascii="Times New Roman" w:hAnsi="Times New Roman" w:cs="Times New Roman"/>
          <w:sz w:val="24"/>
          <w:szCs w:val="24"/>
        </w:rPr>
        <w:t xml:space="preserve"> </w:t>
      </w:r>
    </w:p>
    <w:p w14:paraId="36B62581" w14:textId="77777777" w:rsidR="000A75AB" w:rsidRDefault="000A75AB" w:rsidP="000A75AB">
      <w:pPr>
        <w:jc w:val="both"/>
        <w:rPr>
          <w:rFonts w:ascii="Times New Roman" w:hAnsi="Times New Roman" w:cs="Times New Roman"/>
          <w:sz w:val="24"/>
          <w:szCs w:val="24"/>
        </w:rPr>
      </w:pPr>
      <w:r w:rsidRPr="000A75AB">
        <w:rPr>
          <w:rFonts w:ascii="Times New Roman" w:hAnsi="Times New Roman" w:cs="Times New Roman"/>
          <w:sz w:val="24"/>
          <w:szCs w:val="24"/>
        </w:rPr>
        <w:br/>
        <w:t>Overstepping is danger two. A substantial ownership transfer, digital transformation, new regulations, and 5,600 projects push performance (Abdullah et al., 2022). Complex strategic objectives raise the risk of failure, particularly if the cultural and operational foundations for change are poor.</w:t>
      </w:r>
    </w:p>
    <w:p w14:paraId="43740B6B" w14:textId="17AEB8DD" w:rsidR="000A75AB" w:rsidRDefault="000A75AB" w:rsidP="000A75AB">
      <w:pPr>
        <w:jc w:val="both"/>
        <w:rPr>
          <w:rFonts w:ascii="Times New Roman" w:hAnsi="Times New Roman" w:cs="Times New Roman"/>
          <w:sz w:val="24"/>
          <w:szCs w:val="24"/>
        </w:rPr>
      </w:pPr>
      <w:r w:rsidRPr="000A75AB">
        <w:rPr>
          <w:rFonts w:ascii="Times New Roman" w:hAnsi="Times New Roman" w:cs="Times New Roman"/>
          <w:sz w:val="24"/>
          <w:szCs w:val="24"/>
        </w:rPr>
        <w:br/>
        <w:t>Third, legislative and competitive developments provide an external threat. The Leasehold and Freehold Reform Act 2024 improves leaseholder rights and might decrease</w:t>
      </w:r>
      <w:r w:rsidR="00C1722E">
        <w:rPr>
          <w:rFonts w:ascii="Times New Roman" w:hAnsi="Times New Roman" w:cs="Times New Roman"/>
          <w:sz w:val="24"/>
          <w:szCs w:val="24"/>
        </w:rPr>
        <w:t xml:space="preserve"> </w:t>
      </w:r>
      <w:r w:rsidRPr="000A75AB">
        <w:rPr>
          <w:rFonts w:ascii="Times New Roman" w:hAnsi="Times New Roman" w:cs="Times New Roman"/>
          <w:sz w:val="24"/>
          <w:szCs w:val="24"/>
        </w:rPr>
        <w:t>freeholder-appointed contracts via Right to Manage transitions (Kingsley Napley, 2025). Enterprises with substantial legislative and regulatory exposure should engage stakeholders and invest in preventative compliance to reduce strategic risk, according to Abdurakhmonov et al. (2022</w:t>
      </w:r>
      <w:r w:rsidR="00841CEF">
        <w:rPr>
          <w:rFonts w:ascii="Times New Roman" w:hAnsi="Times New Roman" w:cs="Times New Roman"/>
          <w:sz w:val="24"/>
          <w:szCs w:val="24"/>
        </w:rPr>
        <w:t>).</w:t>
      </w:r>
      <w:r w:rsidRPr="000A75AB">
        <w:rPr>
          <w:rFonts w:ascii="Times New Roman" w:hAnsi="Times New Roman" w:cs="Times New Roman"/>
          <w:sz w:val="24"/>
          <w:szCs w:val="24"/>
        </w:rPr>
        <w:t xml:space="preserve"> </w:t>
      </w:r>
    </w:p>
    <w:p w14:paraId="00008274" w14:textId="7B3A8D7E" w:rsidR="000A75AB" w:rsidRPr="000A75AB" w:rsidRDefault="000A75AB" w:rsidP="000A75AB">
      <w:pPr>
        <w:jc w:val="both"/>
        <w:rPr>
          <w:rFonts w:ascii="Times New Roman" w:hAnsi="Times New Roman" w:cs="Times New Roman"/>
          <w:sz w:val="24"/>
          <w:szCs w:val="24"/>
        </w:rPr>
      </w:pPr>
      <w:r w:rsidRPr="000A75AB">
        <w:rPr>
          <w:rFonts w:ascii="Times New Roman" w:hAnsi="Times New Roman" w:cs="Times New Roman"/>
          <w:sz w:val="24"/>
          <w:szCs w:val="24"/>
        </w:rPr>
        <w:br/>
        <w:t>In simpler, price-sensitive residential markets, new PropTech rivals providing inexpensive, digitally-driven solutions challenge FirstPort's dominance (Grand View Research, 2025).</w:t>
      </w:r>
    </w:p>
    <w:p w14:paraId="2B7F4B85" w14:textId="77777777" w:rsidR="00E06499" w:rsidRDefault="00E06499" w:rsidP="001430A6">
      <w:pPr>
        <w:jc w:val="both"/>
        <w:rPr>
          <w:rFonts w:ascii="Times New Roman" w:hAnsi="Times New Roman" w:cs="Times New Roman"/>
          <w:sz w:val="24"/>
          <w:szCs w:val="24"/>
        </w:rPr>
      </w:pPr>
    </w:p>
    <w:p w14:paraId="65399209" w14:textId="77777777" w:rsidR="00E06499" w:rsidRPr="00931718" w:rsidRDefault="00E06499" w:rsidP="001430A6">
      <w:pPr>
        <w:jc w:val="both"/>
        <w:rPr>
          <w:rFonts w:ascii="Times New Roman" w:hAnsi="Times New Roman" w:cs="Times New Roman"/>
          <w:sz w:val="24"/>
          <w:szCs w:val="24"/>
        </w:rPr>
      </w:pPr>
    </w:p>
    <w:p w14:paraId="3D3B95AD" w14:textId="77777777" w:rsidR="0069352A" w:rsidRPr="001430A6" w:rsidRDefault="0069352A" w:rsidP="001430A6">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5.3 Strategic Options for the Future</w:t>
      </w:r>
    </w:p>
    <w:p w14:paraId="31E9D16F" w14:textId="77777777" w:rsidR="0069352A" w:rsidRPr="001430A6" w:rsidRDefault="0069352A" w:rsidP="001430A6">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Option 1: Resident Experience Transformation</w:t>
      </w:r>
    </w:p>
    <w:p w14:paraId="1FC5FA4F" w14:textId="77777777" w:rsidR="00854953" w:rsidRDefault="001879C6" w:rsidP="001879C6">
      <w:pPr>
        <w:spacing w:before="100" w:beforeAutospacing="1" w:after="100" w:afterAutospacing="1" w:line="240" w:lineRule="auto"/>
        <w:jc w:val="both"/>
        <w:rPr>
          <w:rFonts w:ascii="Times New Roman" w:hAnsi="Times New Roman" w:cs="Times New Roman"/>
          <w:sz w:val="24"/>
          <w:szCs w:val="24"/>
        </w:rPr>
      </w:pPr>
      <w:r w:rsidRPr="001879C6">
        <w:rPr>
          <w:rFonts w:ascii="Times New Roman" w:hAnsi="Times New Roman" w:cs="Times New Roman"/>
          <w:sz w:val="24"/>
          <w:szCs w:val="24"/>
        </w:rPr>
        <w:t>This strategy aims to bridge FirstPort's operational performance-service promise gap. Residents get</w:t>
      </w:r>
      <w:r>
        <w:rPr>
          <w:rFonts w:ascii="Times New Roman" w:hAnsi="Times New Roman" w:cs="Times New Roman"/>
          <w:sz w:val="24"/>
          <w:szCs w:val="24"/>
        </w:rPr>
        <w:t xml:space="preserve"> value for </w:t>
      </w:r>
      <w:r w:rsidRPr="001879C6">
        <w:rPr>
          <w:rFonts w:ascii="Times New Roman" w:hAnsi="Times New Roman" w:cs="Times New Roman"/>
          <w:sz w:val="24"/>
          <w:szCs w:val="24"/>
        </w:rPr>
        <w:t xml:space="preserve">money, service prices are explicit, and problems are resolved. </w:t>
      </w:r>
      <w:r w:rsidRPr="001879C6">
        <w:rPr>
          <w:rFonts w:ascii="Times New Roman" w:hAnsi="Times New Roman" w:cs="Times New Roman"/>
          <w:sz w:val="24"/>
          <w:szCs w:val="24"/>
        </w:rPr>
        <w:br/>
        <w:t xml:space="preserve">Relevance: Addresses parliamentary scrutiny's reputational concern and follows leaseholder empowerment legislation (Hansard, 2025; Homes Partnership, 2025). </w:t>
      </w:r>
    </w:p>
    <w:p w14:paraId="00B87779" w14:textId="4F6D2D8F" w:rsidR="001879C6" w:rsidRPr="001879C6" w:rsidRDefault="001879C6" w:rsidP="001879C6">
      <w:pPr>
        <w:spacing w:before="100" w:beforeAutospacing="1" w:after="100" w:afterAutospacing="1" w:line="240" w:lineRule="auto"/>
        <w:jc w:val="both"/>
        <w:rPr>
          <w:rFonts w:ascii="Times New Roman" w:hAnsi="Times New Roman" w:cs="Times New Roman"/>
          <w:sz w:val="24"/>
          <w:szCs w:val="24"/>
        </w:rPr>
      </w:pPr>
      <w:r w:rsidRPr="001879C6">
        <w:rPr>
          <w:rFonts w:ascii="Times New Roman" w:hAnsi="Times New Roman" w:cs="Times New Roman"/>
          <w:sz w:val="24"/>
          <w:szCs w:val="24"/>
        </w:rPr>
        <w:t xml:space="preserve">Acceptability: </w:t>
      </w:r>
      <w:r w:rsidR="00854953">
        <w:rPr>
          <w:rFonts w:ascii="Times New Roman" w:hAnsi="Times New Roman" w:cs="Times New Roman"/>
          <w:sz w:val="24"/>
          <w:szCs w:val="24"/>
        </w:rPr>
        <w:t>Residents</w:t>
      </w:r>
      <w:r w:rsidRPr="001879C6">
        <w:rPr>
          <w:rFonts w:ascii="Times New Roman" w:hAnsi="Times New Roman" w:cs="Times New Roman"/>
          <w:sz w:val="24"/>
          <w:szCs w:val="24"/>
        </w:rPr>
        <w:t>, regulators, and institutional investors should actively support the effort to enhance service standards and reduce reputation risk (Schwartz, 2022). First Property Group plc (2024) may invest in digital frontline worker tools, resident portals, and staff skill development using existing resources.</w:t>
      </w:r>
    </w:p>
    <w:p w14:paraId="1922B3E8" w14:textId="77777777" w:rsidR="006738CF" w:rsidRPr="001430A6" w:rsidRDefault="006738CF" w:rsidP="001430A6">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Option 2: Selective Market Consolidation</w:t>
      </w:r>
    </w:p>
    <w:p w14:paraId="4B92EA60" w14:textId="447B8C9D" w:rsidR="00D57E1D" w:rsidRPr="00D57E1D" w:rsidRDefault="00D57E1D" w:rsidP="001430A6">
      <w:pPr>
        <w:jc w:val="both"/>
        <w:rPr>
          <w:rFonts w:ascii="Times New Roman" w:hAnsi="Times New Roman" w:cs="Times New Roman"/>
          <w:sz w:val="24"/>
          <w:szCs w:val="24"/>
        </w:rPr>
      </w:pPr>
      <w:r w:rsidRPr="00D57E1D">
        <w:rPr>
          <w:rFonts w:ascii="Times New Roman" w:hAnsi="Times New Roman" w:cs="Times New Roman"/>
          <w:sz w:val="24"/>
          <w:szCs w:val="24"/>
        </w:rPr>
        <w:t>This approach involves selectively acquiring local property management firms to increase market penetration in key locales and portfolio growth (Tracxn, n</w:t>
      </w:r>
      <w:r w:rsidR="00636F72">
        <w:rPr>
          <w:rFonts w:ascii="Times New Roman" w:hAnsi="Times New Roman" w:cs="Times New Roman"/>
          <w:sz w:val="24"/>
          <w:szCs w:val="24"/>
        </w:rPr>
        <w:t>.d.</w:t>
      </w:r>
      <w:r w:rsidRPr="00D57E1D">
        <w:rPr>
          <w:rFonts w:ascii="Times New Roman" w:hAnsi="Times New Roman" w:cs="Times New Roman"/>
          <w:sz w:val="24"/>
          <w:szCs w:val="24"/>
        </w:rPr>
        <w:t>).</w:t>
      </w:r>
    </w:p>
    <w:p w14:paraId="5045C509" w14:textId="77777777" w:rsidR="000138ED" w:rsidRDefault="00FD48CF" w:rsidP="001430A6">
      <w:pPr>
        <w:jc w:val="both"/>
        <w:rPr>
          <w:rFonts w:ascii="Times New Roman" w:hAnsi="Times New Roman" w:cs="Times New Roman"/>
          <w:sz w:val="24"/>
          <w:szCs w:val="24"/>
        </w:rPr>
      </w:pPr>
      <w:r w:rsidRPr="00FD48CF">
        <w:rPr>
          <w:rFonts w:ascii="Times New Roman" w:hAnsi="Times New Roman" w:cs="Times New Roman"/>
          <w:sz w:val="24"/>
          <w:szCs w:val="24"/>
        </w:rPr>
        <w:t>Suitability: Fits Emeria's scale-oriented competitive strategy and goal to consolidate European residential real estate (Qurated, n</w:t>
      </w:r>
      <w:r w:rsidR="000138ED">
        <w:rPr>
          <w:rFonts w:ascii="Times New Roman" w:hAnsi="Times New Roman" w:cs="Times New Roman"/>
          <w:sz w:val="24"/>
          <w:szCs w:val="24"/>
        </w:rPr>
        <w:t>.d.</w:t>
      </w:r>
      <w:r w:rsidRPr="00FD48CF">
        <w:rPr>
          <w:rFonts w:ascii="Times New Roman" w:hAnsi="Times New Roman" w:cs="Times New Roman"/>
          <w:sz w:val="24"/>
          <w:szCs w:val="24"/>
        </w:rPr>
        <w:t xml:space="preserve">). </w:t>
      </w:r>
    </w:p>
    <w:p w14:paraId="3A2B3559" w14:textId="77777777" w:rsidR="002D2C80" w:rsidRDefault="00FD48CF" w:rsidP="001430A6">
      <w:pPr>
        <w:jc w:val="both"/>
        <w:rPr>
          <w:rFonts w:ascii="Times New Roman" w:hAnsi="Times New Roman" w:cs="Times New Roman"/>
          <w:sz w:val="24"/>
          <w:szCs w:val="24"/>
        </w:rPr>
      </w:pPr>
      <w:r w:rsidRPr="00FD48CF">
        <w:rPr>
          <w:rFonts w:ascii="Times New Roman" w:hAnsi="Times New Roman" w:cs="Times New Roman"/>
          <w:sz w:val="24"/>
          <w:szCs w:val="24"/>
        </w:rPr>
        <w:t xml:space="preserve">Acceptability: Investors and the parent firm may support it, but integration and cultural issues may cause internal opposition (Abdurakhmonov et al., 2022). </w:t>
      </w:r>
    </w:p>
    <w:p w14:paraId="18FDFFE0" w14:textId="678A27F1" w:rsidR="00FD48CF" w:rsidRPr="00FD48CF" w:rsidRDefault="00FD48CF" w:rsidP="001430A6">
      <w:pPr>
        <w:jc w:val="both"/>
        <w:rPr>
          <w:rFonts w:ascii="Times New Roman" w:hAnsi="Times New Roman" w:cs="Times New Roman"/>
          <w:sz w:val="24"/>
          <w:szCs w:val="24"/>
        </w:rPr>
      </w:pPr>
      <w:r w:rsidRPr="00FD48CF">
        <w:rPr>
          <w:rFonts w:ascii="Times New Roman" w:hAnsi="Times New Roman" w:cs="Times New Roman"/>
          <w:sz w:val="24"/>
          <w:szCs w:val="24"/>
        </w:rPr>
        <w:t>Feasibility: Purchase funding, relevant goals, and concurrent transformation project increase execution risk (Abdullah et al., 2022).</w:t>
      </w:r>
    </w:p>
    <w:p w14:paraId="1B68063D" w14:textId="77777777" w:rsidR="00BF3824" w:rsidRPr="001430A6" w:rsidRDefault="00BF3824" w:rsidP="001430A6">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Option 3: ESG and Sustainability Differentiation</w:t>
      </w:r>
    </w:p>
    <w:p w14:paraId="0EDBAF80" w14:textId="57375ECF" w:rsidR="001D31A4" w:rsidRDefault="001D31A4" w:rsidP="001D31A4">
      <w:pPr>
        <w:jc w:val="both"/>
        <w:rPr>
          <w:rFonts w:ascii="Times New Roman" w:hAnsi="Times New Roman" w:cs="Times New Roman"/>
          <w:sz w:val="24"/>
          <w:szCs w:val="24"/>
        </w:rPr>
      </w:pPr>
      <w:r w:rsidRPr="001D31A4">
        <w:rPr>
          <w:rFonts w:ascii="Times New Roman" w:hAnsi="Times New Roman" w:cs="Times New Roman"/>
          <w:sz w:val="24"/>
          <w:szCs w:val="24"/>
        </w:rPr>
        <w:t>To meet institutional investor and regulator expectations, improve</w:t>
      </w:r>
      <w:r w:rsidR="00AC7656">
        <w:rPr>
          <w:rFonts w:ascii="Times New Roman" w:hAnsi="Times New Roman" w:cs="Times New Roman"/>
          <w:sz w:val="24"/>
          <w:szCs w:val="24"/>
        </w:rPr>
        <w:t>ments are needed</w:t>
      </w:r>
      <w:r w:rsidR="00CD1588">
        <w:rPr>
          <w:rFonts w:ascii="Times New Roman" w:hAnsi="Times New Roman" w:cs="Times New Roman"/>
          <w:sz w:val="24"/>
          <w:szCs w:val="24"/>
        </w:rPr>
        <w:t xml:space="preserve"> in </w:t>
      </w:r>
      <w:r w:rsidRPr="001D31A4">
        <w:rPr>
          <w:rFonts w:ascii="Times New Roman" w:hAnsi="Times New Roman" w:cs="Times New Roman"/>
          <w:sz w:val="24"/>
          <w:szCs w:val="24"/>
        </w:rPr>
        <w:t xml:space="preserve">energy efficiency, retrofit program management, and ESG reporting to lead the sustainable building management market (Khanra et al., 2022). </w:t>
      </w:r>
    </w:p>
    <w:p w14:paraId="1F718EC0" w14:textId="77777777" w:rsidR="001D31A4" w:rsidRDefault="001D31A4" w:rsidP="001D31A4">
      <w:pPr>
        <w:jc w:val="both"/>
        <w:rPr>
          <w:rFonts w:ascii="Times New Roman" w:hAnsi="Times New Roman" w:cs="Times New Roman"/>
          <w:sz w:val="24"/>
          <w:szCs w:val="24"/>
        </w:rPr>
      </w:pPr>
      <w:r w:rsidRPr="001D31A4">
        <w:rPr>
          <w:rFonts w:ascii="Times New Roman" w:hAnsi="Times New Roman" w:cs="Times New Roman"/>
          <w:sz w:val="24"/>
          <w:szCs w:val="24"/>
        </w:rPr>
        <w:br/>
        <w:t>Externally, institutional customers' ESG demands affect procurement decisions and energy efficiency skills shortages favour early investments (IBISWorld, 2025).</w:t>
      </w:r>
    </w:p>
    <w:p w14:paraId="1FFC40B3" w14:textId="45B54E5F" w:rsidR="001D31A4" w:rsidRPr="001D31A4" w:rsidRDefault="001D31A4" w:rsidP="001D31A4">
      <w:pPr>
        <w:jc w:val="both"/>
        <w:rPr>
          <w:rFonts w:ascii="Times New Roman" w:hAnsi="Times New Roman" w:cs="Times New Roman"/>
          <w:sz w:val="24"/>
          <w:szCs w:val="24"/>
        </w:rPr>
      </w:pPr>
      <w:r w:rsidRPr="001D31A4">
        <w:rPr>
          <w:rFonts w:ascii="Times New Roman" w:hAnsi="Times New Roman" w:cs="Times New Roman"/>
          <w:sz w:val="24"/>
          <w:szCs w:val="24"/>
        </w:rPr>
        <w:t xml:space="preserve"> Khanra et al. (2022) say green innovation competency is a competitive advantage, especially in industries where investor and regulatory pressure </w:t>
      </w:r>
      <w:r w:rsidR="00DC7601">
        <w:rPr>
          <w:rFonts w:ascii="Times New Roman" w:hAnsi="Times New Roman" w:cs="Times New Roman"/>
          <w:sz w:val="24"/>
          <w:szCs w:val="24"/>
        </w:rPr>
        <w:t>promote</w:t>
      </w:r>
      <w:r w:rsidRPr="001D31A4">
        <w:rPr>
          <w:rFonts w:ascii="Times New Roman" w:hAnsi="Times New Roman" w:cs="Times New Roman"/>
          <w:sz w:val="24"/>
          <w:szCs w:val="24"/>
        </w:rPr>
        <w:t xml:space="preserve"> sustainable operational frameworks.</w:t>
      </w:r>
      <w:r w:rsidRPr="001D31A4">
        <w:rPr>
          <w:rFonts w:ascii="Times New Roman" w:hAnsi="Times New Roman" w:cs="Times New Roman"/>
          <w:sz w:val="24"/>
          <w:szCs w:val="24"/>
        </w:rPr>
        <w:br/>
        <w:t>Acceptability: Meets investor expectations and Emeria's sustainable parent company values (Qurated, n.d.). Merkert and Bushell (2020) emphasise medium-term capacity building over immediate deployment since viability requires expert skills and certification. Working with energy efficiency specialists may enhance profits.</w:t>
      </w:r>
    </w:p>
    <w:p w14:paraId="77826650" w14:textId="77777777" w:rsidR="006E41C3" w:rsidRDefault="006E41C3" w:rsidP="001430A6">
      <w:pPr>
        <w:jc w:val="both"/>
        <w:rPr>
          <w:rFonts w:ascii="Times New Roman" w:hAnsi="Times New Roman" w:cs="Times New Roman"/>
          <w:sz w:val="24"/>
          <w:szCs w:val="24"/>
        </w:rPr>
      </w:pPr>
    </w:p>
    <w:p w14:paraId="5D3823B9" w14:textId="77777777" w:rsidR="006E41C3" w:rsidRDefault="006E41C3" w:rsidP="001430A6">
      <w:pPr>
        <w:jc w:val="both"/>
        <w:rPr>
          <w:rFonts w:ascii="Times New Roman" w:hAnsi="Times New Roman" w:cs="Times New Roman"/>
          <w:sz w:val="24"/>
          <w:szCs w:val="24"/>
        </w:rPr>
      </w:pPr>
    </w:p>
    <w:p w14:paraId="3F8E1443" w14:textId="77777777" w:rsidR="006E41C3" w:rsidRPr="00BE5D12" w:rsidRDefault="006E41C3" w:rsidP="001430A6">
      <w:pPr>
        <w:jc w:val="both"/>
        <w:rPr>
          <w:rFonts w:ascii="Times New Roman" w:hAnsi="Times New Roman" w:cs="Times New Roman"/>
          <w:sz w:val="24"/>
          <w:szCs w:val="24"/>
        </w:rPr>
      </w:pPr>
    </w:p>
    <w:p w14:paraId="699FA92D" w14:textId="77777777" w:rsidR="002A40AE" w:rsidRPr="001430A6" w:rsidRDefault="002A40AE" w:rsidP="001430A6">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sidRPr="001430A6">
        <w:rPr>
          <w:rFonts w:ascii="Times New Roman" w:eastAsia="Times New Roman" w:hAnsi="Times New Roman" w:cs="Times New Roman"/>
          <w:b/>
          <w:bCs/>
          <w:kern w:val="0"/>
          <w:sz w:val="24"/>
          <w:szCs w:val="24"/>
          <w:lang w:eastAsia="en-GB"/>
          <w14:ligatures w14:val="none"/>
        </w:rPr>
        <w:t>6. Conclusion</w:t>
      </w:r>
    </w:p>
    <w:p w14:paraId="12B3B139" w14:textId="0A312CBF" w:rsidR="00A7664A" w:rsidRDefault="008F42E3" w:rsidP="001430A6">
      <w:pPr>
        <w:jc w:val="both"/>
        <w:rPr>
          <w:rFonts w:ascii="Times New Roman" w:hAnsi="Times New Roman" w:cs="Times New Roman"/>
          <w:sz w:val="24"/>
          <w:szCs w:val="24"/>
        </w:rPr>
      </w:pPr>
      <w:r w:rsidRPr="008F42E3">
        <w:rPr>
          <w:rFonts w:ascii="Times New Roman" w:hAnsi="Times New Roman" w:cs="Times New Roman"/>
          <w:sz w:val="24"/>
          <w:szCs w:val="24"/>
        </w:rPr>
        <w:t xml:space="preserve">This strategic analysis examined FirstPort Property Services' external environment, internal capabilities, competitive position, and strategic options. The results demonstrate a </w:t>
      </w:r>
      <w:r w:rsidR="00243C08">
        <w:rPr>
          <w:rFonts w:ascii="Times New Roman" w:hAnsi="Times New Roman" w:cs="Times New Roman"/>
          <w:sz w:val="24"/>
          <w:szCs w:val="24"/>
        </w:rPr>
        <w:t>strongly structured organisation</w:t>
      </w:r>
      <w:r w:rsidRPr="008F42E3">
        <w:rPr>
          <w:rFonts w:ascii="Times New Roman" w:hAnsi="Times New Roman" w:cs="Times New Roman"/>
          <w:sz w:val="24"/>
          <w:szCs w:val="24"/>
        </w:rPr>
        <w:t xml:space="preserve"> in a complex environment whose long-term existence hinges on its ability to align operational and strategic goals. </w:t>
      </w:r>
    </w:p>
    <w:p w14:paraId="037A0AD2" w14:textId="787196FE" w:rsidR="00A7664A" w:rsidRDefault="008F42E3" w:rsidP="001430A6">
      <w:pPr>
        <w:jc w:val="both"/>
        <w:rPr>
          <w:rFonts w:ascii="Times New Roman" w:hAnsi="Times New Roman" w:cs="Times New Roman"/>
          <w:sz w:val="24"/>
          <w:szCs w:val="24"/>
        </w:rPr>
      </w:pPr>
      <w:r w:rsidRPr="008F42E3">
        <w:rPr>
          <w:rFonts w:ascii="Times New Roman" w:hAnsi="Times New Roman" w:cs="Times New Roman"/>
          <w:sz w:val="24"/>
          <w:szCs w:val="24"/>
        </w:rPr>
        <w:br/>
        <w:t xml:space="preserve">The external inquiry found a macroenvironment of rapid technology innovation, increased resident expectations, and significant legislative change. The Leasehold and Freehold Reform Act 2024 has shifted power to leaseholders, making managing agents more competitive and increasing FirstPort's portfolio compliance obligations </w:t>
      </w:r>
      <w:r w:rsidR="00D40BFB" w:rsidRPr="00D40BFB">
        <w:rPr>
          <w:rFonts w:ascii="Times New Roman" w:hAnsi="Times New Roman" w:cs="Times New Roman"/>
          <w:sz w:val="24"/>
          <w:szCs w:val="24"/>
        </w:rPr>
        <w:t>(Grand View Research, 2025</w:t>
      </w:r>
      <w:r w:rsidR="00D40BFB">
        <w:rPr>
          <w:rFonts w:ascii="Times New Roman" w:hAnsi="Times New Roman" w:cs="Times New Roman"/>
          <w:sz w:val="24"/>
          <w:szCs w:val="24"/>
        </w:rPr>
        <w:t>).</w:t>
      </w:r>
      <w:r w:rsidRPr="008F42E3">
        <w:rPr>
          <w:rFonts w:ascii="Times New Roman" w:hAnsi="Times New Roman" w:cs="Times New Roman"/>
          <w:sz w:val="24"/>
          <w:szCs w:val="24"/>
        </w:rPr>
        <w:t xml:space="preserve"> The UK property management software industry and smart building solutions offer chances for tech-driven firms ready to invest </w:t>
      </w:r>
      <w:r w:rsidR="00D40BFB" w:rsidRPr="00D40BFB">
        <w:rPr>
          <w:rFonts w:ascii="Times New Roman" w:hAnsi="Times New Roman" w:cs="Times New Roman"/>
          <w:sz w:val="24"/>
          <w:szCs w:val="24"/>
        </w:rPr>
        <w:t>(Kingsley Napley, 2025).</w:t>
      </w:r>
    </w:p>
    <w:p w14:paraId="2B8BC9E5" w14:textId="77777777" w:rsidR="00A7664A" w:rsidRDefault="008F42E3" w:rsidP="001430A6">
      <w:pPr>
        <w:jc w:val="both"/>
        <w:rPr>
          <w:rFonts w:ascii="Times New Roman" w:hAnsi="Times New Roman" w:cs="Times New Roman"/>
          <w:sz w:val="24"/>
          <w:szCs w:val="24"/>
        </w:rPr>
      </w:pPr>
      <w:r w:rsidRPr="008F42E3">
        <w:rPr>
          <w:rFonts w:ascii="Times New Roman" w:hAnsi="Times New Roman" w:cs="Times New Roman"/>
          <w:sz w:val="24"/>
          <w:szCs w:val="24"/>
        </w:rPr>
        <w:br/>
        <w:t>FirstPort's portfolio size, industry-specific knowledge, long-standing client connections, and cutting-edge digital capabilities meet VRIO requirements for sustained competitive advantage in key areas (Barney and Hesterly, 2019). Service fee transparency and resident communication reputational issues threaten the company's market leadership (Hansard, 2025). Strategy drift—when transformation investments fail to deliver frontline execution—is the company's biggest internal issue (Johnson, Whittington, and Scholes, 2012).</w:t>
      </w:r>
    </w:p>
    <w:p w14:paraId="1F41711E" w14:textId="4914AD73" w:rsidR="00A7664A" w:rsidRDefault="008F42E3" w:rsidP="001430A6">
      <w:pPr>
        <w:jc w:val="both"/>
        <w:rPr>
          <w:rFonts w:ascii="Times New Roman" w:hAnsi="Times New Roman" w:cs="Times New Roman"/>
          <w:sz w:val="24"/>
          <w:szCs w:val="24"/>
        </w:rPr>
      </w:pPr>
      <w:r w:rsidRPr="008F42E3">
        <w:rPr>
          <w:rFonts w:ascii="Times New Roman" w:hAnsi="Times New Roman" w:cs="Times New Roman"/>
          <w:sz w:val="24"/>
          <w:szCs w:val="24"/>
        </w:rPr>
        <w:br/>
        <w:t xml:space="preserve">Re-establishing and improving reputational credibility with residents and regulators, consistently implementing digital transformation across a geographically diverse and operationally complex portfolio, and positioning the </w:t>
      </w:r>
      <w:r w:rsidR="00230919">
        <w:rPr>
          <w:rFonts w:ascii="Times New Roman" w:hAnsi="Times New Roman" w:cs="Times New Roman"/>
          <w:sz w:val="24"/>
          <w:szCs w:val="24"/>
        </w:rPr>
        <w:t>organisation</w:t>
      </w:r>
      <w:r w:rsidRPr="008F42E3">
        <w:rPr>
          <w:rFonts w:ascii="Times New Roman" w:hAnsi="Times New Roman" w:cs="Times New Roman"/>
          <w:sz w:val="24"/>
          <w:szCs w:val="24"/>
        </w:rPr>
        <w:t xml:space="preserve"> to take advantage of ESG and sustainable building management opportunities before competitors close the capability gap are the three main strategic challenges (Khanra et al., 2022). </w:t>
      </w:r>
    </w:p>
    <w:p w14:paraId="6F292F24" w14:textId="6480B836" w:rsidR="00A7664A" w:rsidRDefault="008F42E3" w:rsidP="001430A6">
      <w:pPr>
        <w:jc w:val="both"/>
        <w:rPr>
          <w:rFonts w:ascii="Times New Roman" w:hAnsi="Times New Roman" w:cs="Times New Roman"/>
          <w:sz w:val="24"/>
          <w:szCs w:val="24"/>
        </w:rPr>
      </w:pPr>
      <w:r w:rsidRPr="008F42E3">
        <w:rPr>
          <w:rFonts w:ascii="Times New Roman" w:hAnsi="Times New Roman" w:cs="Times New Roman"/>
          <w:sz w:val="24"/>
          <w:szCs w:val="24"/>
        </w:rPr>
        <w:br/>
        <w:t xml:space="preserve">Resident Experience Transformation is the top strategic aim and most urgent strategy alternative. In a more empowered leaseholder environment, neglecting to address the reputational deficit exposes the </w:t>
      </w:r>
      <w:r w:rsidR="00211B33">
        <w:rPr>
          <w:rFonts w:ascii="Times New Roman" w:hAnsi="Times New Roman" w:cs="Times New Roman"/>
          <w:sz w:val="24"/>
          <w:szCs w:val="24"/>
        </w:rPr>
        <w:t>organisation</w:t>
      </w:r>
      <w:r w:rsidRPr="008F42E3">
        <w:rPr>
          <w:rFonts w:ascii="Times New Roman" w:hAnsi="Times New Roman" w:cs="Times New Roman"/>
          <w:sz w:val="24"/>
          <w:szCs w:val="24"/>
        </w:rPr>
        <w:t xml:space="preserve"> to contract losses and </w:t>
      </w:r>
      <w:r w:rsidR="00B84FD3" w:rsidRPr="00B84FD3">
        <w:rPr>
          <w:rFonts w:ascii="Times New Roman" w:hAnsi="Times New Roman" w:cs="Times New Roman"/>
          <w:sz w:val="24"/>
          <w:szCs w:val="24"/>
        </w:rPr>
        <w:t>restricts the advantages of size</w:t>
      </w:r>
      <w:r w:rsidRPr="008F42E3">
        <w:rPr>
          <w:rFonts w:ascii="Times New Roman" w:hAnsi="Times New Roman" w:cs="Times New Roman"/>
          <w:sz w:val="24"/>
          <w:szCs w:val="24"/>
        </w:rPr>
        <w:t xml:space="preserve">, technology, and client relationships (Abdurakhmonov et al., 2022). This should be done with ESG distinction as a medium-term capabilities investment to align FirstPort with institutional investor and regulatory expectations. </w:t>
      </w:r>
    </w:p>
    <w:p w14:paraId="148415BD" w14:textId="6DBC62DA" w:rsidR="008F42E3" w:rsidRPr="008F42E3" w:rsidRDefault="008F42E3" w:rsidP="001430A6">
      <w:pPr>
        <w:jc w:val="both"/>
        <w:rPr>
          <w:rFonts w:ascii="Times New Roman" w:hAnsi="Times New Roman" w:cs="Times New Roman"/>
          <w:sz w:val="24"/>
          <w:szCs w:val="24"/>
        </w:rPr>
      </w:pPr>
      <w:r w:rsidRPr="008F42E3">
        <w:rPr>
          <w:rFonts w:ascii="Times New Roman" w:hAnsi="Times New Roman" w:cs="Times New Roman"/>
          <w:sz w:val="24"/>
          <w:szCs w:val="24"/>
        </w:rPr>
        <w:br/>
        <w:t>FirstPort's long-term success depends on its ability to transition from a scale-driven operator to a values-driven service company that provides compliance leadership, digital expertise, and a resident-focused culture in all of its managed properties. This requires precise execution, cultural alignment, and operational performance that matches strategy goals (Shankar, 2024; Spear, 2017).</w:t>
      </w:r>
    </w:p>
    <w:p w14:paraId="515057F4" w14:textId="77777777" w:rsidR="00C01869" w:rsidRPr="00FF09F5" w:rsidRDefault="00C01869" w:rsidP="001430A6">
      <w:pPr>
        <w:jc w:val="both"/>
        <w:rPr>
          <w:rFonts w:ascii="Times New Roman" w:hAnsi="Times New Roman" w:cs="Times New Roman"/>
          <w:sz w:val="24"/>
          <w:szCs w:val="24"/>
        </w:rPr>
      </w:pPr>
    </w:p>
    <w:p w14:paraId="29B4E7B6" w14:textId="77777777" w:rsidR="00552516" w:rsidRDefault="00552516" w:rsidP="001430A6">
      <w:pPr>
        <w:jc w:val="both"/>
        <w:rPr>
          <w:rFonts w:ascii="Times New Roman" w:hAnsi="Times New Roman" w:cs="Times New Roman"/>
          <w:sz w:val="24"/>
          <w:szCs w:val="24"/>
        </w:rPr>
      </w:pPr>
    </w:p>
    <w:p w14:paraId="067003EE" w14:textId="77777777" w:rsidR="00C06E05" w:rsidRPr="001430A6" w:rsidRDefault="00C06E05" w:rsidP="001430A6">
      <w:pPr>
        <w:jc w:val="both"/>
        <w:rPr>
          <w:rFonts w:ascii="Times New Roman" w:hAnsi="Times New Roman" w:cs="Times New Roman"/>
          <w:sz w:val="24"/>
          <w:szCs w:val="24"/>
        </w:rPr>
      </w:pPr>
    </w:p>
    <w:p w14:paraId="52C7743F" w14:textId="643A1095" w:rsidR="0051136B" w:rsidRPr="00C06E05" w:rsidRDefault="005F6E26" w:rsidP="001430A6">
      <w:pPr>
        <w:jc w:val="both"/>
        <w:rPr>
          <w:rFonts w:ascii="Times New Roman" w:hAnsi="Times New Roman" w:cs="Times New Roman"/>
          <w:b/>
          <w:bCs/>
          <w:sz w:val="24"/>
          <w:szCs w:val="24"/>
        </w:rPr>
      </w:pPr>
      <w:r>
        <w:rPr>
          <w:rFonts w:ascii="Times New Roman" w:hAnsi="Times New Roman" w:cs="Times New Roman"/>
          <w:b/>
          <w:bCs/>
          <w:sz w:val="24"/>
          <w:szCs w:val="24"/>
        </w:rPr>
        <w:t xml:space="preserve">7. </w:t>
      </w:r>
      <w:r w:rsidR="00B126F1" w:rsidRPr="00C06E05">
        <w:rPr>
          <w:rFonts w:ascii="Times New Roman" w:hAnsi="Times New Roman" w:cs="Times New Roman"/>
          <w:b/>
          <w:bCs/>
          <w:sz w:val="24"/>
          <w:szCs w:val="24"/>
        </w:rPr>
        <w:t>References</w:t>
      </w:r>
    </w:p>
    <w:p w14:paraId="612E1BF3" w14:textId="77777777" w:rsidR="00452F8D" w:rsidRPr="00452F8D" w:rsidRDefault="00452F8D" w:rsidP="00452F8D">
      <w:r w:rsidRPr="00452F8D">
        <w:t xml:space="preserve">Abdullah, N.H.N. et al. (2022) 'Strategic management accounting practices in business: a systematic review of the literature and future research directions', </w:t>
      </w:r>
      <w:r w:rsidRPr="00452F8D">
        <w:rPr>
          <w:i/>
          <w:iCs/>
        </w:rPr>
        <w:t>Cogent Business &amp; Management</w:t>
      </w:r>
      <w:r w:rsidRPr="00452F8D">
        <w:t xml:space="preserve">, 9(1), pp. 1–21. Available at: </w:t>
      </w:r>
      <w:hyperlink r:id="rId10" w:history="1">
        <w:r w:rsidRPr="00452F8D">
          <w:rPr>
            <w:rStyle w:val="Hyperlink"/>
          </w:rPr>
          <w:t>https://doi.org/10.1080/23311975.2022.2093488</w:t>
        </w:r>
      </w:hyperlink>
      <w:r w:rsidRPr="00452F8D">
        <w:t>.</w:t>
      </w:r>
    </w:p>
    <w:p w14:paraId="40F320E7" w14:textId="77777777" w:rsidR="00452F8D" w:rsidRPr="00452F8D" w:rsidRDefault="00452F8D" w:rsidP="00452F8D">
      <w:r w:rsidRPr="00452F8D">
        <w:t xml:space="preserve">Abdurakhmonov, M. et al. (2022) 'Strategic risk and lobbying: investigating lobbying breadth as risk management', </w:t>
      </w:r>
      <w:r w:rsidRPr="00452F8D">
        <w:rPr>
          <w:i/>
          <w:iCs/>
        </w:rPr>
        <w:t>Journal of Management</w:t>
      </w:r>
      <w:r w:rsidRPr="00452F8D">
        <w:t xml:space="preserve">, 48(5), pp. 1103–1130. Available at: </w:t>
      </w:r>
      <w:hyperlink r:id="rId11" w:history="1">
        <w:r w:rsidRPr="00452F8D">
          <w:rPr>
            <w:rStyle w:val="Hyperlink"/>
          </w:rPr>
          <w:t>https://doi.org/10.1177/01492063211011762</w:t>
        </w:r>
      </w:hyperlink>
      <w:r w:rsidRPr="00452F8D">
        <w:t>.</w:t>
      </w:r>
    </w:p>
    <w:p w14:paraId="4A421FC6" w14:textId="77777777" w:rsidR="00452F8D" w:rsidRPr="00452F8D" w:rsidRDefault="00452F8D" w:rsidP="00452F8D">
      <w:r w:rsidRPr="00452F8D">
        <w:t xml:space="preserve">Ali, S., Li, G. and Latif, Y. (2020) 'Unleashing the importance of creativity, experience and intellectual capital in the adaptation of export marketing strategy and competitive position', </w:t>
      </w:r>
      <w:r w:rsidRPr="00452F8D">
        <w:rPr>
          <w:i/>
          <w:iCs/>
        </w:rPr>
        <w:t>PLoS ONE</w:t>
      </w:r>
      <w:r w:rsidRPr="00452F8D">
        <w:t xml:space="preserve">, 15(11), e0241670. Available at: </w:t>
      </w:r>
      <w:hyperlink r:id="rId12" w:history="1">
        <w:r w:rsidRPr="00452F8D">
          <w:rPr>
            <w:rStyle w:val="Hyperlink"/>
          </w:rPr>
          <w:t>https://doi.org/10.1371/journal.pone.0241670</w:t>
        </w:r>
      </w:hyperlink>
      <w:r w:rsidRPr="00452F8D">
        <w:t>.</w:t>
      </w:r>
    </w:p>
    <w:p w14:paraId="65C9D14F" w14:textId="77777777" w:rsidR="00452F8D" w:rsidRPr="00452F8D" w:rsidRDefault="00452F8D" w:rsidP="00452F8D">
      <w:r w:rsidRPr="00452F8D">
        <w:t xml:space="preserve">Allon, G. (2013) </w:t>
      </w:r>
      <w:r w:rsidRPr="00452F8D">
        <w:rPr>
          <w:i/>
          <w:iCs/>
        </w:rPr>
        <w:t>Operations strategy: competition, competencies and trade-offs</w:t>
      </w:r>
      <w:r w:rsidRPr="00452F8D">
        <w:t>. London: Henry Stewart Talks Ltd.</w:t>
      </w:r>
    </w:p>
    <w:p w14:paraId="0A6FB080" w14:textId="77777777" w:rsidR="00452F8D" w:rsidRPr="00452F8D" w:rsidRDefault="00452F8D" w:rsidP="00452F8D">
      <w:r w:rsidRPr="00452F8D">
        <w:t xml:space="preserve">Azeez Hussein, E. (2020) 'Marketing intelligence system and its impact in determining strategies of competitive positions', </w:t>
      </w:r>
      <w:r w:rsidRPr="00452F8D">
        <w:rPr>
          <w:i/>
          <w:iCs/>
        </w:rPr>
        <w:t>Utopía y Praxis Latinoamericana</w:t>
      </w:r>
      <w:r w:rsidRPr="00452F8D">
        <w:t xml:space="preserve">, (1), pp. 530–544. Available at: </w:t>
      </w:r>
      <w:hyperlink r:id="rId13" w:history="1">
        <w:r w:rsidRPr="00452F8D">
          <w:rPr>
            <w:rStyle w:val="Hyperlink"/>
          </w:rPr>
          <w:t>https://doi.org/10.5281/zenodo.3784914</w:t>
        </w:r>
      </w:hyperlink>
      <w:r w:rsidRPr="00452F8D">
        <w:t>.</w:t>
      </w:r>
    </w:p>
    <w:p w14:paraId="79D2C815" w14:textId="77777777" w:rsidR="00452F8D" w:rsidRPr="00452F8D" w:rsidRDefault="00452F8D" w:rsidP="00452F8D">
      <w:r w:rsidRPr="00452F8D">
        <w:t xml:space="preserve">Barney, J.B. and Hesterly, W.S. (2019) </w:t>
      </w:r>
      <w:r w:rsidRPr="00452F8D">
        <w:rPr>
          <w:i/>
          <w:iCs/>
        </w:rPr>
        <w:t>Strategic management and competitive advantage: concepts and cases</w:t>
      </w:r>
      <w:r w:rsidRPr="00452F8D">
        <w:t>. 6th edn. Harlow: Pearson Education Limited.</w:t>
      </w:r>
    </w:p>
    <w:p w14:paraId="2652C691" w14:textId="56CB9B17" w:rsidR="00452F8D" w:rsidRPr="00452F8D" w:rsidRDefault="00452F8D" w:rsidP="00452F8D">
      <w:r w:rsidRPr="00452F8D">
        <w:t xml:space="preserve">Charenkova, C. (2022) </w:t>
      </w:r>
      <w:r w:rsidRPr="00452F8D">
        <w:rPr>
          <w:i/>
          <w:iCs/>
        </w:rPr>
        <w:t>Strategic business analysis essentials</w:t>
      </w:r>
      <w:r w:rsidRPr="00452F8D">
        <w:t xml:space="preserve"> [Online course]. LinkedIn Learning. Available at: </w:t>
      </w:r>
      <w:hyperlink r:id="rId14" w:history="1">
        <w:r w:rsidRPr="00452F8D">
          <w:rPr>
            <w:rStyle w:val="Hyperlink"/>
          </w:rPr>
          <w:t>https://www.linkedin.com/learning/strategic-business-analysis-essentials?u=77966930&amp;auth=true</w:t>
        </w:r>
      </w:hyperlink>
      <w:r w:rsidRPr="00452F8D">
        <w:t xml:space="preserve"> (Accessed: 1</w:t>
      </w:r>
      <w:r w:rsidR="00DA231F">
        <w:t>2</w:t>
      </w:r>
      <w:r w:rsidRPr="00452F8D">
        <w:t xml:space="preserve"> March 2026).</w:t>
      </w:r>
    </w:p>
    <w:p w14:paraId="509862BF" w14:textId="45B13E08" w:rsidR="00452F8D" w:rsidRPr="00452F8D" w:rsidRDefault="00452F8D" w:rsidP="00452F8D">
      <w:r w:rsidRPr="00452F8D">
        <w:t xml:space="preserve">Companies House (no date) </w:t>
      </w:r>
      <w:r w:rsidRPr="00452F8D">
        <w:rPr>
          <w:i/>
          <w:iCs/>
        </w:rPr>
        <w:t>FirstPort Property Services Limited – company number 02061041</w:t>
      </w:r>
      <w:r w:rsidRPr="00452F8D">
        <w:t xml:space="preserve">. Available at: </w:t>
      </w:r>
      <w:hyperlink r:id="rId15" w:history="1">
        <w:r w:rsidRPr="00452F8D">
          <w:rPr>
            <w:rStyle w:val="Hyperlink"/>
          </w:rPr>
          <w:t>https://find-and-update.company-information.service.gov.uk/company/02061041</w:t>
        </w:r>
      </w:hyperlink>
      <w:r w:rsidRPr="00452F8D">
        <w:t xml:space="preserve"> (Accessed: </w:t>
      </w:r>
      <w:r w:rsidR="005D0BCB">
        <w:t>2</w:t>
      </w:r>
      <w:r w:rsidRPr="00452F8D">
        <w:t xml:space="preserve"> March 2026).</w:t>
      </w:r>
    </w:p>
    <w:p w14:paraId="01110A77" w14:textId="77777777" w:rsidR="00452F8D" w:rsidRPr="00452F8D" w:rsidRDefault="00452F8D" w:rsidP="00452F8D">
      <w:r w:rsidRPr="00452F8D">
        <w:t xml:space="preserve">Dang-Van, T. et al. (2024) 'Effects of internal strategic resources and capabilities on service innovation', </w:t>
      </w:r>
      <w:r w:rsidRPr="00452F8D">
        <w:rPr>
          <w:i/>
          <w:iCs/>
        </w:rPr>
        <w:t>Journal of Hospitality Marketing &amp; Management</w:t>
      </w:r>
      <w:r w:rsidRPr="00452F8D">
        <w:t xml:space="preserve">, 33(1), pp. 112–144. Available at: </w:t>
      </w:r>
      <w:hyperlink r:id="rId16" w:history="1">
        <w:r w:rsidRPr="00452F8D">
          <w:rPr>
            <w:rStyle w:val="Hyperlink"/>
          </w:rPr>
          <w:t>https://doi.org/10.1080/19368623.2023.2241038</w:t>
        </w:r>
      </w:hyperlink>
      <w:r w:rsidRPr="00452F8D">
        <w:t>.</w:t>
      </w:r>
    </w:p>
    <w:p w14:paraId="05CB18E1" w14:textId="0E6474CD" w:rsidR="00452F8D" w:rsidRPr="00452F8D" w:rsidRDefault="00452F8D" w:rsidP="00452F8D">
      <w:r w:rsidRPr="00452F8D">
        <w:t xml:space="preserve">Datamonitor Plc (no date) </w:t>
      </w:r>
      <w:r w:rsidRPr="00452F8D">
        <w:rPr>
          <w:i/>
          <w:iCs/>
        </w:rPr>
        <w:t>Commercial real estate and property management industry profile: United Kingdom</w:t>
      </w:r>
      <w:r w:rsidRPr="00452F8D">
        <w:t>. Available at: EBSCO (Accessed: 1</w:t>
      </w:r>
      <w:r w:rsidR="0078681E">
        <w:t>4</w:t>
      </w:r>
      <w:r w:rsidRPr="00452F8D">
        <w:t xml:space="preserve"> March 2026).</w:t>
      </w:r>
    </w:p>
    <w:p w14:paraId="5B861235" w14:textId="77777777" w:rsidR="00452F8D" w:rsidRPr="00452F8D" w:rsidRDefault="00452F8D" w:rsidP="00452F8D">
      <w:r w:rsidRPr="00452F8D">
        <w:t xml:space="preserve">Drummond, G., Ensor, J. and Ashford, R. (2008) </w:t>
      </w:r>
      <w:r w:rsidRPr="00452F8D">
        <w:rPr>
          <w:i/>
          <w:iCs/>
        </w:rPr>
        <w:t>Strategic marketing: planning and control</w:t>
      </w:r>
      <w:r w:rsidRPr="00452F8D">
        <w:t>. 3rd edn. Oxford: Butterworth-Heinemann.</w:t>
      </w:r>
    </w:p>
    <w:p w14:paraId="41754F82" w14:textId="423A59DB" w:rsidR="00452F8D" w:rsidRPr="00452F8D" w:rsidRDefault="00452F8D" w:rsidP="00452F8D">
      <w:r w:rsidRPr="00452F8D">
        <w:t xml:space="preserve">First Property Group plc (2009) </w:t>
      </w:r>
      <w:r w:rsidRPr="00452F8D">
        <w:rPr>
          <w:i/>
          <w:iCs/>
        </w:rPr>
        <w:t>Annual report and accounts 2009</w:t>
      </w:r>
      <w:r w:rsidRPr="00452F8D">
        <w:t xml:space="preserve">. Available at: </w:t>
      </w:r>
      <w:hyperlink r:id="rId17" w:history="1">
        <w:r w:rsidRPr="00452F8D">
          <w:rPr>
            <w:rStyle w:val="Hyperlink"/>
          </w:rPr>
          <w:t>https://www.fprop.com/plc-investors/financial-reports/</w:t>
        </w:r>
      </w:hyperlink>
      <w:r w:rsidRPr="00452F8D">
        <w:t xml:space="preserve"> (Accessed: </w:t>
      </w:r>
      <w:r w:rsidR="00DA7124">
        <w:t>1</w:t>
      </w:r>
      <w:r w:rsidR="005D0BCB">
        <w:t xml:space="preserve">2 </w:t>
      </w:r>
      <w:r w:rsidRPr="00452F8D">
        <w:t>March 2026).</w:t>
      </w:r>
    </w:p>
    <w:p w14:paraId="4C77F70E" w14:textId="62F49E64" w:rsidR="00452F8D" w:rsidRPr="00452F8D" w:rsidRDefault="00452F8D" w:rsidP="00452F8D">
      <w:r w:rsidRPr="00452F8D">
        <w:t xml:space="preserve">First Property Group plc (2024) </w:t>
      </w:r>
      <w:r w:rsidRPr="00452F8D">
        <w:rPr>
          <w:i/>
          <w:iCs/>
        </w:rPr>
        <w:t>Annual report and accounts 2024</w:t>
      </w:r>
      <w:r w:rsidRPr="00452F8D">
        <w:t xml:space="preserve">. Available at: </w:t>
      </w:r>
      <w:hyperlink r:id="rId18" w:history="1">
        <w:r w:rsidRPr="00452F8D">
          <w:rPr>
            <w:rStyle w:val="Hyperlink"/>
          </w:rPr>
          <w:t>https://www.fprop.com/plc-investors/financial-reports/</w:t>
        </w:r>
      </w:hyperlink>
      <w:r w:rsidRPr="00452F8D">
        <w:t xml:space="preserve"> (Accessed: </w:t>
      </w:r>
      <w:r w:rsidR="00EB6422">
        <w:t>7</w:t>
      </w:r>
      <w:r w:rsidRPr="00452F8D">
        <w:t xml:space="preserve"> March 2026).</w:t>
      </w:r>
    </w:p>
    <w:p w14:paraId="314DC335" w14:textId="4F897FB5" w:rsidR="00452F8D" w:rsidRPr="00452F8D" w:rsidRDefault="00452F8D" w:rsidP="00452F8D">
      <w:r w:rsidRPr="00452F8D">
        <w:t xml:space="preserve">First Property Group plc (2025) </w:t>
      </w:r>
      <w:r w:rsidRPr="00452F8D">
        <w:rPr>
          <w:i/>
          <w:iCs/>
        </w:rPr>
        <w:t>Annual report and accounts 2025</w:t>
      </w:r>
      <w:r w:rsidRPr="00452F8D">
        <w:t xml:space="preserve">. Available at: </w:t>
      </w:r>
      <w:hyperlink r:id="rId19" w:history="1">
        <w:r w:rsidRPr="00452F8D">
          <w:rPr>
            <w:rStyle w:val="Hyperlink"/>
          </w:rPr>
          <w:t>https://www.fprop.com/plc-investors/financial-reports/</w:t>
        </w:r>
      </w:hyperlink>
      <w:r w:rsidRPr="00452F8D">
        <w:t xml:space="preserve"> (Accessed: 1</w:t>
      </w:r>
      <w:r w:rsidR="00F63F92">
        <w:t>0</w:t>
      </w:r>
      <w:r w:rsidRPr="00452F8D">
        <w:t xml:space="preserve"> March 2026).</w:t>
      </w:r>
    </w:p>
    <w:p w14:paraId="0F468A0B" w14:textId="77777777" w:rsidR="00452F8D" w:rsidRPr="00452F8D" w:rsidRDefault="00452F8D" w:rsidP="00452F8D">
      <w:r w:rsidRPr="00452F8D">
        <w:t xml:space="preserve">FirstPort (no date) </w:t>
      </w:r>
      <w:r w:rsidRPr="00452F8D">
        <w:rPr>
          <w:i/>
          <w:iCs/>
        </w:rPr>
        <w:t>Property management services</w:t>
      </w:r>
      <w:r w:rsidRPr="00452F8D">
        <w:t xml:space="preserve">. Available at: </w:t>
      </w:r>
      <w:hyperlink r:id="rId20" w:history="1">
        <w:r w:rsidRPr="00452F8D">
          <w:rPr>
            <w:rStyle w:val="Hyperlink"/>
          </w:rPr>
          <w:t>https://www.firstport.co.uk</w:t>
        </w:r>
      </w:hyperlink>
      <w:r w:rsidRPr="00452F8D">
        <w:t xml:space="preserve"> (Accessed: 18 March 2026).</w:t>
      </w:r>
    </w:p>
    <w:p w14:paraId="202A8DE8" w14:textId="77777777" w:rsidR="00452F8D" w:rsidRPr="00452F8D" w:rsidRDefault="00452F8D" w:rsidP="00452F8D">
      <w:r w:rsidRPr="00452F8D">
        <w:lastRenderedPageBreak/>
        <w:t xml:space="preserve">Ghauri, P.N., Elg, U. and Hånell, S.M. (eds.) (2023) </w:t>
      </w:r>
      <w:r w:rsidRPr="00452F8D">
        <w:rPr>
          <w:i/>
          <w:iCs/>
        </w:rPr>
        <w:t>Creating a sustainable competitive position: ethical challenges for international firms</w:t>
      </w:r>
      <w:r w:rsidRPr="00452F8D">
        <w:t>. 1st edn. Leeds: Emerald Publishing.</w:t>
      </w:r>
    </w:p>
    <w:p w14:paraId="1B92C2D1" w14:textId="77777777" w:rsidR="00452F8D" w:rsidRPr="00452F8D" w:rsidRDefault="00452F8D" w:rsidP="00452F8D">
      <w:r w:rsidRPr="00452F8D">
        <w:t xml:space="preserve">Gond, J.-P. and Spicer, A. (2021) </w:t>
      </w:r>
      <w:r w:rsidRPr="00452F8D">
        <w:rPr>
          <w:i/>
          <w:iCs/>
        </w:rPr>
        <w:t>Strategy and sustainability: 6 "P"s for socially responsible strategy</w:t>
      </w:r>
      <w:r w:rsidRPr="00452F8D">
        <w:t>. London: Henry Stewart Talks Ltd.</w:t>
      </w:r>
    </w:p>
    <w:p w14:paraId="684894FB" w14:textId="77777777" w:rsidR="00452F8D" w:rsidRPr="00452F8D" w:rsidRDefault="00452F8D" w:rsidP="00452F8D">
      <w:r w:rsidRPr="00452F8D">
        <w:t xml:space="preserve">Goodman, M. and Dingli, S.M. (2017) </w:t>
      </w:r>
      <w:r w:rsidRPr="00452F8D">
        <w:rPr>
          <w:i/>
          <w:iCs/>
        </w:rPr>
        <w:t>Creativity and strategic innovation management: directions for future value in changing times</w:t>
      </w:r>
      <w:r w:rsidRPr="00452F8D">
        <w:t>. 2nd edn. London: Routledge.</w:t>
      </w:r>
    </w:p>
    <w:p w14:paraId="43883ED8" w14:textId="77777777" w:rsidR="00452F8D" w:rsidRPr="00452F8D" w:rsidRDefault="00452F8D" w:rsidP="00452F8D">
      <w:r w:rsidRPr="00452F8D">
        <w:t xml:space="preserve">Grand View Research (2025) </w:t>
      </w:r>
      <w:r w:rsidRPr="00452F8D">
        <w:rPr>
          <w:i/>
          <w:iCs/>
        </w:rPr>
        <w:t>UK property management software market size and outlook, 2030</w:t>
      </w:r>
      <w:r w:rsidRPr="00452F8D">
        <w:t xml:space="preserve">. Available at: </w:t>
      </w:r>
      <w:hyperlink r:id="rId21" w:history="1">
        <w:r w:rsidRPr="00452F8D">
          <w:rPr>
            <w:rStyle w:val="Hyperlink"/>
          </w:rPr>
          <w:t>https://www.grandviewresearch.com/horizon/outlook/property-management-software-market/uk</w:t>
        </w:r>
      </w:hyperlink>
      <w:r w:rsidRPr="00452F8D">
        <w:t xml:space="preserve"> (Accessed: 18 March 2026).</w:t>
      </w:r>
    </w:p>
    <w:p w14:paraId="5CDFC041" w14:textId="77777777" w:rsidR="00452F8D" w:rsidRPr="00452F8D" w:rsidRDefault="00452F8D" w:rsidP="00452F8D">
      <w:r w:rsidRPr="00452F8D">
        <w:t xml:space="preserve">Hansard (2025) </w:t>
      </w:r>
      <w:r w:rsidRPr="00452F8D">
        <w:rPr>
          <w:i/>
          <w:iCs/>
        </w:rPr>
        <w:t>Leasehold reform</w:t>
      </w:r>
      <w:r w:rsidRPr="00452F8D">
        <w:t xml:space="preserve">. Available at: </w:t>
      </w:r>
      <w:hyperlink r:id="rId22" w:history="1">
        <w:r w:rsidRPr="00452F8D">
          <w:rPr>
            <w:rStyle w:val="Hyperlink"/>
          </w:rPr>
          <w:t>https://hansard.parliament.uk/commons/2025-07-14/debates/360C774C-8371-4D37-888B-D757E59932B4/LeaseholdReform</w:t>
        </w:r>
      </w:hyperlink>
      <w:r w:rsidRPr="00452F8D">
        <w:t xml:space="preserve"> (Accessed: 18 March 2026).</w:t>
      </w:r>
    </w:p>
    <w:p w14:paraId="0EDF6B03" w14:textId="77777777" w:rsidR="00452F8D" w:rsidRPr="00452F8D" w:rsidRDefault="00452F8D" w:rsidP="00452F8D">
      <w:r w:rsidRPr="00452F8D">
        <w:t xml:space="preserve">Hervas-Oliver, J.-L. and Albors-Garrigos, J. (2009) 'The role of the firm's internal and relational capabilities in clusters: when distance and embeddedness are not enough to explain innovation', </w:t>
      </w:r>
      <w:r w:rsidRPr="00452F8D">
        <w:rPr>
          <w:i/>
          <w:iCs/>
        </w:rPr>
        <w:t>Journal of Economic Geography</w:t>
      </w:r>
      <w:r w:rsidRPr="00452F8D">
        <w:t xml:space="preserve">, 9(2), pp. 263–283. Available at: </w:t>
      </w:r>
      <w:hyperlink r:id="rId23" w:history="1">
        <w:r w:rsidRPr="00452F8D">
          <w:rPr>
            <w:rStyle w:val="Hyperlink"/>
          </w:rPr>
          <w:t>https://doi.org/10.1093/jeg/lbn033</w:t>
        </w:r>
      </w:hyperlink>
      <w:r w:rsidRPr="00452F8D">
        <w:t>.</w:t>
      </w:r>
    </w:p>
    <w:p w14:paraId="2C190D0F" w14:textId="29866DF3" w:rsidR="00452F8D" w:rsidRPr="00452F8D" w:rsidRDefault="00452F8D" w:rsidP="00452F8D">
      <w:r w:rsidRPr="00452F8D">
        <w:t xml:space="preserve">Homes Partnership (2025) </w:t>
      </w:r>
      <w:r w:rsidRPr="00452F8D">
        <w:rPr>
          <w:i/>
          <w:iCs/>
        </w:rPr>
        <w:t>Our guide to the Leasehold and Freehold Reform Act 2024</w:t>
      </w:r>
      <w:r w:rsidRPr="00452F8D">
        <w:t xml:space="preserve">. Available at: </w:t>
      </w:r>
      <w:hyperlink r:id="rId24" w:history="1">
        <w:r w:rsidRPr="00452F8D">
          <w:rPr>
            <w:rStyle w:val="Hyperlink"/>
          </w:rPr>
          <w:t>https://homes-partnership.co.uk/our-guide-to-the-leasehold-and-freehold-reform-act-2024/</w:t>
        </w:r>
      </w:hyperlink>
      <w:r w:rsidRPr="00452F8D">
        <w:t xml:space="preserve"> (Accessed: 1</w:t>
      </w:r>
      <w:r w:rsidR="0053109C">
        <w:t>4</w:t>
      </w:r>
      <w:r w:rsidRPr="00452F8D">
        <w:t xml:space="preserve"> March 2026).</w:t>
      </w:r>
    </w:p>
    <w:p w14:paraId="5816D06A" w14:textId="08A6BA9E" w:rsidR="00452F8D" w:rsidRPr="00452F8D" w:rsidRDefault="00452F8D" w:rsidP="00452F8D">
      <w:r w:rsidRPr="00452F8D">
        <w:t xml:space="preserve">Hooley, G.J. et al. (2024) </w:t>
      </w:r>
      <w:r w:rsidRPr="00452F8D">
        <w:rPr>
          <w:i/>
          <w:iCs/>
        </w:rPr>
        <w:t>Marketing strategy and competitive positioning</w:t>
      </w:r>
      <w:r w:rsidRPr="00452F8D">
        <w:t xml:space="preserve">. 8th edn. Harlow: Pearson. Available at: </w:t>
      </w:r>
      <w:hyperlink r:id="rId25" w:history="1">
        <w:r w:rsidRPr="00452F8D">
          <w:rPr>
            <w:rStyle w:val="Hyperlink"/>
          </w:rPr>
          <w:t>https://ezproxy.uwtsd.ac.uk</w:t>
        </w:r>
      </w:hyperlink>
      <w:r w:rsidRPr="00452F8D">
        <w:t xml:space="preserve"> (Accessed: </w:t>
      </w:r>
      <w:r w:rsidR="00C92848">
        <w:t>24</w:t>
      </w:r>
      <w:r w:rsidRPr="00452F8D">
        <w:t xml:space="preserve"> March 2026).</w:t>
      </w:r>
    </w:p>
    <w:p w14:paraId="7E4655C9" w14:textId="2E3803DC" w:rsidR="00452F8D" w:rsidRPr="00452F8D" w:rsidRDefault="00452F8D" w:rsidP="00452F8D">
      <w:r w:rsidRPr="00452F8D">
        <w:t xml:space="preserve">IBISWorld (2025) </w:t>
      </w:r>
      <w:r w:rsidRPr="00452F8D">
        <w:rPr>
          <w:i/>
          <w:iCs/>
        </w:rPr>
        <w:t>Property management services in the UK: industry analysis 2025</w:t>
      </w:r>
      <w:r w:rsidRPr="00452F8D">
        <w:t xml:space="preserve">. Available at: </w:t>
      </w:r>
      <w:hyperlink r:id="rId26" w:history="1">
        <w:r w:rsidRPr="00452F8D">
          <w:rPr>
            <w:rStyle w:val="Hyperlink"/>
          </w:rPr>
          <w:t>https://www.ibisworld.com/united-kingdom/industry/property-management-services/14544/</w:t>
        </w:r>
      </w:hyperlink>
      <w:r w:rsidRPr="00452F8D">
        <w:t xml:space="preserve"> (Accessed: 1</w:t>
      </w:r>
      <w:r w:rsidR="00FC3611">
        <w:t>4</w:t>
      </w:r>
      <w:r w:rsidRPr="00452F8D">
        <w:t xml:space="preserve"> March 2026).</w:t>
      </w:r>
    </w:p>
    <w:p w14:paraId="6B55F3B5" w14:textId="385D7F99" w:rsidR="00452F8D" w:rsidRPr="00452F8D" w:rsidRDefault="00452F8D" w:rsidP="00452F8D">
      <w:r w:rsidRPr="00452F8D">
        <w:t xml:space="preserve">Isabelle, D., Horak, K., McKinnon, S. and Palumbo, C. (2020) 'Is Porter's Five Forces framework still relevant? A study of the capital/labour intensity continuum via mining and IT industries', </w:t>
      </w:r>
      <w:r w:rsidRPr="00452F8D">
        <w:rPr>
          <w:i/>
          <w:iCs/>
        </w:rPr>
        <w:t>Technology Innovation Management Review</w:t>
      </w:r>
      <w:r w:rsidRPr="00452F8D">
        <w:t xml:space="preserve">, 10(6), pp. 28–41. Available at: </w:t>
      </w:r>
      <w:hyperlink r:id="rId27" w:history="1">
        <w:r w:rsidRPr="00452F8D">
          <w:rPr>
            <w:rStyle w:val="Hyperlink"/>
          </w:rPr>
          <w:t>https://doi.org/10.22215/timreview/1366</w:t>
        </w:r>
      </w:hyperlink>
      <w:r w:rsidRPr="00452F8D">
        <w:t xml:space="preserve"> (Accessed: </w:t>
      </w:r>
      <w:r w:rsidR="00040843">
        <w:t>20</w:t>
      </w:r>
      <w:r w:rsidRPr="00452F8D">
        <w:t xml:space="preserve"> March 2026).</w:t>
      </w:r>
    </w:p>
    <w:p w14:paraId="5B7351FA" w14:textId="77777777" w:rsidR="00452F8D" w:rsidRPr="00452F8D" w:rsidRDefault="00452F8D" w:rsidP="00452F8D">
      <w:r w:rsidRPr="00452F8D">
        <w:t xml:space="preserve">Johnson, G., Whittington, R. and Scholes, K. (2012) </w:t>
      </w:r>
      <w:r w:rsidRPr="00452F8D">
        <w:rPr>
          <w:i/>
          <w:iCs/>
        </w:rPr>
        <w:t>Fundamentals of strategy</w:t>
      </w:r>
      <w:r w:rsidRPr="00452F8D">
        <w:t>. 2nd edn. Harlow: Pearson Education Limited.</w:t>
      </w:r>
    </w:p>
    <w:p w14:paraId="721CBAF6" w14:textId="77777777" w:rsidR="00452F8D" w:rsidRPr="00452F8D" w:rsidRDefault="00452F8D" w:rsidP="00452F8D">
      <w:r w:rsidRPr="00452F8D">
        <w:t xml:space="preserve">Kahraman, J. and Şahin, D.R. (2026) 'Pestle analysis of digitalization in aviation safety', </w:t>
      </w:r>
      <w:r w:rsidRPr="00452F8D">
        <w:rPr>
          <w:i/>
          <w:iCs/>
        </w:rPr>
        <w:t>Transport Policy</w:t>
      </w:r>
      <w:r w:rsidRPr="00452F8D">
        <w:t xml:space="preserve">, 178. Available at: </w:t>
      </w:r>
      <w:hyperlink r:id="rId28" w:history="1">
        <w:r w:rsidRPr="00452F8D">
          <w:rPr>
            <w:rStyle w:val="Hyperlink"/>
          </w:rPr>
          <w:t>https://doi.org/10.1016/j.tranpol.2025.103945</w:t>
        </w:r>
      </w:hyperlink>
      <w:r w:rsidRPr="00452F8D">
        <w:t xml:space="preserve"> (Accessed: 18 March 2026).</w:t>
      </w:r>
    </w:p>
    <w:p w14:paraId="533D52B9" w14:textId="77777777" w:rsidR="00452F8D" w:rsidRPr="00452F8D" w:rsidRDefault="00452F8D" w:rsidP="00452F8D">
      <w:r w:rsidRPr="00452F8D">
        <w:t>Khanra, S. et al. (2022) 'A resource</w:t>
      </w:r>
      <w:r w:rsidRPr="00452F8D">
        <w:rPr>
          <w:rFonts w:ascii="Cambria Math" w:hAnsi="Cambria Math" w:cs="Cambria Math"/>
        </w:rPr>
        <w:t>‐</w:t>
      </w:r>
      <w:r w:rsidRPr="00452F8D">
        <w:t xml:space="preserve">based view of green innovation as a strategic firm resource: present status and future directions', </w:t>
      </w:r>
      <w:r w:rsidRPr="00452F8D">
        <w:rPr>
          <w:i/>
          <w:iCs/>
        </w:rPr>
        <w:t>Business Strategy and the Environment</w:t>
      </w:r>
      <w:r w:rsidRPr="00452F8D">
        <w:t xml:space="preserve">, 31(4), pp. 1395–1413. Available at: </w:t>
      </w:r>
      <w:hyperlink r:id="rId29" w:history="1">
        <w:r w:rsidRPr="00452F8D">
          <w:rPr>
            <w:rStyle w:val="Hyperlink"/>
          </w:rPr>
          <w:t>https://doi.org/10.1002/bse.2961</w:t>
        </w:r>
      </w:hyperlink>
      <w:r w:rsidRPr="00452F8D">
        <w:t>.</w:t>
      </w:r>
    </w:p>
    <w:p w14:paraId="729B57A6" w14:textId="28AE5C64" w:rsidR="00452F8D" w:rsidRPr="00452F8D" w:rsidRDefault="00452F8D" w:rsidP="00452F8D">
      <w:r w:rsidRPr="00452F8D">
        <w:t xml:space="preserve">Kingsley Napley (2025) </w:t>
      </w:r>
      <w:r w:rsidRPr="00452F8D">
        <w:rPr>
          <w:i/>
          <w:iCs/>
        </w:rPr>
        <w:t>The Leasehold and Freehold Reform Act 2024</w:t>
      </w:r>
      <w:r w:rsidRPr="00452F8D">
        <w:t xml:space="preserve">. Available at: </w:t>
      </w:r>
      <w:hyperlink r:id="rId30" w:history="1">
        <w:r w:rsidRPr="00452F8D">
          <w:rPr>
            <w:rStyle w:val="Hyperlink"/>
          </w:rPr>
          <w:t>https://www.kingsleynapley.co.uk/insights/blogs/real-estate-law-blog/the-leasehold-and-freehold-reform-act-2024</w:t>
        </w:r>
      </w:hyperlink>
      <w:r w:rsidRPr="00452F8D">
        <w:t xml:space="preserve"> (Accessed: </w:t>
      </w:r>
      <w:r w:rsidR="00F86C96">
        <w:t>20</w:t>
      </w:r>
      <w:r w:rsidRPr="00452F8D">
        <w:t xml:space="preserve"> March 2026).</w:t>
      </w:r>
    </w:p>
    <w:p w14:paraId="4C7E7058" w14:textId="42143E3B" w:rsidR="00452F8D" w:rsidRPr="00452F8D" w:rsidRDefault="00452F8D" w:rsidP="00452F8D">
      <w:r w:rsidRPr="00452F8D">
        <w:lastRenderedPageBreak/>
        <w:t xml:space="preserve">Kock, C.J. (2021) </w:t>
      </w:r>
      <w:r w:rsidRPr="00452F8D">
        <w:rPr>
          <w:i/>
          <w:iCs/>
        </w:rPr>
        <w:t>Five forces</w:t>
      </w:r>
      <w:r w:rsidRPr="00452F8D">
        <w:t xml:space="preserve"> [Online video lecture]. IE University. Available at: </w:t>
      </w:r>
      <w:hyperlink r:id="rId31" w:history="1">
        <w:r w:rsidRPr="00452F8D">
          <w:rPr>
            <w:rStyle w:val="Hyperlink"/>
          </w:rPr>
          <w:t>https://alexanderstreet.com</w:t>
        </w:r>
      </w:hyperlink>
      <w:r w:rsidRPr="00452F8D">
        <w:t xml:space="preserve"> (Accessed: </w:t>
      </w:r>
      <w:r w:rsidR="00EC2C8C">
        <w:t>20</w:t>
      </w:r>
      <w:r w:rsidRPr="00452F8D">
        <w:t xml:space="preserve"> March 2026).</w:t>
      </w:r>
    </w:p>
    <w:p w14:paraId="29A8AF52" w14:textId="77777777" w:rsidR="00452F8D" w:rsidRPr="00452F8D" w:rsidRDefault="00452F8D" w:rsidP="00452F8D">
      <w:r w:rsidRPr="00452F8D">
        <w:t xml:space="preserve">Lee, C., Lee, K. and Pennings, J.M. (2001) 'Internal capabilities, external networks, and performance: a study on technology-based ventures', </w:t>
      </w:r>
      <w:r w:rsidRPr="00452F8D">
        <w:rPr>
          <w:i/>
          <w:iCs/>
        </w:rPr>
        <w:t>Strategic Management Journal</w:t>
      </w:r>
      <w:r w:rsidRPr="00452F8D">
        <w:t xml:space="preserve">, 22(6–7), pp. 615–640. Available at: </w:t>
      </w:r>
      <w:hyperlink r:id="rId32" w:history="1">
        <w:r w:rsidRPr="00452F8D">
          <w:rPr>
            <w:rStyle w:val="Hyperlink"/>
          </w:rPr>
          <w:t>https://doi.org/10.1002/smj.181</w:t>
        </w:r>
      </w:hyperlink>
      <w:r w:rsidRPr="00452F8D">
        <w:t>.</w:t>
      </w:r>
    </w:p>
    <w:p w14:paraId="475A9DFA" w14:textId="77777777" w:rsidR="00452F8D" w:rsidRPr="00452F8D" w:rsidRDefault="00452F8D" w:rsidP="00452F8D">
      <w:r w:rsidRPr="00452F8D">
        <w:t xml:space="preserve">Leskovar-Spacapan, G. and Bastic, M. (2007) 'Differences in organizations' innovation capability in transition economy: internal aspect of the organizations' strategic orientation', </w:t>
      </w:r>
      <w:r w:rsidRPr="00452F8D">
        <w:rPr>
          <w:i/>
          <w:iCs/>
        </w:rPr>
        <w:t>Technovation</w:t>
      </w:r>
      <w:r w:rsidRPr="00452F8D">
        <w:t xml:space="preserve">, 27(9), pp. 533–546. Available at: </w:t>
      </w:r>
      <w:hyperlink r:id="rId33" w:history="1">
        <w:r w:rsidRPr="00452F8D">
          <w:rPr>
            <w:rStyle w:val="Hyperlink"/>
          </w:rPr>
          <w:t>https://doi.org/10.1016/j.technovation.2007.05.012</w:t>
        </w:r>
      </w:hyperlink>
      <w:r w:rsidRPr="00452F8D">
        <w:t>.</w:t>
      </w:r>
    </w:p>
    <w:p w14:paraId="7A6B5AB5" w14:textId="77777777" w:rsidR="00452F8D" w:rsidRPr="00452F8D" w:rsidRDefault="00452F8D" w:rsidP="00452F8D">
      <w:r w:rsidRPr="00452F8D">
        <w:t xml:space="preserve">Management Association, I.R. (2021) </w:t>
      </w:r>
      <w:r w:rsidRPr="00452F8D">
        <w:rPr>
          <w:i/>
          <w:iCs/>
        </w:rPr>
        <w:t>Disruptive technology: concepts, methodologies, tools, and applications</w:t>
      </w:r>
      <w:r w:rsidRPr="00452F8D">
        <w:t xml:space="preserve">. Hershey, PA: Business Science Reference. Available at: </w:t>
      </w:r>
      <w:hyperlink r:id="rId34" w:history="1">
        <w:r w:rsidRPr="00452F8D">
          <w:rPr>
            <w:rStyle w:val="Hyperlink"/>
          </w:rPr>
          <w:t>https://doi.org/10.4018/978-1-5225-9273-0</w:t>
        </w:r>
      </w:hyperlink>
      <w:r w:rsidRPr="00452F8D">
        <w:t>.</w:t>
      </w:r>
    </w:p>
    <w:p w14:paraId="0383B843" w14:textId="77777777" w:rsidR="00452F8D" w:rsidRPr="00452F8D" w:rsidRDefault="00452F8D" w:rsidP="00452F8D">
      <w:r w:rsidRPr="00452F8D">
        <w:t xml:space="preserve">Marmol, T. del, Feys, B. and Probert, C. (2016) </w:t>
      </w:r>
      <w:r w:rsidRPr="00452F8D">
        <w:rPr>
          <w:i/>
          <w:iCs/>
        </w:rPr>
        <w:t>PESTLE analysis</w:t>
      </w:r>
      <w:r w:rsidRPr="00452F8D">
        <w:t>. Translated by C. Probert. Namur: Lemaitre Publishing.</w:t>
      </w:r>
    </w:p>
    <w:p w14:paraId="6F408208" w14:textId="77777777" w:rsidR="00452F8D" w:rsidRPr="00452F8D" w:rsidRDefault="00452F8D" w:rsidP="00452F8D">
      <w:r w:rsidRPr="00452F8D">
        <w:t xml:space="preserve">May, G. (2011) </w:t>
      </w:r>
      <w:r w:rsidRPr="00452F8D">
        <w:rPr>
          <w:i/>
          <w:iCs/>
        </w:rPr>
        <w:t>Strategy: planning for competitive edge. Part II</w:t>
      </w:r>
      <w:r w:rsidRPr="00452F8D">
        <w:t>. London: Henry Stewart Talks Ltd.</w:t>
      </w:r>
    </w:p>
    <w:p w14:paraId="18C966BE" w14:textId="77777777" w:rsidR="00452F8D" w:rsidRPr="00452F8D" w:rsidRDefault="00452F8D" w:rsidP="00452F8D">
      <w:r w:rsidRPr="00452F8D">
        <w:t xml:space="preserve">Merkert, R. and Bushell, J. (2020) 'Managing the drone revolution: a systematic literature review into the current use of airborne drones and future strategic directions for their effective control', </w:t>
      </w:r>
      <w:r w:rsidRPr="00452F8D">
        <w:rPr>
          <w:i/>
          <w:iCs/>
        </w:rPr>
        <w:t>Journal of Air Transport Management</w:t>
      </w:r>
      <w:r w:rsidRPr="00452F8D">
        <w:t xml:space="preserve">, 89, 101929. Available at: </w:t>
      </w:r>
      <w:hyperlink r:id="rId35" w:history="1">
        <w:r w:rsidRPr="00452F8D">
          <w:rPr>
            <w:rStyle w:val="Hyperlink"/>
          </w:rPr>
          <w:t>https://doi.org/10.1016/j.jairtraman.2020.101929</w:t>
        </w:r>
      </w:hyperlink>
      <w:r w:rsidRPr="00452F8D">
        <w:t>.</w:t>
      </w:r>
    </w:p>
    <w:p w14:paraId="017747FE" w14:textId="77777777" w:rsidR="00452F8D" w:rsidRPr="00452F8D" w:rsidRDefault="00452F8D" w:rsidP="00452F8D">
      <w:r w:rsidRPr="00452F8D">
        <w:t xml:space="preserve">Mirabelli, V. (2022) </w:t>
      </w:r>
      <w:r w:rsidRPr="00452F8D">
        <w:rPr>
          <w:i/>
          <w:iCs/>
        </w:rPr>
        <w:t>Essential techniques for enterprise analysis</w:t>
      </w:r>
      <w:r w:rsidRPr="00452F8D">
        <w:t xml:space="preserve"> [Online course]. LinkedIn Learning. Available at: </w:t>
      </w:r>
      <w:hyperlink r:id="rId36" w:history="1">
        <w:r w:rsidRPr="00452F8D">
          <w:rPr>
            <w:rStyle w:val="Hyperlink"/>
          </w:rPr>
          <w:t>https://www.linkedin.com/learning/essential-techniques-for-enterprise-analysis?u=77966930&amp;auth=true</w:t>
        </w:r>
      </w:hyperlink>
      <w:r w:rsidRPr="00452F8D">
        <w:t xml:space="preserve"> (Accessed: 18 March 2026).</w:t>
      </w:r>
    </w:p>
    <w:p w14:paraId="58117AE4" w14:textId="77777777" w:rsidR="00452F8D" w:rsidRPr="00452F8D" w:rsidRDefault="00452F8D" w:rsidP="00452F8D">
      <w:r w:rsidRPr="00452F8D">
        <w:t xml:space="preserve">Onufrey, K. and Bergek, A. (2021) 'Transformation in a mature industry: the role of business and innovation strategies', </w:t>
      </w:r>
      <w:r w:rsidRPr="00452F8D">
        <w:rPr>
          <w:i/>
          <w:iCs/>
        </w:rPr>
        <w:t>Technovation</w:t>
      </w:r>
      <w:r w:rsidRPr="00452F8D">
        <w:t xml:space="preserve">, 105, 102190. Available at: </w:t>
      </w:r>
      <w:hyperlink r:id="rId37" w:history="1">
        <w:r w:rsidRPr="00452F8D">
          <w:rPr>
            <w:rStyle w:val="Hyperlink"/>
          </w:rPr>
          <w:t>https://doi.org/10.1016/j.technovation.2020.102190</w:t>
        </w:r>
      </w:hyperlink>
      <w:r w:rsidRPr="00452F8D">
        <w:t>.</w:t>
      </w:r>
    </w:p>
    <w:p w14:paraId="31A46FB2" w14:textId="3956C6FB" w:rsidR="00452F8D" w:rsidRPr="00452F8D" w:rsidRDefault="00452F8D" w:rsidP="00452F8D">
      <w:r w:rsidRPr="00452F8D">
        <w:t xml:space="preserve">Opago (2025) </w:t>
      </w:r>
      <w:r w:rsidRPr="00452F8D">
        <w:rPr>
          <w:i/>
          <w:iCs/>
        </w:rPr>
        <w:t>The UK property management industry is set for growth</w:t>
      </w:r>
      <w:r w:rsidRPr="00452F8D">
        <w:t xml:space="preserve">. Available at: </w:t>
      </w:r>
      <w:hyperlink r:id="rId38" w:history="1">
        <w:r w:rsidRPr="00452F8D">
          <w:rPr>
            <w:rStyle w:val="Hyperlink"/>
          </w:rPr>
          <w:t>https://www.opago.co/blog/the-uk-property-management-industry-is-set-for-growth----heres-what-it-means-for-short-term-rental-operators</w:t>
        </w:r>
      </w:hyperlink>
      <w:r w:rsidRPr="00452F8D">
        <w:t xml:space="preserve"> (Accessed: 1</w:t>
      </w:r>
      <w:r w:rsidR="00D82FDC">
        <w:t>6</w:t>
      </w:r>
      <w:r w:rsidRPr="00452F8D">
        <w:t xml:space="preserve"> March 2026).</w:t>
      </w:r>
    </w:p>
    <w:p w14:paraId="0C5DD011" w14:textId="77777777" w:rsidR="00452F8D" w:rsidRPr="00452F8D" w:rsidRDefault="00452F8D" w:rsidP="00452F8D">
      <w:r w:rsidRPr="00452F8D">
        <w:t xml:space="preserve">Piercy, N. (2010) </w:t>
      </w:r>
      <w:r w:rsidRPr="00452F8D">
        <w:rPr>
          <w:i/>
          <w:iCs/>
        </w:rPr>
        <w:t>Strategic customer management: sales is a strategic issue</w:t>
      </w:r>
      <w:r w:rsidRPr="00452F8D">
        <w:t>. London: Henry Stewart Talks Ltd.</w:t>
      </w:r>
    </w:p>
    <w:p w14:paraId="0603CBD6" w14:textId="27CBA34A" w:rsidR="00452F8D" w:rsidRPr="00452F8D" w:rsidRDefault="00452F8D" w:rsidP="00452F8D">
      <w:r w:rsidRPr="00452F8D">
        <w:t xml:space="preserve">Qurated (no date) </w:t>
      </w:r>
      <w:r w:rsidRPr="00452F8D">
        <w:rPr>
          <w:i/>
          <w:iCs/>
        </w:rPr>
        <w:t>Gearing FirstPort up for sale</w:t>
      </w:r>
      <w:r w:rsidRPr="00452F8D">
        <w:t xml:space="preserve">. Available at: </w:t>
      </w:r>
      <w:hyperlink r:id="rId39" w:history="1">
        <w:r w:rsidRPr="00452F8D">
          <w:rPr>
            <w:rStyle w:val="Hyperlink"/>
          </w:rPr>
          <w:t>https://www.qurated.com/insight-post/gearing-firstport-up-for-sale</w:t>
        </w:r>
      </w:hyperlink>
      <w:r w:rsidRPr="00452F8D">
        <w:t xml:space="preserve"> (Accessed: </w:t>
      </w:r>
      <w:r w:rsidR="00890100">
        <w:t>3</w:t>
      </w:r>
      <w:r w:rsidRPr="00452F8D">
        <w:t xml:space="preserve"> March 2026).</w:t>
      </w:r>
    </w:p>
    <w:p w14:paraId="5AAF71EF" w14:textId="428EEC30" w:rsidR="00452F8D" w:rsidRPr="00452F8D" w:rsidRDefault="00452F8D" w:rsidP="00452F8D">
      <w:r w:rsidRPr="00452F8D">
        <w:t xml:space="preserve">Rice, J. (2022) 'Adaptation of Porter's Five Forces model to risk management', </w:t>
      </w:r>
      <w:r w:rsidRPr="00452F8D">
        <w:rPr>
          <w:i/>
          <w:iCs/>
        </w:rPr>
        <w:t>Defense Acquisition Research Journal</w:t>
      </w:r>
      <w:r w:rsidRPr="00452F8D">
        <w:t xml:space="preserve">, 29(100), pp. 126–139. Available at: </w:t>
      </w:r>
      <w:hyperlink r:id="rId40" w:history="1">
        <w:r w:rsidRPr="00452F8D">
          <w:rPr>
            <w:rStyle w:val="Hyperlink"/>
          </w:rPr>
          <w:t>https://doi.org/10.22594/dau.21-890.29.02</w:t>
        </w:r>
      </w:hyperlink>
      <w:r w:rsidRPr="00452F8D">
        <w:t xml:space="preserve"> (Accessed: </w:t>
      </w:r>
      <w:r w:rsidR="003F036D">
        <w:t>22</w:t>
      </w:r>
      <w:r w:rsidRPr="00452F8D">
        <w:t xml:space="preserve"> March 2026).</w:t>
      </w:r>
    </w:p>
    <w:p w14:paraId="17B2C993" w14:textId="77777777" w:rsidR="00452F8D" w:rsidRPr="00452F8D" w:rsidRDefault="00452F8D" w:rsidP="00452F8D">
      <w:r w:rsidRPr="00452F8D">
        <w:t xml:space="preserve">Robson, S., Simpson, K. and Tucker, L. (2013) </w:t>
      </w:r>
      <w:r w:rsidRPr="00452F8D">
        <w:rPr>
          <w:i/>
          <w:iCs/>
        </w:rPr>
        <w:t>Strategic sport development</w:t>
      </w:r>
      <w:r w:rsidRPr="00452F8D">
        <w:t xml:space="preserve">. 1st edn. London: Routledge. Available at: </w:t>
      </w:r>
      <w:hyperlink r:id="rId41" w:history="1">
        <w:r w:rsidRPr="00452F8D">
          <w:rPr>
            <w:rStyle w:val="Hyperlink"/>
          </w:rPr>
          <w:t>https://doi.org/10.4324/9780203876275</w:t>
        </w:r>
      </w:hyperlink>
      <w:r w:rsidRPr="00452F8D">
        <w:t>.</w:t>
      </w:r>
    </w:p>
    <w:p w14:paraId="40EBC785" w14:textId="77777777" w:rsidR="00452F8D" w:rsidRPr="00452F8D" w:rsidRDefault="00452F8D" w:rsidP="00452F8D">
      <w:r w:rsidRPr="00452F8D">
        <w:t xml:space="preserve">Rodríguez-Díaz, M. and Espino-Rodríguez, T.F. (2006) 'Developing relational capabilities in hotels', </w:t>
      </w:r>
      <w:r w:rsidRPr="00452F8D">
        <w:rPr>
          <w:i/>
          <w:iCs/>
        </w:rPr>
        <w:t>International Journal of Contemporary Hospitality Management</w:t>
      </w:r>
      <w:r w:rsidRPr="00452F8D">
        <w:t xml:space="preserve">, 18(1), pp. 25–40. Available at: </w:t>
      </w:r>
      <w:hyperlink r:id="rId42" w:history="1">
        <w:r w:rsidRPr="00452F8D">
          <w:rPr>
            <w:rStyle w:val="Hyperlink"/>
          </w:rPr>
          <w:t>https://doi.org/10.1108/09596110610641957</w:t>
        </w:r>
      </w:hyperlink>
      <w:r w:rsidRPr="00452F8D">
        <w:t>.</w:t>
      </w:r>
    </w:p>
    <w:p w14:paraId="30521F38" w14:textId="77777777" w:rsidR="00452F8D" w:rsidRPr="00452F8D" w:rsidRDefault="00452F8D" w:rsidP="00452F8D">
      <w:r w:rsidRPr="00452F8D">
        <w:lastRenderedPageBreak/>
        <w:t xml:space="preserve">Schwartz, E. (2022) </w:t>
      </w:r>
      <w:r w:rsidRPr="00452F8D">
        <w:rPr>
          <w:i/>
          <w:iCs/>
        </w:rPr>
        <w:t>Formal processes for mitigating risks of strategic materials shortfalls</w:t>
      </w:r>
      <w:r w:rsidRPr="00452F8D">
        <w:t>. Alexandria, VA: Institute for Defense Analyses.</w:t>
      </w:r>
    </w:p>
    <w:p w14:paraId="59848261" w14:textId="77777777" w:rsidR="00452F8D" w:rsidRPr="00452F8D" w:rsidRDefault="00452F8D" w:rsidP="00452F8D">
      <w:r w:rsidRPr="00452F8D">
        <w:t xml:space="preserve">Shankar, P.R. (2024) 'Developing organizational vision, mission and values – can we be inclusive, diverse and consultative?', </w:t>
      </w:r>
      <w:r w:rsidRPr="00452F8D">
        <w:rPr>
          <w:i/>
          <w:iCs/>
        </w:rPr>
        <w:t>Education for Health</w:t>
      </w:r>
      <w:r w:rsidRPr="00452F8D">
        <w:t xml:space="preserve">, 37(2), pp. 188–189. Available at: </w:t>
      </w:r>
      <w:hyperlink r:id="rId43" w:history="1">
        <w:r w:rsidRPr="00452F8D">
          <w:rPr>
            <w:rStyle w:val="Hyperlink"/>
          </w:rPr>
          <w:t>https://doi.org/10.62694/efh.2024.108</w:t>
        </w:r>
      </w:hyperlink>
      <w:r w:rsidRPr="00452F8D">
        <w:t>.</w:t>
      </w:r>
    </w:p>
    <w:p w14:paraId="4B8AB7AD" w14:textId="77777777" w:rsidR="00452F8D" w:rsidRPr="00452F8D" w:rsidRDefault="00452F8D" w:rsidP="00452F8D">
      <w:r w:rsidRPr="00452F8D">
        <w:t xml:space="preserve">Spear, S. (2017) 'Impression management activity in vision, mission, and values statements: a comparison of commercial and charitable organizations', </w:t>
      </w:r>
      <w:r w:rsidRPr="00452F8D">
        <w:rPr>
          <w:i/>
          <w:iCs/>
        </w:rPr>
        <w:t>International Studies of Management &amp; Organization</w:t>
      </w:r>
      <w:r w:rsidRPr="00452F8D">
        <w:t xml:space="preserve">, 47(2), pp. 159–175. Available at: </w:t>
      </w:r>
      <w:hyperlink r:id="rId44" w:history="1">
        <w:r w:rsidRPr="00452F8D">
          <w:rPr>
            <w:rStyle w:val="Hyperlink"/>
          </w:rPr>
          <w:t>https://doi.org/10.1080/00208825.2017.1256165</w:t>
        </w:r>
      </w:hyperlink>
      <w:r w:rsidRPr="00452F8D">
        <w:t>.</w:t>
      </w:r>
    </w:p>
    <w:p w14:paraId="23B54C07" w14:textId="77777777" w:rsidR="00452F8D" w:rsidRPr="00452F8D" w:rsidRDefault="00452F8D" w:rsidP="00452F8D">
      <w:r w:rsidRPr="00452F8D">
        <w:t xml:space="preserve">Suau-Sanchez, P. and Burghouwt, G. (2012) 'Connectivity levels and the competitive position of Spanish airports and Iberia's network rationalization strategy, 2001–2007', </w:t>
      </w:r>
      <w:r w:rsidRPr="00452F8D">
        <w:rPr>
          <w:i/>
          <w:iCs/>
        </w:rPr>
        <w:t>Journal of Air Transport Management</w:t>
      </w:r>
      <w:r w:rsidRPr="00452F8D">
        <w:t xml:space="preserve">, 18(1), pp. 47–53. Available at: </w:t>
      </w:r>
      <w:hyperlink r:id="rId45" w:history="1">
        <w:r w:rsidRPr="00452F8D">
          <w:rPr>
            <w:rStyle w:val="Hyperlink"/>
          </w:rPr>
          <w:t>https://doi.org/10.1016/j.jairtraman.2011.08.004</w:t>
        </w:r>
      </w:hyperlink>
      <w:r w:rsidRPr="00452F8D">
        <w:t>.</w:t>
      </w:r>
    </w:p>
    <w:p w14:paraId="7D327CC2" w14:textId="36DA070B" w:rsidR="00452F8D" w:rsidRPr="00452F8D" w:rsidRDefault="00452F8D" w:rsidP="00452F8D">
      <w:r w:rsidRPr="00452F8D">
        <w:t xml:space="preserve">Tovstiga, G. (2021) </w:t>
      </w:r>
      <w:r w:rsidRPr="00452F8D">
        <w:rPr>
          <w:i/>
          <w:iCs/>
        </w:rPr>
        <w:t>Analysis of the external competitive environment</w:t>
      </w:r>
      <w:r w:rsidRPr="00452F8D">
        <w:t xml:space="preserve"> [Online video lecture]. Henry Stewart Talks. Available at: </w:t>
      </w:r>
      <w:hyperlink r:id="rId46" w:history="1">
        <w:r w:rsidRPr="00452F8D">
          <w:rPr>
            <w:rStyle w:val="Hyperlink"/>
          </w:rPr>
          <w:t>https://hstalks.com</w:t>
        </w:r>
      </w:hyperlink>
      <w:r w:rsidRPr="00452F8D">
        <w:t xml:space="preserve"> (Accessed: </w:t>
      </w:r>
      <w:r w:rsidR="00A5325C">
        <w:t>4</w:t>
      </w:r>
      <w:r w:rsidRPr="00452F8D">
        <w:t xml:space="preserve"> March 2026).</w:t>
      </w:r>
    </w:p>
    <w:p w14:paraId="14E924FA" w14:textId="347F65D3" w:rsidR="00452F8D" w:rsidRPr="00452F8D" w:rsidRDefault="00452F8D" w:rsidP="00452F8D">
      <w:r w:rsidRPr="00452F8D">
        <w:t xml:space="preserve">Tracxn (no date) </w:t>
      </w:r>
      <w:r w:rsidRPr="00452F8D">
        <w:rPr>
          <w:i/>
          <w:iCs/>
        </w:rPr>
        <w:t>Acquisitions by FirstPort</w:t>
      </w:r>
      <w:r w:rsidRPr="00452F8D">
        <w:t xml:space="preserve">. Available at: </w:t>
      </w:r>
      <w:hyperlink r:id="rId47" w:history="1">
        <w:r w:rsidRPr="00452F8D">
          <w:rPr>
            <w:rStyle w:val="Hyperlink"/>
          </w:rPr>
          <w:t>https://tracxn.com/d/acquisitions/acquisitions-by-firstport/__zaFaNMfh2RxyfxjvoRHjNx5xt8qXzJi0-VLL6O5yRNc</w:t>
        </w:r>
      </w:hyperlink>
      <w:r w:rsidRPr="00452F8D">
        <w:t xml:space="preserve"> (Accessed: </w:t>
      </w:r>
      <w:r w:rsidR="00D400A6">
        <w:t>3</w:t>
      </w:r>
      <w:r w:rsidRPr="00452F8D">
        <w:t xml:space="preserve"> March 2026).</w:t>
      </w:r>
    </w:p>
    <w:p w14:paraId="4F3C4018" w14:textId="77777777" w:rsidR="00452F8D" w:rsidRPr="00452F8D" w:rsidRDefault="00452F8D" w:rsidP="00452F8D">
      <w:r w:rsidRPr="00452F8D">
        <w:t xml:space="preserve">Voudouris, I. et al. (2012) 'Effectiveness of technology investment: impact of internal technological capability, networking and investment's strategic importance', </w:t>
      </w:r>
      <w:r w:rsidRPr="00452F8D">
        <w:rPr>
          <w:i/>
          <w:iCs/>
        </w:rPr>
        <w:t>Technovation</w:t>
      </w:r>
      <w:r w:rsidRPr="00452F8D">
        <w:t xml:space="preserve">, 32(6), pp. 400–414. Available at: </w:t>
      </w:r>
      <w:hyperlink r:id="rId48" w:history="1">
        <w:r w:rsidRPr="00452F8D">
          <w:rPr>
            <w:rStyle w:val="Hyperlink"/>
          </w:rPr>
          <w:t>https://doi.org/10.1016/j.technovation.2012.04.001</w:t>
        </w:r>
      </w:hyperlink>
      <w:r w:rsidRPr="00452F8D">
        <w:t>.</w:t>
      </w:r>
    </w:p>
    <w:p w14:paraId="5573B82D" w14:textId="16D281D2" w:rsidR="00452F8D" w:rsidRPr="00452F8D" w:rsidRDefault="00452F8D" w:rsidP="00452F8D">
      <w:r w:rsidRPr="00452F8D">
        <w:t xml:space="preserve">Wonderful (2025) </w:t>
      </w:r>
      <w:r w:rsidRPr="00452F8D">
        <w:rPr>
          <w:i/>
          <w:iCs/>
        </w:rPr>
        <w:t>UK property management trends 2025: challenges and smarter rent collection</w:t>
      </w:r>
      <w:r w:rsidRPr="00452F8D">
        <w:t xml:space="preserve">. Available at: </w:t>
      </w:r>
      <w:hyperlink r:id="rId49" w:history="1">
        <w:r w:rsidRPr="00452F8D">
          <w:rPr>
            <w:rStyle w:val="Hyperlink"/>
          </w:rPr>
          <w:t>https://wonderful.co.uk/blog/uk-property-management-trends-challenges-smart-payments</w:t>
        </w:r>
      </w:hyperlink>
      <w:r w:rsidRPr="00452F8D">
        <w:t xml:space="preserve"> (Accessed: 1</w:t>
      </w:r>
      <w:r w:rsidR="00C121A5">
        <w:t>4</w:t>
      </w:r>
      <w:r w:rsidRPr="00452F8D">
        <w:t xml:space="preserve"> March 2026).</w:t>
      </w:r>
    </w:p>
    <w:p w14:paraId="536D7FEC" w14:textId="77777777" w:rsidR="00452F8D" w:rsidRPr="00452F8D" w:rsidRDefault="00452F8D" w:rsidP="00452F8D">
      <w:r w:rsidRPr="00452F8D">
        <w:t xml:space="preserve">Yu, X. (2021) </w:t>
      </w:r>
      <w:r w:rsidRPr="00452F8D">
        <w:rPr>
          <w:i/>
          <w:iCs/>
        </w:rPr>
        <w:t>The fundamental elements of strategy: concepts, theories and cases</w:t>
      </w:r>
      <w:r w:rsidRPr="00452F8D">
        <w:t>. Singapore: Springer.</w:t>
      </w:r>
    </w:p>
    <w:p w14:paraId="6874D642" w14:textId="77777777" w:rsidR="004A3E68" w:rsidRPr="00C64CAF" w:rsidRDefault="004A3E68" w:rsidP="00B126F1"/>
    <w:p w14:paraId="01DE0FBA" w14:textId="77777777" w:rsidR="00B126F1" w:rsidRPr="001430A6" w:rsidRDefault="00B126F1" w:rsidP="001430A6">
      <w:pPr>
        <w:jc w:val="both"/>
        <w:rPr>
          <w:rFonts w:ascii="Times New Roman" w:hAnsi="Times New Roman" w:cs="Times New Roman"/>
          <w:sz w:val="24"/>
          <w:szCs w:val="24"/>
        </w:rPr>
      </w:pPr>
    </w:p>
    <w:p w14:paraId="7EEB38F2" w14:textId="77777777" w:rsidR="00A9101C" w:rsidRPr="001430A6" w:rsidRDefault="00A9101C" w:rsidP="001430A6">
      <w:pPr>
        <w:jc w:val="both"/>
        <w:rPr>
          <w:rFonts w:ascii="Times New Roman" w:hAnsi="Times New Roman" w:cs="Times New Roman"/>
          <w:sz w:val="24"/>
          <w:szCs w:val="24"/>
        </w:rPr>
      </w:pPr>
    </w:p>
    <w:sectPr w:rsidR="00A9101C" w:rsidRPr="001430A6" w:rsidSect="00EE368D">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F690D" w14:textId="77777777" w:rsidR="000B2572" w:rsidRDefault="000B2572" w:rsidP="00870091">
      <w:pPr>
        <w:spacing w:after="0" w:line="240" w:lineRule="auto"/>
      </w:pPr>
      <w:r>
        <w:separator/>
      </w:r>
    </w:p>
  </w:endnote>
  <w:endnote w:type="continuationSeparator" w:id="0">
    <w:p w14:paraId="0E92D1D3" w14:textId="77777777" w:rsidR="000B2572" w:rsidRDefault="000B2572" w:rsidP="00870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9989675"/>
      <w:docPartObj>
        <w:docPartGallery w:val="Page Numbers (Bottom of Page)"/>
        <w:docPartUnique/>
      </w:docPartObj>
    </w:sdtPr>
    <w:sdtEndPr>
      <w:rPr>
        <w:noProof/>
      </w:rPr>
    </w:sdtEndPr>
    <w:sdtContent>
      <w:p w14:paraId="1A8520CA" w14:textId="57E1CD0C" w:rsidR="00870091" w:rsidRDefault="008700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5B220A" w14:textId="77777777" w:rsidR="00870091" w:rsidRDefault="00870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6C6FD" w14:textId="77777777" w:rsidR="000B2572" w:rsidRDefault="000B2572" w:rsidP="00870091">
      <w:pPr>
        <w:spacing w:after="0" w:line="240" w:lineRule="auto"/>
      </w:pPr>
      <w:r>
        <w:separator/>
      </w:r>
    </w:p>
  </w:footnote>
  <w:footnote w:type="continuationSeparator" w:id="0">
    <w:p w14:paraId="1C342D04" w14:textId="77777777" w:rsidR="000B2572" w:rsidRDefault="000B2572" w:rsidP="008700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4CB"/>
    <w:rsid w:val="00011AFD"/>
    <w:rsid w:val="000138ED"/>
    <w:rsid w:val="000139E5"/>
    <w:rsid w:val="00025F63"/>
    <w:rsid w:val="00040843"/>
    <w:rsid w:val="00045174"/>
    <w:rsid w:val="00045858"/>
    <w:rsid w:val="00057347"/>
    <w:rsid w:val="00057969"/>
    <w:rsid w:val="00075054"/>
    <w:rsid w:val="000A75AB"/>
    <w:rsid w:val="000B2572"/>
    <w:rsid w:val="000B321B"/>
    <w:rsid w:val="000B57B9"/>
    <w:rsid w:val="000C22F1"/>
    <w:rsid w:val="000C5AAE"/>
    <w:rsid w:val="000C5CC5"/>
    <w:rsid w:val="000D72F4"/>
    <w:rsid w:val="000F222E"/>
    <w:rsid w:val="00105F7B"/>
    <w:rsid w:val="001115DB"/>
    <w:rsid w:val="00116236"/>
    <w:rsid w:val="0012339B"/>
    <w:rsid w:val="001304B2"/>
    <w:rsid w:val="00136DCC"/>
    <w:rsid w:val="00136EF5"/>
    <w:rsid w:val="00137DE9"/>
    <w:rsid w:val="0014045E"/>
    <w:rsid w:val="001430A6"/>
    <w:rsid w:val="00146A03"/>
    <w:rsid w:val="00175915"/>
    <w:rsid w:val="001800D2"/>
    <w:rsid w:val="00181901"/>
    <w:rsid w:val="00184535"/>
    <w:rsid w:val="00185ADA"/>
    <w:rsid w:val="001879C6"/>
    <w:rsid w:val="001A16E4"/>
    <w:rsid w:val="001A2C9A"/>
    <w:rsid w:val="001C6CE3"/>
    <w:rsid w:val="001D0532"/>
    <w:rsid w:val="001D31A4"/>
    <w:rsid w:val="001E19F9"/>
    <w:rsid w:val="001E652B"/>
    <w:rsid w:val="001F4665"/>
    <w:rsid w:val="002007F2"/>
    <w:rsid w:val="00202ED0"/>
    <w:rsid w:val="00211B33"/>
    <w:rsid w:val="0021693D"/>
    <w:rsid w:val="00230919"/>
    <w:rsid w:val="0023214E"/>
    <w:rsid w:val="0023387F"/>
    <w:rsid w:val="00234780"/>
    <w:rsid w:val="00235A02"/>
    <w:rsid w:val="00243C08"/>
    <w:rsid w:val="00252A6E"/>
    <w:rsid w:val="00264572"/>
    <w:rsid w:val="00271806"/>
    <w:rsid w:val="00283AF2"/>
    <w:rsid w:val="0028706E"/>
    <w:rsid w:val="00290377"/>
    <w:rsid w:val="00292B74"/>
    <w:rsid w:val="00294084"/>
    <w:rsid w:val="002A40AE"/>
    <w:rsid w:val="002A4CB1"/>
    <w:rsid w:val="002C06B0"/>
    <w:rsid w:val="002C76D3"/>
    <w:rsid w:val="002C7C2E"/>
    <w:rsid w:val="002D2C80"/>
    <w:rsid w:val="002E6441"/>
    <w:rsid w:val="002F271E"/>
    <w:rsid w:val="002F3D1C"/>
    <w:rsid w:val="002F7BB2"/>
    <w:rsid w:val="0030028F"/>
    <w:rsid w:val="00301C5B"/>
    <w:rsid w:val="00304C07"/>
    <w:rsid w:val="00313D17"/>
    <w:rsid w:val="003250A2"/>
    <w:rsid w:val="00342706"/>
    <w:rsid w:val="00353D22"/>
    <w:rsid w:val="0035752C"/>
    <w:rsid w:val="003638FE"/>
    <w:rsid w:val="00383049"/>
    <w:rsid w:val="00385785"/>
    <w:rsid w:val="00385EA2"/>
    <w:rsid w:val="003A18BD"/>
    <w:rsid w:val="003A658A"/>
    <w:rsid w:val="003B033F"/>
    <w:rsid w:val="003B22DA"/>
    <w:rsid w:val="003B4590"/>
    <w:rsid w:val="003B529F"/>
    <w:rsid w:val="003C73E1"/>
    <w:rsid w:val="003D2DEC"/>
    <w:rsid w:val="003F036D"/>
    <w:rsid w:val="00407B8A"/>
    <w:rsid w:val="0041324A"/>
    <w:rsid w:val="0041647F"/>
    <w:rsid w:val="00430BE9"/>
    <w:rsid w:val="004320B0"/>
    <w:rsid w:val="00452F8D"/>
    <w:rsid w:val="004601E0"/>
    <w:rsid w:val="00484EED"/>
    <w:rsid w:val="00494016"/>
    <w:rsid w:val="004A3E68"/>
    <w:rsid w:val="004A61E1"/>
    <w:rsid w:val="004A6DDF"/>
    <w:rsid w:val="004A787D"/>
    <w:rsid w:val="004B351C"/>
    <w:rsid w:val="004B3690"/>
    <w:rsid w:val="004C010D"/>
    <w:rsid w:val="004C26B3"/>
    <w:rsid w:val="004C7525"/>
    <w:rsid w:val="004D168D"/>
    <w:rsid w:val="004D2B18"/>
    <w:rsid w:val="004E36B4"/>
    <w:rsid w:val="00501C29"/>
    <w:rsid w:val="00507CC7"/>
    <w:rsid w:val="0051136B"/>
    <w:rsid w:val="00522B7B"/>
    <w:rsid w:val="0053109C"/>
    <w:rsid w:val="00552516"/>
    <w:rsid w:val="00554A32"/>
    <w:rsid w:val="00566386"/>
    <w:rsid w:val="00575873"/>
    <w:rsid w:val="005A14D4"/>
    <w:rsid w:val="005A7CB3"/>
    <w:rsid w:val="005B3852"/>
    <w:rsid w:val="005B4B79"/>
    <w:rsid w:val="005C3F06"/>
    <w:rsid w:val="005C44CB"/>
    <w:rsid w:val="005D0BCB"/>
    <w:rsid w:val="005D1CCC"/>
    <w:rsid w:val="005D360E"/>
    <w:rsid w:val="005E3E2C"/>
    <w:rsid w:val="005F6E26"/>
    <w:rsid w:val="00602798"/>
    <w:rsid w:val="006060AD"/>
    <w:rsid w:val="0060757E"/>
    <w:rsid w:val="006075A4"/>
    <w:rsid w:val="00613E90"/>
    <w:rsid w:val="00613ECD"/>
    <w:rsid w:val="006204AA"/>
    <w:rsid w:val="00627362"/>
    <w:rsid w:val="0063212A"/>
    <w:rsid w:val="0063315A"/>
    <w:rsid w:val="006359B2"/>
    <w:rsid w:val="00636F72"/>
    <w:rsid w:val="00643F0B"/>
    <w:rsid w:val="00646AB9"/>
    <w:rsid w:val="006548CC"/>
    <w:rsid w:val="00660A58"/>
    <w:rsid w:val="00671ADC"/>
    <w:rsid w:val="00672A5E"/>
    <w:rsid w:val="006738CF"/>
    <w:rsid w:val="006861AE"/>
    <w:rsid w:val="0069352A"/>
    <w:rsid w:val="006A52A7"/>
    <w:rsid w:val="006A5919"/>
    <w:rsid w:val="006A5E70"/>
    <w:rsid w:val="006A6294"/>
    <w:rsid w:val="006B55AC"/>
    <w:rsid w:val="006C0F37"/>
    <w:rsid w:val="006C16F6"/>
    <w:rsid w:val="006C1CAD"/>
    <w:rsid w:val="006C2E5E"/>
    <w:rsid w:val="006C5840"/>
    <w:rsid w:val="006C7604"/>
    <w:rsid w:val="006D1D33"/>
    <w:rsid w:val="006E22AE"/>
    <w:rsid w:val="006E343E"/>
    <w:rsid w:val="006E41C3"/>
    <w:rsid w:val="006E45C0"/>
    <w:rsid w:val="006F6C6B"/>
    <w:rsid w:val="00701B60"/>
    <w:rsid w:val="007047E2"/>
    <w:rsid w:val="007240FB"/>
    <w:rsid w:val="007564F1"/>
    <w:rsid w:val="00767D60"/>
    <w:rsid w:val="00775CE9"/>
    <w:rsid w:val="0078681E"/>
    <w:rsid w:val="00792A66"/>
    <w:rsid w:val="007B26C9"/>
    <w:rsid w:val="007B30CF"/>
    <w:rsid w:val="007C5412"/>
    <w:rsid w:val="007E31B5"/>
    <w:rsid w:val="0081409A"/>
    <w:rsid w:val="00814AAC"/>
    <w:rsid w:val="00841CEF"/>
    <w:rsid w:val="00854953"/>
    <w:rsid w:val="00870091"/>
    <w:rsid w:val="00872C8D"/>
    <w:rsid w:val="00876814"/>
    <w:rsid w:val="00890100"/>
    <w:rsid w:val="00895BEA"/>
    <w:rsid w:val="008C2A81"/>
    <w:rsid w:val="008C74A7"/>
    <w:rsid w:val="008D4E61"/>
    <w:rsid w:val="008D62C2"/>
    <w:rsid w:val="008F2881"/>
    <w:rsid w:val="008F42E3"/>
    <w:rsid w:val="008F7E9B"/>
    <w:rsid w:val="0090009F"/>
    <w:rsid w:val="00911DC7"/>
    <w:rsid w:val="00914536"/>
    <w:rsid w:val="00914A5C"/>
    <w:rsid w:val="0091715C"/>
    <w:rsid w:val="00920F20"/>
    <w:rsid w:val="00931718"/>
    <w:rsid w:val="00941E73"/>
    <w:rsid w:val="00961C41"/>
    <w:rsid w:val="00964C42"/>
    <w:rsid w:val="00964DF2"/>
    <w:rsid w:val="00965071"/>
    <w:rsid w:val="00966845"/>
    <w:rsid w:val="00971A9E"/>
    <w:rsid w:val="00973E2A"/>
    <w:rsid w:val="00976E79"/>
    <w:rsid w:val="009808C5"/>
    <w:rsid w:val="009858A3"/>
    <w:rsid w:val="00994C5C"/>
    <w:rsid w:val="009A3687"/>
    <w:rsid w:val="009A4B19"/>
    <w:rsid w:val="009A6B6D"/>
    <w:rsid w:val="009D0F6E"/>
    <w:rsid w:val="009D694C"/>
    <w:rsid w:val="009F4C83"/>
    <w:rsid w:val="00A14983"/>
    <w:rsid w:val="00A205B8"/>
    <w:rsid w:val="00A30782"/>
    <w:rsid w:val="00A3158A"/>
    <w:rsid w:val="00A35A5A"/>
    <w:rsid w:val="00A36210"/>
    <w:rsid w:val="00A40EA2"/>
    <w:rsid w:val="00A413D4"/>
    <w:rsid w:val="00A46C50"/>
    <w:rsid w:val="00A5325C"/>
    <w:rsid w:val="00A60B11"/>
    <w:rsid w:val="00A7664A"/>
    <w:rsid w:val="00A9101C"/>
    <w:rsid w:val="00A9698D"/>
    <w:rsid w:val="00AA542E"/>
    <w:rsid w:val="00AB3535"/>
    <w:rsid w:val="00AB48B0"/>
    <w:rsid w:val="00AB6ED5"/>
    <w:rsid w:val="00AC7656"/>
    <w:rsid w:val="00AE1660"/>
    <w:rsid w:val="00AE24C5"/>
    <w:rsid w:val="00AE3209"/>
    <w:rsid w:val="00AE592D"/>
    <w:rsid w:val="00AE5D8E"/>
    <w:rsid w:val="00AF7A24"/>
    <w:rsid w:val="00B006BD"/>
    <w:rsid w:val="00B06B8B"/>
    <w:rsid w:val="00B126B3"/>
    <w:rsid w:val="00B126F1"/>
    <w:rsid w:val="00B15B5A"/>
    <w:rsid w:val="00B16123"/>
    <w:rsid w:val="00B20E58"/>
    <w:rsid w:val="00B23EFD"/>
    <w:rsid w:val="00B260C7"/>
    <w:rsid w:val="00B27F93"/>
    <w:rsid w:val="00B31E6E"/>
    <w:rsid w:val="00B35D7D"/>
    <w:rsid w:val="00B37728"/>
    <w:rsid w:val="00B47174"/>
    <w:rsid w:val="00B62473"/>
    <w:rsid w:val="00B71C42"/>
    <w:rsid w:val="00B80074"/>
    <w:rsid w:val="00B84FD3"/>
    <w:rsid w:val="00B853F7"/>
    <w:rsid w:val="00B8616F"/>
    <w:rsid w:val="00B877AE"/>
    <w:rsid w:val="00B87AAD"/>
    <w:rsid w:val="00B96516"/>
    <w:rsid w:val="00BB08EF"/>
    <w:rsid w:val="00BB2FE1"/>
    <w:rsid w:val="00BB3176"/>
    <w:rsid w:val="00BC6954"/>
    <w:rsid w:val="00BC6E21"/>
    <w:rsid w:val="00BE5D12"/>
    <w:rsid w:val="00BF3824"/>
    <w:rsid w:val="00C01869"/>
    <w:rsid w:val="00C06E05"/>
    <w:rsid w:val="00C121A5"/>
    <w:rsid w:val="00C121DE"/>
    <w:rsid w:val="00C1722E"/>
    <w:rsid w:val="00C21AE5"/>
    <w:rsid w:val="00C23476"/>
    <w:rsid w:val="00C5349F"/>
    <w:rsid w:val="00C73C1D"/>
    <w:rsid w:val="00C82FA5"/>
    <w:rsid w:val="00C92848"/>
    <w:rsid w:val="00CA78D9"/>
    <w:rsid w:val="00CB177B"/>
    <w:rsid w:val="00CC1D37"/>
    <w:rsid w:val="00CC3B1D"/>
    <w:rsid w:val="00CC5F36"/>
    <w:rsid w:val="00CC6608"/>
    <w:rsid w:val="00CD1588"/>
    <w:rsid w:val="00CD2669"/>
    <w:rsid w:val="00CD4650"/>
    <w:rsid w:val="00CE0EDE"/>
    <w:rsid w:val="00CE1144"/>
    <w:rsid w:val="00CE1298"/>
    <w:rsid w:val="00CF25DB"/>
    <w:rsid w:val="00CF4163"/>
    <w:rsid w:val="00CF7867"/>
    <w:rsid w:val="00CF7E5E"/>
    <w:rsid w:val="00D15853"/>
    <w:rsid w:val="00D169CA"/>
    <w:rsid w:val="00D27918"/>
    <w:rsid w:val="00D358FB"/>
    <w:rsid w:val="00D400A6"/>
    <w:rsid w:val="00D406E6"/>
    <w:rsid w:val="00D40BFB"/>
    <w:rsid w:val="00D4783D"/>
    <w:rsid w:val="00D47B2C"/>
    <w:rsid w:val="00D57E1D"/>
    <w:rsid w:val="00D621F1"/>
    <w:rsid w:val="00D73026"/>
    <w:rsid w:val="00D730B2"/>
    <w:rsid w:val="00D769C8"/>
    <w:rsid w:val="00D82BAF"/>
    <w:rsid w:val="00D82FDC"/>
    <w:rsid w:val="00D86A2E"/>
    <w:rsid w:val="00DA231F"/>
    <w:rsid w:val="00DA3A26"/>
    <w:rsid w:val="00DA7124"/>
    <w:rsid w:val="00DB6A02"/>
    <w:rsid w:val="00DC0B7E"/>
    <w:rsid w:val="00DC371B"/>
    <w:rsid w:val="00DC7601"/>
    <w:rsid w:val="00DE293B"/>
    <w:rsid w:val="00E06499"/>
    <w:rsid w:val="00E11733"/>
    <w:rsid w:val="00E133CE"/>
    <w:rsid w:val="00E14001"/>
    <w:rsid w:val="00E14E3E"/>
    <w:rsid w:val="00E21551"/>
    <w:rsid w:val="00E30607"/>
    <w:rsid w:val="00E337D8"/>
    <w:rsid w:val="00E347FE"/>
    <w:rsid w:val="00E37E0A"/>
    <w:rsid w:val="00E54FF1"/>
    <w:rsid w:val="00E64BF7"/>
    <w:rsid w:val="00E8365D"/>
    <w:rsid w:val="00E93705"/>
    <w:rsid w:val="00EA20F1"/>
    <w:rsid w:val="00EA3161"/>
    <w:rsid w:val="00EB63EE"/>
    <w:rsid w:val="00EB6422"/>
    <w:rsid w:val="00EC2C8C"/>
    <w:rsid w:val="00EC42EB"/>
    <w:rsid w:val="00ED2976"/>
    <w:rsid w:val="00EE284A"/>
    <w:rsid w:val="00EE368D"/>
    <w:rsid w:val="00EE3D95"/>
    <w:rsid w:val="00EE4C57"/>
    <w:rsid w:val="00EE521F"/>
    <w:rsid w:val="00EE70D2"/>
    <w:rsid w:val="00EF54FF"/>
    <w:rsid w:val="00F03411"/>
    <w:rsid w:val="00F15CC2"/>
    <w:rsid w:val="00F16A13"/>
    <w:rsid w:val="00F21152"/>
    <w:rsid w:val="00F40632"/>
    <w:rsid w:val="00F63F92"/>
    <w:rsid w:val="00F64013"/>
    <w:rsid w:val="00F71D3F"/>
    <w:rsid w:val="00F7753E"/>
    <w:rsid w:val="00F86C96"/>
    <w:rsid w:val="00FA32AB"/>
    <w:rsid w:val="00FA4EE7"/>
    <w:rsid w:val="00FB4EB2"/>
    <w:rsid w:val="00FC3611"/>
    <w:rsid w:val="00FD48CF"/>
    <w:rsid w:val="00FE0A85"/>
    <w:rsid w:val="00FE1919"/>
    <w:rsid w:val="00FE6E23"/>
    <w:rsid w:val="00FF09F5"/>
    <w:rsid w:val="00FF1278"/>
    <w:rsid w:val="00FF3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96AA"/>
  <w15:chartTrackingRefBased/>
  <w15:docId w15:val="{6EB15162-D9E0-429D-9B2F-74DCD2AEA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4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4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4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4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4CB"/>
    <w:rPr>
      <w:rFonts w:eastAsiaTheme="majorEastAsia" w:cstheme="majorBidi"/>
      <w:color w:val="272727" w:themeColor="text1" w:themeTint="D8"/>
    </w:rPr>
  </w:style>
  <w:style w:type="paragraph" w:styleId="Title">
    <w:name w:val="Title"/>
    <w:basedOn w:val="Normal"/>
    <w:next w:val="Normal"/>
    <w:link w:val="TitleChar"/>
    <w:uiPriority w:val="10"/>
    <w:qFormat/>
    <w:rsid w:val="005C4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4CB"/>
    <w:pPr>
      <w:spacing w:before="160"/>
      <w:jc w:val="center"/>
    </w:pPr>
    <w:rPr>
      <w:i/>
      <w:iCs/>
      <w:color w:val="404040" w:themeColor="text1" w:themeTint="BF"/>
    </w:rPr>
  </w:style>
  <w:style w:type="character" w:customStyle="1" w:styleId="QuoteChar">
    <w:name w:val="Quote Char"/>
    <w:basedOn w:val="DefaultParagraphFont"/>
    <w:link w:val="Quote"/>
    <w:uiPriority w:val="29"/>
    <w:rsid w:val="005C44CB"/>
    <w:rPr>
      <w:i/>
      <w:iCs/>
      <w:color w:val="404040" w:themeColor="text1" w:themeTint="BF"/>
    </w:rPr>
  </w:style>
  <w:style w:type="paragraph" w:styleId="ListParagraph">
    <w:name w:val="List Paragraph"/>
    <w:basedOn w:val="Normal"/>
    <w:uiPriority w:val="34"/>
    <w:qFormat/>
    <w:rsid w:val="005C44CB"/>
    <w:pPr>
      <w:ind w:left="720"/>
      <w:contextualSpacing/>
    </w:pPr>
  </w:style>
  <w:style w:type="character" w:styleId="IntenseEmphasis">
    <w:name w:val="Intense Emphasis"/>
    <w:basedOn w:val="DefaultParagraphFont"/>
    <w:uiPriority w:val="21"/>
    <w:qFormat/>
    <w:rsid w:val="005C44CB"/>
    <w:rPr>
      <w:i/>
      <w:iCs/>
      <w:color w:val="0F4761" w:themeColor="accent1" w:themeShade="BF"/>
    </w:rPr>
  </w:style>
  <w:style w:type="paragraph" w:styleId="IntenseQuote">
    <w:name w:val="Intense Quote"/>
    <w:basedOn w:val="Normal"/>
    <w:next w:val="Normal"/>
    <w:link w:val="IntenseQuoteChar"/>
    <w:uiPriority w:val="30"/>
    <w:qFormat/>
    <w:rsid w:val="005C4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4CB"/>
    <w:rPr>
      <w:i/>
      <w:iCs/>
      <w:color w:val="0F4761" w:themeColor="accent1" w:themeShade="BF"/>
    </w:rPr>
  </w:style>
  <w:style w:type="character" w:styleId="IntenseReference">
    <w:name w:val="Intense Reference"/>
    <w:basedOn w:val="DefaultParagraphFont"/>
    <w:uiPriority w:val="32"/>
    <w:qFormat/>
    <w:rsid w:val="005C44CB"/>
    <w:rPr>
      <w:b/>
      <w:bCs/>
      <w:smallCaps/>
      <w:color w:val="0F4761" w:themeColor="accent1" w:themeShade="BF"/>
      <w:spacing w:val="5"/>
    </w:rPr>
  </w:style>
  <w:style w:type="paragraph" w:styleId="NoSpacing">
    <w:name w:val="No Spacing"/>
    <w:link w:val="NoSpacingChar"/>
    <w:uiPriority w:val="1"/>
    <w:qFormat/>
    <w:rsid w:val="00EE368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E368D"/>
    <w:rPr>
      <w:rFonts w:eastAsiaTheme="minorEastAsia"/>
      <w:kern w:val="0"/>
      <w:lang w:val="en-US"/>
      <w14:ligatures w14:val="none"/>
    </w:rPr>
  </w:style>
  <w:style w:type="character" w:styleId="Hyperlink">
    <w:name w:val="Hyperlink"/>
    <w:basedOn w:val="DefaultParagraphFont"/>
    <w:uiPriority w:val="99"/>
    <w:unhideWhenUsed/>
    <w:rsid w:val="00B126F1"/>
    <w:rPr>
      <w:color w:val="467886" w:themeColor="hyperlink"/>
      <w:u w:val="single"/>
    </w:rPr>
  </w:style>
  <w:style w:type="character" w:styleId="UnresolvedMention">
    <w:name w:val="Unresolved Mention"/>
    <w:basedOn w:val="DefaultParagraphFont"/>
    <w:uiPriority w:val="99"/>
    <w:semiHidden/>
    <w:unhideWhenUsed/>
    <w:rsid w:val="00452F8D"/>
    <w:rPr>
      <w:color w:val="605E5C"/>
      <w:shd w:val="clear" w:color="auto" w:fill="E1DFDD"/>
    </w:rPr>
  </w:style>
  <w:style w:type="paragraph" w:styleId="Header">
    <w:name w:val="header"/>
    <w:basedOn w:val="Normal"/>
    <w:link w:val="HeaderChar"/>
    <w:uiPriority w:val="99"/>
    <w:unhideWhenUsed/>
    <w:rsid w:val="00870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091"/>
  </w:style>
  <w:style w:type="paragraph" w:styleId="Footer">
    <w:name w:val="footer"/>
    <w:basedOn w:val="Normal"/>
    <w:link w:val="FooterChar"/>
    <w:uiPriority w:val="99"/>
    <w:unhideWhenUsed/>
    <w:rsid w:val="00870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091"/>
  </w:style>
  <w:style w:type="paragraph" w:styleId="TOCHeading">
    <w:name w:val="TOC Heading"/>
    <w:basedOn w:val="Heading1"/>
    <w:next w:val="Normal"/>
    <w:uiPriority w:val="39"/>
    <w:unhideWhenUsed/>
    <w:qFormat/>
    <w:rsid w:val="00C73C1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C73C1D"/>
    <w:pPr>
      <w:spacing w:after="100"/>
      <w:ind w:left="220"/>
    </w:pPr>
  </w:style>
  <w:style w:type="paragraph" w:styleId="TOC3">
    <w:name w:val="toc 3"/>
    <w:basedOn w:val="Normal"/>
    <w:next w:val="Normal"/>
    <w:autoRedefine/>
    <w:uiPriority w:val="39"/>
    <w:unhideWhenUsed/>
    <w:rsid w:val="00C73C1D"/>
    <w:pPr>
      <w:spacing w:after="100"/>
      <w:ind w:left="440"/>
    </w:pPr>
  </w:style>
  <w:style w:type="paragraph" w:styleId="TOC1">
    <w:name w:val="toc 1"/>
    <w:basedOn w:val="Normal"/>
    <w:next w:val="Normal"/>
    <w:autoRedefine/>
    <w:uiPriority w:val="39"/>
    <w:unhideWhenUsed/>
    <w:rsid w:val="004D2B18"/>
    <w:pPr>
      <w:spacing w:after="10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281/zenodo.3784914" TargetMode="External"/><Relationship Id="rId18" Type="http://schemas.openxmlformats.org/officeDocument/2006/relationships/hyperlink" Target="https://www.fprop.com/plc-investors/financial-reports/" TargetMode="External"/><Relationship Id="rId26" Type="http://schemas.openxmlformats.org/officeDocument/2006/relationships/hyperlink" Target="https://www.ibisworld.com/united-kingdom/industry/property-management-services/14544/" TargetMode="External"/><Relationship Id="rId39" Type="http://schemas.openxmlformats.org/officeDocument/2006/relationships/hyperlink" Target="https://www.qurated.com/insight-post/gearing-firstport-up-for-sale" TargetMode="External"/><Relationship Id="rId21" Type="http://schemas.openxmlformats.org/officeDocument/2006/relationships/hyperlink" Target="https://www.grandviewresearch.com/horizon/outlook/property-management-software-market/uk" TargetMode="External"/><Relationship Id="rId34" Type="http://schemas.openxmlformats.org/officeDocument/2006/relationships/hyperlink" Target="https://doi.org/10.4018/978-1-5225-9273-0" TargetMode="External"/><Relationship Id="rId42" Type="http://schemas.openxmlformats.org/officeDocument/2006/relationships/hyperlink" Target="https://doi.org/10.1108/09596110610641957" TargetMode="External"/><Relationship Id="rId47" Type="http://schemas.openxmlformats.org/officeDocument/2006/relationships/hyperlink" Target="https://tracxn.com/d/acquisitions/acquisitions-by-firstport/__zaFaNMfh2RxyfxjvoRHjNx5xt8qXzJi0-VLL6O5yRNc" TargetMode="External"/><Relationship Id="rId50" Type="http://schemas.openxmlformats.org/officeDocument/2006/relationships/footer" Target="footer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1080/19368623.2023.2241038" TargetMode="External"/><Relationship Id="rId29" Type="http://schemas.openxmlformats.org/officeDocument/2006/relationships/hyperlink" Target="https://doi.org/10.1002/bse.2961" TargetMode="External"/><Relationship Id="rId11" Type="http://schemas.openxmlformats.org/officeDocument/2006/relationships/hyperlink" Target="https://doi.org/10.1177/01492063211011762" TargetMode="External"/><Relationship Id="rId24" Type="http://schemas.openxmlformats.org/officeDocument/2006/relationships/hyperlink" Target="https://homes-partnership.co.uk/our-guide-to-the-leasehold-and-freehold-reform-act-2024/" TargetMode="External"/><Relationship Id="rId32" Type="http://schemas.openxmlformats.org/officeDocument/2006/relationships/hyperlink" Target="https://doi.org/10.1002/smj.181" TargetMode="External"/><Relationship Id="rId37" Type="http://schemas.openxmlformats.org/officeDocument/2006/relationships/hyperlink" Target="https://doi.org/10.1016/j.technovation.2020.102190" TargetMode="External"/><Relationship Id="rId40" Type="http://schemas.openxmlformats.org/officeDocument/2006/relationships/hyperlink" Target="https://doi.org/10.22594/dau.21-890.29.02" TargetMode="External"/><Relationship Id="rId45" Type="http://schemas.openxmlformats.org/officeDocument/2006/relationships/hyperlink" Target="https://doi.org/10.1016/j.jairtraman.2011.08.004" TargetMode="External"/><Relationship Id="rId5" Type="http://schemas.openxmlformats.org/officeDocument/2006/relationships/footnotes" Target="footnotes.xml"/><Relationship Id="rId15" Type="http://schemas.openxmlformats.org/officeDocument/2006/relationships/hyperlink" Target="https://find-and-update.company-information.service.gov.uk/company/02061041" TargetMode="External"/><Relationship Id="rId23" Type="http://schemas.openxmlformats.org/officeDocument/2006/relationships/hyperlink" Target="https://doi.org/10.1093/jeg/lbn033" TargetMode="External"/><Relationship Id="rId28" Type="http://schemas.openxmlformats.org/officeDocument/2006/relationships/hyperlink" Target="https://doi.org/10.1016/j.tranpol.2025.103945" TargetMode="External"/><Relationship Id="rId36" Type="http://schemas.openxmlformats.org/officeDocument/2006/relationships/hyperlink" Target="https://www.linkedin.com/learning/essential-techniques-for-enterprise-analysis?u=77966930&amp;auth=true" TargetMode="External"/><Relationship Id="rId49" Type="http://schemas.openxmlformats.org/officeDocument/2006/relationships/hyperlink" Target="https://wonderful.co.uk/blog/uk-property-management-trends-challenges-smart-payments" TargetMode="External"/><Relationship Id="rId10" Type="http://schemas.openxmlformats.org/officeDocument/2006/relationships/hyperlink" Target="https://doi.org/10.1080/23311975.2022.2093488" TargetMode="External"/><Relationship Id="rId19" Type="http://schemas.openxmlformats.org/officeDocument/2006/relationships/hyperlink" Target="https://www.fprop.com/plc-investors/financial-reports/" TargetMode="External"/><Relationship Id="rId31" Type="http://schemas.openxmlformats.org/officeDocument/2006/relationships/hyperlink" Target="https://alexanderstreet.com" TargetMode="External"/><Relationship Id="rId44" Type="http://schemas.openxmlformats.org/officeDocument/2006/relationships/hyperlink" Target="https://doi.org/10.1080/00208825.2017.1256165"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inkedin.com/learning/strategic-business-analysis-essentials?u=77966930&amp;auth=true" TargetMode="External"/><Relationship Id="rId22" Type="http://schemas.openxmlformats.org/officeDocument/2006/relationships/hyperlink" Target="https://hansard.parliament.uk/commons/2025-07-14/debates/360C774C-8371-4D37-888B-D757E59932B4/LeaseholdReform" TargetMode="External"/><Relationship Id="rId27" Type="http://schemas.openxmlformats.org/officeDocument/2006/relationships/hyperlink" Target="https://doi.org/10.22215/timreview/1366" TargetMode="External"/><Relationship Id="rId30" Type="http://schemas.openxmlformats.org/officeDocument/2006/relationships/hyperlink" Target="https://www.kingsleynapley.co.uk/insights/blogs/real-estate-law-blog/the-leasehold-and-freehold-reform-act-2024" TargetMode="External"/><Relationship Id="rId35" Type="http://schemas.openxmlformats.org/officeDocument/2006/relationships/hyperlink" Target="https://doi.org/10.1016/j.jairtraman.2020.101929" TargetMode="External"/><Relationship Id="rId43" Type="http://schemas.openxmlformats.org/officeDocument/2006/relationships/hyperlink" Target="https://doi.org/10.62694/efh.2024.108" TargetMode="External"/><Relationship Id="rId48" Type="http://schemas.openxmlformats.org/officeDocument/2006/relationships/hyperlink" Target="https://doi.org/10.1016/j.technovation.2012.04.001"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10.1371/journal.pone.0241670" TargetMode="External"/><Relationship Id="rId17" Type="http://schemas.openxmlformats.org/officeDocument/2006/relationships/hyperlink" Target="https://www.fprop.com/plc-investors/financial-reports/" TargetMode="External"/><Relationship Id="rId25" Type="http://schemas.openxmlformats.org/officeDocument/2006/relationships/hyperlink" Target="https://ezproxy.uwtsd.ac.uk" TargetMode="External"/><Relationship Id="rId33" Type="http://schemas.openxmlformats.org/officeDocument/2006/relationships/hyperlink" Target="https://doi.org/10.1016/j.technovation.2007.05.012" TargetMode="External"/><Relationship Id="rId38" Type="http://schemas.openxmlformats.org/officeDocument/2006/relationships/hyperlink" Target="https://www.opago.co/blog/the-uk-property-management-industry-is-set-for-growth----heres-what-it-means-for-short-term-rental-operators" TargetMode="External"/><Relationship Id="rId46" Type="http://schemas.openxmlformats.org/officeDocument/2006/relationships/hyperlink" Target="https://hstalks.com" TargetMode="External"/><Relationship Id="rId20" Type="http://schemas.openxmlformats.org/officeDocument/2006/relationships/hyperlink" Target="https://www.firstport.co.uk" TargetMode="External"/><Relationship Id="rId41" Type="http://schemas.openxmlformats.org/officeDocument/2006/relationships/hyperlink" Target="https://doi.org/10.4324/9780203876275"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51C3D-0D19-40ED-8F62-243539CBD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20</Pages>
  <Words>7213</Words>
  <Characters>41118</Characters>
  <Application>Microsoft Office Word</Application>
  <DocSecurity>0</DocSecurity>
  <Lines>342</Lines>
  <Paragraphs>96</Paragraphs>
  <ScaleCrop>false</ScaleCrop>
  <Company/>
  <LinksUpToDate>false</LinksUpToDate>
  <CharactersWithSpaces>48235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moros</dc:creator>
  <cp:keywords/>
  <dc:description/>
  <cp:lastModifiedBy>alina moros</cp:lastModifiedBy>
  <cp:revision>367</cp:revision>
  <cp:lastPrinted>2026-03-26T12:02:00Z</cp:lastPrinted>
  <dcterms:created xsi:type="dcterms:W3CDTF">2026-03-23T09:51:00Z</dcterms:created>
  <dcterms:modified xsi:type="dcterms:W3CDTF">2026-03-27T11:02:00Z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a81da44c-6884-4c73-84f1-47ba783944b3</vt:lpwstr>
  </property>
</Properties>
</file>