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lang w:val="en-GB"/>
        </w:rPr>
        <w:id w:val="200447385"/>
        <w:docPartObj>
          <w:docPartGallery w:val="Cover Pages"/>
          <w:docPartUnique/>
        </w:docPartObj>
      </w:sdtPr>
      <w:sdtEndPr>
        <w:rPr>
          <w:color w:val="auto"/>
        </w:rPr>
      </w:sdtEndPr>
      <w:sdtContent>
        <w:p w14:paraId="404BE156" w14:textId="353F6FB0" w:rsidR="0047739B" w:rsidRDefault="0047739B">
          <w:pPr>
            <w:pStyle w:val="NoSpacing"/>
            <w:spacing w:before="1540" w:after="240"/>
            <w:jc w:val="center"/>
            <w:rPr>
              <w:color w:val="156082" w:themeColor="accent1"/>
            </w:rPr>
          </w:pPr>
          <w:r>
            <w:rPr>
              <w:noProof/>
              <w:color w:val="156082" w:themeColor="accent1"/>
            </w:rPr>
            <w:drawing>
              <wp:inline distT="0" distB="0" distL="0" distR="0" wp14:anchorId="498F6331" wp14:editId="1CDD1BD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846BA61E63A74A2DB0FE2B275A0CFD55"/>
            </w:placeholder>
            <w:dataBinding w:prefixMappings="xmlns:ns0='http://purl.org/dc/elements/1.1/' xmlns:ns1='http://schemas.openxmlformats.org/package/2006/metadata/core-properties' " w:xpath="/ns1:coreProperties[1]/ns0:title[1]" w:storeItemID="{6C3C8BC8-F283-45AE-878A-BAB7291924A1}"/>
            <w:text/>
          </w:sdtPr>
          <w:sdtContent>
            <w:p w14:paraId="3A107EF4" w14:textId="285C5EBB" w:rsidR="0047739B" w:rsidRDefault="0047739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sidRPr="0047739B">
                <w:rPr>
                  <w:rFonts w:asciiTheme="majorHAnsi" w:eastAsiaTheme="majorEastAsia" w:hAnsiTheme="majorHAnsi" w:cstheme="majorBidi"/>
                  <w:caps/>
                  <w:color w:val="156082" w:themeColor="accent1"/>
                  <w:sz w:val="72"/>
                  <w:szCs w:val="72"/>
                </w:rPr>
                <w:t>Influence of Environmental Factors on HR Managers</w:t>
              </w:r>
            </w:p>
          </w:sdtContent>
        </w:sdt>
        <w:sdt>
          <w:sdtPr>
            <w:rPr>
              <w:color w:val="156082" w:themeColor="accent1"/>
              <w:sz w:val="28"/>
              <w:szCs w:val="28"/>
            </w:rPr>
            <w:alias w:val="Subtitle"/>
            <w:tag w:val=""/>
            <w:id w:val="328029620"/>
            <w:placeholder>
              <w:docPart w:val="A2028BA33D68481597CBB1D8FB8E09E5"/>
            </w:placeholder>
            <w:dataBinding w:prefixMappings="xmlns:ns0='http://purl.org/dc/elements/1.1/' xmlns:ns1='http://schemas.openxmlformats.org/package/2006/metadata/core-properties' " w:xpath="/ns1:coreProperties[1]/ns0:subject[1]" w:storeItemID="{6C3C8BC8-F283-45AE-878A-BAB7291924A1}"/>
            <w:text/>
          </w:sdtPr>
          <w:sdtContent>
            <w:p w14:paraId="25E320E5" w14:textId="6C0FD53D" w:rsidR="0047739B" w:rsidRDefault="0047739B">
              <w:pPr>
                <w:pStyle w:val="NoSpacing"/>
                <w:jc w:val="center"/>
                <w:rPr>
                  <w:color w:val="156082" w:themeColor="accent1"/>
                  <w:sz w:val="28"/>
                  <w:szCs w:val="28"/>
                </w:rPr>
              </w:pPr>
              <w:r>
                <w:rPr>
                  <w:color w:val="156082" w:themeColor="accent1"/>
                  <w:sz w:val="28"/>
                  <w:szCs w:val="28"/>
                </w:rPr>
                <w:t>Principles of Human Resource Management (LCBB5012)</w:t>
              </w:r>
            </w:p>
          </w:sdtContent>
        </w:sdt>
        <w:p w14:paraId="1571CB42" w14:textId="77777777" w:rsidR="0047739B" w:rsidRDefault="0047739B">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6981635D" wp14:editId="23CDCE5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40"/>
                                    <w:szCs w:val="4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43042D8" w14:textId="424FED06" w:rsidR="0047739B" w:rsidRPr="0047739B" w:rsidRDefault="0047739B">
                                    <w:pPr>
                                      <w:pStyle w:val="NoSpacing"/>
                                      <w:spacing w:after="40"/>
                                      <w:jc w:val="center"/>
                                      <w:rPr>
                                        <w:caps/>
                                        <w:color w:val="156082" w:themeColor="accent1"/>
                                        <w:sz w:val="40"/>
                                        <w:szCs w:val="40"/>
                                      </w:rPr>
                                    </w:pPr>
                                    <w:r w:rsidRPr="0047739B">
                                      <w:rPr>
                                        <w:caps/>
                                        <w:color w:val="156082" w:themeColor="accent1"/>
                                        <w:sz w:val="40"/>
                                        <w:szCs w:val="40"/>
                                      </w:rPr>
                                      <w:t>Hassan Abbas</w:t>
                                    </w:r>
                                  </w:p>
                                </w:sdtContent>
                              </w:sdt>
                              <w:p w14:paraId="0A81274C" w14:textId="5803B889" w:rsidR="0047739B" w:rsidRPr="0047739B" w:rsidRDefault="00000000">
                                <w:pPr>
                                  <w:pStyle w:val="NoSpacing"/>
                                  <w:jc w:val="center"/>
                                  <w:rPr>
                                    <w:color w:val="156082" w:themeColor="accent1"/>
                                    <w:sz w:val="34"/>
                                    <w:szCs w:val="34"/>
                                  </w:rPr>
                                </w:pPr>
                                <w:sdt>
                                  <w:sdtPr>
                                    <w:rPr>
                                      <w:caps/>
                                      <w:color w:val="156082" w:themeColor="accent1"/>
                                      <w:sz w:val="34"/>
                                      <w:szCs w:val="34"/>
                                    </w:rPr>
                                    <w:alias w:val="Company"/>
                                    <w:tag w:val=""/>
                                    <w:id w:val="1390145197"/>
                                    <w:dataBinding w:prefixMappings="xmlns:ns0='http://schemas.openxmlformats.org/officeDocument/2006/extended-properties' " w:xpath="/ns0:Properties[1]/ns0:Company[1]" w:storeItemID="{6668398D-A668-4E3E-A5EB-62B293D839F1}"/>
                                    <w:text/>
                                  </w:sdtPr>
                                  <w:sdtContent>
                                    <w:r w:rsidR="0047739B" w:rsidRPr="0047739B">
                                      <w:rPr>
                                        <w:caps/>
                                        <w:color w:val="156082" w:themeColor="accent1"/>
                                        <w:sz w:val="34"/>
                                        <w:szCs w:val="34"/>
                                      </w:rPr>
                                      <w:t>2010829</w:t>
                                    </w:r>
                                  </w:sdtContent>
                                </w:sdt>
                              </w:p>
                              <w:p w14:paraId="17CD4562" w14:textId="0C8AA60E" w:rsidR="0047739B" w:rsidRPr="0047739B" w:rsidRDefault="00000000">
                                <w:pPr>
                                  <w:pStyle w:val="NoSpacing"/>
                                  <w:jc w:val="center"/>
                                  <w:rPr>
                                    <w:color w:val="156082" w:themeColor="accent1"/>
                                    <w:sz w:val="34"/>
                                    <w:szCs w:val="34"/>
                                  </w:rPr>
                                </w:pPr>
                                <w:sdt>
                                  <w:sdtPr>
                                    <w:rPr>
                                      <w:color w:val="156082" w:themeColor="accent1"/>
                                      <w:sz w:val="34"/>
                                      <w:szCs w:val="3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7739B" w:rsidRPr="0047739B">
                                      <w:rPr>
                                        <w:color w:val="156082" w:themeColor="accent1"/>
                                        <w:sz w:val="34"/>
                                        <w:szCs w:val="3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981635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40"/>
                              <w:szCs w:val="4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443042D8" w14:textId="424FED06" w:rsidR="0047739B" w:rsidRPr="0047739B" w:rsidRDefault="0047739B">
                              <w:pPr>
                                <w:pStyle w:val="NoSpacing"/>
                                <w:spacing w:after="40"/>
                                <w:jc w:val="center"/>
                                <w:rPr>
                                  <w:caps/>
                                  <w:color w:val="156082" w:themeColor="accent1"/>
                                  <w:sz w:val="40"/>
                                  <w:szCs w:val="40"/>
                                </w:rPr>
                              </w:pPr>
                              <w:r w:rsidRPr="0047739B">
                                <w:rPr>
                                  <w:caps/>
                                  <w:color w:val="156082" w:themeColor="accent1"/>
                                  <w:sz w:val="40"/>
                                  <w:szCs w:val="40"/>
                                </w:rPr>
                                <w:t>Hassan Abbas</w:t>
                              </w:r>
                            </w:p>
                          </w:sdtContent>
                        </w:sdt>
                        <w:p w14:paraId="0A81274C" w14:textId="5803B889" w:rsidR="0047739B" w:rsidRPr="0047739B" w:rsidRDefault="00AB2638">
                          <w:pPr>
                            <w:pStyle w:val="NoSpacing"/>
                            <w:jc w:val="center"/>
                            <w:rPr>
                              <w:color w:val="156082" w:themeColor="accent1"/>
                              <w:sz w:val="34"/>
                              <w:szCs w:val="34"/>
                            </w:rPr>
                          </w:pPr>
                          <w:sdt>
                            <w:sdtPr>
                              <w:rPr>
                                <w:caps/>
                                <w:color w:val="156082" w:themeColor="accent1"/>
                                <w:sz w:val="34"/>
                                <w:szCs w:val="34"/>
                              </w:rPr>
                              <w:alias w:val="Company"/>
                              <w:tag w:val=""/>
                              <w:id w:val="1390145197"/>
                              <w:dataBinding w:prefixMappings="xmlns:ns0='http://schemas.openxmlformats.org/officeDocument/2006/extended-properties' " w:xpath="/ns0:Properties[1]/ns0:Company[1]" w:storeItemID="{6668398D-A668-4E3E-A5EB-62B293D839F1}"/>
                              <w:text/>
                            </w:sdtPr>
                            <w:sdtContent>
                              <w:r w:rsidR="0047739B" w:rsidRPr="0047739B">
                                <w:rPr>
                                  <w:caps/>
                                  <w:color w:val="156082" w:themeColor="accent1"/>
                                  <w:sz w:val="34"/>
                                  <w:szCs w:val="34"/>
                                </w:rPr>
                                <w:t>2010829</w:t>
                              </w:r>
                            </w:sdtContent>
                          </w:sdt>
                        </w:p>
                        <w:p w14:paraId="17CD4562" w14:textId="0C8AA60E" w:rsidR="0047739B" w:rsidRPr="0047739B" w:rsidRDefault="00AB2638">
                          <w:pPr>
                            <w:pStyle w:val="NoSpacing"/>
                            <w:jc w:val="center"/>
                            <w:rPr>
                              <w:color w:val="156082" w:themeColor="accent1"/>
                              <w:sz w:val="34"/>
                              <w:szCs w:val="34"/>
                            </w:rPr>
                          </w:pPr>
                          <w:sdt>
                            <w:sdtPr>
                              <w:rPr>
                                <w:color w:val="156082" w:themeColor="accent1"/>
                                <w:sz w:val="34"/>
                                <w:szCs w:val="3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47739B" w:rsidRPr="0047739B">
                                <w:rPr>
                                  <w:color w:val="156082" w:themeColor="accent1"/>
                                  <w:sz w:val="34"/>
                                  <w:szCs w:val="34"/>
                                </w:rPr>
                                <w:t xml:space="preserve">     </w:t>
                              </w:r>
                            </w:sdtContent>
                          </w:sdt>
                        </w:p>
                      </w:txbxContent>
                    </v:textbox>
                    <w10:wrap anchorx="margin" anchory="page"/>
                  </v:shape>
                </w:pict>
              </mc:Fallback>
            </mc:AlternateContent>
          </w:r>
          <w:r>
            <w:rPr>
              <w:noProof/>
              <w:color w:val="156082" w:themeColor="accent1"/>
            </w:rPr>
            <w:drawing>
              <wp:inline distT="0" distB="0" distL="0" distR="0" wp14:anchorId="29719422" wp14:editId="054C9C7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CC2F686" w14:textId="0C0BA180" w:rsidR="0047739B" w:rsidRDefault="0047739B">
          <w:r>
            <w:br w:type="page"/>
          </w:r>
        </w:p>
      </w:sdtContent>
    </w:sdt>
    <w:sdt>
      <w:sdtPr>
        <w:rPr>
          <w:rFonts w:asciiTheme="minorHAnsi" w:eastAsiaTheme="minorHAnsi" w:hAnsiTheme="minorHAnsi" w:cstheme="minorBidi"/>
          <w:color w:val="auto"/>
          <w:sz w:val="22"/>
          <w:szCs w:val="22"/>
          <w:lang w:val="en-GB"/>
        </w:rPr>
        <w:id w:val="-832374777"/>
        <w:docPartObj>
          <w:docPartGallery w:val="Table of Contents"/>
          <w:docPartUnique/>
        </w:docPartObj>
      </w:sdtPr>
      <w:sdtEndPr>
        <w:rPr>
          <w:b/>
          <w:bCs/>
          <w:noProof/>
        </w:rPr>
      </w:sdtEndPr>
      <w:sdtContent>
        <w:p w14:paraId="22C3E6C3" w14:textId="535E6411" w:rsidR="00704553" w:rsidRDefault="00704553">
          <w:pPr>
            <w:pStyle w:val="TOCHeading"/>
          </w:pPr>
          <w:r>
            <w:t>Contents</w:t>
          </w:r>
        </w:p>
        <w:p w14:paraId="6C4D4400" w14:textId="231A6E7D" w:rsidR="00134DDB" w:rsidRDefault="00704553">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17332617" w:history="1">
            <w:r w:rsidR="00134DDB" w:rsidRPr="00511EC7">
              <w:rPr>
                <w:rStyle w:val="Hyperlink"/>
                <w:noProof/>
              </w:rPr>
              <w:t>Introduction</w:t>
            </w:r>
            <w:r w:rsidR="00134DDB">
              <w:rPr>
                <w:noProof/>
                <w:webHidden/>
              </w:rPr>
              <w:tab/>
            </w:r>
            <w:r w:rsidR="00134DDB">
              <w:rPr>
                <w:noProof/>
                <w:webHidden/>
              </w:rPr>
              <w:fldChar w:fldCharType="begin"/>
            </w:r>
            <w:r w:rsidR="00134DDB">
              <w:rPr>
                <w:noProof/>
                <w:webHidden/>
              </w:rPr>
              <w:instrText xml:space="preserve"> PAGEREF _Toc217332617 \h </w:instrText>
            </w:r>
            <w:r w:rsidR="00134DDB">
              <w:rPr>
                <w:noProof/>
                <w:webHidden/>
              </w:rPr>
            </w:r>
            <w:r w:rsidR="00134DDB">
              <w:rPr>
                <w:noProof/>
                <w:webHidden/>
              </w:rPr>
              <w:fldChar w:fldCharType="separate"/>
            </w:r>
            <w:r w:rsidR="00134DDB">
              <w:rPr>
                <w:noProof/>
                <w:webHidden/>
              </w:rPr>
              <w:t>2</w:t>
            </w:r>
            <w:r w:rsidR="00134DDB">
              <w:rPr>
                <w:noProof/>
                <w:webHidden/>
              </w:rPr>
              <w:fldChar w:fldCharType="end"/>
            </w:r>
          </w:hyperlink>
        </w:p>
        <w:p w14:paraId="6B369C5F" w14:textId="4506A896" w:rsidR="00134DDB" w:rsidRDefault="00134DDB">
          <w:pPr>
            <w:pStyle w:val="TOC1"/>
            <w:tabs>
              <w:tab w:val="right" w:leader="dot" w:pos="9016"/>
            </w:tabs>
            <w:rPr>
              <w:rFonts w:eastAsiaTheme="minorEastAsia"/>
              <w:noProof/>
              <w:kern w:val="2"/>
              <w:sz w:val="24"/>
              <w:szCs w:val="24"/>
              <w:lang w:eastAsia="en-GB"/>
              <w14:ligatures w14:val="standardContextual"/>
            </w:rPr>
          </w:pPr>
          <w:hyperlink w:anchor="_Toc217332618" w:history="1">
            <w:r w:rsidRPr="00511EC7">
              <w:rPr>
                <w:rStyle w:val="Hyperlink"/>
                <w:noProof/>
              </w:rPr>
              <w:t>Internal and External Environment</w:t>
            </w:r>
            <w:r>
              <w:rPr>
                <w:noProof/>
                <w:webHidden/>
              </w:rPr>
              <w:tab/>
            </w:r>
            <w:r>
              <w:rPr>
                <w:noProof/>
                <w:webHidden/>
              </w:rPr>
              <w:fldChar w:fldCharType="begin"/>
            </w:r>
            <w:r>
              <w:rPr>
                <w:noProof/>
                <w:webHidden/>
              </w:rPr>
              <w:instrText xml:space="preserve"> PAGEREF _Toc217332618 \h </w:instrText>
            </w:r>
            <w:r>
              <w:rPr>
                <w:noProof/>
                <w:webHidden/>
              </w:rPr>
            </w:r>
            <w:r>
              <w:rPr>
                <w:noProof/>
                <w:webHidden/>
              </w:rPr>
              <w:fldChar w:fldCharType="separate"/>
            </w:r>
            <w:r>
              <w:rPr>
                <w:noProof/>
                <w:webHidden/>
              </w:rPr>
              <w:t>2</w:t>
            </w:r>
            <w:r>
              <w:rPr>
                <w:noProof/>
                <w:webHidden/>
              </w:rPr>
              <w:fldChar w:fldCharType="end"/>
            </w:r>
          </w:hyperlink>
        </w:p>
        <w:p w14:paraId="2919E9C4" w14:textId="27EE4E78" w:rsidR="00134DDB" w:rsidRDefault="00134DDB">
          <w:pPr>
            <w:pStyle w:val="TOC1"/>
            <w:tabs>
              <w:tab w:val="right" w:leader="dot" w:pos="9016"/>
            </w:tabs>
            <w:rPr>
              <w:rFonts w:eastAsiaTheme="minorEastAsia"/>
              <w:noProof/>
              <w:kern w:val="2"/>
              <w:sz w:val="24"/>
              <w:szCs w:val="24"/>
              <w:lang w:eastAsia="en-GB"/>
              <w14:ligatures w14:val="standardContextual"/>
            </w:rPr>
          </w:pPr>
          <w:hyperlink w:anchor="_Toc217332619" w:history="1">
            <w:r w:rsidRPr="00511EC7">
              <w:rPr>
                <w:rStyle w:val="Hyperlink"/>
                <w:noProof/>
              </w:rPr>
              <w:t>Organisation Application: DHL</w:t>
            </w:r>
            <w:r>
              <w:rPr>
                <w:noProof/>
                <w:webHidden/>
              </w:rPr>
              <w:tab/>
            </w:r>
            <w:r>
              <w:rPr>
                <w:noProof/>
                <w:webHidden/>
              </w:rPr>
              <w:fldChar w:fldCharType="begin"/>
            </w:r>
            <w:r>
              <w:rPr>
                <w:noProof/>
                <w:webHidden/>
              </w:rPr>
              <w:instrText xml:space="preserve"> PAGEREF _Toc217332619 \h </w:instrText>
            </w:r>
            <w:r>
              <w:rPr>
                <w:noProof/>
                <w:webHidden/>
              </w:rPr>
            </w:r>
            <w:r>
              <w:rPr>
                <w:noProof/>
                <w:webHidden/>
              </w:rPr>
              <w:fldChar w:fldCharType="separate"/>
            </w:r>
            <w:r>
              <w:rPr>
                <w:noProof/>
                <w:webHidden/>
              </w:rPr>
              <w:t>3</w:t>
            </w:r>
            <w:r>
              <w:rPr>
                <w:noProof/>
                <w:webHidden/>
              </w:rPr>
              <w:fldChar w:fldCharType="end"/>
            </w:r>
          </w:hyperlink>
        </w:p>
        <w:p w14:paraId="6229C46A" w14:textId="01EE320A" w:rsidR="00134DDB" w:rsidRDefault="00134DDB">
          <w:pPr>
            <w:pStyle w:val="TOC1"/>
            <w:tabs>
              <w:tab w:val="right" w:leader="dot" w:pos="9016"/>
            </w:tabs>
            <w:rPr>
              <w:rFonts w:eastAsiaTheme="minorEastAsia"/>
              <w:noProof/>
              <w:kern w:val="2"/>
              <w:sz w:val="24"/>
              <w:szCs w:val="24"/>
              <w:lang w:eastAsia="en-GB"/>
              <w14:ligatures w14:val="standardContextual"/>
            </w:rPr>
          </w:pPr>
          <w:hyperlink w:anchor="_Toc217332620" w:history="1">
            <w:r w:rsidRPr="00511EC7">
              <w:rPr>
                <w:rStyle w:val="Hyperlink"/>
                <w:noProof/>
              </w:rPr>
              <w:t>Application of the PESTLE Model to DHL</w:t>
            </w:r>
            <w:r>
              <w:rPr>
                <w:noProof/>
                <w:webHidden/>
              </w:rPr>
              <w:tab/>
            </w:r>
            <w:r>
              <w:rPr>
                <w:noProof/>
                <w:webHidden/>
              </w:rPr>
              <w:fldChar w:fldCharType="begin"/>
            </w:r>
            <w:r>
              <w:rPr>
                <w:noProof/>
                <w:webHidden/>
              </w:rPr>
              <w:instrText xml:space="preserve"> PAGEREF _Toc217332620 \h </w:instrText>
            </w:r>
            <w:r>
              <w:rPr>
                <w:noProof/>
                <w:webHidden/>
              </w:rPr>
            </w:r>
            <w:r>
              <w:rPr>
                <w:noProof/>
                <w:webHidden/>
              </w:rPr>
              <w:fldChar w:fldCharType="separate"/>
            </w:r>
            <w:r>
              <w:rPr>
                <w:noProof/>
                <w:webHidden/>
              </w:rPr>
              <w:t>4</w:t>
            </w:r>
            <w:r>
              <w:rPr>
                <w:noProof/>
                <w:webHidden/>
              </w:rPr>
              <w:fldChar w:fldCharType="end"/>
            </w:r>
          </w:hyperlink>
        </w:p>
        <w:p w14:paraId="776109E5" w14:textId="366D5BD9" w:rsidR="00134DDB" w:rsidRDefault="00134DDB">
          <w:pPr>
            <w:pStyle w:val="TOC2"/>
            <w:tabs>
              <w:tab w:val="right" w:leader="dot" w:pos="9016"/>
            </w:tabs>
            <w:rPr>
              <w:rFonts w:eastAsiaTheme="minorEastAsia"/>
              <w:noProof/>
              <w:kern w:val="2"/>
              <w:sz w:val="24"/>
              <w:szCs w:val="24"/>
              <w:lang w:eastAsia="en-GB"/>
              <w14:ligatures w14:val="standardContextual"/>
            </w:rPr>
          </w:pPr>
          <w:hyperlink w:anchor="_Toc217332621" w:history="1">
            <w:r w:rsidRPr="00511EC7">
              <w:rPr>
                <w:rStyle w:val="Hyperlink"/>
                <w:noProof/>
              </w:rPr>
              <w:t>Impact of Environmental Factors on HR Practices</w:t>
            </w:r>
            <w:r>
              <w:rPr>
                <w:noProof/>
                <w:webHidden/>
              </w:rPr>
              <w:tab/>
            </w:r>
            <w:r>
              <w:rPr>
                <w:noProof/>
                <w:webHidden/>
              </w:rPr>
              <w:fldChar w:fldCharType="begin"/>
            </w:r>
            <w:r>
              <w:rPr>
                <w:noProof/>
                <w:webHidden/>
              </w:rPr>
              <w:instrText xml:space="preserve"> PAGEREF _Toc217332621 \h </w:instrText>
            </w:r>
            <w:r>
              <w:rPr>
                <w:noProof/>
                <w:webHidden/>
              </w:rPr>
            </w:r>
            <w:r>
              <w:rPr>
                <w:noProof/>
                <w:webHidden/>
              </w:rPr>
              <w:fldChar w:fldCharType="separate"/>
            </w:r>
            <w:r>
              <w:rPr>
                <w:noProof/>
                <w:webHidden/>
              </w:rPr>
              <w:t>4</w:t>
            </w:r>
            <w:r>
              <w:rPr>
                <w:noProof/>
                <w:webHidden/>
              </w:rPr>
              <w:fldChar w:fldCharType="end"/>
            </w:r>
          </w:hyperlink>
        </w:p>
        <w:p w14:paraId="60C58BE7" w14:textId="13E90DED" w:rsidR="00134DDB" w:rsidRDefault="00134DDB">
          <w:pPr>
            <w:pStyle w:val="TOC2"/>
            <w:tabs>
              <w:tab w:val="right" w:leader="dot" w:pos="9016"/>
            </w:tabs>
            <w:rPr>
              <w:rFonts w:eastAsiaTheme="minorEastAsia"/>
              <w:noProof/>
              <w:kern w:val="2"/>
              <w:sz w:val="24"/>
              <w:szCs w:val="24"/>
              <w:lang w:eastAsia="en-GB"/>
              <w14:ligatures w14:val="standardContextual"/>
            </w:rPr>
          </w:pPr>
          <w:hyperlink w:anchor="_Toc217332622" w:history="1">
            <w:r w:rsidRPr="00511EC7">
              <w:rPr>
                <w:rStyle w:val="Hyperlink"/>
                <w:noProof/>
              </w:rPr>
              <w:t>Country-Specific Variations</w:t>
            </w:r>
            <w:r>
              <w:rPr>
                <w:noProof/>
                <w:webHidden/>
              </w:rPr>
              <w:tab/>
            </w:r>
            <w:r>
              <w:rPr>
                <w:noProof/>
                <w:webHidden/>
              </w:rPr>
              <w:fldChar w:fldCharType="begin"/>
            </w:r>
            <w:r>
              <w:rPr>
                <w:noProof/>
                <w:webHidden/>
              </w:rPr>
              <w:instrText xml:space="preserve"> PAGEREF _Toc217332622 \h </w:instrText>
            </w:r>
            <w:r>
              <w:rPr>
                <w:noProof/>
                <w:webHidden/>
              </w:rPr>
            </w:r>
            <w:r>
              <w:rPr>
                <w:noProof/>
                <w:webHidden/>
              </w:rPr>
              <w:fldChar w:fldCharType="separate"/>
            </w:r>
            <w:r>
              <w:rPr>
                <w:noProof/>
                <w:webHidden/>
              </w:rPr>
              <w:t>5</w:t>
            </w:r>
            <w:r>
              <w:rPr>
                <w:noProof/>
                <w:webHidden/>
              </w:rPr>
              <w:fldChar w:fldCharType="end"/>
            </w:r>
          </w:hyperlink>
        </w:p>
        <w:p w14:paraId="1595048C" w14:textId="09229508" w:rsidR="00134DDB" w:rsidRDefault="00134DDB">
          <w:pPr>
            <w:pStyle w:val="TOC1"/>
            <w:tabs>
              <w:tab w:val="right" w:leader="dot" w:pos="9016"/>
            </w:tabs>
            <w:rPr>
              <w:rFonts w:eastAsiaTheme="minorEastAsia"/>
              <w:noProof/>
              <w:kern w:val="2"/>
              <w:sz w:val="24"/>
              <w:szCs w:val="24"/>
              <w:lang w:eastAsia="en-GB"/>
              <w14:ligatures w14:val="standardContextual"/>
            </w:rPr>
          </w:pPr>
          <w:hyperlink w:anchor="_Toc217332623" w:history="1">
            <w:r w:rsidRPr="00511EC7">
              <w:rPr>
                <w:rStyle w:val="Hyperlink"/>
                <w:noProof/>
              </w:rPr>
              <w:t>Conclusion</w:t>
            </w:r>
            <w:r>
              <w:rPr>
                <w:noProof/>
                <w:webHidden/>
              </w:rPr>
              <w:tab/>
            </w:r>
            <w:r>
              <w:rPr>
                <w:noProof/>
                <w:webHidden/>
              </w:rPr>
              <w:fldChar w:fldCharType="begin"/>
            </w:r>
            <w:r>
              <w:rPr>
                <w:noProof/>
                <w:webHidden/>
              </w:rPr>
              <w:instrText xml:space="preserve"> PAGEREF _Toc217332623 \h </w:instrText>
            </w:r>
            <w:r>
              <w:rPr>
                <w:noProof/>
                <w:webHidden/>
              </w:rPr>
            </w:r>
            <w:r>
              <w:rPr>
                <w:noProof/>
                <w:webHidden/>
              </w:rPr>
              <w:fldChar w:fldCharType="separate"/>
            </w:r>
            <w:r>
              <w:rPr>
                <w:noProof/>
                <w:webHidden/>
              </w:rPr>
              <w:t>6</w:t>
            </w:r>
            <w:r>
              <w:rPr>
                <w:noProof/>
                <w:webHidden/>
              </w:rPr>
              <w:fldChar w:fldCharType="end"/>
            </w:r>
          </w:hyperlink>
        </w:p>
        <w:p w14:paraId="10DC2A5B" w14:textId="606835C5" w:rsidR="00134DDB" w:rsidRDefault="00134DDB">
          <w:pPr>
            <w:pStyle w:val="TOC2"/>
            <w:tabs>
              <w:tab w:val="right" w:leader="dot" w:pos="9016"/>
            </w:tabs>
            <w:rPr>
              <w:rFonts w:eastAsiaTheme="minorEastAsia"/>
              <w:noProof/>
              <w:kern w:val="2"/>
              <w:sz w:val="24"/>
              <w:szCs w:val="24"/>
              <w:lang w:eastAsia="en-GB"/>
              <w14:ligatures w14:val="standardContextual"/>
            </w:rPr>
          </w:pPr>
          <w:hyperlink w:anchor="_Toc217332624" w:history="1">
            <w:r w:rsidRPr="00511EC7">
              <w:rPr>
                <w:rStyle w:val="Hyperlink"/>
                <w:noProof/>
              </w:rPr>
              <w:t>Summary</w:t>
            </w:r>
            <w:r>
              <w:rPr>
                <w:noProof/>
                <w:webHidden/>
              </w:rPr>
              <w:tab/>
            </w:r>
            <w:r>
              <w:rPr>
                <w:noProof/>
                <w:webHidden/>
              </w:rPr>
              <w:fldChar w:fldCharType="begin"/>
            </w:r>
            <w:r>
              <w:rPr>
                <w:noProof/>
                <w:webHidden/>
              </w:rPr>
              <w:instrText xml:space="preserve"> PAGEREF _Toc217332624 \h </w:instrText>
            </w:r>
            <w:r>
              <w:rPr>
                <w:noProof/>
                <w:webHidden/>
              </w:rPr>
            </w:r>
            <w:r>
              <w:rPr>
                <w:noProof/>
                <w:webHidden/>
              </w:rPr>
              <w:fldChar w:fldCharType="separate"/>
            </w:r>
            <w:r>
              <w:rPr>
                <w:noProof/>
                <w:webHidden/>
              </w:rPr>
              <w:t>6</w:t>
            </w:r>
            <w:r>
              <w:rPr>
                <w:noProof/>
                <w:webHidden/>
              </w:rPr>
              <w:fldChar w:fldCharType="end"/>
            </w:r>
          </w:hyperlink>
        </w:p>
        <w:p w14:paraId="6951A113" w14:textId="714273CB" w:rsidR="00134DDB" w:rsidRDefault="00134DDB">
          <w:pPr>
            <w:pStyle w:val="TOC2"/>
            <w:tabs>
              <w:tab w:val="right" w:leader="dot" w:pos="9016"/>
            </w:tabs>
            <w:rPr>
              <w:rFonts w:eastAsiaTheme="minorEastAsia"/>
              <w:noProof/>
              <w:kern w:val="2"/>
              <w:sz w:val="24"/>
              <w:szCs w:val="24"/>
              <w:lang w:eastAsia="en-GB"/>
              <w14:ligatures w14:val="standardContextual"/>
            </w:rPr>
          </w:pPr>
          <w:hyperlink w:anchor="_Toc217332625" w:history="1">
            <w:r w:rsidRPr="00511EC7">
              <w:rPr>
                <w:rStyle w:val="Hyperlink"/>
                <w:noProof/>
              </w:rPr>
              <w:t>Future Implications</w:t>
            </w:r>
            <w:r>
              <w:rPr>
                <w:noProof/>
                <w:webHidden/>
              </w:rPr>
              <w:tab/>
            </w:r>
            <w:r>
              <w:rPr>
                <w:noProof/>
                <w:webHidden/>
              </w:rPr>
              <w:fldChar w:fldCharType="begin"/>
            </w:r>
            <w:r>
              <w:rPr>
                <w:noProof/>
                <w:webHidden/>
              </w:rPr>
              <w:instrText xml:space="preserve"> PAGEREF _Toc217332625 \h </w:instrText>
            </w:r>
            <w:r>
              <w:rPr>
                <w:noProof/>
                <w:webHidden/>
              </w:rPr>
            </w:r>
            <w:r>
              <w:rPr>
                <w:noProof/>
                <w:webHidden/>
              </w:rPr>
              <w:fldChar w:fldCharType="separate"/>
            </w:r>
            <w:r>
              <w:rPr>
                <w:noProof/>
                <w:webHidden/>
              </w:rPr>
              <w:t>6</w:t>
            </w:r>
            <w:r>
              <w:rPr>
                <w:noProof/>
                <w:webHidden/>
              </w:rPr>
              <w:fldChar w:fldCharType="end"/>
            </w:r>
          </w:hyperlink>
        </w:p>
        <w:p w14:paraId="7B9D42B2" w14:textId="32F83C87" w:rsidR="00134DDB" w:rsidRDefault="00134DDB">
          <w:pPr>
            <w:pStyle w:val="TOC2"/>
            <w:tabs>
              <w:tab w:val="right" w:leader="dot" w:pos="9016"/>
            </w:tabs>
            <w:rPr>
              <w:rFonts w:eastAsiaTheme="minorEastAsia"/>
              <w:noProof/>
              <w:kern w:val="2"/>
              <w:sz w:val="24"/>
              <w:szCs w:val="24"/>
              <w:lang w:eastAsia="en-GB"/>
              <w14:ligatures w14:val="standardContextual"/>
            </w:rPr>
          </w:pPr>
          <w:hyperlink w:anchor="_Toc217332626" w:history="1">
            <w:r w:rsidRPr="00511EC7">
              <w:rPr>
                <w:rStyle w:val="Hyperlink"/>
                <w:noProof/>
              </w:rPr>
              <w:t>References</w:t>
            </w:r>
            <w:r>
              <w:rPr>
                <w:noProof/>
                <w:webHidden/>
              </w:rPr>
              <w:tab/>
            </w:r>
            <w:r>
              <w:rPr>
                <w:noProof/>
                <w:webHidden/>
              </w:rPr>
              <w:fldChar w:fldCharType="begin"/>
            </w:r>
            <w:r>
              <w:rPr>
                <w:noProof/>
                <w:webHidden/>
              </w:rPr>
              <w:instrText xml:space="preserve"> PAGEREF _Toc217332626 \h </w:instrText>
            </w:r>
            <w:r>
              <w:rPr>
                <w:noProof/>
                <w:webHidden/>
              </w:rPr>
            </w:r>
            <w:r>
              <w:rPr>
                <w:noProof/>
                <w:webHidden/>
              </w:rPr>
              <w:fldChar w:fldCharType="separate"/>
            </w:r>
            <w:r>
              <w:rPr>
                <w:noProof/>
                <w:webHidden/>
              </w:rPr>
              <w:t>7</w:t>
            </w:r>
            <w:r>
              <w:rPr>
                <w:noProof/>
                <w:webHidden/>
              </w:rPr>
              <w:fldChar w:fldCharType="end"/>
            </w:r>
          </w:hyperlink>
        </w:p>
        <w:p w14:paraId="51AE2C42" w14:textId="5B149CF9" w:rsidR="00AD706B" w:rsidRDefault="00704553">
          <w:pPr>
            <w:rPr>
              <w:b/>
              <w:bCs/>
              <w:noProof/>
            </w:rPr>
          </w:pPr>
          <w:r>
            <w:rPr>
              <w:b/>
              <w:bCs/>
              <w:noProof/>
            </w:rPr>
            <w:fldChar w:fldCharType="end"/>
          </w:r>
        </w:p>
        <w:p w14:paraId="60FDFE79" w14:textId="77777777" w:rsidR="00AD706B" w:rsidRDefault="00AD706B">
          <w:pPr>
            <w:rPr>
              <w:b/>
              <w:bCs/>
              <w:noProof/>
            </w:rPr>
          </w:pPr>
        </w:p>
        <w:p w14:paraId="3E4A6DA4" w14:textId="77777777" w:rsidR="00AD706B" w:rsidRDefault="00AD706B">
          <w:pPr>
            <w:rPr>
              <w:b/>
              <w:bCs/>
              <w:noProof/>
            </w:rPr>
          </w:pPr>
        </w:p>
        <w:p w14:paraId="34504298" w14:textId="77777777" w:rsidR="00AD706B" w:rsidRDefault="00AD706B">
          <w:pPr>
            <w:rPr>
              <w:b/>
              <w:bCs/>
              <w:noProof/>
            </w:rPr>
          </w:pPr>
        </w:p>
        <w:p w14:paraId="52E95D04" w14:textId="77777777" w:rsidR="00AD706B" w:rsidRDefault="00AD706B">
          <w:pPr>
            <w:rPr>
              <w:b/>
              <w:bCs/>
              <w:noProof/>
            </w:rPr>
          </w:pPr>
        </w:p>
        <w:p w14:paraId="364B7FC3" w14:textId="77777777" w:rsidR="00AD706B" w:rsidRDefault="00AD706B">
          <w:pPr>
            <w:rPr>
              <w:b/>
              <w:bCs/>
              <w:noProof/>
            </w:rPr>
          </w:pPr>
        </w:p>
        <w:p w14:paraId="53DDCBA5" w14:textId="77777777" w:rsidR="00AD706B" w:rsidRDefault="00AD706B">
          <w:pPr>
            <w:rPr>
              <w:b/>
              <w:bCs/>
              <w:noProof/>
            </w:rPr>
          </w:pPr>
        </w:p>
        <w:p w14:paraId="1AB1BCCB" w14:textId="77777777" w:rsidR="00AD706B" w:rsidRDefault="00AD706B">
          <w:pPr>
            <w:rPr>
              <w:b/>
              <w:bCs/>
              <w:noProof/>
            </w:rPr>
          </w:pPr>
        </w:p>
        <w:p w14:paraId="54361E69" w14:textId="77777777" w:rsidR="00AD706B" w:rsidRDefault="00AD706B">
          <w:pPr>
            <w:rPr>
              <w:b/>
              <w:bCs/>
              <w:noProof/>
            </w:rPr>
          </w:pPr>
        </w:p>
        <w:p w14:paraId="26E90923" w14:textId="77777777" w:rsidR="00AD706B" w:rsidRDefault="00AD706B">
          <w:pPr>
            <w:rPr>
              <w:b/>
              <w:bCs/>
              <w:noProof/>
            </w:rPr>
          </w:pPr>
        </w:p>
        <w:p w14:paraId="6A899FD1" w14:textId="77777777" w:rsidR="00AD706B" w:rsidRDefault="00AD706B">
          <w:pPr>
            <w:rPr>
              <w:b/>
              <w:bCs/>
              <w:noProof/>
            </w:rPr>
          </w:pPr>
        </w:p>
        <w:p w14:paraId="6ABADEDB" w14:textId="77777777" w:rsidR="00AD706B" w:rsidRDefault="00AD706B">
          <w:pPr>
            <w:rPr>
              <w:b/>
              <w:bCs/>
              <w:noProof/>
            </w:rPr>
          </w:pPr>
        </w:p>
        <w:p w14:paraId="28967200" w14:textId="77777777" w:rsidR="00AD706B" w:rsidRDefault="00AD706B">
          <w:pPr>
            <w:rPr>
              <w:b/>
              <w:bCs/>
              <w:noProof/>
            </w:rPr>
          </w:pPr>
        </w:p>
        <w:p w14:paraId="550124A8" w14:textId="77777777" w:rsidR="00AD706B" w:rsidRDefault="00AD706B">
          <w:pPr>
            <w:rPr>
              <w:b/>
              <w:bCs/>
              <w:noProof/>
            </w:rPr>
          </w:pPr>
        </w:p>
        <w:p w14:paraId="0F9220B8" w14:textId="77777777" w:rsidR="00AD706B" w:rsidRDefault="00AD706B">
          <w:pPr>
            <w:rPr>
              <w:b/>
              <w:bCs/>
              <w:noProof/>
            </w:rPr>
          </w:pPr>
        </w:p>
        <w:p w14:paraId="70B2CFDA" w14:textId="77777777" w:rsidR="00AD706B" w:rsidRDefault="00AD706B">
          <w:pPr>
            <w:rPr>
              <w:b/>
              <w:bCs/>
              <w:noProof/>
            </w:rPr>
          </w:pPr>
        </w:p>
        <w:p w14:paraId="30AED36D" w14:textId="77777777" w:rsidR="00AD706B" w:rsidRDefault="00AD706B">
          <w:pPr>
            <w:rPr>
              <w:b/>
              <w:bCs/>
              <w:noProof/>
            </w:rPr>
          </w:pPr>
        </w:p>
        <w:p w14:paraId="7FA89048" w14:textId="77777777" w:rsidR="00AD706B" w:rsidRDefault="00AD706B">
          <w:pPr>
            <w:rPr>
              <w:b/>
              <w:bCs/>
              <w:noProof/>
            </w:rPr>
          </w:pPr>
        </w:p>
        <w:p w14:paraId="1797F647" w14:textId="77777777" w:rsidR="00AD706B" w:rsidRDefault="00AD706B">
          <w:pPr>
            <w:rPr>
              <w:b/>
              <w:bCs/>
              <w:noProof/>
            </w:rPr>
          </w:pPr>
        </w:p>
        <w:p w14:paraId="507890F1" w14:textId="00B4150B" w:rsidR="00704553" w:rsidRDefault="00000000">
          <w:pPr>
            <w:rPr>
              <w:b/>
              <w:bCs/>
              <w:noProof/>
            </w:rPr>
          </w:pPr>
        </w:p>
      </w:sdtContent>
    </w:sdt>
    <w:p w14:paraId="423416AC" w14:textId="1F58EA48" w:rsidR="00AD706B" w:rsidRPr="00AD706B" w:rsidRDefault="00AD706B" w:rsidP="00AD706B">
      <w:pPr>
        <w:pStyle w:val="Heading1"/>
        <w:jc w:val="both"/>
        <w:rPr>
          <w:sz w:val="42"/>
          <w:szCs w:val="42"/>
        </w:rPr>
      </w:pPr>
      <w:bookmarkStart w:id="0" w:name="_Toc217332617"/>
      <w:r w:rsidRPr="00AD706B">
        <w:rPr>
          <w:sz w:val="42"/>
          <w:szCs w:val="42"/>
        </w:rPr>
        <w:lastRenderedPageBreak/>
        <w:t>Introduction</w:t>
      </w:r>
      <w:bookmarkEnd w:id="0"/>
    </w:p>
    <w:p w14:paraId="63568991" w14:textId="77777777" w:rsidR="00AD706B" w:rsidRPr="00AD706B" w:rsidRDefault="00AD706B" w:rsidP="00AD706B">
      <w:pPr>
        <w:jc w:val="both"/>
        <w:rPr>
          <w:sz w:val="24"/>
          <w:szCs w:val="24"/>
        </w:rPr>
      </w:pPr>
      <w:r w:rsidRPr="00AD706B">
        <w:rPr>
          <w:sz w:val="24"/>
          <w:szCs w:val="24"/>
        </w:rPr>
        <w:t>Human Resource (HR) Managers are fundamental to organisational success, acting as a strategic bridge between workforce capabilities and business objectives. Their effectiveness is not solely determined by internal policies but is profoundly shaped by a dynamic interplay of external and internal environmental forces. Key HR functions include recruitment and selection, which ensures the acquisition of skilled talent; training and development, which enhances employee competencies and adaptability; performance management, which aligns individual goals with organisational strategy and drives productivity; and employee relations, which maintains a positive work environment and ensures compliance with employment laws (Armstrong and Taylor, 2020). These functions are essential as they directly contribute to building a motivated, skilled, and resilient workforce, which is a primary source of competitive advantage in a globalised economy (Boxall and Purcell, 2022).</w:t>
      </w:r>
    </w:p>
    <w:p w14:paraId="09E86BA7" w14:textId="77777777" w:rsidR="00AD706B" w:rsidRPr="00AD706B" w:rsidRDefault="00AD706B" w:rsidP="00AD706B">
      <w:pPr>
        <w:jc w:val="both"/>
        <w:rPr>
          <w:sz w:val="24"/>
          <w:szCs w:val="24"/>
        </w:rPr>
      </w:pPr>
      <w:r w:rsidRPr="00AD706B">
        <w:rPr>
          <w:sz w:val="24"/>
          <w:szCs w:val="24"/>
        </w:rPr>
        <w:t>However, HR managers do not operate in a vacuum. Their ability to execute these functions effectively is continuously influenced by factors ranging from global economic shifts and technological advancements to local cultural norms and legal frameworks. To analyse these influences systematically, business environment models are employed. This report will utilise the PESTLE analysis model (Political, Economic, Social, Technological, Legal, Environmental) to evaluate how environmental factors impact HR managers’ effectiveness. Using DHL, a global logistics leader, as a case study, the report will explore the practical application of this model.</w:t>
      </w:r>
    </w:p>
    <w:p w14:paraId="34768F54" w14:textId="5AC4D6E7" w:rsidR="00AD706B" w:rsidRPr="00AD706B" w:rsidRDefault="00AD706B" w:rsidP="00AD706B">
      <w:pPr>
        <w:jc w:val="both"/>
        <w:rPr>
          <w:sz w:val="24"/>
          <w:szCs w:val="24"/>
        </w:rPr>
      </w:pPr>
      <w:r w:rsidRPr="00AD706B">
        <w:rPr>
          <w:sz w:val="24"/>
          <w:szCs w:val="24"/>
        </w:rPr>
        <w:t>The report is structured as follows: Following this introduction, </w:t>
      </w:r>
      <w:r w:rsidRPr="00AD706B">
        <w:rPr>
          <w:b/>
          <w:bCs/>
          <w:sz w:val="24"/>
          <w:szCs w:val="24"/>
        </w:rPr>
        <w:t>Section 2</w:t>
      </w:r>
      <w:r w:rsidRPr="00AD706B">
        <w:rPr>
          <w:sz w:val="24"/>
          <w:szCs w:val="24"/>
        </w:rPr>
        <w:t> explores the internal and external business environment using the PESTLE model and links it to core HR functions. </w:t>
      </w:r>
      <w:r w:rsidRPr="00AD706B">
        <w:rPr>
          <w:b/>
          <w:bCs/>
          <w:sz w:val="24"/>
          <w:szCs w:val="24"/>
        </w:rPr>
        <w:t>Section 3</w:t>
      </w:r>
      <w:r w:rsidRPr="00AD706B">
        <w:rPr>
          <w:sz w:val="24"/>
          <w:szCs w:val="24"/>
        </w:rPr>
        <w:t> provides a brief overview of DHL and its general HR practices. </w:t>
      </w:r>
      <w:r w:rsidRPr="00AD706B">
        <w:rPr>
          <w:b/>
          <w:bCs/>
          <w:sz w:val="24"/>
          <w:szCs w:val="24"/>
        </w:rPr>
        <w:t>Section 4</w:t>
      </w:r>
      <w:r w:rsidRPr="00AD706B">
        <w:rPr>
          <w:sz w:val="24"/>
          <w:szCs w:val="24"/>
        </w:rPr>
        <w:t> applies the PESTLE model to DHL, analysing how specific environmental factors influence its HR managers across different countries. Finally, </w:t>
      </w:r>
      <w:r w:rsidRPr="00AD706B">
        <w:rPr>
          <w:b/>
          <w:bCs/>
          <w:sz w:val="24"/>
          <w:szCs w:val="24"/>
        </w:rPr>
        <w:t>Section 5</w:t>
      </w:r>
      <w:r w:rsidRPr="00AD706B">
        <w:rPr>
          <w:sz w:val="24"/>
          <w:szCs w:val="24"/>
        </w:rPr>
        <w:t> presents a conclusion summarising key finding and considering future implications for HR management in global organisations.</w:t>
      </w:r>
    </w:p>
    <w:p w14:paraId="4365630E" w14:textId="68231045" w:rsidR="00AD706B" w:rsidRPr="00AD706B" w:rsidRDefault="00AD706B" w:rsidP="00AD706B">
      <w:pPr>
        <w:pStyle w:val="Heading1"/>
        <w:jc w:val="both"/>
        <w:rPr>
          <w:sz w:val="42"/>
          <w:szCs w:val="42"/>
        </w:rPr>
      </w:pPr>
      <w:bookmarkStart w:id="1" w:name="_Toc217332618"/>
      <w:r w:rsidRPr="00AD706B">
        <w:rPr>
          <w:sz w:val="42"/>
          <w:szCs w:val="42"/>
        </w:rPr>
        <w:t>Internal and External Environment</w:t>
      </w:r>
      <w:bookmarkEnd w:id="1"/>
    </w:p>
    <w:p w14:paraId="2395EC40" w14:textId="77777777" w:rsidR="00AD706B" w:rsidRPr="00AD706B" w:rsidRDefault="00AD706B" w:rsidP="00AD706B">
      <w:pPr>
        <w:jc w:val="both"/>
        <w:rPr>
          <w:sz w:val="24"/>
          <w:szCs w:val="24"/>
        </w:rPr>
      </w:pPr>
      <w:r w:rsidRPr="00AD706B">
        <w:rPr>
          <w:sz w:val="24"/>
          <w:szCs w:val="24"/>
        </w:rPr>
        <w:t>To understand the context in which HR managers operate, it is crucial to analyse the business environment. The </w:t>
      </w:r>
      <w:r w:rsidRPr="00AD706B">
        <w:rPr>
          <w:b/>
          <w:bCs/>
          <w:sz w:val="24"/>
          <w:szCs w:val="24"/>
        </w:rPr>
        <w:t>PESTLE analysis model</w:t>
      </w:r>
      <w:r w:rsidRPr="00AD706B">
        <w:rPr>
          <w:sz w:val="24"/>
          <w:szCs w:val="24"/>
        </w:rPr>
        <w:t> is a widely used framework for scanning the external macro-environment. It categorises external forces into six segments: </w:t>
      </w:r>
      <w:r w:rsidRPr="00AD706B">
        <w:rPr>
          <w:b/>
          <w:bCs/>
          <w:sz w:val="24"/>
          <w:szCs w:val="24"/>
        </w:rPr>
        <w:t>Political</w:t>
      </w:r>
      <w:r w:rsidRPr="00AD706B">
        <w:rPr>
          <w:sz w:val="24"/>
          <w:szCs w:val="24"/>
        </w:rPr>
        <w:t> (government policy, stability, trade regulations), </w:t>
      </w:r>
      <w:r w:rsidRPr="00AD706B">
        <w:rPr>
          <w:b/>
          <w:bCs/>
          <w:sz w:val="24"/>
          <w:szCs w:val="24"/>
        </w:rPr>
        <w:t>Economic</w:t>
      </w:r>
      <w:r w:rsidRPr="00AD706B">
        <w:rPr>
          <w:sz w:val="24"/>
          <w:szCs w:val="24"/>
        </w:rPr>
        <w:t> (growth, exchange rates, labour costs), </w:t>
      </w:r>
      <w:r w:rsidRPr="00AD706B">
        <w:rPr>
          <w:b/>
          <w:bCs/>
          <w:sz w:val="24"/>
          <w:szCs w:val="24"/>
        </w:rPr>
        <w:t>Social</w:t>
      </w:r>
      <w:r w:rsidRPr="00AD706B">
        <w:rPr>
          <w:sz w:val="24"/>
          <w:szCs w:val="24"/>
        </w:rPr>
        <w:t> (demographics, cultural trends, workforce attitudes), </w:t>
      </w:r>
      <w:r w:rsidRPr="00AD706B">
        <w:rPr>
          <w:b/>
          <w:bCs/>
          <w:sz w:val="24"/>
          <w:szCs w:val="24"/>
        </w:rPr>
        <w:t>Technological</w:t>
      </w:r>
      <w:r w:rsidRPr="00AD706B">
        <w:rPr>
          <w:sz w:val="24"/>
          <w:szCs w:val="24"/>
        </w:rPr>
        <w:t> (innovation, automation, digitalisation), </w:t>
      </w:r>
      <w:r w:rsidRPr="00AD706B">
        <w:rPr>
          <w:b/>
          <w:bCs/>
          <w:sz w:val="24"/>
          <w:szCs w:val="24"/>
        </w:rPr>
        <w:t>Legal</w:t>
      </w:r>
      <w:r w:rsidRPr="00AD706B">
        <w:rPr>
          <w:sz w:val="24"/>
          <w:szCs w:val="24"/>
        </w:rPr>
        <w:t> (employment law, health and safety, data protection), and </w:t>
      </w:r>
      <w:r w:rsidRPr="00AD706B">
        <w:rPr>
          <w:b/>
          <w:bCs/>
          <w:sz w:val="24"/>
          <w:szCs w:val="24"/>
        </w:rPr>
        <w:t>Environmental</w:t>
      </w:r>
      <w:r w:rsidRPr="00AD706B">
        <w:rPr>
          <w:sz w:val="24"/>
          <w:szCs w:val="24"/>
        </w:rPr>
        <w:t xml:space="preserve"> (climate change, sustainability, resource scarcity) (Yüksel, 2020). The model’s usefulness lies in its structured approach, which encourages a comprehensive examination of opportunities and threats that could impact an organisation’s strategy and operations. It forces </w:t>
      </w:r>
      <w:r w:rsidRPr="00AD706B">
        <w:rPr>
          <w:sz w:val="24"/>
          <w:szCs w:val="24"/>
        </w:rPr>
        <w:lastRenderedPageBreak/>
        <w:t>managers to look beyond internal issues and consider broader, often uncontrollable, forces (Kotler and Keller, 2020).</w:t>
      </w:r>
    </w:p>
    <w:p w14:paraId="499516C3" w14:textId="77777777" w:rsidR="00AD706B" w:rsidRPr="00AD706B" w:rsidRDefault="00AD706B" w:rsidP="00AD706B">
      <w:pPr>
        <w:jc w:val="both"/>
        <w:rPr>
          <w:sz w:val="24"/>
          <w:szCs w:val="24"/>
        </w:rPr>
      </w:pPr>
      <w:r w:rsidRPr="00AD706B">
        <w:rPr>
          <w:sz w:val="24"/>
          <w:szCs w:val="24"/>
        </w:rPr>
        <w:t>However, the PESTLE model has limitations. Primarily, it focuses on the external macro-environment and does not explicitly account for internal factors (e.g., organisational culture, leadership, financial resources) or the immediate industry microenvironment (e.g., competitors, customers, suppliers), which are better analysed using tools like SWOT or Porter’s Five Forces (Grundy, 2021). Furthermore, the static nature of a standard PESTLE list can overlook the interconnectedness and dynamic evolution of these factors.</w:t>
      </w:r>
    </w:p>
    <w:p w14:paraId="77970390" w14:textId="77777777" w:rsidR="00AD706B" w:rsidRPr="00AD706B" w:rsidRDefault="00AD706B" w:rsidP="00AD706B">
      <w:pPr>
        <w:jc w:val="both"/>
        <w:rPr>
          <w:sz w:val="24"/>
          <w:szCs w:val="24"/>
        </w:rPr>
      </w:pPr>
      <w:r w:rsidRPr="00AD706B">
        <w:rPr>
          <w:sz w:val="24"/>
          <w:szCs w:val="24"/>
        </w:rPr>
        <w:t>These external PESTLE factors directly and powerfully influence HR functions. </w:t>
      </w:r>
      <w:r w:rsidRPr="00AD706B">
        <w:rPr>
          <w:b/>
          <w:bCs/>
          <w:sz w:val="24"/>
          <w:szCs w:val="24"/>
        </w:rPr>
        <w:t>Political and Legal</w:t>
      </w:r>
      <w:r w:rsidRPr="00AD706B">
        <w:rPr>
          <w:sz w:val="24"/>
          <w:szCs w:val="24"/>
        </w:rPr>
        <w:t> factors dictate the foundational rules for HR, such as regulations on hiring practices, working hours, minimum wage, anti-discrimination laws, and data privacy (e.g., GDPR), requiring HR managers to ensure strict compliance across all operations (Brewster, 2022). </w:t>
      </w:r>
      <w:r w:rsidRPr="00AD706B">
        <w:rPr>
          <w:b/>
          <w:bCs/>
          <w:sz w:val="24"/>
          <w:szCs w:val="24"/>
        </w:rPr>
        <w:t>Economic</w:t>
      </w:r>
      <w:r w:rsidRPr="00AD706B">
        <w:rPr>
          <w:sz w:val="24"/>
          <w:szCs w:val="24"/>
        </w:rPr>
        <w:t> conditions influence recruitment budgets, wage bargaining, and investment in training. A recession may lead to restructuring, while economic growth may intensify competition for talent. </w:t>
      </w:r>
      <w:r w:rsidRPr="00AD706B">
        <w:rPr>
          <w:b/>
          <w:bCs/>
          <w:sz w:val="24"/>
          <w:szCs w:val="24"/>
        </w:rPr>
        <w:t>Social</w:t>
      </w:r>
      <w:r w:rsidRPr="00AD706B">
        <w:rPr>
          <w:sz w:val="24"/>
          <w:szCs w:val="24"/>
        </w:rPr>
        <w:t> trends, such as an ageing workforce, increasing diversity, and shifting employee expectations towards flexibility and purpose, require HR to adapt policies on inclusion, well-being, and work-life balance (Deloitte, 2022). </w:t>
      </w:r>
      <w:r w:rsidRPr="00AD706B">
        <w:rPr>
          <w:b/>
          <w:bCs/>
          <w:sz w:val="24"/>
          <w:szCs w:val="24"/>
        </w:rPr>
        <w:t>Technological</w:t>
      </w:r>
      <w:r w:rsidRPr="00AD706B">
        <w:rPr>
          <w:sz w:val="24"/>
          <w:szCs w:val="24"/>
        </w:rPr>
        <w:t> advancements, like Artificial Intelligence (AI) in recruitment, digital learning platforms, and automation in warehouses, compel HR to reskill the workforce and manage technological change (Stone et al., 2023). Finally, </w:t>
      </w:r>
      <w:r w:rsidRPr="00AD706B">
        <w:rPr>
          <w:b/>
          <w:bCs/>
          <w:sz w:val="24"/>
          <w:szCs w:val="24"/>
        </w:rPr>
        <w:t>Environmental</w:t>
      </w:r>
      <w:r w:rsidRPr="00AD706B">
        <w:rPr>
          <w:sz w:val="24"/>
          <w:szCs w:val="24"/>
        </w:rPr>
        <w:t> pressures drive the need for ‘green HRM’ practices, such as promoting sustainable behaviours and managing the HR implications of transitioning to low-carbon operations (Renwick et al., 2021).</w:t>
      </w:r>
    </w:p>
    <w:p w14:paraId="7770AB83" w14:textId="37C99E29" w:rsidR="00AD706B" w:rsidRPr="00AD706B" w:rsidRDefault="00AD706B" w:rsidP="00AD706B">
      <w:pPr>
        <w:pStyle w:val="Heading1"/>
        <w:jc w:val="both"/>
        <w:rPr>
          <w:sz w:val="42"/>
          <w:szCs w:val="42"/>
        </w:rPr>
      </w:pPr>
      <w:bookmarkStart w:id="2" w:name="_Toc217332619"/>
      <w:r w:rsidRPr="00AD706B">
        <w:rPr>
          <w:sz w:val="42"/>
          <w:szCs w:val="42"/>
        </w:rPr>
        <w:t>Organisation Application: DHL</w:t>
      </w:r>
      <w:bookmarkEnd w:id="2"/>
    </w:p>
    <w:p w14:paraId="3870B8B3" w14:textId="77777777" w:rsidR="00AD706B" w:rsidRPr="00AD706B" w:rsidRDefault="00AD706B" w:rsidP="00AD706B">
      <w:pPr>
        <w:jc w:val="both"/>
        <w:rPr>
          <w:sz w:val="24"/>
          <w:szCs w:val="24"/>
        </w:rPr>
      </w:pPr>
      <w:r w:rsidRPr="00AD706B">
        <w:rPr>
          <w:sz w:val="24"/>
          <w:szCs w:val="24"/>
        </w:rPr>
        <w:t>DHL is a world-leading logistics company, operating under the Deutsche Post DHL Group. Its global network encompasses over 220 countries and territories, providing international express shipping, freight transportation, and supply chain management services (Deutsche Post DHL Group, 2022). This immense geographical footprint means DHL’s workforce of over 600,000 employees operates in vastly different cultural, regulatory, and economic contexts, presenting a complex challenge for HR management.</w:t>
      </w:r>
    </w:p>
    <w:p w14:paraId="576A8B75" w14:textId="77777777" w:rsidR="00AD706B" w:rsidRPr="00AD706B" w:rsidRDefault="00AD706B" w:rsidP="00AD706B">
      <w:pPr>
        <w:jc w:val="both"/>
        <w:rPr>
          <w:sz w:val="24"/>
          <w:szCs w:val="24"/>
        </w:rPr>
      </w:pPr>
      <w:r w:rsidRPr="00AD706B">
        <w:rPr>
          <w:sz w:val="24"/>
          <w:szCs w:val="24"/>
        </w:rPr>
        <w:t xml:space="preserve">To manage its global talent, DHL implements standardised corporate HR frameworks while allowing for local adaptation. In recruitment, DHL leverages its strong employer brand and uses global talent acquisition platforms, but local teams adapt sourcing strategies to regional labour markets (DHL, 2023). For training and development, the company has global initiatives like the “Certified” specialist programmes and leadership academies. A cornerstone of its HR strategy is the “Certified International Specialist” (CIS) training, a standardised global programme designed to instil a unified corporate culture and understanding of logistics fundamentals across all employees (DHL, </w:t>
      </w:r>
      <w:r w:rsidRPr="00AD706B">
        <w:rPr>
          <w:sz w:val="24"/>
          <w:szCs w:val="24"/>
        </w:rPr>
        <w:lastRenderedPageBreak/>
        <w:t>2021). Performance management is supported by group-wide systems that set aligned objectives, but appraisal processes may be nuanced by local management styles. In employee relations, DHL promotes formal dialogue through works councils in countries like Germany, while in other regions, it engages with local unions or employee representative bodies as mandated by national law, aiming to maintain constructive industrial relations globally (Deutsche Post DHL Group, 2022).</w:t>
      </w:r>
    </w:p>
    <w:p w14:paraId="2D74FEF1" w14:textId="09622DFC" w:rsidR="00AD706B" w:rsidRPr="00AD706B" w:rsidRDefault="00AD706B" w:rsidP="00AD706B">
      <w:pPr>
        <w:pStyle w:val="Heading1"/>
        <w:jc w:val="both"/>
        <w:rPr>
          <w:sz w:val="42"/>
          <w:szCs w:val="42"/>
        </w:rPr>
      </w:pPr>
      <w:bookmarkStart w:id="3" w:name="_Toc217332620"/>
      <w:r w:rsidRPr="00AD706B">
        <w:rPr>
          <w:sz w:val="42"/>
          <w:szCs w:val="42"/>
        </w:rPr>
        <w:t>Application of the PESTLE Model to DHL</w:t>
      </w:r>
      <w:bookmarkEnd w:id="3"/>
    </w:p>
    <w:p w14:paraId="7C652B8E" w14:textId="4415D81B" w:rsidR="00AD706B" w:rsidRPr="00AD706B" w:rsidRDefault="00AD706B" w:rsidP="00AD706B">
      <w:pPr>
        <w:pStyle w:val="Heading2"/>
        <w:jc w:val="both"/>
        <w:rPr>
          <w:sz w:val="34"/>
          <w:szCs w:val="34"/>
        </w:rPr>
      </w:pPr>
      <w:bookmarkStart w:id="4" w:name="_Toc217332621"/>
      <w:r w:rsidRPr="00AD706B">
        <w:rPr>
          <w:sz w:val="34"/>
          <w:szCs w:val="34"/>
        </w:rPr>
        <w:t>Impact of Environmental Factors on HR Practices</w:t>
      </w:r>
      <w:bookmarkEnd w:id="4"/>
    </w:p>
    <w:p w14:paraId="5044D5C7" w14:textId="77777777" w:rsidR="00AD706B" w:rsidRPr="00AD706B" w:rsidRDefault="00AD706B" w:rsidP="00AD706B">
      <w:pPr>
        <w:jc w:val="both"/>
        <w:rPr>
          <w:sz w:val="24"/>
          <w:szCs w:val="24"/>
        </w:rPr>
      </w:pPr>
      <w:r w:rsidRPr="00AD706B">
        <w:rPr>
          <w:sz w:val="24"/>
          <w:szCs w:val="24"/>
        </w:rPr>
        <w:t>Applying the PESTLE model reveals the multifaceted pressures on DHL’s HR managers.</w:t>
      </w:r>
    </w:p>
    <w:p w14:paraId="7BCA2269" w14:textId="23449963" w:rsidR="00AD706B" w:rsidRPr="00AD706B" w:rsidRDefault="00AD706B" w:rsidP="00AD706B">
      <w:pPr>
        <w:jc w:val="both"/>
        <w:rPr>
          <w:sz w:val="24"/>
          <w:szCs w:val="24"/>
        </w:rPr>
      </w:pPr>
      <w:r w:rsidRPr="00AD706B">
        <w:rPr>
          <w:b/>
          <w:bCs/>
          <w:sz w:val="24"/>
          <w:szCs w:val="24"/>
        </w:rPr>
        <w:t>Political &amp; Legal:</w:t>
      </w:r>
      <w:r w:rsidRPr="00AD706B">
        <w:rPr>
          <w:sz w:val="24"/>
          <w:szCs w:val="24"/>
        </w:rPr>
        <w:t xml:space="preserve"> HR managers must navigate a </w:t>
      </w:r>
      <w:r w:rsidR="00E6425E">
        <w:rPr>
          <w:sz w:val="24"/>
          <w:szCs w:val="24"/>
        </w:rPr>
        <w:t>web</w:t>
      </w:r>
      <w:r w:rsidRPr="00AD706B">
        <w:rPr>
          <w:sz w:val="24"/>
          <w:szCs w:val="24"/>
        </w:rPr>
        <w:t xml:space="preserve"> of national regulations. For example, stringent EU labour laws on working time directives directly impact scheduling and overtime policies for drivers in Europe, requiring meticulous compliance systems (Broughton et al., 2021). In contrast, operating in regions with less stable political environments or evolving regulatory landscapes requires HR to develop robust risk management and agile policy adaptation strategies to protect employees and ensure business continuity.</w:t>
      </w:r>
    </w:p>
    <w:p w14:paraId="1496FE4C" w14:textId="77777777" w:rsidR="00AD706B" w:rsidRPr="00AD706B" w:rsidRDefault="00AD706B" w:rsidP="00AD706B">
      <w:pPr>
        <w:jc w:val="both"/>
        <w:rPr>
          <w:sz w:val="24"/>
          <w:szCs w:val="24"/>
        </w:rPr>
      </w:pPr>
      <w:r w:rsidRPr="00AD706B">
        <w:rPr>
          <w:b/>
          <w:bCs/>
          <w:sz w:val="24"/>
          <w:szCs w:val="24"/>
        </w:rPr>
        <w:t>Economic:</w:t>
      </w:r>
      <w:r w:rsidRPr="00AD706B">
        <w:rPr>
          <w:sz w:val="24"/>
          <w:szCs w:val="24"/>
        </w:rPr>
        <w:t> Fluctuations in global trade volumes, fuel prices, and regional economic health directly affect HR planning. An economic downturn in a key market may force a hiring freeze or restructuring, demanding sensitive change management and redundancy handling from HR. Conversely, booming e-commerce in Asia-Pacific creates intense competition for logistics and delivery personnel, pushing HR managers to develop innovative recruitment and retention packages, such as signing bonuses and enhanced benefits (Li et al., 2022).</w:t>
      </w:r>
    </w:p>
    <w:p w14:paraId="7FA66FAA" w14:textId="77777777" w:rsidR="00AD706B" w:rsidRPr="00AD706B" w:rsidRDefault="00AD706B" w:rsidP="00AD706B">
      <w:pPr>
        <w:jc w:val="both"/>
        <w:rPr>
          <w:sz w:val="24"/>
          <w:szCs w:val="24"/>
        </w:rPr>
      </w:pPr>
      <w:r w:rsidRPr="00AD706B">
        <w:rPr>
          <w:b/>
          <w:bCs/>
          <w:sz w:val="24"/>
          <w:szCs w:val="24"/>
        </w:rPr>
        <w:t>Social:</w:t>
      </w:r>
      <w:r w:rsidRPr="00AD706B">
        <w:rPr>
          <w:sz w:val="24"/>
          <w:szCs w:val="24"/>
        </w:rPr>
        <w:t> Demographic shifts are critical. In ageing societies like Japan and Germany, HR faces a shrinking working-age population, necessitating strategies to attract younger talent, retain older workers through flexible retirement options, and invest in automation-aiding training (Kunze et al., 2022). Furthermore, evolving social expectations around Diversity, Equity, and Inclusion (DEI) require HR to implement unbiased hiring algorithms, foster inclusive cultures, and ensure equitable career progression across its global operations, which is a complex task given deeply ingrained local social norms.</w:t>
      </w:r>
    </w:p>
    <w:p w14:paraId="2F16C698" w14:textId="77777777" w:rsidR="00AD706B" w:rsidRPr="00AD706B" w:rsidRDefault="00AD706B" w:rsidP="00AD706B">
      <w:pPr>
        <w:jc w:val="both"/>
        <w:rPr>
          <w:sz w:val="24"/>
          <w:szCs w:val="24"/>
        </w:rPr>
      </w:pPr>
      <w:r w:rsidRPr="00AD706B">
        <w:rPr>
          <w:b/>
          <w:bCs/>
          <w:sz w:val="24"/>
          <w:szCs w:val="24"/>
        </w:rPr>
        <w:t>Technological:</w:t>
      </w:r>
      <w:r w:rsidRPr="00AD706B">
        <w:rPr>
          <w:sz w:val="24"/>
          <w:szCs w:val="24"/>
        </w:rPr>
        <w:t> The logistics industry is undergoing rapid digitalisation and automation. The rise of AI, robotics in warehouses, and route optimisation software transforms job roles. HR managers are pivotal in managing this transition through large-scale upskilling and reskilling initiatives. For instance, training programmes for warehouse employees must evolve from manual handling to supervising and maintaining automated systems (Stone et al., 2023). This technological shift also affects recruitment, with a growing demand for data analysts and IT security specialists, changing the talent profiles HR must target.</w:t>
      </w:r>
    </w:p>
    <w:p w14:paraId="17CD762F" w14:textId="77777777" w:rsidR="00AD706B" w:rsidRPr="00AD706B" w:rsidRDefault="00AD706B" w:rsidP="00AD706B">
      <w:pPr>
        <w:jc w:val="both"/>
        <w:rPr>
          <w:sz w:val="24"/>
          <w:szCs w:val="24"/>
        </w:rPr>
      </w:pPr>
      <w:r w:rsidRPr="00AD706B">
        <w:rPr>
          <w:b/>
          <w:bCs/>
          <w:sz w:val="24"/>
          <w:szCs w:val="24"/>
        </w:rPr>
        <w:lastRenderedPageBreak/>
        <w:t>Environmental:</w:t>
      </w:r>
      <w:r w:rsidRPr="00AD706B">
        <w:rPr>
          <w:sz w:val="24"/>
          <w:szCs w:val="24"/>
        </w:rPr>
        <w:t> As a major transport operator, DHL is under significant pressure to reduce its carbon footprint. Its corporate goal of achieving net-zero emissions by 2050 has direct HR implications, known as Green HRM (Deutsche Post DHL Group, 2022). HR managers are involved in promoting a culture of sustainability, incentivising eco-friendly behaviours, and developing training for employees on using new technologies like electric vehicles and energy-efficient systems. This environmental driver is creating entirely new competency requirements within the workforce (Renwick et al., 2021).</w:t>
      </w:r>
    </w:p>
    <w:p w14:paraId="403BAF0F" w14:textId="0F17A923" w:rsidR="00AD706B" w:rsidRPr="00AD706B" w:rsidRDefault="00AD706B" w:rsidP="00AD706B">
      <w:pPr>
        <w:pStyle w:val="Heading2"/>
        <w:jc w:val="both"/>
        <w:rPr>
          <w:sz w:val="34"/>
          <w:szCs w:val="34"/>
        </w:rPr>
      </w:pPr>
      <w:bookmarkStart w:id="5" w:name="_Toc217332622"/>
      <w:r w:rsidRPr="00AD706B">
        <w:rPr>
          <w:sz w:val="34"/>
          <w:szCs w:val="34"/>
        </w:rPr>
        <w:t>Country-Specific Variations</w:t>
      </w:r>
      <w:bookmarkEnd w:id="5"/>
    </w:p>
    <w:p w14:paraId="4CB79EF3" w14:textId="77777777" w:rsidR="00AD706B" w:rsidRPr="00AD706B" w:rsidRDefault="00AD706B" w:rsidP="00AD706B">
      <w:pPr>
        <w:jc w:val="both"/>
        <w:rPr>
          <w:sz w:val="24"/>
          <w:szCs w:val="24"/>
        </w:rPr>
      </w:pPr>
      <w:r w:rsidRPr="00AD706B">
        <w:rPr>
          <w:sz w:val="24"/>
          <w:szCs w:val="24"/>
        </w:rPr>
        <w:t>The impact of these PESTLE factors is not uniform; it is mediated by country-specific conditions, testing the adaptability of HR managers.</w:t>
      </w:r>
    </w:p>
    <w:p w14:paraId="3B59BB93" w14:textId="77777777" w:rsidR="00AD706B" w:rsidRPr="00AD706B" w:rsidRDefault="00AD706B" w:rsidP="00AD706B">
      <w:pPr>
        <w:jc w:val="both"/>
        <w:rPr>
          <w:sz w:val="24"/>
          <w:szCs w:val="24"/>
        </w:rPr>
      </w:pPr>
      <w:r w:rsidRPr="00AD706B">
        <w:rPr>
          <w:b/>
          <w:bCs/>
          <w:sz w:val="24"/>
          <w:szCs w:val="24"/>
        </w:rPr>
        <w:t>Cultural Variations:</w:t>
      </w:r>
      <w:r w:rsidRPr="00AD706B">
        <w:rPr>
          <w:sz w:val="24"/>
          <w:szCs w:val="24"/>
        </w:rPr>
        <w:t> The effectiveness of a standardised HR initiative like the CIS training can vary. In individualistic cultures (e.g., the US), emphasis on personal achievement within the programme may resonate well. In collectivist cultures (e.g., many Asian countries), HR managers might need to reinforce how the training benefits the team and company harmony to ensure equal engagement (Hofstede Insights, 2023). Similarly, performance feedback styles—direct in some Western cultures versus indirect in many East Asian cultures—must be skilfully managed by local HR to avoid demotivation.</w:t>
      </w:r>
    </w:p>
    <w:p w14:paraId="7C7DD46F" w14:textId="0F9D3A88" w:rsidR="00AD706B" w:rsidRPr="00AD706B" w:rsidRDefault="00AD706B" w:rsidP="00AD706B">
      <w:pPr>
        <w:jc w:val="both"/>
        <w:rPr>
          <w:sz w:val="24"/>
          <w:szCs w:val="24"/>
        </w:rPr>
      </w:pPr>
      <w:r w:rsidRPr="00AD706B">
        <w:rPr>
          <w:b/>
          <w:bCs/>
          <w:sz w:val="24"/>
          <w:szCs w:val="24"/>
        </w:rPr>
        <w:t>Legal and Regulatory Variations:</w:t>
      </w:r>
      <w:r w:rsidRPr="00AD706B">
        <w:rPr>
          <w:sz w:val="24"/>
          <w:szCs w:val="24"/>
        </w:rPr>
        <w:t> The contrast between employment law regimes is s</w:t>
      </w:r>
      <w:r w:rsidR="00E6425E">
        <w:rPr>
          <w:sz w:val="24"/>
          <w:szCs w:val="24"/>
        </w:rPr>
        <w:t>vere</w:t>
      </w:r>
      <w:r w:rsidRPr="00AD706B">
        <w:rPr>
          <w:sz w:val="24"/>
          <w:szCs w:val="24"/>
        </w:rPr>
        <w:t>. In countries with highly codified labour law (e.g., Germany, France), HR managers spend considerable time ensuring compliance with complex consultation, dismissal, and contract laws. In ‘at-will’ employment jurisdictions (e.g., many US states), HR has more flexibility in hiring and firing but faces greater focus on litigation risk management and detailed policy documentation to avoid wrongful termination suits (Brewster, 2022). Data privacy is another area of divergence, with the EU’s GDPR being far more stringent than regulations in many other regions, requiring HR to implement different data-handling protocols.</w:t>
      </w:r>
    </w:p>
    <w:p w14:paraId="024BA4F5" w14:textId="77777777" w:rsidR="00AD706B" w:rsidRPr="00AD706B" w:rsidRDefault="00AD706B" w:rsidP="00AD706B">
      <w:pPr>
        <w:jc w:val="both"/>
        <w:rPr>
          <w:sz w:val="24"/>
          <w:szCs w:val="24"/>
        </w:rPr>
      </w:pPr>
      <w:r w:rsidRPr="00AD706B">
        <w:rPr>
          <w:b/>
          <w:bCs/>
          <w:sz w:val="24"/>
          <w:szCs w:val="24"/>
        </w:rPr>
        <w:t>Economic Conditions:</w:t>
      </w:r>
      <w:r w:rsidRPr="00AD706B">
        <w:rPr>
          <w:sz w:val="24"/>
          <w:szCs w:val="24"/>
        </w:rPr>
        <w:t> The local economic climate dictates HR priorities. In high-growth, low-unemployment economies (e.g., parts of Southeast Asia), HR managers’ effectiveness is measured by their ability to attract and retain talent in a fierce market, leading to competitive salaries and perks. In economies with higher unemployment or lower costs of living, the focus may shift more towards operational efficiency and large-scale recruitment for volume positions, with retention being less pressured but still important for reducing turnover costs (Li et al., 2022).</w:t>
      </w:r>
    </w:p>
    <w:p w14:paraId="2B03FD95" w14:textId="77777777" w:rsidR="00AD706B" w:rsidRPr="00AD706B" w:rsidRDefault="00AD706B" w:rsidP="00AD706B">
      <w:pPr>
        <w:jc w:val="both"/>
        <w:rPr>
          <w:sz w:val="24"/>
          <w:szCs w:val="24"/>
        </w:rPr>
      </w:pPr>
      <w:r w:rsidRPr="00AD706B">
        <w:rPr>
          <w:sz w:val="24"/>
          <w:szCs w:val="24"/>
        </w:rPr>
        <w:t>Thus, for DHL’s HR managers, effectiveness hinges on a dual capability: implementing group-wide strategic HR frameworks </w:t>
      </w:r>
      <w:r w:rsidRPr="00AD706B">
        <w:rPr>
          <w:i/>
          <w:iCs/>
          <w:sz w:val="24"/>
          <w:szCs w:val="24"/>
        </w:rPr>
        <w:t>and</w:t>
      </w:r>
      <w:r w:rsidRPr="00AD706B">
        <w:rPr>
          <w:sz w:val="24"/>
          <w:szCs w:val="24"/>
        </w:rPr>
        <w:t> possessing the local knowledge and agility to adapt practices to the specific PESTLE conditions of each country. A failure to balance this global integration with local responsiveness can lead to non-compliance, cultural friction, and ineffective people management.</w:t>
      </w:r>
    </w:p>
    <w:p w14:paraId="532407E9" w14:textId="33526EA4" w:rsidR="00AD706B" w:rsidRPr="00AD706B" w:rsidRDefault="00AD706B" w:rsidP="00AD706B">
      <w:pPr>
        <w:pStyle w:val="Heading1"/>
        <w:jc w:val="both"/>
        <w:rPr>
          <w:sz w:val="42"/>
          <w:szCs w:val="42"/>
        </w:rPr>
      </w:pPr>
      <w:bookmarkStart w:id="6" w:name="_Toc217332623"/>
      <w:r w:rsidRPr="00AD706B">
        <w:rPr>
          <w:sz w:val="42"/>
          <w:szCs w:val="42"/>
        </w:rPr>
        <w:lastRenderedPageBreak/>
        <w:t>Conclusion</w:t>
      </w:r>
      <w:bookmarkEnd w:id="6"/>
    </w:p>
    <w:p w14:paraId="28504AC4" w14:textId="50F4C8EE" w:rsidR="00AD706B" w:rsidRPr="00AD706B" w:rsidRDefault="00AD706B" w:rsidP="00AD706B">
      <w:pPr>
        <w:pStyle w:val="Heading2"/>
        <w:jc w:val="both"/>
        <w:rPr>
          <w:sz w:val="34"/>
          <w:szCs w:val="34"/>
        </w:rPr>
      </w:pPr>
      <w:bookmarkStart w:id="7" w:name="_Toc217332624"/>
      <w:r w:rsidRPr="00AD706B">
        <w:rPr>
          <w:sz w:val="34"/>
          <w:szCs w:val="34"/>
        </w:rPr>
        <w:t>Summary</w:t>
      </w:r>
      <w:bookmarkEnd w:id="7"/>
    </w:p>
    <w:p w14:paraId="2B5101DE" w14:textId="13D2C6AC" w:rsidR="00AD706B" w:rsidRPr="00AD706B" w:rsidRDefault="00AD706B" w:rsidP="00AD706B">
      <w:pPr>
        <w:jc w:val="both"/>
        <w:rPr>
          <w:sz w:val="24"/>
          <w:szCs w:val="24"/>
        </w:rPr>
      </w:pPr>
      <w:r w:rsidRPr="00AD706B">
        <w:rPr>
          <w:sz w:val="24"/>
          <w:szCs w:val="24"/>
        </w:rPr>
        <w:t>This report has evaluated how environmental factors influence HR managers’ effectiveness, using the PESTLE model and DHL as a case study. It established that core HR functions—recruitment, training, performance management, and employee relations—are essential for organisational effectiveness but are deeply contextual. The PESTLE framework provided a structured lens to analyse how </w:t>
      </w:r>
      <w:r w:rsidRPr="00AD706B">
        <w:rPr>
          <w:b/>
          <w:bCs/>
          <w:sz w:val="24"/>
          <w:szCs w:val="24"/>
        </w:rPr>
        <w:t>Political/Legal</w:t>
      </w:r>
      <w:r w:rsidRPr="00AD706B">
        <w:rPr>
          <w:sz w:val="24"/>
          <w:szCs w:val="24"/>
        </w:rPr>
        <w:t> compliance, </w:t>
      </w:r>
      <w:r w:rsidRPr="00AD706B">
        <w:rPr>
          <w:b/>
          <w:bCs/>
          <w:sz w:val="24"/>
          <w:szCs w:val="24"/>
        </w:rPr>
        <w:t>Economic</w:t>
      </w:r>
      <w:r w:rsidRPr="00AD706B">
        <w:rPr>
          <w:sz w:val="24"/>
          <w:szCs w:val="24"/>
        </w:rPr>
        <w:t> cycles, </w:t>
      </w:r>
      <w:r w:rsidRPr="00AD706B">
        <w:rPr>
          <w:b/>
          <w:bCs/>
          <w:sz w:val="24"/>
          <w:szCs w:val="24"/>
        </w:rPr>
        <w:t>Social/demographic</w:t>
      </w:r>
      <w:r w:rsidRPr="00AD706B">
        <w:rPr>
          <w:sz w:val="24"/>
          <w:szCs w:val="24"/>
        </w:rPr>
        <w:t> trends, </w:t>
      </w:r>
      <w:r w:rsidRPr="00AD706B">
        <w:rPr>
          <w:b/>
          <w:bCs/>
          <w:sz w:val="24"/>
          <w:szCs w:val="24"/>
        </w:rPr>
        <w:t>Tech</w:t>
      </w:r>
      <w:r w:rsidR="00212770">
        <w:rPr>
          <w:b/>
          <w:bCs/>
          <w:sz w:val="24"/>
          <w:szCs w:val="24"/>
        </w:rPr>
        <w:t>n</w:t>
      </w:r>
      <w:r w:rsidRPr="00AD706B">
        <w:rPr>
          <w:b/>
          <w:bCs/>
          <w:sz w:val="24"/>
          <w:szCs w:val="24"/>
        </w:rPr>
        <w:t>ological</w:t>
      </w:r>
      <w:r w:rsidRPr="00AD706B">
        <w:rPr>
          <w:sz w:val="24"/>
          <w:szCs w:val="24"/>
        </w:rPr>
        <w:t> disruption, and </w:t>
      </w:r>
      <w:r w:rsidRPr="00AD706B">
        <w:rPr>
          <w:b/>
          <w:bCs/>
          <w:sz w:val="24"/>
          <w:szCs w:val="24"/>
        </w:rPr>
        <w:t>Environmental</w:t>
      </w:r>
      <w:r w:rsidRPr="00AD706B">
        <w:rPr>
          <w:sz w:val="24"/>
          <w:szCs w:val="24"/>
        </w:rPr>
        <w:t> sustainability pressures collectively shape HR strategies and day-to-day practices. For a global entity like DHL, these factors are not abstract concepts but daily realities that dictate everything from workforce planning in ageing societies to managing the transition to automated warehouses. Crucially, the report highlighted that the impact of these forces is mediated by country-specific differences in culture, law, and economics, requiring HR managers to be both globally consistent and locally adaptable.</w:t>
      </w:r>
    </w:p>
    <w:p w14:paraId="5DC1721F" w14:textId="757CA8C5" w:rsidR="00AD706B" w:rsidRPr="00AD706B" w:rsidRDefault="00AD706B" w:rsidP="00AD706B">
      <w:pPr>
        <w:pStyle w:val="Heading2"/>
        <w:jc w:val="both"/>
        <w:rPr>
          <w:sz w:val="34"/>
          <w:szCs w:val="34"/>
        </w:rPr>
      </w:pPr>
      <w:bookmarkStart w:id="8" w:name="_Toc217332625"/>
      <w:r w:rsidRPr="00AD706B">
        <w:rPr>
          <w:sz w:val="34"/>
          <w:szCs w:val="34"/>
        </w:rPr>
        <w:t>Future Implications</w:t>
      </w:r>
      <w:bookmarkEnd w:id="8"/>
    </w:p>
    <w:p w14:paraId="6143EC3F" w14:textId="77777777" w:rsidR="00AD706B" w:rsidRPr="00AD706B" w:rsidRDefault="00AD706B" w:rsidP="00AD706B">
      <w:pPr>
        <w:jc w:val="both"/>
        <w:rPr>
          <w:sz w:val="24"/>
          <w:szCs w:val="24"/>
        </w:rPr>
      </w:pPr>
      <w:r w:rsidRPr="00AD706B">
        <w:rPr>
          <w:sz w:val="24"/>
          <w:szCs w:val="24"/>
        </w:rPr>
        <w:t>Looking ahead, the pace of change in these environmental factors is accelerating, presenting both challenges and opportunities for HR managers in global organisations. </w:t>
      </w:r>
      <w:r w:rsidRPr="00AD706B">
        <w:rPr>
          <w:b/>
          <w:bCs/>
          <w:sz w:val="24"/>
          <w:szCs w:val="24"/>
        </w:rPr>
        <w:t>Technological disruption</w:t>
      </w:r>
      <w:r w:rsidRPr="00AD706B">
        <w:rPr>
          <w:sz w:val="24"/>
          <w:szCs w:val="24"/>
        </w:rPr>
        <w:t>, particularly through AI and advanced analytics, will continue to redefine jobs and require a permanent culture of lifelong learning, with HR at the helm of continuous reskilling ecosystems (Stone et al., 2023). </w:t>
      </w:r>
      <w:r w:rsidRPr="00AD706B">
        <w:rPr>
          <w:b/>
          <w:bCs/>
          <w:sz w:val="24"/>
          <w:szCs w:val="24"/>
        </w:rPr>
        <w:t>Social and demographic shifts</w:t>
      </w:r>
      <w:r w:rsidRPr="00AD706B">
        <w:rPr>
          <w:sz w:val="24"/>
          <w:szCs w:val="24"/>
        </w:rPr>
        <w:t>, including multi-generational workforces and heightened expectations for DEI and well-being, will demand more personalised and empathetic HR approaches. Furthermore, the </w:t>
      </w:r>
      <w:r w:rsidRPr="00AD706B">
        <w:rPr>
          <w:b/>
          <w:bCs/>
          <w:sz w:val="24"/>
          <w:szCs w:val="24"/>
        </w:rPr>
        <w:t>Environmental</w:t>
      </w:r>
      <w:r w:rsidRPr="00AD706B">
        <w:rPr>
          <w:sz w:val="24"/>
          <w:szCs w:val="24"/>
        </w:rPr>
        <w:t> imperative will intensify, embedding sustainability as a core competency in all HR processes, from recruitment to rewards.</w:t>
      </w:r>
    </w:p>
    <w:p w14:paraId="05CB16B0" w14:textId="77777777" w:rsidR="00AD706B" w:rsidRDefault="00AD706B" w:rsidP="00AD706B">
      <w:pPr>
        <w:jc w:val="both"/>
        <w:rPr>
          <w:sz w:val="24"/>
          <w:szCs w:val="24"/>
        </w:rPr>
      </w:pPr>
      <w:r w:rsidRPr="00AD706B">
        <w:rPr>
          <w:sz w:val="24"/>
          <w:szCs w:val="24"/>
        </w:rPr>
        <w:t>To remain effective, future HR managers must evolve from administrative specialists to strategic architects and agile change agents. They will need enhanced capabilities in data analytics to anticipate talent trends, cultural intelligence to lead diverse teams, and a profound understanding of how macro-environmental forces translate into people implications. Organisations that empower their HR managers with this strategic mandate and the tools to navigate this complex environment will be best positioned to build resilient, future-ready workforces capable of thriving amid constant change.</w:t>
      </w:r>
    </w:p>
    <w:p w14:paraId="490654DA" w14:textId="77777777" w:rsidR="00AD706B" w:rsidRDefault="00AD706B" w:rsidP="00AD706B">
      <w:pPr>
        <w:jc w:val="both"/>
        <w:rPr>
          <w:sz w:val="24"/>
          <w:szCs w:val="24"/>
        </w:rPr>
      </w:pPr>
    </w:p>
    <w:p w14:paraId="6CEC51EF" w14:textId="77777777" w:rsidR="00AD706B" w:rsidRPr="00AD706B" w:rsidRDefault="00AD706B" w:rsidP="00AD706B">
      <w:pPr>
        <w:jc w:val="both"/>
        <w:rPr>
          <w:sz w:val="24"/>
          <w:szCs w:val="24"/>
        </w:rPr>
      </w:pPr>
    </w:p>
    <w:p w14:paraId="5B3223B2" w14:textId="77777777" w:rsidR="00AD706B" w:rsidRPr="00AD706B" w:rsidRDefault="00000000" w:rsidP="00AD706B">
      <w:pPr>
        <w:jc w:val="both"/>
        <w:rPr>
          <w:sz w:val="24"/>
          <w:szCs w:val="24"/>
        </w:rPr>
      </w:pPr>
      <w:r>
        <w:rPr>
          <w:sz w:val="24"/>
          <w:szCs w:val="24"/>
        </w:rPr>
        <w:pict w14:anchorId="4ABFFC05">
          <v:rect id="_x0000_i1026" style="width:0;height:.75pt" o:hralign="center" o:hrstd="t" o:hr="t" fillcolor="#a0a0a0" stroked="f"/>
        </w:pict>
      </w:r>
    </w:p>
    <w:p w14:paraId="2D9041A0" w14:textId="77777777" w:rsidR="00AD706B" w:rsidRPr="00AD706B" w:rsidRDefault="00AD706B" w:rsidP="00AD706B">
      <w:pPr>
        <w:pStyle w:val="Heading2"/>
        <w:jc w:val="both"/>
        <w:rPr>
          <w:sz w:val="34"/>
          <w:szCs w:val="34"/>
        </w:rPr>
      </w:pPr>
      <w:bookmarkStart w:id="9" w:name="_Toc217332626"/>
      <w:r w:rsidRPr="00AD706B">
        <w:rPr>
          <w:sz w:val="34"/>
          <w:szCs w:val="34"/>
        </w:rPr>
        <w:lastRenderedPageBreak/>
        <w:t>References</w:t>
      </w:r>
      <w:bookmarkEnd w:id="9"/>
    </w:p>
    <w:p w14:paraId="1232686D" w14:textId="77777777" w:rsidR="00AD706B" w:rsidRPr="00AD706B" w:rsidRDefault="00AD706B" w:rsidP="00AD706B">
      <w:pPr>
        <w:jc w:val="both"/>
        <w:rPr>
          <w:sz w:val="24"/>
          <w:szCs w:val="24"/>
        </w:rPr>
      </w:pPr>
      <w:r w:rsidRPr="00AD706B">
        <w:rPr>
          <w:sz w:val="24"/>
          <w:szCs w:val="24"/>
        </w:rPr>
        <w:t>Armstrong, M. and Taylor, S. (2020) </w:t>
      </w:r>
      <w:r w:rsidRPr="00AD706B">
        <w:rPr>
          <w:i/>
          <w:iCs/>
          <w:sz w:val="24"/>
          <w:szCs w:val="24"/>
        </w:rPr>
        <w:t>Armstrong's handbook of human resource management practice</w:t>
      </w:r>
      <w:r w:rsidRPr="00AD706B">
        <w:rPr>
          <w:sz w:val="24"/>
          <w:szCs w:val="24"/>
        </w:rPr>
        <w:t>. 15th edn. London: Kogan Page.</w:t>
      </w:r>
    </w:p>
    <w:p w14:paraId="32DCD426" w14:textId="77777777" w:rsidR="00AD706B" w:rsidRPr="00AD706B" w:rsidRDefault="00AD706B" w:rsidP="00AD706B">
      <w:pPr>
        <w:jc w:val="both"/>
        <w:rPr>
          <w:sz w:val="24"/>
          <w:szCs w:val="24"/>
        </w:rPr>
      </w:pPr>
      <w:r w:rsidRPr="00AD706B">
        <w:rPr>
          <w:sz w:val="24"/>
          <w:szCs w:val="24"/>
        </w:rPr>
        <w:t>Boxall, P. and Purcell, J. (2022) </w:t>
      </w:r>
      <w:r w:rsidRPr="00AD706B">
        <w:rPr>
          <w:i/>
          <w:iCs/>
          <w:sz w:val="24"/>
          <w:szCs w:val="24"/>
        </w:rPr>
        <w:t>Strategy and human resource management</w:t>
      </w:r>
      <w:r w:rsidRPr="00AD706B">
        <w:rPr>
          <w:sz w:val="24"/>
          <w:szCs w:val="24"/>
        </w:rPr>
        <w:t>. 5th edn. London: Bloomsbury Academic.</w:t>
      </w:r>
    </w:p>
    <w:p w14:paraId="5CC37245" w14:textId="77777777" w:rsidR="00AD706B" w:rsidRPr="00AD706B" w:rsidRDefault="00AD706B" w:rsidP="00AD706B">
      <w:pPr>
        <w:jc w:val="both"/>
        <w:rPr>
          <w:sz w:val="24"/>
          <w:szCs w:val="24"/>
        </w:rPr>
      </w:pPr>
      <w:r w:rsidRPr="00AD706B">
        <w:rPr>
          <w:sz w:val="24"/>
          <w:szCs w:val="24"/>
        </w:rPr>
        <w:t>Brewster, C. (2022) ‘The changing dynamics of international human resource management’, </w:t>
      </w:r>
      <w:r w:rsidRPr="00AD706B">
        <w:rPr>
          <w:i/>
          <w:iCs/>
          <w:sz w:val="24"/>
          <w:szCs w:val="24"/>
        </w:rPr>
        <w:t>The International Journal of Human Resource Management</w:t>
      </w:r>
      <w:r w:rsidRPr="00AD706B">
        <w:rPr>
          <w:sz w:val="24"/>
          <w:szCs w:val="24"/>
        </w:rPr>
        <w:t>, 33(4), pp. 639-657.</w:t>
      </w:r>
    </w:p>
    <w:p w14:paraId="5103B14F" w14:textId="77777777" w:rsidR="00AD706B" w:rsidRPr="00AD706B" w:rsidRDefault="00AD706B" w:rsidP="00AD706B">
      <w:pPr>
        <w:jc w:val="both"/>
        <w:rPr>
          <w:sz w:val="24"/>
          <w:szCs w:val="24"/>
        </w:rPr>
      </w:pPr>
      <w:r w:rsidRPr="00AD706B">
        <w:rPr>
          <w:sz w:val="24"/>
          <w:szCs w:val="24"/>
        </w:rPr>
        <w:t>Broughton, A., Gloster, R., Marvell, R., Green, M., Langley, J. and Martin, A. (2021) </w:t>
      </w:r>
      <w:r w:rsidRPr="00AD706B">
        <w:rPr>
          <w:i/>
          <w:iCs/>
          <w:sz w:val="24"/>
          <w:szCs w:val="24"/>
        </w:rPr>
        <w:t>The implementation and impact of the UK's Working Time Regulations</w:t>
      </w:r>
      <w:r w:rsidRPr="00AD706B">
        <w:rPr>
          <w:sz w:val="24"/>
          <w:szCs w:val="24"/>
        </w:rPr>
        <w:t>. London: Department for Business, Energy &amp; Industrial Strategy.</w:t>
      </w:r>
    </w:p>
    <w:p w14:paraId="15B6014A" w14:textId="1F8BD931" w:rsidR="00AD706B" w:rsidRPr="00AD706B" w:rsidRDefault="00AD706B" w:rsidP="00AD706B">
      <w:pPr>
        <w:jc w:val="both"/>
        <w:rPr>
          <w:sz w:val="24"/>
          <w:szCs w:val="24"/>
        </w:rPr>
      </w:pPr>
      <w:r w:rsidRPr="00AD706B">
        <w:rPr>
          <w:sz w:val="24"/>
          <w:szCs w:val="24"/>
        </w:rPr>
        <w:t>Deloitte (2022) </w:t>
      </w:r>
      <w:r w:rsidRPr="00AD706B">
        <w:rPr>
          <w:i/>
          <w:iCs/>
          <w:sz w:val="24"/>
          <w:szCs w:val="24"/>
        </w:rPr>
        <w:t>2022 Global Human Capital Trends</w:t>
      </w:r>
      <w:r w:rsidRPr="00AD706B">
        <w:rPr>
          <w:sz w:val="24"/>
          <w:szCs w:val="24"/>
        </w:rPr>
        <w:t>. Available at: </w:t>
      </w:r>
      <w:hyperlink r:id="rId9" w:tgtFrame="_blank" w:history="1">
        <w:r w:rsidRPr="00AD706B">
          <w:rPr>
            <w:rStyle w:val="Hyperlink"/>
            <w:sz w:val="24"/>
            <w:szCs w:val="24"/>
          </w:rPr>
          <w:t>https://www2.deloitte.com/content/dam/insights/articles/US144337_Global-HC-Trends-2022/DI_Global-HC-Trends-2022.pdf</w:t>
        </w:r>
      </w:hyperlink>
      <w:r w:rsidRPr="00AD706B">
        <w:rPr>
          <w:sz w:val="24"/>
          <w:szCs w:val="24"/>
        </w:rPr>
        <w:t xml:space="preserve"> (Accessed: 15 </w:t>
      </w:r>
      <w:r w:rsidR="00D54FDB">
        <w:rPr>
          <w:sz w:val="24"/>
          <w:szCs w:val="24"/>
        </w:rPr>
        <w:t>Decem</w:t>
      </w:r>
      <w:r w:rsidRPr="00AD706B">
        <w:rPr>
          <w:sz w:val="24"/>
          <w:szCs w:val="24"/>
        </w:rPr>
        <w:t>ber 202</w:t>
      </w:r>
      <w:r w:rsidR="00D54FDB">
        <w:rPr>
          <w:sz w:val="24"/>
          <w:szCs w:val="24"/>
        </w:rPr>
        <w:t>5</w:t>
      </w:r>
      <w:r w:rsidRPr="00AD706B">
        <w:rPr>
          <w:sz w:val="24"/>
          <w:szCs w:val="24"/>
        </w:rPr>
        <w:t>).</w:t>
      </w:r>
    </w:p>
    <w:p w14:paraId="025C2258" w14:textId="41BC879C" w:rsidR="00AD706B" w:rsidRPr="00AD706B" w:rsidRDefault="00AD706B" w:rsidP="00AD706B">
      <w:pPr>
        <w:jc w:val="both"/>
        <w:rPr>
          <w:sz w:val="24"/>
          <w:szCs w:val="24"/>
        </w:rPr>
      </w:pPr>
      <w:r w:rsidRPr="00AD706B">
        <w:rPr>
          <w:sz w:val="24"/>
          <w:szCs w:val="24"/>
        </w:rPr>
        <w:t>Deutsche Post DHL Group (2022) </w:t>
      </w:r>
      <w:r w:rsidRPr="00AD706B">
        <w:rPr>
          <w:i/>
          <w:iCs/>
          <w:sz w:val="24"/>
          <w:szCs w:val="24"/>
        </w:rPr>
        <w:t>Annual Report 2022</w:t>
      </w:r>
      <w:r w:rsidRPr="00AD706B">
        <w:rPr>
          <w:sz w:val="24"/>
          <w:szCs w:val="24"/>
        </w:rPr>
        <w:t>. Available at: </w:t>
      </w:r>
      <w:hyperlink r:id="rId10" w:tgtFrame="_blank" w:history="1">
        <w:r w:rsidRPr="00AD706B">
          <w:rPr>
            <w:rStyle w:val="Hyperlink"/>
            <w:sz w:val="24"/>
            <w:szCs w:val="24"/>
          </w:rPr>
          <w:t>https://www.dpdhl.com/content/dam/dpdhl/en/media-center/responsibility/2023/dpdhl-annual-report-2022.pdf</w:t>
        </w:r>
      </w:hyperlink>
      <w:r w:rsidRPr="00AD706B">
        <w:rPr>
          <w:sz w:val="24"/>
          <w:szCs w:val="24"/>
        </w:rPr>
        <w:t xml:space="preserve"> (Accessed: 15 </w:t>
      </w:r>
      <w:r w:rsidR="00D54FDB">
        <w:rPr>
          <w:sz w:val="24"/>
          <w:szCs w:val="24"/>
        </w:rPr>
        <w:t>Decem</w:t>
      </w:r>
      <w:r w:rsidRPr="00AD706B">
        <w:rPr>
          <w:sz w:val="24"/>
          <w:szCs w:val="24"/>
        </w:rPr>
        <w:t>ber 202</w:t>
      </w:r>
      <w:r w:rsidR="00D54FDB">
        <w:rPr>
          <w:sz w:val="24"/>
          <w:szCs w:val="24"/>
        </w:rPr>
        <w:t>5</w:t>
      </w:r>
      <w:r w:rsidRPr="00AD706B">
        <w:rPr>
          <w:sz w:val="24"/>
          <w:szCs w:val="24"/>
        </w:rPr>
        <w:t>).</w:t>
      </w:r>
    </w:p>
    <w:p w14:paraId="239E2EC3" w14:textId="17F52261" w:rsidR="00AD706B" w:rsidRPr="00AD706B" w:rsidRDefault="00AD706B" w:rsidP="00AD706B">
      <w:pPr>
        <w:jc w:val="both"/>
        <w:rPr>
          <w:sz w:val="24"/>
          <w:szCs w:val="24"/>
        </w:rPr>
      </w:pPr>
      <w:r w:rsidRPr="00AD706B">
        <w:rPr>
          <w:sz w:val="24"/>
          <w:szCs w:val="24"/>
        </w:rPr>
        <w:t>DHL (2021) </w:t>
      </w:r>
      <w:r w:rsidRPr="00AD706B">
        <w:rPr>
          <w:i/>
          <w:iCs/>
          <w:sz w:val="24"/>
          <w:szCs w:val="24"/>
        </w:rPr>
        <w:t>Our Culture &amp; Values: The Certified Program</w:t>
      </w:r>
      <w:r w:rsidRPr="00AD706B">
        <w:rPr>
          <w:sz w:val="24"/>
          <w:szCs w:val="24"/>
        </w:rPr>
        <w:t>. Available at: </w:t>
      </w:r>
      <w:hyperlink r:id="rId11" w:tgtFrame="_blank" w:history="1">
        <w:r w:rsidRPr="00AD706B">
          <w:rPr>
            <w:rStyle w:val="Hyperlink"/>
            <w:sz w:val="24"/>
            <w:szCs w:val="24"/>
          </w:rPr>
          <w:t>https://www.dhl.com/discover/about-us/culture-and-values/certified-program</w:t>
        </w:r>
      </w:hyperlink>
      <w:r w:rsidRPr="00AD706B">
        <w:rPr>
          <w:sz w:val="24"/>
          <w:szCs w:val="24"/>
        </w:rPr>
        <w:t xml:space="preserve"> (Accessed: </w:t>
      </w:r>
      <w:r w:rsidR="00D54FDB" w:rsidRPr="00AD706B">
        <w:rPr>
          <w:sz w:val="24"/>
          <w:szCs w:val="24"/>
        </w:rPr>
        <w:t xml:space="preserve">15 </w:t>
      </w:r>
      <w:r w:rsidR="00D54FDB">
        <w:rPr>
          <w:sz w:val="24"/>
          <w:szCs w:val="24"/>
        </w:rPr>
        <w:t>Decem</w:t>
      </w:r>
      <w:r w:rsidR="00D54FDB" w:rsidRPr="00AD706B">
        <w:rPr>
          <w:sz w:val="24"/>
          <w:szCs w:val="24"/>
        </w:rPr>
        <w:t>ber 202</w:t>
      </w:r>
      <w:r w:rsidR="00D54FDB">
        <w:rPr>
          <w:sz w:val="24"/>
          <w:szCs w:val="24"/>
        </w:rPr>
        <w:t>5</w:t>
      </w:r>
      <w:r w:rsidRPr="00AD706B">
        <w:rPr>
          <w:sz w:val="24"/>
          <w:szCs w:val="24"/>
        </w:rPr>
        <w:t>).</w:t>
      </w:r>
    </w:p>
    <w:p w14:paraId="0674A971" w14:textId="51711E2C" w:rsidR="00AD706B" w:rsidRPr="00AD706B" w:rsidRDefault="00AD706B" w:rsidP="00AD706B">
      <w:pPr>
        <w:jc w:val="both"/>
        <w:rPr>
          <w:sz w:val="24"/>
          <w:szCs w:val="24"/>
        </w:rPr>
      </w:pPr>
      <w:r w:rsidRPr="00AD706B">
        <w:rPr>
          <w:sz w:val="24"/>
          <w:szCs w:val="24"/>
        </w:rPr>
        <w:t>DHL (2023) </w:t>
      </w:r>
      <w:r w:rsidRPr="00AD706B">
        <w:rPr>
          <w:i/>
          <w:iCs/>
          <w:sz w:val="24"/>
          <w:szCs w:val="24"/>
        </w:rPr>
        <w:t>Careers</w:t>
      </w:r>
      <w:r w:rsidRPr="00AD706B">
        <w:rPr>
          <w:sz w:val="24"/>
          <w:szCs w:val="24"/>
        </w:rPr>
        <w:t>. Available at: </w:t>
      </w:r>
      <w:hyperlink r:id="rId12" w:tgtFrame="_blank" w:history="1">
        <w:r w:rsidRPr="00AD706B">
          <w:rPr>
            <w:rStyle w:val="Hyperlink"/>
            <w:sz w:val="24"/>
            <w:szCs w:val="24"/>
          </w:rPr>
          <w:t>https://www.dhl.com/global-en/home/careers.html</w:t>
        </w:r>
      </w:hyperlink>
      <w:r w:rsidRPr="00AD706B">
        <w:rPr>
          <w:sz w:val="24"/>
          <w:szCs w:val="24"/>
        </w:rPr>
        <w:t xml:space="preserve"> (Accessed: </w:t>
      </w:r>
      <w:r w:rsidR="00D54FDB" w:rsidRPr="00AD706B">
        <w:rPr>
          <w:sz w:val="24"/>
          <w:szCs w:val="24"/>
        </w:rPr>
        <w:t xml:space="preserve">15 </w:t>
      </w:r>
      <w:r w:rsidR="00D54FDB">
        <w:rPr>
          <w:sz w:val="24"/>
          <w:szCs w:val="24"/>
        </w:rPr>
        <w:t>Decem</w:t>
      </w:r>
      <w:r w:rsidR="00D54FDB" w:rsidRPr="00AD706B">
        <w:rPr>
          <w:sz w:val="24"/>
          <w:szCs w:val="24"/>
        </w:rPr>
        <w:t>ber 202</w:t>
      </w:r>
      <w:r w:rsidR="00D54FDB">
        <w:rPr>
          <w:sz w:val="24"/>
          <w:szCs w:val="24"/>
        </w:rPr>
        <w:t>5</w:t>
      </w:r>
      <w:r w:rsidRPr="00AD706B">
        <w:rPr>
          <w:sz w:val="24"/>
          <w:szCs w:val="24"/>
        </w:rPr>
        <w:t>).</w:t>
      </w:r>
    </w:p>
    <w:p w14:paraId="4494F9D1" w14:textId="77777777" w:rsidR="00AD706B" w:rsidRPr="00AD706B" w:rsidRDefault="00AD706B" w:rsidP="00AD706B">
      <w:pPr>
        <w:jc w:val="both"/>
        <w:rPr>
          <w:sz w:val="24"/>
          <w:szCs w:val="24"/>
        </w:rPr>
      </w:pPr>
      <w:r w:rsidRPr="00AD706B">
        <w:rPr>
          <w:sz w:val="24"/>
          <w:szCs w:val="24"/>
        </w:rPr>
        <w:t>Grundy, T. (2021) ‘Rethinking and reinventing Michael Porter’s five forces model’, </w:t>
      </w:r>
      <w:r w:rsidRPr="00AD706B">
        <w:rPr>
          <w:i/>
          <w:iCs/>
          <w:sz w:val="24"/>
          <w:szCs w:val="24"/>
        </w:rPr>
        <w:t>Strategic Change</w:t>
      </w:r>
      <w:r w:rsidRPr="00AD706B">
        <w:rPr>
          <w:sz w:val="24"/>
          <w:szCs w:val="24"/>
        </w:rPr>
        <w:t>, 30(5), pp. 453-461.</w:t>
      </w:r>
    </w:p>
    <w:p w14:paraId="22408F62" w14:textId="7B16B76B" w:rsidR="00AD706B" w:rsidRPr="00AD706B" w:rsidRDefault="00AD706B" w:rsidP="00AD706B">
      <w:pPr>
        <w:jc w:val="both"/>
        <w:rPr>
          <w:sz w:val="24"/>
          <w:szCs w:val="24"/>
        </w:rPr>
      </w:pPr>
      <w:r w:rsidRPr="00AD706B">
        <w:rPr>
          <w:sz w:val="24"/>
          <w:szCs w:val="24"/>
        </w:rPr>
        <w:t>Hofstede Insights (2023) </w:t>
      </w:r>
      <w:r w:rsidRPr="00AD706B">
        <w:rPr>
          <w:i/>
          <w:iCs/>
          <w:sz w:val="24"/>
          <w:szCs w:val="24"/>
        </w:rPr>
        <w:t>Country Comparison Tool</w:t>
      </w:r>
      <w:r w:rsidRPr="00AD706B">
        <w:rPr>
          <w:sz w:val="24"/>
          <w:szCs w:val="24"/>
        </w:rPr>
        <w:t>. Available at: </w:t>
      </w:r>
      <w:hyperlink r:id="rId13" w:tgtFrame="_blank" w:history="1">
        <w:r w:rsidRPr="00AD706B">
          <w:rPr>
            <w:rStyle w:val="Hyperlink"/>
            <w:sz w:val="24"/>
            <w:szCs w:val="24"/>
          </w:rPr>
          <w:t>https://www.hofstede-insights.com/country-comparison-tool</w:t>
        </w:r>
      </w:hyperlink>
      <w:r w:rsidRPr="00AD706B">
        <w:rPr>
          <w:sz w:val="24"/>
          <w:szCs w:val="24"/>
        </w:rPr>
        <w:t xml:space="preserve"> (Accessed: </w:t>
      </w:r>
      <w:r w:rsidR="00D54FDB" w:rsidRPr="00AD706B">
        <w:rPr>
          <w:sz w:val="24"/>
          <w:szCs w:val="24"/>
        </w:rPr>
        <w:t>1</w:t>
      </w:r>
      <w:r w:rsidR="00D54FDB">
        <w:rPr>
          <w:sz w:val="24"/>
          <w:szCs w:val="24"/>
        </w:rPr>
        <w:t>6</w:t>
      </w:r>
      <w:r w:rsidR="00D54FDB" w:rsidRPr="00AD706B">
        <w:rPr>
          <w:sz w:val="24"/>
          <w:szCs w:val="24"/>
        </w:rPr>
        <w:t xml:space="preserve"> </w:t>
      </w:r>
      <w:r w:rsidR="00D54FDB">
        <w:rPr>
          <w:sz w:val="24"/>
          <w:szCs w:val="24"/>
        </w:rPr>
        <w:t>Decem</w:t>
      </w:r>
      <w:r w:rsidR="00D54FDB" w:rsidRPr="00AD706B">
        <w:rPr>
          <w:sz w:val="24"/>
          <w:szCs w:val="24"/>
        </w:rPr>
        <w:t>ber 202</w:t>
      </w:r>
      <w:r w:rsidR="00D54FDB">
        <w:rPr>
          <w:sz w:val="24"/>
          <w:szCs w:val="24"/>
        </w:rPr>
        <w:t>5</w:t>
      </w:r>
      <w:r w:rsidRPr="00AD706B">
        <w:rPr>
          <w:sz w:val="24"/>
          <w:szCs w:val="24"/>
        </w:rPr>
        <w:t>).</w:t>
      </w:r>
    </w:p>
    <w:p w14:paraId="21C96EE1" w14:textId="77777777" w:rsidR="00AD706B" w:rsidRPr="00AD706B" w:rsidRDefault="00AD706B" w:rsidP="00AD706B">
      <w:pPr>
        <w:jc w:val="both"/>
        <w:rPr>
          <w:sz w:val="24"/>
          <w:szCs w:val="24"/>
        </w:rPr>
      </w:pPr>
      <w:r w:rsidRPr="00AD706B">
        <w:rPr>
          <w:sz w:val="24"/>
          <w:szCs w:val="24"/>
        </w:rPr>
        <w:t>Kotler, P. and Keller, K.L. (2020) </w:t>
      </w:r>
      <w:r w:rsidRPr="00AD706B">
        <w:rPr>
          <w:i/>
          <w:iCs/>
          <w:sz w:val="24"/>
          <w:szCs w:val="24"/>
        </w:rPr>
        <w:t>Marketing management</w:t>
      </w:r>
      <w:r w:rsidRPr="00AD706B">
        <w:rPr>
          <w:sz w:val="24"/>
          <w:szCs w:val="24"/>
        </w:rPr>
        <w:t>. 16th edn. Harlow: Pearson Education.</w:t>
      </w:r>
    </w:p>
    <w:p w14:paraId="47AF8421" w14:textId="77777777" w:rsidR="00AD706B" w:rsidRPr="00AD706B" w:rsidRDefault="00AD706B" w:rsidP="00AD706B">
      <w:pPr>
        <w:jc w:val="both"/>
        <w:rPr>
          <w:sz w:val="24"/>
          <w:szCs w:val="24"/>
        </w:rPr>
      </w:pPr>
      <w:r w:rsidRPr="00AD706B">
        <w:rPr>
          <w:sz w:val="24"/>
          <w:szCs w:val="24"/>
        </w:rPr>
        <w:t>Kunze, F., Boehm, S.A. and Bruch, H. (2022) ‘Managing an age-diverse workforce: the role of age-specific HR practices and organizational climate’, </w:t>
      </w:r>
      <w:r w:rsidRPr="00AD706B">
        <w:rPr>
          <w:i/>
          <w:iCs/>
          <w:sz w:val="24"/>
          <w:szCs w:val="24"/>
        </w:rPr>
        <w:t>The International Journal of Human Resource Management</w:t>
      </w:r>
      <w:r w:rsidRPr="00AD706B">
        <w:rPr>
          <w:sz w:val="24"/>
          <w:szCs w:val="24"/>
        </w:rPr>
        <w:t>, 33(5), pp. 885-910.</w:t>
      </w:r>
    </w:p>
    <w:p w14:paraId="336CD063" w14:textId="77777777" w:rsidR="00AD706B" w:rsidRPr="00AD706B" w:rsidRDefault="00AD706B" w:rsidP="00AD706B">
      <w:pPr>
        <w:jc w:val="both"/>
        <w:rPr>
          <w:sz w:val="24"/>
          <w:szCs w:val="24"/>
        </w:rPr>
      </w:pPr>
      <w:r w:rsidRPr="00AD706B">
        <w:rPr>
          <w:sz w:val="24"/>
          <w:szCs w:val="24"/>
        </w:rPr>
        <w:t>Li, J., Lee, R. and Arya, B. (2022) ‘Talent management in the logistics industry: challenges and strategies in Asia’, </w:t>
      </w:r>
      <w:r w:rsidRPr="00AD706B">
        <w:rPr>
          <w:i/>
          <w:iCs/>
          <w:sz w:val="24"/>
          <w:szCs w:val="24"/>
        </w:rPr>
        <w:t>Asian Business &amp; Management</w:t>
      </w:r>
      <w:r w:rsidRPr="00AD706B">
        <w:rPr>
          <w:sz w:val="24"/>
          <w:szCs w:val="24"/>
        </w:rPr>
        <w:t>, 21(3), pp. 367-390.</w:t>
      </w:r>
    </w:p>
    <w:p w14:paraId="70833D1B" w14:textId="77777777" w:rsidR="00AD706B" w:rsidRPr="00AD706B" w:rsidRDefault="00AD706B" w:rsidP="00AD706B">
      <w:pPr>
        <w:jc w:val="both"/>
        <w:rPr>
          <w:sz w:val="24"/>
          <w:szCs w:val="24"/>
        </w:rPr>
      </w:pPr>
      <w:r w:rsidRPr="00AD706B">
        <w:rPr>
          <w:sz w:val="24"/>
          <w:szCs w:val="24"/>
        </w:rPr>
        <w:lastRenderedPageBreak/>
        <w:t>Renwick, D., Jabbour, C.J.C., Muller-Camen, M., Redman, T. and Wilkinson, A. (2021) ‘Green human resource management: a review and research agenda’, </w:t>
      </w:r>
      <w:r w:rsidRPr="00AD706B">
        <w:rPr>
          <w:i/>
          <w:iCs/>
          <w:sz w:val="24"/>
          <w:szCs w:val="24"/>
        </w:rPr>
        <w:t>International Journal of Management Reviews</w:t>
      </w:r>
      <w:r w:rsidRPr="00AD706B">
        <w:rPr>
          <w:sz w:val="24"/>
          <w:szCs w:val="24"/>
        </w:rPr>
        <w:t>, 23(1), pp. 150-176.</w:t>
      </w:r>
    </w:p>
    <w:p w14:paraId="75CC1829" w14:textId="77777777" w:rsidR="00AD706B" w:rsidRPr="00AD706B" w:rsidRDefault="00AD706B" w:rsidP="00AD706B">
      <w:pPr>
        <w:jc w:val="both"/>
        <w:rPr>
          <w:sz w:val="24"/>
          <w:szCs w:val="24"/>
        </w:rPr>
      </w:pPr>
      <w:r w:rsidRPr="00AD706B">
        <w:rPr>
          <w:sz w:val="24"/>
          <w:szCs w:val="24"/>
        </w:rPr>
        <w:t>Stone, D.L., Deadrick, D.L., Lukaszewski, K.M. and Johnson, R. (2023) ‘The influence of technology on the future of human resource management’, </w:t>
      </w:r>
      <w:r w:rsidRPr="00AD706B">
        <w:rPr>
          <w:i/>
          <w:iCs/>
          <w:sz w:val="24"/>
          <w:szCs w:val="24"/>
        </w:rPr>
        <w:t>Human Resource Management Review</w:t>
      </w:r>
      <w:r w:rsidRPr="00AD706B">
        <w:rPr>
          <w:sz w:val="24"/>
          <w:szCs w:val="24"/>
        </w:rPr>
        <w:t>, 33(1), p. 100899.</w:t>
      </w:r>
    </w:p>
    <w:p w14:paraId="36299E98" w14:textId="361D83EF" w:rsidR="00AD706B" w:rsidRPr="00AD706B" w:rsidRDefault="00AD706B" w:rsidP="00AD706B">
      <w:pPr>
        <w:jc w:val="both"/>
        <w:rPr>
          <w:sz w:val="24"/>
          <w:szCs w:val="24"/>
        </w:rPr>
      </w:pPr>
      <w:r w:rsidRPr="00AD706B">
        <w:rPr>
          <w:sz w:val="24"/>
          <w:szCs w:val="24"/>
        </w:rPr>
        <w:t>Yüksel, I. (2020) ‘Developing a multi-criteria decision making model for PESTEL analysis’, </w:t>
      </w:r>
      <w:r w:rsidRPr="00AD706B">
        <w:rPr>
          <w:i/>
          <w:iCs/>
          <w:sz w:val="24"/>
          <w:szCs w:val="24"/>
        </w:rPr>
        <w:t>International Journal of Business and Management</w:t>
      </w:r>
      <w:r w:rsidRPr="00AD706B">
        <w:rPr>
          <w:sz w:val="24"/>
          <w:szCs w:val="24"/>
        </w:rPr>
        <w:t>, 15(2), pp. 52-66.</w:t>
      </w:r>
    </w:p>
    <w:sectPr w:rsidR="00AD706B" w:rsidRPr="00AD706B" w:rsidSect="006B1F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12529B4"/>
    <w:multiLevelType w:val="multilevel"/>
    <w:tmpl w:val="4768D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DE4459"/>
    <w:multiLevelType w:val="multilevel"/>
    <w:tmpl w:val="8EA6F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A2ABF"/>
    <w:multiLevelType w:val="multilevel"/>
    <w:tmpl w:val="1BA0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7C5AF9"/>
    <w:multiLevelType w:val="multilevel"/>
    <w:tmpl w:val="B9AA5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275A8"/>
    <w:multiLevelType w:val="multilevel"/>
    <w:tmpl w:val="1A883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0B21DA"/>
    <w:multiLevelType w:val="multilevel"/>
    <w:tmpl w:val="B6D0B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0A21F2"/>
    <w:multiLevelType w:val="multilevel"/>
    <w:tmpl w:val="D598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D17434"/>
    <w:multiLevelType w:val="multilevel"/>
    <w:tmpl w:val="990E4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4E2794"/>
    <w:multiLevelType w:val="multilevel"/>
    <w:tmpl w:val="4002E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B35214"/>
    <w:multiLevelType w:val="multilevel"/>
    <w:tmpl w:val="3536C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5068B9"/>
    <w:multiLevelType w:val="multilevel"/>
    <w:tmpl w:val="B96E6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FD4E11"/>
    <w:multiLevelType w:val="multilevel"/>
    <w:tmpl w:val="49A0F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ED2A68"/>
    <w:multiLevelType w:val="multilevel"/>
    <w:tmpl w:val="3A2E4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325B4B"/>
    <w:multiLevelType w:val="multilevel"/>
    <w:tmpl w:val="2228A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3E3093"/>
    <w:multiLevelType w:val="multilevel"/>
    <w:tmpl w:val="5DA60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7F29CD"/>
    <w:multiLevelType w:val="multilevel"/>
    <w:tmpl w:val="9AD2F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CA0619"/>
    <w:multiLevelType w:val="multilevel"/>
    <w:tmpl w:val="3C7C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043878"/>
    <w:multiLevelType w:val="multilevel"/>
    <w:tmpl w:val="46B4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F53BFC"/>
    <w:multiLevelType w:val="multilevel"/>
    <w:tmpl w:val="D16C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787301"/>
    <w:multiLevelType w:val="multilevel"/>
    <w:tmpl w:val="66A09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880F16"/>
    <w:multiLevelType w:val="multilevel"/>
    <w:tmpl w:val="F3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81664E"/>
    <w:multiLevelType w:val="multilevel"/>
    <w:tmpl w:val="20A6E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B40BDC"/>
    <w:multiLevelType w:val="multilevel"/>
    <w:tmpl w:val="44140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1CA5BB7"/>
    <w:multiLevelType w:val="multilevel"/>
    <w:tmpl w:val="79D44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01353B"/>
    <w:multiLevelType w:val="multilevel"/>
    <w:tmpl w:val="9F98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AA0D7C"/>
    <w:multiLevelType w:val="multilevel"/>
    <w:tmpl w:val="FE102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6C6947"/>
    <w:multiLevelType w:val="multilevel"/>
    <w:tmpl w:val="221CE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70448E"/>
    <w:multiLevelType w:val="multilevel"/>
    <w:tmpl w:val="90FA5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0E1E15"/>
    <w:multiLevelType w:val="multilevel"/>
    <w:tmpl w:val="7592D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13725B"/>
    <w:multiLevelType w:val="multilevel"/>
    <w:tmpl w:val="D4AC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E8138A"/>
    <w:multiLevelType w:val="multilevel"/>
    <w:tmpl w:val="781A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9680797">
    <w:abstractNumId w:val="21"/>
  </w:num>
  <w:num w:numId="2" w16cid:durableId="783616610">
    <w:abstractNumId w:val="22"/>
  </w:num>
  <w:num w:numId="3" w16cid:durableId="706217410">
    <w:abstractNumId w:val="3"/>
  </w:num>
  <w:num w:numId="4" w16cid:durableId="714238629">
    <w:abstractNumId w:val="0"/>
  </w:num>
  <w:num w:numId="5" w16cid:durableId="1343627988">
    <w:abstractNumId w:val="16"/>
  </w:num>
  <w:num w:numId="6" w16cid:durableId="327515725">
    <w:abstractNumId w:val="18"/>
  </w:num>
  <w:num w:numId="7" w16cid:durableId="60061863">
    <w:abstractNumId w:val="9"/>
  </w:num>
  <w:num w:numId="8" w16cid:durableId="1227688781">
    <w:abstractNumId w:val="27"/>
  </w:num>
  <w:num w:numId="9" w16cid:durableId="1836915471">
    <w:abstractNumId w:val="15"/>
  </w:num>
  <w:num w:numId="10" w16cid:durableId="1783069961">
    <w:abstractNumId w:val="19"/>
  </w:num>
  <w:num w:numId="11" w16cid:durableId="137764294">
    <w:abstractNumId w:val="14"/>
  </w:num>
  <w:num w:numId="12" w16cid:durableId="970285100">
    <w:abstractNumId w:val="28"/>
  </w:num>
  <w:num w:numId="13" w16cid:durableId="2007437343">
    <w:abstractNumId w:val="4"/>
  </w:num>
  <w:num w:numId="14" w16cid:durableId="271135450">
    <w:abstractNumId w:val="7"/>
  </w:num>
  <w:num w:numId="15" w16cid:durableId="1530948754">
    <w:abstractNumId w:val="5"/>
  </w:num>
  <w:num w:numId="16" w16cid:durableId="1220899831">
    <w:abstractNumId w:val="24"/>
  </w:num>
  <w:num w:numId="17" w16cid:durableId="502403139">
    <w:abstractNumId w:val="8"/>
  </w:num>
  <w:num w:numId="18" w16cid:durableId="1704480614">
    <w:abstractNumId w:val="17"/>
  </w:num>
  <w:num w:numId="19" w16cid:durableId="1326128694">
    <w:abstractNumId w:val="12"/>
  </w:num>
  <w:num w:numId="20" w16cid:durableId="1892880193">
    <w:abstractNumId w:val="6"/>
  </w:num>
  <w:num w:numId="21" w16cid:durableId="1881820395">
    <w:abstractNumId w:val="2"/>
  </w:num>
  <w:num w:numId="22" w16cid:durableId="899706325">
    <w:abstractNumId w:val="25"/>
  </w:num>
  <w:num w:numId="23" w16cid:durableId="651180912">
    <w:abstractNumId w:val="23"/>
  </w:num>
  <w:num w:numId="24" w16cid:durableId="1157460940">
    <w:abstractNumId w:val="30"/>
  </w:num>
  <w:num w:numId="25" w16cid:durableId="557085976">
    <w:abstractNumId w:val="10"/>
  </w:num>
  <w:num w:numId="26" w16cid:durableId="742992848">
    <w:abstractNumId w:val="26"/>
  </w:num>
  <w:num w:numId="27" w16cid:durableId="462624839">
    <w:abstractNumId w:val="29"/>
  </w:num>
  <w:num w:numId="28" w16cid:durableId="756825366">
    <w:abstractNumId w:val="1"/>
  </w:num>
  <w:num w:numId="29" w16cid:durableId="2028673607">
    <w:abstractNumId w:val="11"/>
  </w:num>
  <w:num w:numId="30" w16cid:durableId="1894804157">
    <w:abstractNumId w:val="20"/>
  </w:num>
  <w:num w:numId="31" w16cid:durableId="13573861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D5B"/>
    <w:rsid w:val="000A737F"/>
    <w:rsid w:val="000D3A48"/>
    <w:rsid w:val="00134DDB"/>
    <w:rsid w:val="001539C5"/>
    <w:rsid w:val="00212770"/>
    <w:rsid w:val="002D1F70"/>
    <w:rsid w:val="003865F1"/>
    <w:rsid w:val="00397547"/>
    <w:rsid w:val="003A3C4C"/>
    <w:rsid w:val="003B57E9"/>
    <w:rsid w:val="00461B8A"/>
    <w:rsid w:val="0047739B"/>
    <w:rsid w:val="004823DA"/>
    <w:rsid w:val="004A7062"/>
    <w:rsid w:val="00514EF0"/>
    <w:rsid w:val="00521075"/>
    <w:rsid w:val="005742FA"/>
    <w:rsid w:val="00581E6F"/>
    <w:rsid w:val="005A3A2E"/>
    <w:rsid w:val="005C2744"/>
    <w:rsid w:val="005E4CE3"/>
    <w:rsid w:val="006B1F20"/>
    <w:rsid w:val="00704553"/>
    <w:rsid w:val="00736F2E"/>
    <w:rsid w:val="00784288"/>
    <w:rsid w:val="0088308F"/>
    <w:rsid w:val="00931AF3"/>
    <w:rsid w:val="00950D5B"/>
    <w:rsid w:val="009D2553"/>
    <w:rsid w:val="009E0C1A"/>
    <w:rsid w:val="00A64CC3"/>
    <w:rsid w:val="00A90E45"/>
    <w:rsid w:val="00AB2638"/>
    <w:rsid w:val="00AC3EFA"/>
    <w:rsid w:val="00AD706B"/>
    <w:rsid w:val="00B46315"/>
    <w:rsid w:val="00B6671E"/>
    <w:rsid w:val="00B72BDC"/>
    <w:rsid w:val="00CE6920"/>
    <w:rsid w:val="00D05B20"/>
    <w:rsid w:val="00D54FDB"/>
    <w:rsid w:val="00D9409F"/>
    <w:rsid w:val="00E6425E"/>
    <w:rsid w:val="00E927A0"/>
    <w:rsid w:val="00F24A65"/>
    <w:rsid w:val="00F55BA5"/>
    <w:rsid w:val="00FA3CFB"/>
    <w:rsid w:val="00FB6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9C5BB"/>
  <w15:chartTrackingRefBased/>
  <w15:docId w15:val="{F1830F03-BAA4-468E-AF11-216704467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D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0D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0D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0D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0D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0D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D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D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D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D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0D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0D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0D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D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D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D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D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D5B"/>
    <w:rPr>
      <w:rFonts w:eastAsiaTheme="majorEastAsia" w:cstheme="majorBidi"/>
      <w:color w:val="272727" w:themeColor="text1" w:themeTint="D8"/>
    </w:rPr>
  </w:style>
  <w:style w:type="paragraph" w:styleId="Title">
    <w:name w:val="Title"/>
    <w:basedOn w:val="Normal"/>
    <w:next w:val="Normal"/>
    <w:link w:val="TitleChar"/>
    <w:uiPriority w:val="10"/>
    <w:qFormat/>
    <w:rsid w:val="00950D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D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D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D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D5B"/>
    <w:pPr>
      <w:spacing w:before="160"/>
      <w:jc w:val="center"/>
    </w:pPr>
    <w:rPr>
      <w:i/>
      <w:iCs/>
      <w:color w:val="404040" w:themeColor="text1" w:themeTint="BF"/>
    </w:rPr>
  </w:style>
  <w:style w:type="character" w:customStyle="1" w:styleId="QuoteChar">
    <w:name w:val="Quote Char"/>
    <w:basedOn w:val="DefaultParagraphFont"/>
    <w:link w:val="Quote"/>
    <w:uiPriority w:val="29"/>
    <w:rsid w:val="00950D5B"/>
    <w:rPr>
      <w:i/>
      <w:iCs/>
      <w:color w:val="404040" w:themeColor="text1" w:themeTint="BF"/>
    </w:rPr>
  </w:style>
  <w:style w:type="paragraph" w:styleId="ListParagraph">
    <w:name w:val="List Paragraph"/>
    <w:basedOn w:val="Normal"/>
    <w:uiPriority w:val="34"/>
    <w:qFormat/>
    <w:rsid w:val="00950D5B"/>
    <w:pPr>
      <w:ind w:left="720"/>
      <w:contextualSpacing/>
    </w:pPr>
  </w:style>
  <w:style w:type="character" w:styleId="IntenseEmphasis">
    <w:name w:val="Intense Emphasis"/>
    <w:basedOn w:val="DefaultParagraphFont"/>
    <w:uiPriority w:val="21"/>
    <w:qFormat/>
    <w:rsid w:val="00950D5B"/>
    <w:rPr>
      <w:i/>
      <w:iCs/>
      <w:color w:val="0F4761" w:themeColor="accent1" w:themeShade="BF"/>
    </w:rPr>
  </w:style>
  <w:style w:type="paragraph" w:styleId="IntenseQuote">
    <w:name w:val="Intense Quote"/>
    <w:basedOn w:val="Normal"/>
    <w:next w:val="Normal"/>
    <w:link w:val="IntenseQuoteChar"/>
    <w:uiPriority w:val="30"/>
    <w:qFormat/>
    <w:rsid w:val="00950D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D5B"/>
    <w:rPr>
      <w:i/>
      <w:iCs/>
      <w:color w:val="0F4761" w:themeColor="accent1" w:themeShade="BF"/>
    </w:rPr>
  </w:style>
  <w:style w:type="character" w:styleId="IntenseReference">
    <w:name w:val="Intense Reference"/>
    <w:basedOn w:val="DefaultParagraphFont"/>
    <w:uiPriority w:val="32"/>
    <w:qFormat/>
    <w:rsid w:val="00950D5B"/>
    <w:rPr>
      <w:b/>
      <w:bCs/>
      <w:smallCaps/>
      <w:color w:val="0F4761" w:themeColor="accent1" w:themeShade="BF"/>
      <w:spacing w:val="5"/>
    </w:rPr>
  </w:style>
  <w:style w:type="character" w:styleId="Hyperlink">
    <w:name w:val="Hyperlink"/>
    <w:basedOn w:val="DefaultParagraphFont"/>
    <w:uiPriority w:val="99"/>
    <w:unhideWhenUsed/>
    <w:rsid w:val="00736F2E"/>
    <w:rPr>
      <w:color w:val="467886" w:themeColor="hyperlink"/>
      <w:u w:val="single"/>
    </w:rPr>
  </w:style>
  <w:style w:type="paragraph" w:styleId="NoSpacing">
    <w:name w:val="No Spacing"/>
    <w:link w:val="NoSpacingChar"/>
    <w:uiPriority w:val="1"/>
    <w:qFormat/>
    <w:rsid w:val="006B1F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1F20"/>
    <w:rPr>
      <w:rFonts w:eastAsiaTheme="minorEastAsia"/>
      <w:lang w:val="en-US"/>
    </w:rPr>
  </w:style>
  <w:style w:type="paragraph" w:styleId="TOCHeading">
    <w:name w:val="TOC Heading"/>
    <w:basedOn w:val="Heading1"/>
    <w:next w:val="Normal"/>
    <w:uiPriority w:val="39"/>
    <w:unhideWhenUsed/>
    <w:qFormat/>
    <w:rsid w:val="004A7062"/>
    <w:pPr>
      <w:spacing w:before="240" w:after="0"/>
      <w:outlineLvl w:val="9"/>
    </w:pPr>
    <w:rPr>
      <w:sz w:val="32"/>
      <w:szCs w:val="32"/>
      <w:lang w:val="en-US"/>
    </w:rPr>
  </w:style>
  <w:style w:type="paragraph" w:styleId="TOC1">
    <w:name w:val="toc 1"/>
    <w:basedOn w:val="Normal"/>
    <w:next w:val="Normal"/>
    <w:autoRedefine/>
    <w:uiPriority w:val="39"/>
    <w:unhideWhenUsed/>
    <w:rsid w:val="0088308F"/>
    <w:pPr>
      <w:spacing w:after="100"/>
    </w:pPr>
  </w:style>
  <w:style w:type="paragraph" w:styleId="TOC2">
    <w:name w:val="toc 2"/>
    <w:basedOn w:val="Normal"/>
    <w:next w:val="Normal"/>
    <w:autoRedefine/>
    <w:uiPriority w:val="39"/>
    <w:unhideWhenUsed/>
    <w:rsid w:val="0088308F"/>
    <w:pPr>
      <w:spacing w:after="100"/>
      <w:ind w:left="220"/>
    </w:pPr>
  </w:style>
  <w:style w:type="character" w:styleId="Strong">
    <w:name w:val="Strong"/>
    <w:basedOn w:val="DefaultParagraphFont"/>
    <w:uiPriority w:val="22"/>
    <w:qFormat/>
    <w:rsid w:val="000A737F"/>
    <w:rPr>
      <w:b/>
      <w:bCs/>
    </w:rPr>
  </w:style>
  <w:style w:type="character" w:styleId="UnresolvedMention">
    <w:name w:val="Unresolved Mention"/>
    <w:basedOn w:val="DefaultParagraphFont"/>
    <w:uiPriority w:val="99"/>
    <w:semiHidden/>
    <w:unhideWhenUsed/>
    <w:rsid w:val="00CE69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ofstede-insights.com/country-comparison-tool" TargetMode="Externa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dhl.com/global-en/home/careers.html"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hl.com/discover/about-us/culture-and-values/certified-program"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s://www.dpdhl.com/content/dam/dpdhl/en/media-center/responsibility/2023/dpdhl-annual-report-2022.pdf" TargetMode="External"/><Relationship Id="rId4" Type="http://schemas.openxmlformats.org/officeDocument/2006/relationships/styles" Target="styles.xml"/><Relationship Id="rId9" Type="http://schemas.openxmlformats.org/officeDocument/2006/relationships/hyperlink" Target="https://www2.deloitte.com/content/dam/insights/articles/US144337_Global-HC-Trends-2022/DI_Global-HC-Trends-2022.pdf"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46BA61E63A74A2DB0FE2B275A0CFD55"/>
        <w:category>
          <w:name w:val="General"/>
          <w:gallery w:val="placeholder"/>
        </w:category>
        <w:types>
          <w:type w:val="bbPlcHdr"/>
        </w:types>
        <w:behaviors>
          <w:behavior w:val="content"/>
        </w:behaviors>
        <w:guid w:val="{8BFAA9A2-3818-48F9-BC8F-E54726900FB6}"/>
      </w:docPartPr>
      <w:docPartBody>
        <w:p w:rsidR="00F54F7B" w:rsidRDefault="007804A8" w:rsidP="007804A8">
          <w:pPr>
            <w:pStyle w:val="846BA61E63A74A2DB0FE2B275A0CFD55"/>
          </w:pPr>
          <w:r>
            <w:rPr>
              <w:rFonts w:asciiTheme="majorHAnsi" w:eastAsiaTheme="majorEastAsia" w:hAnsiTheme="majorHAnsi" w:cstheme="majorBidi"/>
              <w:caps/>
              <w:color w:val="156082" w:themeColor="accent1"/>
              <w:sz w:val="80"/>
              <w:szCs w:val="80"/>
            </w:rPr>
            <w:t>[Document title]</w:t>
          </w:r>
        </w:p>
      </w:docPartBody>
    </w:docPart>
    <w:docPart>
      <w:docPartPr>
        <w:name w:val="A2028BA33D68481597CBB1D8FB8E09E5"/>
        <w:category>
          <w:name w:val="General"/>
          <w:gallery w:val="placeholder"/>
        </w:category>
        <w:types>
          <w:type w:val="bbPlcHdr"/>
        </w:types>
        <w:behaviors>
          <w:behavior w:val="content"/>
        </w:behaviors>
        <w:guid w:val="{C4F9B489-002D-406F-8B0D-5773397E0162}"/>
      </w:docPartPr>
      <w:docPartBody>
        <w:p w:rsidR="00F54F7B" w:rsidRDefault="007804A8" w:rsidP="007804A8">
          <w:pPr>
            <w:pStyle w:val="A2028BA33D68481597CBB1D8FB8E09E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4A8"/>
    <w:rsid w:val="00322997"/>
    <w:rsid w:val="007804A8"/>
    <w:rsid w:val="00802163"/>
    <w:rsid w:val="00B6671E"/>
    <w:rsid w:val="00D05B20"/>
    <w:rsid w:val="00F54F7B"/>
    <w:rsid w:val="00FA3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6BA61E63A74A2DB0FE2B275A0CFD55">
    <w:name w:val="846BA61E63A74A2DB0FE2B275A0CFD55"/>
    <w:rsid w:val="007804A8"/>
  </w:style>
  <w:style w:type="paragraph" w:customStyle="1" w:styleId="A2028BA33D68481597CBB1D8FB8E09E5">
    <w:name w:val="A2028BA33D68481597CBB1D8FB8E09E5"/>
    <w:rsid w:val="007804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Hassan Abbas</PublishDate>
  <Abstract>Name: Hassan Abbas
Student ID: 2010829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CC6AD6-8FAF-455A-8DFD-E7B57AF76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1218</TotalTime>
  <Pages>1</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Influence of Environmental Factors on HR Managers</vt:lpstr>
    </vt:vector>
  </TitlesOfParts>
  <Company>2010829</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Influence of Environmental Factors on HR Managers</dc:title>
  <dc:subject>Principles of Human Resource Management (LCBB5012)</dc:subject>
  <dc:creator>Hassan Abbas (2010829)</dc:creator>
  <cp:keywords/>
  <dc:description/>
  <cp:lastModifiedBy>Hassan Abbas (2010829)</cp:lastModifiedBy>
  <cp:revision>5</cp:revision>
  <dcterms:created xsi:type="dcterms:W3CDTF">2025-11-25T17:37:00Z</dcterms:created>
  <dcterms:modified xsi:type="dcterms:W3CDTF">2026-01-01T06:48:00Z</dcterms:modified>
</cp:coreProperties>
</file>