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8DB5BF" w14:textId="77777777" w:rsidR="006C23E4" w:rsidRPr="00B51BAA" w:rsidRDefault="00037A50" w:rsidP="00A76FEB">
      <w:pPr>
        <w:spacing w:after="0" w:line="360" w:lineRule="auto"/>
        <w:jc w:val="both"/>
        <w:rPr>
          <w:rFonts w:ascii="Arial" w:hAnsi="Arial" w:cs="Arial"/>
          <w:color w:val="auto"/>
          <w:sz w:val="22"/>
          <w:szCs w:val="22"/>
          <w:lang w:val="en-GB"/>
        </w:rPr>
      </w:pPr>
      <w:bookmarkStart w:id="0" w:name="_Hlk216711890"/>
      <w:bookmarkEnd w:id="0"/>
      <w:r w:rsidRPr="00B51BAA">
        <w:rPr>
          <w:rFonts w:ascii="Arial" w:hAnsi="Arial" w:cs="Arial"/>
          <w:color w:val="auto"/>
          <w:sz w:val="22"/>
          <w:szCs w:val="22"/>
          <w:lang w:val="en-GB"/>
        </w:rPr>
        <w:t xml:space="preserve"> </w:t>
      </w:r>
    </w:p>
    <w:p w14:paraId="6D8DB5C0" w14:textId="77777777" w:rsidR="006C23E4" w:rsidRPr="00B51BAA" w:rsidRDefault="006C23E4" w:rsidP="00A76FEB">
      <w:pPr>
        <w:spacing w:after="0" w:line="360" w:lineRule="auto"/>
        <w:jc w:val="both"/>
        <w:rPr>
          <w:rFonts w:ascii="Arial" w:hAnsi="Arial" w:cs="Arial"/>
          <w:color w:val="auto"/>
          <w:sz w:val="22"/>
          <w:szCs w:val="22"/>
          <w:lang w:val="en-GB"/>
        </w:rPr>
      </w:pPr>
    </w:p>
    <w:p w14:paraId="6D8DB5C1" w14:textId="77777777" w:rsidR="006C23E4" w:rsidRPr="00B51BAA" w:rsidRDefault="006C23E4" w:rsidP="00A76FEB">
      <w:pPr>
        <w:spacing w:after="0" w:line="360" w:lineRule="auto"/>
        <w:jc w:val="both"/>
        <w:rPr>
          <w:rFonts w:ascii="Arial" w:hAnsi="Arial" w:cs="Arial"/>
          <w:color w:val="auto"/>
          <w:sz w:val="22"/>
          <w:szCs w:val="22"/>
          <w:lang w:val="en-GB"/>
        </w:rPr>
      </w:pPr>
    </w:p>
    <w:p w14:paraId="6D8DB5C2" w14:textId="77777777" w:rsidR="006C23E4" w:rsidRPr="00B51BAA" w:rsidRDefault="006C23E4" w:rsidP="00A76FEB">
      <w:pPr>
        <w:spacing w:after="0" w:line="360" w:lineRule="auto"/>
        <w:jc w:val="both"/>
        <w:rPr>
          <w:rFonts w:ascii="Arial" w:hAnsi="Arial" w:cs="Arial"/>
          <w:color w:val="auto"/>
          <w:sz w:val="22"/>
          <w:szCs w:val="22"/>
          <w:lang w:val="en-GB"/>
        </w:rPr>
      </w:pPr>
    </w:p>
    <w:p w14:paraId="6D8DB5C3" w14:textId="77777777" w:rsidR="006C23E4" w:rsidRPr="00B51BAA" w:rsidRDefault="006C23E4" w:rsidP="00A76FEB">
      <w:pPr>
        <w:spacing w:after="0" w:line="360" w:lineRule="auto"/>
        <w:jc w:val="both"/>
        <w:rPr>
          <w:rFonts w:ascii="Arial" w:hAnsi="Arial" w:cs="Arial"/>
          <w:color w:val="auto"/>
          <w:sz w:val="22"/>
          <w:szCs w:val="22"/>
          <w:lang w:val="en-GB"/>
        </w:rPr>
      </w:pPr>
    </w:p>
    <w:p w14:paraId="6D8DB5C4" w14:textId="77777777" w:rsidR="006C23E4" w:rsidRPr="00B51BAA" w:rsidRDefault="006C23E4" w:rsidP="00A76FEB">
      <w:pPr>
        <w:spacing w:after="0" w:line="360" w:lineRule="auto"/>
        <w:jc w:val="both"/>
        <w:rPr>
          <w:rFonts w:ascii="Arial" w:hAnsi="Arial" w:cs="Arial"/>
          <w:color w:val="auto"/>
          <w:sz w:val="22"/>
          <w:szCs w:val="22"/>
          <w:lang w:val="en-GB"/>
        </w:rPr>
      </w:pPr>
    </w:p>
    <w:p w14:paraId="6D8DB5C5" w14:textId="77777777" w:rsidR="006C23E4" w:rsidRPr="00B51BAA" w:rsidRDefault="006C23E4" w:rsidP="00A76FEB">
      <w:pPr>
        <w:spacing w:after="0" w:line="360" w:lineRule="auto"/>
        <w:jc w:val="both"/>
        <w:rPr>
          <w:rFonts w:ascii="Arial" w:hAnsi="Arial" w:cs="Arial"/>
          <w:color w:val="auto"/>
          <w:sz w:val="22"/>
          <w:szCs w:val="22"/>
          <w:lang w:val="en-GB"/>
        </w:rPr>
      </w:pPr>
    </w:p>
    <w:p w14:paraId="6D8DB5C6" w14:textId="77777777" w:rsidR="006C23E4" w:rsidRPr="00B51BAA" w:rsidRDefault="006C23E4" w:rsidP="00A76FEB">
      <w:pPr>
        <w:spacing w:after="0" w:line="360" w:lineRule="auto"/>
        <w:jc w:val="both"/>
        <w:rPr>
          <w:rFonts w:ascii="Arial" w:hAnsi="Arial" w:cs="Arial"/>
          <w:color w:val="auto"/>
          <w:sz w:val="22"/>
          <w:szCs w:val="22"/>
          <w:lang w:val="en-GB"/>
        </w:rPr>
      </w:pPr>
    </w:p>
    <w:p w14:paraId="6D8DB5C7" w14:textId="77777777" w:rsidR="006C23E4" w:rsidRPr="00B51BAA" w:rsidRDefault="006C23E4" w:rsidP="00A76FEB">
      <w:pPr>
        <w:spacing w:after="0" w:line="360" w:lineRule="auto"/>
        <w:ind w:left="0" w:right="56" w:firstLine="0"/>
        <w:jc w:val="center"/>
        <w:rPr>
          <w:rFonts w:ascii="Arial" w:hAnsi="Arial" w:cs="Arial"/>
          <w:color w:val="auto"/>
          <w:sz w:val="28"/>
          <w:szCs w:val="28"/>
          <w:lang w:val="en-GB"/>
        </w:rPr>
      </w:pPr>
    </w:p>
    <w:p w14:paraId="6D8DB5C8" w14:textId="7CDC5FC0" w:rsidR="006C23E4" w:rsidRPr="00B51BAA" w:rsidRDefault="00B9331F" w:rsidP="00A76FEB">
      <w:pPr>
        <w:spacing w:after="0" w:line="360" w:lineRule="auto"/>
        <w:ind w:left="0" w:right="56" w:firstLine="0"/>
        <w:jc w:val="center"/>
        <w:rPr>
          <w:rFonts w:ascii="Arial" w:hAnsi="Arial" w:cs="Arial"/>
          <w:b/>
          <w:bCs/>
          <w:color w:val="auto"/>
          <w:sz w:val="28"/>
          <w:szCs w:val="28"/>
          <w:lang w:val="en-GB"/>
        </w:rPr>
      </w:pPr>
      <w:r w:rsidRPr="00B51BAA">
        <w:rPr>
          <w:rFonts w:ascii="Arial" w:hAnsi="Arial" w:cs="Arial"/>
          <w:b/>
          <w:bCs/>
          <w:color w:val="auto"/>
          <w:sz w:val="28"/>
          <w:szCs w:val="28"/>
          <w:lang w:val="en-GB"/>
        </w:rPr>
        <w:t xml:space="preserve">INDIVIDUAL </w:t>
      </w:r>
      <w:r w:rsidR="00037A50" w:rsidRPr="00B51BAA">
        <w:rPr>
          <w:rFonts w:ascii="Arial" w:hAnsi="Arial" w:cs="Arial"/>
          <w:b/>
          <w:bCs/>
          <w:color w:val="auto"/>
          <w:sz w:val="28"/>
          <w:szCs w:val="28"/>
          <w:lang w:val="en-GB"/>
        </w:rPr>
        <w:t>REPORT</w:t>
      </w:r>
    </w:p>
    <w:p w14:paraId="6D8DB5CA" w14:textId="77777777" w:rsidR="006C23E4" w:rsidRPr="00B51BAA" w:rsidRDefault="006C23E4" w:rsidP="00A76FEB">
      <w:pPr>
        <w:spacing w:after="0" w:line="360" w:lineRule="auto"/>
        <w:ind w:left="0" w:right="56" w:firstLine="0"/>
        <w:jc w:val="both"/>
        <w:rPr>
          <w:rFonts w:ascii="Arial" w:hAnsi="Arial" w:cs="Arial"/>
          <w:color w:val="auto"/>
          <w:sz w:val="22"/>
          <w:szCs w:val="22"/>
          <w:lang w:val="en-GB"/>
        </w:rPr>
      </w:pPr>
    </w:p>
    <w:p w14:paraId="6D8DB5CB" w14:textId="77777777" w:rsidR="006C23E4" w:rsidRPr="00B51BAA" w:rsidRDefault="006C23E4" w:rsidP="00A76FEB">
      <w:pPr>
        <w:spacing w:after="0" w:line="360" w:lineRule="auto"/>
        <w:ind w:left="0" w:right="56" w:firstLine="0"/>
        <w:jc w:val="both"/>
        <w:rPr>
          <w:rFonts w:ascii="Arial" w:hAnsi="Arial" w:cs="Arial"/>
          <w:color w:val="auto"/>
          <w:sz w:val="22"/>
          <w:szCs w:val="22"/>
          <w:lang w:val="en-GB"/>
        </w:rPr>
      </w:pPr>
    </w:p>
    <w:p w14:paraId="6D8DB5CC" w14:textId="77777777" w:rsidR="006C23E4" w:rsidRPr="00B51BAA" w:rsidRDefault="006C23E4" w:rsidP="00A76FEB">
      <w:pPr>
        <w:spacing w:after="0" w:line="360" w:lineRule="auto"/>
        <w:ind w:left="0" w:right="56" w:firstLine="0"/>
        <w:jc w:val="both"/>
        <w:rPr>
          <w:rFonts w:ascii="Arial" w:hAnsi="Arial" w:cs="Arial"/>
          <w:color w:val="auto"/>
          <w:sz w:val="22"/>
          <w:szCs w:val="22"/>
          <w:lang w:val="en-GB"/>
        </w:rPr>
      </w:pPr>
    </w:p>
    <w:p w14:paraId="6D8DB5CD" w14:textId="77777777" w:rsidR="006C23E4" w:rsidRPr="00B51BAA" w:rsidRDefault="006C23E4" w:rsidP="00A76FEB">
      <w:pPr>
        <w:spacing w:after="0" w:line="360" w:lineRule="auto"/>
        <w:ind w:left="0" w:right="56" w:firstLine="0"/>
        <w:jc w:val="both"/>
        <w:rPr>
          <w:rFonts w:ascii="Arial" w:hAnsi="Arial" w:cs="Arial"/>
          <w:color w:val="auto"/>
          <w:sz w:val="22"/>
          <w:szCs w:val="22"/>
          <w:lang w:val="en-GB"/>
        </w:rPr>
      </w:pPr>
    </w:p>
    <w:p w14:paraId="6D8DB5CE" w14:textId="77777777" w:rsidR="006C23E4" w:rsidRPr="00B51BAA" w:rsidRDefault="006C23E4" w:rsidP="00A76FEB">
      <w:pPr>
        <w:spacing w:after="0" w:line="360" w:lineRule="auto"/>
        <w:ind w:left="0" w:right="56" w:firstLine="0"/>
        <w:jc w:val="both"/>
        <w:rPr>
          <w:rFonts w:ascii="Arial" w:hAnsi="Arial" w:cs="Arial"/>
          <w:color w:val="auto"/>
          <w:sz w:val="22"/>
          <w:szCs w:val="22"/>
          <w:lang w:val="en-GB"/>
        </w:rPr>
      </w:pPr>
    </w:p>
    <w:p w14:paraId="6D8DB5CF" w14:textId="77777777" w:rsidR="006C23E4" w:rsidRPr="00B51BAA" w:rsidRDefault="006C23E4" w:rsidP="00A76FEB">
      <w:pPr>
        <w:spacing w:after="0" w:line="360" w:lineRule="auto"/>
        <w:ind w:left="0" w:right="56" w:firstLine="0"/>
        <w:jc w:val="both"/>
        <w:rPr>
          <w:rFonts w:ascii="Arial" w:hAnsi="Arial" w:cs="Arial"/>
          <w:color w:val="auto"/>
          <w:sz w:val="22"/>
          <w:szCs w:val="22"/>
          <w:lang w:val="en-GB"/>
        </w:rPr>
      </w:pPr>
    </w:p>
    <w:p w14:paraId="6D8DB5D0" w14:textId="77777777" w:rsidR="006C23E4" w:rsidRPr="00B51BAA" w:rsidRDefault="006C23E4" w:rsidP="00A76FEB">
      <w:pPr>
        <w:spacing w:after="0" w:line="360" w:lineRule="auto"/>
        <w:ind w:left="0" w:right="56" w:firstLine="0"/>
        <w:jc w:val="both"/>
        <w:rPr>
          <w:rFonts w:ascii="Arial" w:hAnsi="Arial" w:cs="Arial"/>
          <w:color w:val="auto"/>
          <w:sz w:val="22"/>
          <w:szCs w:val="22"/>
          <w:lang w:val="en-GB"/>
        </w:rPr>
      </w:pPr>
    </w:p>
    <w:p w14:paraId="6D8DB5D1" w14:textId="77777777" w:rsidR="006C23E4" w:rsidRPr="00B51BAA" w:rsidRDefault="006C23E4" w:rsidP="00A76FEB">
      <w:pPr>
        <w:spacing w:after="0" w:line="360" w:lineRule="auto"/>
        <w:ind w:left="0" w:right="56" w:firstLine="0"/>
        <w:jc w:val="both"/>
        <w:rPr>
          <w:rFonts w:ascii="Arial" w:hAnsi="Arial" w:cs="Arial"/>
          <w:color w:val="auto"/>
          <w:sz w:val="22"/>
          <w:szCs w:val="22"/>
          <w:lang w:val="en-GB"/>
        </w:rPr>
      </w:pPr>
    </w:p>
    <w:p w14:paraId="6D8DB5D2" w14:textId="77777777" w:rsidR="006C23E4" w:rsidRPr="00B51BAA" w:rsidRDefault="006C23E4" w:rsidP="00A76FEB">
      <w:pPr>
        <w:spacing w:after="0" w:line="360" w:lineRule="auto"/>
        <w:ind w:left="0" w:right="56" w:firstLine="0"/>
        <w:jc w:val="both"/>
        <w:rPr>
          <w:rFonts w:ascii="Arial" w:hAnsi="Arial" w:cs="Arial"/>
          <w:color w:val="auto"/>
          <w:sz w:val="22"/>
          <w:szCs w:val="22"/>
          <w:lang w:val="en-GB"/>
        </w:rPr>
      </w:pPr>
    </w:p>
    <w:p w14:paraId="6D8DB5D3" w14:textId="77777777" w:rsidR="006C23E4" w:rsidRPr="00B51BAA" w:rsidRDefault="006C23E4" w:rsidP="00A76FEB">
      <w:pPr>
        <w:spacing w:after="0" w:line="360" w:lineRule="auto"/>
        <w:ind w:left="0" w:right="56" w:firstLine="0"/>
        <w:jc w:val="both"/>
        <w:rPr>
          <w:rFonts w:ascii="Arial" w:hAnsi="Arial" w:cs="Arial"/>
          <w:color w:val="auto"/>
          <w:sz w:val="22"/>
          <w:szCs w:val="22"/>
          <w:lang w:val="en-GB"/>
        </w:rPr>
      </w:pPr>
    </w:p>
    <w:p w14:paraId="6D8DB5D4" w14:textId="77777777" w:rsidR="006C23E4" w:rsidRPr="00B51BAA" w:rsidRDefault="006C23E4" w:rsidP="00A76FEB">
      <w:pPr>
        <w:spacing w:after="0" w:line="360" w:lineRule="auto"/>
        <w:ind w:left="0" w:right="56" w:firstLine="0"/>
        <w:jc w:val="both"/>
        <w:rPr>
          <w:rFonts w:ascii="Arial" w:hAnsi="Arial" w:cs="Arial"/>
          <w:color w:val="auto"/>
          <w:sz w:val="22"/>
          <w:szCs w:val="22"/>
          <w:lang w:val="en-GB"/>
        </w:rPr>
      </w:pPr>
    </w:p>
    <w:p w14:paraId="6D8DB5D5" w14:textId="77777777" w:rsidR="006C23E4" w:rsidRPr="00B51BAA" w:rsidRDefault="006C23E4" w:rsidP="00A76FEB">
      <w:pPr>
        <w:spacing w:after="0" w:line="360" w:lineRule="auto"/>
        <w:ind w:left="0" w:right="56" w:firstLine="0"/>
        <w:jc w:val="both"/>
        <w:rPr>
          <w:rFonts w:ascii="Arial" w:hAnsi="Arial" w:cs="Arial"/>
          <w:color w:val="auto"/>
          <w:sz w:val="22"/>
          <w:szCs w:val="22"/>
          <w:lang w:val="en-GB"/>
        </w:rPr>
      </w:pPr>
    </w:p>
    <w:p w14:paraId="6D8DB5D6" w14:textId="77777777" w:rsidR="006C23E4" w:rsidRPr="00B51BAA" w:rsidRDefault="006C23E4" w:rsidP="00A76FEB">
      <w:pPr>
        <w:spacing w:after="0" w:line="360" w:lineRule="auto"/>
        <w:ind w:left="0" w:right="56" w:firstLine="0"/>
        <w:jc w:val="both"/>
        <w:rPr>
          <w:rFonts w:ascii="Arial" w:hAnsi="Arial" w:cs="Arial"/>
          <w:color w:val="auto"/>
          <w:sz w:val="22"/>
          <w:szCs w:val="22"/>
          <w:lang w:val="en-GB"/>
        </w:rPr>
      </w:pPr>
    </w:p>
    <w:p w14:paraId="6D8DB5D7" w14:textId="77777777" w:rsidR="006C23E4" w:rsidRPr="00B51BAA" w:rsidRDefault="00037A50" w:rsidP="00A76FEB">
      <w:pPr>
        <w:spacing w:after="0" w:line="360" w:lineRule="auto"/>
        <w:ind w:left="730" w:hanging="370"/>
        <w:jc w:val="both"/>
        <w:rPr>
          <w:rFonts w:ascii="Arial" w:hAnsi="Arial" w:cs="Arial"/>
          <w:color w:val="auto"/>
          <w:sz w:val="22"/>
          <w:szCs w:val="22"/>
          <w:lang w:val="en-GB"/>
        </w:rPr>
      </w:pPr>
      <w:r w:rsidRPr="00B51BAA">
        <w:rPr>
          <w:rFonts w:ascii="Arial" w:hAnsi="Arial" w:cs="Arial"/>
          <w:color w:val="auto"/>
          <w:sz w:val="22"/>
          <w:szCs w:val="22"/>
          <w:lang w:val="en-GB"/>
        </w:rPr>
        <w:t>Name: Larissa Kellyn Silva Neves</w:t>
      </w:r>
    </w:p>
    <w:p w14:paraId="6D8DB5D8" w14:textId="77777777" w:rsidR="006C23E4" w:rsidRPr="00B51BAA" w:rsidRDefault="00037A50" w:rsidP="00A76FEB">
      <w:pPr>
        <w:spacing w:after="0" w:line="360" w:lineRule="auto"/>
        <w:ind w:left="730" w:hanging="370"/>
        <w:jc w:val="both"/>
        <w:rPr>
          <w:rFonts w:ascii="Arial" w:hAnsi="Arial" w:cs="Arial"/>
          <w:color w:val="auto"/>
          <w:sz w:val="22"/>
          <w:szCs w:val="22"/>
          <w:lang w:val="en-GB"/>
        </w:rPr>
      </w:pPr>
      <w:r w:rsidRPr="00B51BAA">
        <w:rPr>
          <w:rFonts w:ascii="Arial" w:hAnsi="Arial" w:cs="Arial"/>
          <w:color w:val="auto"/>
          <w:sz w:val="22"/>
          <w:szCs w:val="22"/>
          <w:lang w:val="en-GB"/>
        </w:rPr>
        <w:t>Student Number: 2424528</w:t>
      </w:r>
    </w:p>
    <w:p w14:paraId="414CEF67" w14:textId="70D59338" w:rsidR="003267B1" w:rsidRPr="00B51BAA" w:rsidRDefault="003267B1" w:rsidP="00A76FEB">
      <w:pPr>
        <w:spacing w:after="0" w:line="360" w:lineRule="auto"/>
        <w:ind w:left="730" w:hanging="370"/>
        <w:jc w:val="both"/>
        <w:rPr>
          <w:rFonts w:ascii="Arial" w:hAnsi="Arial" w:cs="Arial"/>
          <w:color w:val="auto"/>
          <w:sz w:val="22"/>
          <w:szCs w:val="22"/>
          <w:lang w:val="en-GB"/>
        </w:rPr>
      </w:pPr>
      <w:r w:rsidRPr="00B51BAA">
        <w:rPr>
          <w:rFonts w:ascii="Arial" w:hAnsi="Arial" w:cs="Arial"/>
          <w:color w:val="auto"/>
          <w:sz w:val="22"/>
          <w:szCs w:val="22"/>
          <w:lang w:val="en-GB"/>
        </w:rPr>
        <w:t>Program</w:t>
      </w:r>
      <w:r w:rsidR="00AF27B1" w:rsidRPr="00B51BAA">
        <w:rPr>
          <w:rFonts w:ascii="Arial" w:hAnsi="Arial" w:cs="Arial"/>
          <w:color w:val="auto"/>
          <w:sz w:val="22"/>
          <w:szCs w:val="22"/>
          <w:lang w:val="en-GB"/>
        </w:rPr>
        <w:t>me: BA (Hons) Leadership and Management Skills for the Workplace</w:t>
      </w:r>
    </w:p>
    <w:p w14:paraId="6D8DB5D9" w14:textId="558BE8F9" w:rsidR="006C23E4" w:rsidRPr="00B51BAA" w:rsidRDefault="00037A50" w:rsidP="00A76FEB">
      <w:pPr>
        <w:spacing w:after="0" w:line="360" w:lineRule="auto"/>
        <w:ind w:left="730" w:hanging="370"/>
        <w:jc w:val="both"/>
        <w:rPr>
          <w:rFonts w:ascii="Arial" w:hAnsi="Arial" w:cs="Arial"/>
          <w:color w:val="auto"/>
          <w:sz w:val="22"/>
          <w:szCs w:val="22"/>
          <w:lang w:val="en-GB"/>
        </w:rPr>
      </w:pPr>
      <w:r w:rsidRPr="00B51BAA">
        <w:rPr>
          <w:rFonts w:ascii="Arial" w:hAnsi="Arial" w:cs="Arial"/>
          <w:color w:val="auto"/>
          <w:sz w:val="22"/>
          <w:szCs w:val="22"/>
          <w:lang w:val="en-GB"/>
        </w:rPr>
        <w:t xml:space="preserve">Lecturer’s name: </w:t>
      </w:r>
      <w:r w:rsidR="00874C36" w:rsidRPr="00B51BAA">
        <w:rPr>
          <w:rFonts w:ascii="Arial" w:hAnsi="Arial" w:cs="Arial"/>
          <w:color w:val="auto"/>
          <w:sz w:val="22"/>
          <w:szCs w:val="22"/>
          <w:lang w:val="en-GB"/>
        </w:rPr>
        <w:t>Amer Karrem</w:t>
      </w:r>
    </w:p>
    <w:p w14:paraId="6D8DB5DA" w14:textId="09DDD540" w:rsidR="006C23E4" w:rsidRPr="00B51BAA" w:rsidRDefault="00037A50" w:rsidP="00A76FEB">
      <w:pPr>
        <w:spacing w:after="0" w:line="360" w:lineRule="auto"/>
        <w:ind w:left="730" w:hanging="370"/>
        <w:jc w:val="both"/>
        <w:rPr>
          <w:rFonts w:ascii="Arial" w:hAnsi="Arial" w:cs="Arial"/>
          <w:color w:val="auto"/>
          <w:sz w:val="22"/>
          <w:szCs w:val="22"/>
          <w:lang w:val="en-GB"/>
        </w:rPr>
      </w:pPr>
      <w:r w:rsidRPr="00B51BAA">
        <w:rPr>
          <w:rFonts w:ascii="Arial" w:hAnsi="Arial" w:cs="Arial"/>
          <w:color w:val="auto"/>
          <w:sz w:val="22"/>
          <w:szCs w:val="22"/>
          <w:lang w:val="en-GB"/>
        </w:rPr>
        <w:t xml:space="preserve">Module name: </w:t>
      </w:r>
      <w:r w:rsidR="00874C36" w:rsidRPr="00B51BAA">
        <w:rPr>
          <w:rFonts w:ascii="Arial" w:hAnsi="Arial" w:cs="Arial"/>
          <w:color w:val="auto"/>
          <w:sz w:val="22"/>
          <w:szCs w:val="22"/>
          <w:lang w:val="en-GB"/>
        </w:rPr>
        <w:t>Developin</w:t>
      </w:r>
      <w:r w:rsidR="0082704B" w:rsidRPr="00B51BAA">
        <w:rPr>
          <w:rFonts w:ascii="Arial" w:hAnsi="Arial" w:cs="Arial"/>
          <w:color w:val="auto"/>
          <w:sz w:val="22"/>
          <w:szCs w:val="22"/>
          <w:lang w:val="en-GB"/>
        </w:rPr>
        <w:t>g</w:t>
      </w:r>
      <w:r w:rsidR="00874C36" w:rsidRPr="00B51BAA">
        <w:rPr>
          <w:rFonts w:ascii="Arial" w:hAnsi="Arial" w:cs="Arial"/>
          <w:color w:val="auto"/>
          <w:sz w:val="22"/>
          <w:szCs w:val="22"/>
          <w:lang w:val="en-GB"/>
        </w:rPr>
        <w:t xml:space="preserve"> and Managing </w:t>
      </w:r>
      <w:r w:rsidR="0082704B" w:rsidRPr="00B51BAA">
        <w:rPr>
          <w:rFonts w:ascii="Arial" w:hAnsi="Arial" w:cs="Arial"/>
          <w:color w:val="auto"/>
          <w:sz w:val="22"/>
          <w:szCs w:val="22"/>
          <w:lang w:val="en-GB"/>
        </w:rPr>
        <w:t>Individuals</w:t>
      </w:r>
      <w:r w:rsidR="00874C36" w:rsidRPr="00B51BAA">
        <w:rPr>
          <w:rFonts w:ascii="Arial" w:hAnsi="Arial" w:cs="Arial"/>
          <w:color w:val="auto"/>
          <w:sz w:val="22"/>
          <w:szCs w:val="22"/>
          <w:lang w:val="en-GB"/>
        </w:rPr>
        <w:t xml:space="preserve"> and Teams</w:t>
      </w:r>
    </w:p>
    <w:p w14:paraId="6D8DB5DB" w14:textId="5BD20672" w:rsidR="006C23E4" w:rsidRPr="00B51BAA" w:rsidRDefault="00037A50" w:rsidP="00A76FEB">
      <w:pPr>
        <w:spacing w:after="0" w:line="360" w:lineRule="auto"/>
        <w:ind w:left="730" w:hanging="370"/>
        <w:jc w:val="both"/>
        <w:rPr>
          <w:rFonts w:ascii="Arial" w:hAnsi="Arial" w:cs="Arial"/>
          <w:color w:val="auto"/>
          <w:sz w:val="22"/>
          <w:szCs w:val="22"/>
          <w:lang w:val="en-GB"/>
        </w:rPr>
      </w:pPr>
      <w:r w:rsidRPr="00B51BAA">
        <w:rPr>
          <w:rFonts w:ascii="Arial" w:hAnsi="Arial" w:cs="Arial"/>
          <w:color w:val="auto"/>
          <w:sz w:val="22"/>
          <w:szCs w:val="22"/>
          <w:lang w:val="en-GB"/>
        </w:rPr>
        <w:t>Module code: LCLM 500</w:t>
      </w:r>
      <w:r w:rsidR="00874C36" w:rsidRPr="00B51BAA">
        <w:rPr>
          <w:rFonts w:ascii="Arial" w:hAnsi="Arial" w:cs="Arial"/>
          <w:color w:val="auto"/>
          <w:sz w:val="22"/>
          <w:szCs w:val="22"/>
          <w:lang w:val="en-GB"/>
        </w:rPr>
        <w:t>2</w:t>
      </w:r>
    </w:p>
    <w:p w14:paraId="6D8DB5DC" w14:textId="67ACF113" w:rsidR="005F7E8F" w:rsidRPr="00B51BAA" w:rsidRDefault="005F7E8F" w:rsidP="00A76FEB">
      <w:pPr>
        <w:suppressAutoHyphens w:val="0"/>
        <w:spacing w:after="0" w:line="360" w:lineRule="auto"/>
        <w:ind w:left="0" w:firstLine="0"/>
        <w:jc w:val="both"/>
        <w:rPr>
          <w:rFonts w:ascii="Arial" w:hAnsi="Arial" w:cs="Arial"/>
          <w:color w:val="auto"/>
          <w:sz w:val="22"/>
          <w:szCs w:val="22"/>
          <w:lang w:val="en-GB"/>
        </w:rPr>
      </w:pPr>
      <w:r w:rsidRPr="00B51BAA">
        <w:rPr>
          <w:rFonts w:ascii="Arial" w:hAnsi="Arial" w:cs="Arial"/>
          <w:color w:val="auto"/>
          <w:sz w:val="22"/>
          <w:szCs w:val="22"/>
          <w:lang w:val="en-GB"/>
        </w:rPr>
        <w:br w:type="page"/>
      </w:r>
    </w:p>
    <w:bookmarkStart w:id="1" w:name="_Toc224149800" w:displacedByCustomXml="next"/>
    <w:bookmarkStart w:id="2" w:name="_Toc227399184" w:displacedByCustomXml="next"/>
    <w:bookmarkStart w:id="3" w:name="_Toc227403472" w:displacedByCustomXml="next"/>
    <w:sdt>
      <w:sdtPr>
        <w:rPr>
          <w:rFonts w:ascii="Arial" w:eastAsia="Calibri" w:hAnsi="Arial" w:cs="Arial"/>
          <w:color w:val="000000"/>
          <w:kern w:val="3"/>
          <w:sz w:val="22"/>
          <w:szCs w:val="22"/>
          <w:lang w:val="en-GB"/>
        </w:rPr>
        <w:id w:val="-641497045"/>
        <w:docPartObj>
          <w:docPartGallery w:val="Table of Contents"/>
          <w:docPartUnique/>
        </w:docPartObj>
      </w:sdtPr>
      <w:sdtEndPr>
        <w:rPr>
          <w:b/>
          <w:bCs/>
        </w:rPr>
      </w:sdtEndPr>
      <w:sdtContent>
        <w:p w14:paraId="5C0164AC" w14:textId="2008C55E" w:rsidR="006774CA" w:rsidRPr="00B51BAA" w:rsidRDefault="00DD58EB" w:rsidP="00A76FEB">
          <w:pPr>
            <w:pStyle w:val="TOCHeading"/>
            <w:spacing w:before="0" w:line="360" w:lineRule="auto"/>
            <w:jc w:val="center"/>
            <w:rPr>
              <w:rFonts w:ascii="Arial" w:hAnsi="Arial" w:cs="Arial"/>
              <w:b/>
              <w:bCs/>
              <w:color w:val="auto"/>
              <w:sz w:val="22"/>
              <w:szCs w:val="22"/>
              <w:lang w:val="en-GB"/>
            </w:rPr>
          </w:pPr>
          <w:r w:rsidRPr="00B51BAA">
            <w:rPr>
              <w:rFonts w:ascii="Arial" w:hAnsi="Arial" w:cs="Arial"/>
              <w:b/>
              <w:bCs/>
              <w:color w:val="auto"/>
              <w:sz w:val="22"/>
              <w:szCs w:val="22"/>
              <w:lang w:val="en-GB"/>
            </w:rPr>
            <w:t>Table of C</w:t>
          </w:r>
          <w:r w:rsidR="006774CA" w:rsidRPr="00B51BAA">
            <w:rPr>
              <w:rFonts w:ascii="Arial" w:hAnsi="Arial" w:cs="Arial"/>
              <w:b/>
              <w:bCs/>
              <w:color w:val="auto"/>
              <w:sz w:val="22"/>
              <w:szCs w:val="22"/>
              <w:lang w:val="en-GB"/>
            </w:rPr>
            <w:t>ontents</w:t>
          </w:r>
          <w:bookmarkEnd w:id="3"/>
          <w:bookmarkEnd w:id="2"/>
          <w:bookmarkEnd w:id="1"/>
        </w:p>
        <w:p w14:paraId="4AF8453C" w14:textId="4B39EDC2" w:rsidR="00AE09DC" w:rsidRPr="00AC2ECE" w:rsidRDefault="006774CA" w:rsidP="00A76FEB">
          <w:pPr>
            <w:pStyle w:val="TOC1"/>
            <w:tabs>
              <w:tab w:val="right" w:leader="dot" w:pos="9069"/>
            </w:tabs>
            <w:spacing w:after="0" w:line="360" w:lineRule="auto"/>
            <w:jc w:val="both"/>
            <w:rPr>
              <w:rFonts w:ascii="Arial" w:eastAsiaTheme="minorEastAsia" w:hAnsi="Arial" w:cs="Arial"/>
              <w:noProof/>
              <w:color w:val="auto"/>
              <w:kern w:val="2"/>
              <w:sz w:val="22"/>
              <w:szCs w:val="22"/>
              <w:lang w:val="en-GB"/>
              <w14:ligatures w14:val="standardContextual"/>
            </w:rPr>
          </w:pPr>
          <w:r w:rsidRPr="00B51BAA">
            <w:rPr>
              <w:rFonts w:ascii="Arial" w:hAnsi="Arial" w:cs="Arial"/>
              <w:sz w:val="22"/>
              <w:szCs w:val="22"/>
            </w:rPr>
            <w:fldChar w:fldCharType="begin"/>
          </w:r>
          <w:r w:rsidRPr="00AC2ECE">
            <w:rPr>
              <w:rFonts w:ascii="Arial" w:hAnsi="Arial" w:cs="Arial"/>
              <w:sz w:val="22"/>
              <w:szCs w:val="22"/>
              <w:lang w:val="en-GB"/>
            </w:rPr>
            <w:instrText xml:space="preserve"> TOC \o "1-3" \h \z \u </w:instrText>
          </w:r>
          <w:r w:rsidRPr="00B51BAA">
            <w:rPr>
              <w:rFonts w:ascii="Arial" w:hAnsi="Arial" w:cs="Arial"/>
              <w:sz w:val="22"/>
              <w:szCs w:val="22"/>
            </w:rPr>
            <w:fldChar w:fldCharType="separate"/>
          </w:r>
        </w:p>
        <w:p w14:paraId="3184EB43" w14:textId="53428193" w:rsidR="00AE09DC" w:rsidRPr="00B51BAA" w:rsidRDefault="00AE09DC" w:rsidP="00A76FEB">
          <w:pPr>
            <w:pStyle w:val="TOC1"/>
            <w:tabs>
              <w:tab w:val="right" w:leader="dot" w:pos="9069"/>
            </w:tabs>
            <w:spacing w:after="0" w:line="360" w:lineRule="auto"/>
            <w:jc w:val="both"/>
            <w:rPr>
              <w:rFonts w:ascii="Arial" w:eastAsiaTheme="minorEastAsia" w:hAnsi="Arial" w:cs="Arial"/>
              <w:noProof/>
              <w:color w:val="auto"/>
              <w:kern w:val="2"/>
              <w:sz w:val="22"/>
              <w:szCs w:val="22"/>
              <w14:ligatures w14:val="standardContextual"/>
            </w:rPr>
          </w:pPr>
          <w:hyperlink w:anchor="_Toc227403473" w:history="1">
            <w:r w:rsidRPr="00B51BAA">
              <w:rPr>
                <w:rStyle w:val="Hyperlink"/>
                <w:rFonts w:ascii="Arial" w:hAnsi="Arial" w:cs="Arial"/>
                <w:b/>
                <w:bCs/>
                <w:noProof/>
                <w:sz w:val="22"/>
                <w:szCs w:val="22"/>
                <w:lang w:val="en-GB"/>
              </w:rPr>
              <w:t>1 – Introduction</w:t>
            </w:r>
            <w:r w:rsidRPr="00B51BAA">
              <w:rPr>
                <w:rFonts w:ascii="Arial" w:hAnsi="Arial" w:cs="Arial"/>
                <w:noProof/>
                <w:webHidden/>
                <w:sz w:val="22"/>
                <w:szCs w:val="22"/>
              </w:rPr>
              <w:tab/>
            </w:r>
            <w:r w:rsidRPr="00B51BAA">
              <w:rPr>
                <w:rFonts w:ascii="Arial" w:hAnsi="Arial" w:cs="Arial"/>
                <w:noProof/>
                <w:webHidden/>
                <w:sz w:val="22"/>
                <w:szCs w:val="22"/>
              </w:rPr>
              <w:fldChar w:fldCharType="begin"/>
            </w:r>
            <w:r w:rsidRPr="00B51BAA">
              <w:rPr>
                <w:rFonts w:ascii="Arial" w:hAnsi="Arial" w:cs="Arial"/>
                <w:noProof/>
                <w:webHidden/>
                <w:sz w:val="22"/>
                <w:szCs w:val="22"/>
              </w:rPr>
              <w:instrText xml:space="preserve"> PAGEREF _Toc227403473 \h </w:instrText>
            </w:r>
            <w:r w:rsidRPr="00B51BAA">
              <w:rPr>
                <w:rFonts w:ascii="Arial" w:hAnsi="Arial" w:cs="Arial"/>
                <w:noProof/>
                <w:webHidden/>
                <w:sz w:val="22"/>
                <w:szCs w:val="22"/>
              </w:rPr>
            </w:r>
            <w:r w:rsidRPr="00B51BAA">
              <w:rPr>
                <w:rFonts w:ascii="Arial" w:hAnsi="Arial" w:cs="Arial"/>
                <w:noProof/>
                <w:webHidden/>
                <w:sz w:val="22"/>
                <w:szCs w:val="22"/>
              </w:rPr>
              <w:fldChar w:fldCharType="separate"/>
            </w:r>
            <w:r w:rsidRPr="00B51BAA">
              <w:rPr>
                <w:rFonts w:ascii="Arial" w:hAnsi="Arial" w:cs="Arial"/>
                <w:noProof/>
                <w:webHidden/>
                <w:sz w:val="22"/>
                <w:szCs w:val="22"/>
              </w:rPr>
              <w:t>2</w:t>
            </w:r>
            <w:r w:rsidRPr="00B51BAA">
              <w:rPr>
                <w:rFonts w:ascii="Arial" w:hAnsi="Arial" w:cs="Arial"/>
                <w:noProof/>
                <w:webHidden/>
                <w:sz w:val="22"/>
                <w:szCs w:val="22"/>
              </w:rPr>
              <w:fldChar w:fldCharType="end"/>
            </w:r>
          </w:hyperlink>
        </w:p>
        <w:p w14:paraId="5342395D" w14:textId="5A2C32BF" w:rsidR="00AE09DC" w:rsidRPr="00B51BAA" w:rsidRDefault="00AE09DC" w:rsidP="00A76FEB">
          <w:pPr>
            <w:pStyle w:val="TOC1"/>
            <w:tabs>
              <w:tab w:val="right" w:leader="dot" w:pos="9069"/>
            </w:tabs>
            <w:spacing w:after="0" w:line="360" w:lineRule="auto"/>
            <w:jc w:val="both"/>
            <w:rPr>
              <w:rFonts w:ascii="Arial" w:eastAsiaTheme="minorEastAsia" w:hAnsi="Arial" w:cs="Arial"/>
              <w:noProof/>
              <w:color w:val="auto"/>
              <w:kern w:val="2"/>
              <w:sz w:val="22"/>
              <w:szCs w:val="22"/>
              <w14:ligatures w14:val="standardContextual"/>
            </w:rPr>
          </w:pPr>
          <w:hyperlink w:anchor="_Toc227403474" w:history="1">
            <w:r w:rsidRPr="00B51BAA">
              <w:rPr>
                <w:rStyle w:val="Hyperlink"/>
                <w:rFonts w:ascii="Arial" w:hAnsi="Arial" w:cs="Arial"/>
                <w:b/>
                <w:bCs/>
                <w:noProof/>
                <w:sz w:val="22"/>
                <w:szCs w:val="22"/>
                <w:lang w:val="en-GB"/>
              </w:rPr>
              <w:t>2 – Key HR factors affecting the company</w:t>
            </w:r>
            <w:r w:rsidRPr="00B51BAA">
              <w:rPr>
                <w:rFonts w:ascii="Arial" w:hAnsi="Arial" w:cs="Arial"/>
                <w:noProof/>
                <w:webHidden/>
                <w:sz w:val="22"/>
                <w:szCs w:val="22"/>
              </w:rPr>
              <w:tab/>
            </w:r>
            <w:r w:rsidRPr="00B51BAA">
              <w:rPr>
                <w:rFonts w:ascii="Arial" w:hAnsi="Arial" w:cs="Arial"/>
                <w:noProof/>
                <w:webHidden/>
                <w:sz w:val="22"/>
                <w:szCs w:val="22"/>
              </w:rPr>
              <w:fldChar w:fldCharType="begin"/>
            </w:r>
            <w:r w:rsidRPr="00B51BAA">
              <w:rPr>
                <w:rFonts w:ascii="Arial" w:hAnsi="Arial" w:cs="Arial"/>
                <w:noProof/>
                <w:webHidden/>
                <w:sz w:val="22"/>
                <w:szCs w:val="22"/>
              </w:rPr>
              <w:instrText xml:space="preserve"> PAGEREF _Toc227403474 \h </w:instrText>
            </w:r>
            <w:r w:rsidRPr="00B51BAA">
              <w:rPr>
                <w:rFonts w:ascii="Arial" w:hAnsi="Arial" w:cs="Arial"/>
                <w:noProof/>
                <w:webHidden/>
                <w:sz w:val="22"/>
                <w:szCs w:val="22"/>
              </w:rPr>
            </w:r>
            <w:r w:rsidRPr="00B51BAA">
              <w:rPr>
                <w:rFonts w:ascii="Arial" w:hAnsi="Arial" w:cs="Arial"/>
                <w:noProof/>
                <w:webHidden/>
                <w:sz w:val="22"/>
                <w:szCs w:val="22"/>
              </w:rPr>
              <w:fldChar w:fldCharType="separate"/>
            </w:r>
            <w:r w:rsidRPr="00B51BAA">
              <w:rPr>
                <w:rFonts w:ascii="Arial" w:hAnsi="Arial" w:cs="Arial"/>
                <w:noProof/>
                <w:webHidden/>
                <w:sz w:val="22"/>
                <w:szCs w:val="22"/>
              </w:rPr>
              <w:t>3</w:t>
            </w:r>
            <w:r w:rsidRPr="00B51BAA">
              <w:rPr>
                <w:rFonts w:ascii="Arial" w:hAnsi="Arial" w:cs="Arial"/>
                <w:noProof/>
                <w:webHidden/>
                <w:sz w:val="22"/>
                <w:szCs w:val="22"/>
              </w:rPr>
              <w:fldChar w:fldCharType="end"/>
            </w:r>
          </w:hyperlink>
        </w:p>
        <w:p w14:paraId="2E9F7E53" w14:textId="60F848DB" w:rsidR="00AE09DC" w:rsidRPr="00B51BAA" w:rsidRDefault="00AE09DC" w:rsidP="00A76FEB">
          <w:pPr>
            <w:pStyle w:val="TOC2"/>
            <w:tabs>
              <w:tab w:val="right" w:leader="dot" w:pos="9069"/>
            </w:tabs>
            <w:spacing w:after="0" w:line="360" w:lineRule="auto"/>
            <w:jc w:val="both"/>
            <w:rPr>
              <w:rFonts w:ascii="Arial" w:eastAsiaTheme="minorEastAsia" w:hAnsi="Arial" w:cs="Arial"/>
              <w:noProof/>
              <w:color w:val="auto"/>
              <w:kern w:val="2"/>
              <w:sz w:val="22"/>
              <w:szCs w:val="22"/>
              <w14:ligatures w14:val="standardContextual"/>
            </w:rPr>
          </w:pPr>
          <w:hyperlink w:anchor="_Toc227403475" w:history="1">
            <w:r w:rsidRPr="00B51BAA">
              <w:rPr>
                <w:rStyle w:val="Hyperlink"/>
                <w:rFonts w:ascii="Arial" w:hAnsi="Arial" w:cs="Arial"/>
                <w:b/>
                <w:bCs/>
                <w:noProof/>
                <w:sz w:val="22"/>
                <w:szCs w:val="22"/>
                <w:lang w:val="en-GB"/>
              </w:rPr>
              <w:t>2.1 Meeting up with technological advancement</w:t>
            </w:r>
            <w:r w:rsidRPr="00B51BAA">
              <w:rPr>
                <w:rFonts w:ascii="Arial" w:hAnsi="Arial" w:cs="Arial"/>
                <w:noProof/>
                <w:webHidden/>
                <w:sz w:val="22"/>
                <w:szCs w:val="22"/>
              </w:rPr>
              <w:tab/>
            </w:r>
            <w:r w:rsidRPr="00B51BAA">
              <w:rPr>
                <w:rFonts w:ascii="Arial" w:hAnsi="Arial" w:cs="Arial"/>
                <w:noProof/>
                <w:webHidden/>
                <w:sz w:val="22"/>
                <w:szCs w:val="22"/>
              </w:rPr>
              <w:fldChar w:fldCharType="begin"/>
            </w:r>
            <w:r w:rsidRPr="00B51BAA">
              <w:rPr>
                <w:rFonts w:ascii="Arial" w:hAnsi="Arial" w:cs="Arial"/>
                <w:noProof/>
                <w:webHidden/>
                <w:sz w:val="22"/>
                <w:szCs w:val="22"/>
              </w:rPr>
              <w:instrText xml:space="preserve"> PAGEREF _Toc227403475 \h </w:instrText>
            </w:r>
            <w:r w:rsidRPr="00B51BAA">
              <w:rPr>
                <w:rFonts w:ascii="Arial" w:hAnsi="Arial" w:cs="Arial"/>
                <w:noProof/>
                <w:webHidden/>
                <w:sz w:val="22"/>
                <w:szCs w:val="22"/>
              </w:rPr>
            </w:r>
            <w:r w:rsidRPr="00B51BAA">
              <w:rPr>
                <w:rFonts w:ascii="Arial" w:hAnsi="Arial" w:cs="Arial"/>
                <w:noProof/>
                <w:webHidden/>
                <w:sz w:val="22"/>
                <w:szCs w:val="22"/>
              </w:rPr>
              <w:fldChar w:fldCharType="separate"/>
            </w:r>
            <w:r w:rsidRPr="00B51BAA">
              <w:rPr>
                <w:rFonts w:ascii="Arial" w:hAnsi="Arial" w:cs="Arial"/>
                <w:noProof/>
                <w:webHidden/>
                <w:sz w:val="22"/>
                <w:szCs w:val="22"/>
              </w:rPr>
              <w:t>3</w:t>
            </w:r>
            <w:r w:rsidRPr="00B51BAA">
              <w:rPr>
                <w:rFonts w:ascii="Arial" w:hAnsi="Arial" w:cs="Arial"/>
                <w:noProof/>
                <w:webHidden/>
                <w:sz w:val="22"/>
                <w:szCs w:val="22"/>
              </w:rPr>
              <w:fldChar w:fldCharType="end"/>
            </w:r>
          </w:hyperlink>
        </w:p>
        <w:p w14:paraId="37BE1251" w14:textId="6C612860" w:rsidR="00AE09DC" w:rsidRPr="00B51BAA" w:rsidRDefault="00AE09DC" w:rsidP="00A76FEB">
          <w:pPr>
            <w:pStyle w:val="TOC2"/>
            <w:tabs>
              <w:tab w:val="right" w:leader="dot" w:pos="9069"/>
            </w:tabs>
            <w:spacing w:after="0" w:line="360" w:lineRule="auto"/>
            <w:jc w:val="both"/>
            <w:rPr>
              <w:rFonts w:ascii="Arial" w:eastAsiaTheme="minorEastAsia" w:hAnsi="Arial" w:cs="Arial"/>
              <w:noProof/>
              <w:color w:val="auto"/>
              <w:kern w:val="2"/>
              <w:sz w:val="22"/>
              <w:szCs w:val="22"/>
              <w14:ligatures w14:val="standardContextual"/>
            </w:rPr>
          </w:pPr>
          <w:hyperlink w:anchor="_Toc227403476" w:history="1">
            <w:r w:rsidRPr="00B51BAA">
              <w:rPr>
                <w:rStyle w:val="Hyperlink"/>
                <w:rFonts w:ascii="Arial" w:hAnsi="Arial" w:cs="Arial"/>
                <w:b/>
                <w:bCs/>
                <w:noProof/>
                <w:sz w:val="22"/>
                <w:szCs w:val="22"/>
                <w:lang w:val="en-GB"/>
              </w:rPr>
              <w:t>2.2 Talent Acquisition and retention</w:t>
            </w:r>
            <w:r w:rsidRPr="00B51BAA">
              <w:rPr>
                <w:rFonts w:ascii="Arial" w:hAnsi="Arial" w:cs="Arial"/>
                <w:noProof/>
                <w:webHidden/>
                <w:sz w:val="22"/>
                <w:szCs w:val="22"/>
              </w:rPr>
              <w:tab/>
            </w:r>
            <w:r w:rsidRPr="00B51BAA">
              <w:rPr>
                <w:rFonts w:ascii="Arial" w:hAnsi="Arial" w:cs="Arial"/>
                <w:noProof/>
                <w:webHidden/>
                <w:sz w:val="22"/>
                <w:szCs w:val="22"/>
              </w:rPr>
              <w:fldChar w:fldCharType="begin"/>
            </w:r>
            <w:r w:rsidRPr="00B51BAA">
              <w:rPr>
                <w:rFonts w:ascii="Arial" w:hAnsi="Arial" w:cs="Arial"/>
                <w:noProof/>
                <w:webHidden/>
                <w:sz w:val="22"/>
                <w:szCs w:val="22"/>
              </w:rPr>
              <w:instrText xml:space="preserve"> PAGEREF _Toc227403476 \h </w:instrText>
            </w:r>
            <w:r w:rsidRPr="00B51BAA">
              <w:rPr>
                <w:rFonts w:ascii="Arial" w:hAnsi="Arial" w:cs="Arial"/>
                <w:noProof/>
                <w:webHidden/>
                <w:sz w:val="22"/>
                <w:szCs w:val="22"/>
              </w:rPr>
            </w:r>
            <w:r w:rsidRPr="00B51BAA">
              <w:rPr>
                <w:rFonts w:ascii="Arial" w:hAnsi="Arial" w:cs="Arial"/>
                <w:noProof/>
                <w:webHidden/>
                <w:sz w:val="22"/>
                <w:szCs w:val="22"/>
              </w:rPr>
              <w:fldChar w:fldCharType="separate"/>
            </w:r>
            <w:r w:rsidRPr="00B51BAA">
              <w:rPr>
                <w:rFonts w:ascii="Arial" w:hAnsi="Arial" w:cs="Arial"/>
                <w:noProof/>
                <w:webHidden/>
                <w:sz w:val="22"/>
                <w:szCs w:val="22"/>
              </w:rPr>
              <w:t>3</w:t>
            </w:r>
            <w:r w:rsidRPr="00B51BAA">
              <w:rPr>
                <w:rFonts w:ascii="Arial" w:hAnsi="Arial" w:cs="Arial"/>
                <w:noProof/>
                <w:webHidden/>
                <w:sz w:val="22"/>
                <w:szCs w:val="22"/>
              </w:rPr>
              <w:fldChar w:fldCharType="end"/>
            </w:r>
          </w:hyperlink>
        </w:p>
        <w:p w14:paraId="11D170F0" w14:textId="2F237469" w:rsidR="00AE09DC" w:rsidRPr="00B51BAA" w:rsidRDefault="00AE09DC" w:rsidP="00A76FEB">
          <w:pPr>
            <w:pStyle w:val="TOC2"/>
            <w:tabs>
              <w:tab w:val="right" w:leader="dot" w:pos="9069"/>
            </w:tabs>
            <w:spacing w:after="0" w:line="360" w:lineRule="auto"/>
            <w:jc w:val="both"/>
            <w:rPr>
              <w:rFonts w:ascii="Arial" w:eastAsiaTheme="minorEastAsia" w:hAnsi="Arial" w:cs="Arial"/>
              <w:noProof/>
              <w:color w:val="auto"/>
              <w:kern w:val="2"/>
              <w:sz w:val="22"/>
              <w:szCs w:val="22"/>
              <w14:ligatures w14:val="standardContextual"/>
            </w:rPr>
          </w:pPr>
          <w:hyperlink w:anchor="_Toc227403477" w:history="1">
            <w:r w:rsidRPr="00B51BAA">
              <w:rPr>
                <w:rStyle w:val="Hyperlink"/>
                <w:rFonts w:ascii="Arial" w:hAnsi="Arial" w:cs="Arial"/>
                <w:b/>
                <w:bCs/>
                <w:noProof/>
                <w:sz w:val="22"/>
                <w:szCs w:val="22"/>
                <w:lang w:val="en-GB"/>
              </w:rPr>
              <w:t>2.3 Diversity, Equity and Inclusion (DEI)</w:t>
            </w:r>
            <w:r w:rsidRPr="00B51BAA">
              <w:rPr>
                <w:rFonts w:ascii="Arial" w:hAnsi="Arial" w:cs="Arial"/>
                <w:noProof/>
                <w:webHidden/>
                <w:sz w:val="22"/>
                <w:szCs w:val="22"/>
              </w:rPr>
              <w:tab/>
            </w:r>
            <w:r w:rsidRPr="00B51BAA">
              <w:rPr>
                <w:rFonts w:ascii="Arial" w:hAnsi="Arial" w:cs="Arial"/>
                <w:noProof/>
                <w:webHidden/>
                <w:sz w:val="22"/>
                <w:szCs w:val="22"/>
              </w:rPr>
              <w:fldChar w:fldCharType="begin"/>
            </w:r>
            <w:r w:rsidRPr="00B51BAA">
              <w:rPr>
                <w:rFonts w:ascii="Arial" w:hAnsi="Arial" w:cs="Arial"/>
                <w:noProof/>
                <w:webHidden/>
                <w:sz w:val="22"/>
                <w:szCs w:val="22"/>
              </w:rPr>
              <w:instrText xml:space="preserve"> PAGEREF _Toc227403477 \h </w:instrText>
            </w:r>
            <w:r w:rsidRPr="00B51BAA">
              <w:rPr>
                <w:rFonts w:ascii="Arial" w:hAnsi="Arial" w:cs="Arial"/>
                <w:noProof/>
                <w:webHidden/>
                <w:sz w:val="22"/>
                <w:szCs w:val="22"/>
              </w:rPr>
            </w:r>
            <w:r w:rsidRPr="00B51BAA">
              <w:rPr>
                <w:rFonts w:ascii="Arial" w:hAnsi="Arial" w:cs="Arial"/>
                <w:noProof/>
                <w:webHidden/>
                <w:sz w:val="22"/>
                <w:szCs w:val="22"/>
              </w:rPr>
              <w:fldChar w:fldCharType="separate"/>
            </w:r>
            <w:r w:rsidRPr="00B51BAA">
              <w:rPr>
                <w:rFonts w:ascii="Arial" w:hAnsi="Arial" w:cs="Arial"/>
                <w:noProof/>
                <w:webHidden/>
                <w:sz w:val="22"/>
                <w:szCs w:val="22"/>
              </w:rPr>
              <w:t>4</w:t>
            </w:r>
            <w:r w:rsidRPr="00B51BAA">
              <w:rPr>
                <w:rFonts w:ascii="Arial" w:hAnsi="Arial" w:cs="Arial"/>
                <w:noProof/>
                <w:webHidden/>
                <w:sz w:val="22"/>
                <w:szCs w:val="22"/>
              </w:rPr>
              <w:fldChar w:fldCharType="end"/>
            </w:r>
          </w:hyperlink>
        </w:p>
        <w:p w14:paraId="2AE673EA" w14:textId="6D2735FC" w:rsidR="00AE09DC" w:rsidRPr="00B51BAA" w:rsidRDefault="00AE09DC" w:rsidP="00A76FEB">
          <w:pPr>
            <w:pStyle w:val="TOC1"/>
            <w:tabs>
              <w:tab w:val="right" w:leader="dot" w:pos="9069"/>
            </w:tabs>
            <w:spacing w:after="0" w:line="360" w:lineRule="auto"/>
            <w:jc w:val="both"/>
            <w:rPr>
              <w:rFonts w:ascii="Arial" w:eastAsiaTheme="minorEastAsia" w:hAnsi="Arial" w:cs="Arial"/>
              <w:noProof/>
              <w:color w:val="auto"/>
              <w:kern w:val="2"/>
              <w:sz w:val="22"/>
              <w:szCs w:val="22"/>
              <w14:ligatures w14:val="standardContextual"/>
            </w:rPr>
          </w:pPr>
          <w:hyperlink w:anchor="_Toc227403478" w:history="1">
            <w:r w:rsidRPr="00B51BAA">
              <w:rPr>
                <w:rStyle w:val="Hyperlink"/>
                <w:rFonts w:ascii="Arial" w:hAnsi="Arial" w:cs="Arial"/>
                <w:b/>
                <w:bCs/>
                <w:noProof/>
                <w:sz w:val="22"/>
                <w:szCs w:val="22"/>
                <w:lang w:val="en-GB"/>
              </w:rPr>
              <w:t>3 – Evaluation of contemporary HR practices to address key factors.</w:t>
            </w:r>
            <w:r w:rsidRPr="00B51BAA">
              <w:rPr>
                <w:rFonts w:ascii="Arial" w:hAnsi="Arial" w:cs="Arial"/>
                <w:noProof/>
                <w:webHidden/>
                <w:sz w:val="22"/>
                <w:szCs w:val="22"/>
              </w:rPr>
              <w:tab/>
            </w:r>
            <w:r w:rsidRPr="00B51BAA">
              <w:rPr>
                <w:rFonts w:ascii="Arial" w:hAnsi="Arial" w:cs="Arial"/>
                <w:noProof/>
                <w:webHidden/>
                <w:sz w:val="22"/>
                <w:szCs w:val="22"/>
              </w:rPr>
              <w:fldChar w:fldCharType="begin"/>
            </w:r>
            <w:r w:rsidRPr="00B51BAA">
              <w:rPr>
                <w:rFonts w:ascii="Arial" w:hAnsi="Arial" w:cs="Arial"/>
                <w:noProof/>
                <w:webHidden/>
                <w:sz w:val="22"/>
                <w:szCs w:val="22"/>
              </w:rPr>
              <w:instrText xml:space="preserve"> PAGEREF _Toc227403478 \h </w:instrText>
            </w:r>
            <w:r w:rsidRPr="00B51BAA">
              <w:rPr>
                <w:rFonts w:ascii="Arial" w:hAnsi="Arial" w:cs="Arial"/>
                <w:noProof/>
                <w:webHidden/>
                <w:sz w:val="22"/>
                <w:szCs w:val="22"/>
              </w:rPr>
            </w:r>
            <w:r w:rsidRPr="00B51BAA">
              <w:rPr>
                <w:rFonts w:ascii="Arial" w:hAnsi="Arial" w:cs="Arial"/>
                <w:noProof/>
                <w:webHidden/>
                <w:sz w:val="22"/>
                <w:szCs w:val="22"/>
              </w:rPr>
              <w:fldChar w:fldCharType="separate"/>
            </w:r>
            <w:r w:rsidRPr="00B51BAA">
              <w:rPr>
                <w:rFonts w:ascii="Arial" w:hAnsi="Arial" w:cs="Arial"/>
                <w:noProof/>
                <w:webHidden/>
                <w:sz w:val="22"/>
                <w:szCs w:val="22"/>
              </w:rPr>
              <w:t>4</w:t>
            </w:r>
            <w:r w:rsidRPr="00B51BAA">
              <w:rPr>
                <w:rFonts w:ascii="Arial" w:hAnsi="Arial" w:cs="Arial"/>
                <w:noProof/>
                <w:webHidden/>
                <w:sz w:val="22"/>
                <w:szCs w:val="22"/>
              </w:rPr>
              <w:fldChar w:fldCharType="end"/>
            </w:r>
          </w:hyperlink>
        </w:p>
        <w:p w14:paraId="65F9B1D8" w14:textId="351D1B04" w:rsidR="00AE09DC" w:rsidRPr="00B51BAA" w:rsidRDefault="00AE09DC" w:rsidP="00A76FEB">
          <w:pPr>
            <w:pStyle w:val="TOC1"/>
            <w:tabs>
              <w:tab w:val="right" w:leader="dot" w:pos="9069"/>
            </w:tabs>
            <w:spacing w:after="0" w:line="360" w:lineRule="auto"/>
            <w:jc w:val="both"/>
            <w:rPr>
              <w:rFonts w:ascii="Arial" w:eastAsiaTheme="minorEastAsia" w:hAnsi="Arial" w:cs="Arial"/>
              <w:noProof/>
              <w:color w:val="auto"/>
              <w:kern w:val="2"/>
              <w:sz w:val="22"/>
              <w:szCs w:val="22"/>
              <w14:ligatures w14:val="standardContextual"/>
            </w:rPr>
          </w:pPr>
          <w:hyperlink w:anchor="_Toc227403479" w:history="1">
            <w:r w:rsidRPr="00B51BAA">
              <w:rPr>
                <w:rStyle w:val="Hyperlink"/>
                <w:rFonts w:ascii="Arial" w:hAnsi="Arial" w:cs="Arial"/>
                <w:b/>
                <w:bCs/>
                <w:noProof/>
                <w:sz w:val="22"/>
                <w:szCs w:val="22"/>
                <w:lang w:val="en-GB"/>
              </w:rPr>
              <w:t>4 – How to ensure that continuous practices are being implemented</w:t>
            </w:r>
            <w:r w:rsidRPr="00B51BAA">
              <w:rPr>
                <w:rFonts w:ascii="Arial" w:hAnsi="Arial" w:cs="Arial"/>
                <w:noProof/>
                <w:webHidden/>
                <w:sz w:val="22"/>
                <w:szCs w:val="22"/>
              </w:rPr>
              <w:tab/>
            </w:r>
            <w:r w:rsidRPr="00B51BAA">
              <w:rPr>
                <w:rFonts w:ascii="Arial" w:hAnsi="Arial" w:cs="Arial"/>
                <w:noProof/>
                <w:webHidden/>
                <w:sz w:val="22"/>
                <w:szCs w:val="22"/>
              </w:rPr>
              <w:fldChar w:fldCharType="begin"/>
            </w:r>
            <w:r w:rsidRPr="00B51BAA">
              <w:rPr>
                <w:rFonts w:ascii="Arial" w:hAnsi="Arial" w:cs="Arial"/>
                <w:noProof/>
                <w:webHidden/>
                <w:sz w:val="22"/>
                <w:szCs w:val="22"/>
              </w:rPr>
              <w:instrText xml:space="preserve"> PAGEREF _Toc227403479 \h </w:instrText>
            </w:r>
            <w:r w:rsidRPr="00B51BAA">
              <w:rPr>
                <w:rFonts w:ascii="Arial" w:hAnsi="Arial" w:cs="Arial"/>
                <w:noProof/>
                <w:webHidden/>
                <w:sz w:val="22"/>
                <w:szCs w:val="22"/>
              </w:rPr>
            </w:r>
            <w:r w:rsidRPr="00B51BAA">
              <w:rPr>
                <w:rFonts w:ascii="Arial" w:hAnsi="Arial" w:cs="Arial"/>
                <w:noProof/>
                <w:webHidden/>
                <w:sz w:val="22"/>
                <w:szCs w:val="22"/>
              </w:rPr>
              <w:fldChar w:fldCharType="separate"/>
            </w:r>
            <w:r w:rsidRPr="00B51BAA">
              <w:rPr>
                <w:rFonts w:ascii="Arial" w:hAnsi="Arial" w:cs="Arial"/>
                <w:noProof/>
                <w:webHidden/>
                <w:sz w:val="22"/>
                <w:szCs w:val="22"/>
              </w:rPr>
              <w:t>5</w:t>
            </w:r>
            <w:r w:rsidRPr="00B51BAA">
              <w:rPr>
                <w:rFonts w:ascii="Arial" w:hAnsi="Arial" w:cs="Arial"/>
                <w:noProof/>
                <w:webHidden/>
                <w:sz w:val="22"/>
                <w:szCs w:val="22"/>
              </w:rPr>
              <w:fldChar w:fldCharType="end"/>
            </w:r>
          </w:hyperlink>
        </w:p>
        <w:p w14:paraId="3728A381" w14:textId="442F24E9" w:rsidR="00AE09DC" w:rsidRPr="00B51BAA" w:rsidRDefault="00AE09DC" w:rsidP="00A76FEB">
          <w:pPr>
            <w:pStyle w:val="TOC1"/>
            <w:tabs>
              <w:tab w:val="right" w:leader="dot" w:pos="9069"/>
            </w:tabs>
            <w:spacing w:after="0" w:line="360" w:lineRule="auto"/>
            <w:jc w:val="both"/>
            <w:rPr>
              <w:rFonts w:ascii="Arial" w:eastAsiaTheme="minorEastAsia" w:hAnsi="Arial" w:cs="Arial"/>
              <w:noProof/>
              <w:color w:val="auto"/>
              <w:kern w:val="2"/>
              <w:sz w:val="22"/>
              <w:szCs w:val="22"/>
              <w14:ligatures w14:val="standardContextual"/>
            </w:rPr>
          </w:pPr>
          <w:hyperlink w:anchor="_Toc227403480" w:history="1">
            <w:r w:rsidRPr="00B51BAA">
              <w:rPr>
                <w:rStyle w:val="Hyperlink"/>
                <w:rFonts w:ascii="Arial" w:hAnsi="Arial" w:cs="Arial"/>
                <w:b/>
                <w:bCs/>
                <w:noProof/>
                <w:sz w:val="22"/>
                <w:szCs w:val="22"/>
                <w:lang w:val="en-GB"/>
              </w:rPr>
              <w:t>5 – Recommendations</w:t>
            </w:r>
            <w:r w:rsidRPr="00B51BAA">
              <w:rPr>
                <w:rFonts w:ascii="Arial" w:hAnsi="Arial" w:cs="Arial"/>
                <w:noProof/>
                <w:webHidden/>
                <w:sz w:val="22"/>
                <w:szCs w:val="22"/>
              </w:rPr>
              <w:tab/>
            </w:r>
            <w:r w:rsidRPr="00B51BAA">
              <w:rPr>
                <w:rFonts w:ascii="Arial" w:hAnsi="Arial" w:cs="Arial"/>
                <w:noProof/>
                <w:webHidden/>
                <w:sz w:val="22"/>
                <w:szCs w:val="22"/>
              </w:rPr>
              <w:fldChar w:fldCharType="begin"/>
            </w:r>
            <w:r w:rsidRPr="00B51BAA">
              <w:rPr>
                <w:rFonts w:ascii="Arial" w:hAnsi="Arial" w:cs="Arial"/>
                <w:noProof/>
                <w:webHidden/>
                <w:sz w:val="22"/>
                <w:szCs w:val="22"/>
              </w:rPr>
              <w:instrText xml:space="preserve"> PAGEREF _Toc227403480 \h </w:instrText>
            </w:r>
            <w:r w:rsidRPr="00B51BAA">
              <w:rPr>
                <w:rFonts w:ascii="Arial" w:hAnsi="Arial" w:cs="Arial"/>
                <w:noProof/>
                <w:webHidden/>
                <w:sz w:val="22"/>
                <w:szCs w:val="22"/>
              </w:rPr>
            </w:r>
            <w:r w:rsidRPr="00B51BAA">
              <w:rPr>
                <w:rFonts w:ascii="Arial" w:hAnsi="Arial" w:cs="Arial"/>
                <w:noProof/>
                <w:webHidden/>
                <w:sz w:val="22"/>
                <w:szCs w:val="22"/>
              </w:rPr>
              <w:fldChar w:fldCharType="separate"/>
            </w:r>
            <w:r w:rsidRPr="00B51BAA">
              <w:rPr>
                <w:rFonts w:ascii="Arial" w:hAnsi="Arial" w:cs="Arial"/>
                <w:noProof/>
                <w:webHidden/>
                <w:sz w:val="22"/>
                <w:szCs w:val="22"/>
              </w:rPr>
              <w:t>6</w:t>
            </w:r>
            <w:r w:rsidRPr="00B51BAA">
              <w:rPr>
                <w:rFonts w:ascii="Arial" w:hAnsi="Arial" w:cs="Arial"/>
                <w:noProof/>
                <w:webHidden/>
                <w:sz w:val="22"/>
                <w:szCs w:val="22"/>
              </w:rPr>
              <w:fldChar w:fldCharType="end"/>
            </w:r>
          </w:hyperlink>
        </w:p>
        <w:p w14:paraId="2D156541" w14:textId="4331D55A" w:rsidR="00AE09DC" w:rsidRPr="00B51BAA" w:rsidRDefault="00AE09DC" w:rsidP="00A76FEB">
          <w:pPr>
            <w:pStyle w:val="TOC1"/>
            <w:tabs>
              <w:tab w:val="right" w:leader="dot" w:pos="9069"/>
            </w:tabs>
            <w:spacing w:after="0" w:line="360" w:lineRule="auto"/>
            <w:jc w:val="both"/>
            <w:rPr>
              <w:rFonts w:ascii="Arial" w:eastAsiaTheme="minorEastAsia" w:hAnsi="Arial" w:cs="Arial"/>
              <w:noProof/>
              <w:color w:val="auto"/>
              <w:kern w:val="2"/>
              <w:sz w:val="22"/>
              <w:szCs w:val="22"/>
              <w14:ligatures w14:val="standardContextual"/>
            </w:rPr>
          </w:pPr>
          <w:hyperlink w:anchor="_Toc227403481" w:history="1">
            <w:r w:rsidRPr="00B51BAA">
              <w:rPr>
                <w:rStyle w:val="Hyperlink"/>
                <w:rFonts w:ascii="Arial" w:hAnsi="Arial" w:cs="Arial"/>
                <w:b/>
                <w:bCs/>
                <w:noProof/>
                <w:sz w:val="22"/>
                <w:szCs w:val="22"/>
                <w:lang w:val="en-GB"/>
              </w:rPr>
              <w:t>7 - Reference List</w:t>
            </w:r>
            <w:r w:rsidRPr="00B51BAA">
              <w:rPr>
                <w:rFonts w:ascii="Arial" w:hAnsi="Arial" w:cs="Arial"/>
                <w:noProof/>
                <w:webHidden/>
                <w:sz w:val="22"/>
                <w:szCs w:val="22"/>
              </w:rPr>
              <w:tab/>
            </w:r>
            <w:r w:rsidRPr="00B51BAA">
              <w:rPr>
                <w:rFonts w:ascii="Arial" w:hAnsi="Arial" w:cs="Arial"/>
                <w:noProof/>
                <w:webHidden/>
                <w:sz w:val="22"/>
                <w:szCs w:val="22"/>
              </w:rPr>
              <w:fldChar w:fldCharType="begin"/>
            </w:r>
            <w:r w:rsidRPr="00B51BAA">
              <w:rPr>
                <w:rFonts w:ascii="Arial" w:hAnsi="Arial" w:cs="Arial"/>
                <w:noProof/>
                <w:webHidden/>
                <w:sz w:val="22"/>
                <w:szCs w:val="22"/>
              </w:rPr>
              <w:instrText xml:space="preserve"> PAGEREF _Toc227403481 \h </w:instrText>
            </w:r>
            <w:r w:rsidRPr="00B51BAA">
              <w:rPr>
                <w:rFonts w:ascii="Arial" w:hAnsi="Arial" w:cs="Arial"/>
                <w:noProof/>
                <w:webHidden/>
                <w:sz w:val="22"/>
                <w:szCs w:val="22"/>
              </w:rPr>
            </w:r>
            <w:r w:rsidRPr="00B51BAA">
              <w:rPr>
                <w:rFonts w:ascii="Arial" w:hAnsi="Arial" w:cs="Arial"/>
                <w:noProof/>
                <w:webHidden/>
                <w:sz w:val="22"/>
                <w:szCs w:val="22"/>
              </w:rPr>
              <w:fldChar w:fldCharType="separate"/>
            </w:r>
            <w:r w:rsidRPr="00B51BAA">
              <w:rPr>
                <w:rFonts w:ascii="Arial" w:hAnsi="Arial" w:cs="Arial"/>
                <w:noProof/>
                <w:webHidden/>
                <w:sz w:val="22"/>
                <w:szCs w:val="22"/>
              </w:rPr>
              <w:t>10</w:t>
            </w:r>
            <w:r w:rsidRPr="00B51BAA">
              <w:rPr>
                <w:rFonts w:ascii="Arial" w:hAnsi="Arial" w:cs="Arial"/>
                <w:noProof/>
                <w:webHidden/>
                <w:sz w:val="22"/>
                <w:szCs w:val="22"/>
              </w:rPr>
              <w:fldChar w:fldCharType="end"/>
            </w:r>
          </w:hyperlink>
        </w:p>
        <w:p w14:paraId="3C7FF346" w14:textId="28DA3CD7" w:rsidR="006774CA" w:rsidRPr="00B51BAA" w:rsidRDefault="006774CA" w:rsidP="00A76FEB">
          <w:pPr>
            <w:spacing w:after="0" w:line="360" w:lineRule="auto"/>
            <w:jc w:val="both"/>
            <w:rPr>
              <w:rFonts w:ascii="Arial" w:hAnsi="Arial" w:cs="Arial"/>
              <w:sz w:val="22"/>
              <w:szCs w:val="22"/>
            </w:rPr>
          </w:pPr>
          <w:r w:rsidRPr="00B51BAA">
            <w:rPr>
              <w:rFonts w:ascii="Arial" w:hAnsi="Arial" w:cs="Arial"/>
              <w:b/>
              <w:bCs/>
              <w:sz w:val="22"/>
              <w:szCs w:val="22"/>
              <w:lang w:val="en-GB"/>
            </w:rPr>
            <w:fldChar w:fldCharType="end"/>
          </w:r>
        </w:p>
      </w:sdtContent>
    </w:sdt>
    <w:p w14:paraId="70A95518" w14:textId="77777777" w:rsidR="005F7E8F" w:rsidRPr="00B51BAA" w:rsidRDefault="005F7E8F" w:rsidP="00A76FEB">
      <w:pPr>
        <w:suppressAutoHyphens w:val="0"/>
        <w:spacing w:after="0" w:line="360" w:lineRule="auto"/>
        <w:ind w:left="0" w:firstLine="0"/>
        <w:jc w:val="both"/>
        <w:rPr>
          <w:rFonts w:ascii="Arial" w:hAnsi="Arial" w:cs="Arial"/>
          <w:color w:val="auto"/>
          <w:sz w:val="22"/>
          <w:szCs w:val="22"/>
          <w:lang w:val="en-GB"/>
        </w:rPr>
      </w:pPr>
      <w:r w:rsidRPr="00B51BAA">
        <w:rPr>
          <w:rFonts w:ascii="Arial" w:hAnsi="Arial" w:cs="Arial"/>
          <w:color w:val="auto"/>
          <w:sz w:val="22"/>
          <w:szCs w:val="22"/>
          <w:lang w:val="en-GB"/>
        </w:rPr>
        <w:br w:type="page"/>
      </w:r>
    </w:p>
    <w:p w14:paraId="5BD2BF73" w14:textId="77777777" w:rsidR="006C23E4" w:rsidRPr="00B51BAA" w:rsidRDefault="006C23E4" w:rsidP="00A76FEB">
      <w:pPr>
        <w:pageBreakBefore/>
        <w:suppressAutoHyphens w:val="0"/>
        <w:spacing w:after="0" w:line="360" w:lineRule="auto"/>
        <w:ind w:left="0" w:firstLine="0"/>
        <w:jc w:val="both"/>
        <w:rPr>
          <w:rFonts w:ascii="Arial" w:hAnsi="Arial" w:cs="Arial"/>
          <w:color w:val="auto"/>
          <w:sz w:val="22"/>
          <w:szCs w:val="22"/>
          <w:lang w:val="en-GB"/>
        </w:rPr>
      </w:pPr>
    </w:p>
    <w:p w14:paraId="6D8DB5E9" w14:textId="715128ED" w:rsidR="006C23E4" w:rsidRPr="00B51BAA" w:rsidRDefault="00037A50" w:rsidP="00AC2ECE">
      <w:pPr>
        <w:pStyle w:val="Heading1"/>
        <w:spacing w:line="360" w:lineRule="auto"/>
        <w:ind w:firstLine="698"/>
        <w:jc w:val="center"/>
        <w:rPr>
          <w:rFonts w:ascii="Arial" w:hAnsi="Arial" w:cs="Arial"/>
          <w:b/>
          <w:bCs/>
          <w:color w:val="auto"/>
          <w:sz w:val="22"/>
          <w:szCs w:val="22"/>
          <w:lang w:val="en-GB"/>
        </w:rPr>
      </w:pPr>
      <w:bookmarkStart w:id="4" w:name="_Toc11991"/>
      <w:bookmarkStart w:id="5" w:name="_Toc223898304"/>
      <w:bookmarkStart w:id="6" w:name="_Toc224149234"/>
      <w:bookmarkStart w:id="7" w:name="_Toc227403473"/>
      <w:r w:rsidRPr="00B51BAA">
        <w:rPr>
          <w:rFonts w:ascii="Arial" w:hAnsi="Arial" w:cs="Arial"/>
          <w:b/>
          <w:bCs/>
          <w:color w:val="auto"/>
          <w:sz w:val="22"/>
          <w:szCs w:val="22"/>
          <w:lang w:val="en-GB"/>
        </w:rPr>
        <w:t xml:space="preserve">1 – </w:t>
      </w:r>
      <w:bookmarkEnd w:id="4"/>
      <w:r w:rsidRPr="00B51BAA">
        <w:rPr>
          <w:rFonts w:ascii="Arial" w:hAnsi="Arial" w:cs="Arial"/>
          <w:b/>
          <w:bCs/>
          <w:color w:val="auto"/>
          <w:sz w:val="22"/>
          <w:szCs w:val="22"/>
          <w:lang w:val="en-GB"/>
        </w:rPr>
        <w:t>Introduction</w:t>
      </w:r>
      <w:bookmarkEnd w:id="5"/>
      <w:bookmarkEnd w:id="6"/>
      <w:bookmarkEnd w:id="7"/>
    </w:p>
    <w:p w14:paraId="625E000F" w14:textId="7913B4E4" w:rsidR="0053777D" w:rsidRPr="00B51BAA" w:rsidRDefault="00A9487C" w:rsidP="00A76FEB">
      <w:pPr>
        <w:spacing w:after="0" w:line="360" w:lineRule="auto"/>
        <w:ind w:left="0" w:firstLine="708"/>
        <w:jc w:val="both"/>
        <w:rPr>
          <w:rFonts w:ascii="Arial" w:hAnsi="Arial" w:cs="Arial"/>
          <w:sz w:val="22"/>
          <w:szCs w:val="22"/>
          <w:lang w:val="en-GB"/>
        </w:rPr>
      </w:pPr>
      <w:r w:rsidRPr="00B51BAA">
        <w:rPr>
          <w:rFonts w:ascii="Arial" w:hAnsi="Arial" w:cs="Arial"/>
          <w:sz w:val="22"/>
          <w:szCs w:val="22"/>
          <w:lang w:val="en-GB"/>
        </w:rPr>
        <w:t>In the scenario of the case in question, the HR department of the companies Waitrose &amp; Partner faces many problems</w:t>
      </w:r>
      <w:bookmarkStart w:id="8" w:name="_Toc11992"/>
      <w:r w:rsidR="00DE4B22" w:rsidRPr="00B51BAA">
        <w:rPr>
          <w:rFonts w:ascii="Arial" w:hAnsi="Arial" w:cs="Arial"/>
          <w:sz w:val="22"/>
          <w:szCs w:val="22"/>
          <w:lang w:val="en-GB"/>
        </w:rPr>
        <w:t>,</w:t>
      </w:r>
      <w:r w:rsidR="0053777D" w:rsidRPr="00B51BAA">
        <w:rPr>
          <w:rFonts w:ascii="Arial" w:hAnsi="Arial" w:cs="Arial"/>
          <w:sz w:val="22"/>
          <w:szCs w:val="22"/>
          <w:lang w:val="en-GB"/>
        </w:rPr>
        <w:t xml:space="preserve"> linked to rapid changes in the retail sector. These challenges include keeping pace with technological advancements, attracting and retaining talent in a competitive labour market, and strengthening Diversity, Equity and Inclusion (DEI) across the organisation. These issues have created pressure on the HR department and highlighted the need for strategic, modern solutions.</w:t>
      </w:r>
    </w:p>
    <w:p w14:paraId="6D8DB5ED" w14:textId="38EAA44C" w:rsidR="003E0C97" w:rsidRPr="00B51BAA" w:rsidRDefault="0053777D" w:rsidP="00A76FEB">
      <w:pPr>
        <w:spacing w:after="0" w:line="360" w:lineRule="auto"/>
        <w:ind w:left="0" w:firstLine="708"/>
        <w:jc w:val="both"/>
        <w:rPr>
          <w:rFonts w:ascii="Arial" w:hAnsi="Arial" w:cs="Arial"/>
          <w:sz w:val="22"/>
          <w:szCs w:val="22"/>
          <w:lang w:val="en-GB"/>
        </w:rPr>
      </w:pPr>
      <w:r w:rsidRPr="00B51BAA">
        <w:rPr>
          <w:rFonts w:ascii="Arial" w:hAnsi="Arial" w:cs="Arial"/>
          <w:sz w:val="22"/>
          <w:szCs w:val="22"/>
          <w:lang w:val="en-GB"/>
        </w:rPr>
        <w:t>This report, written from the perspective of an HR practitioner, outlines the key factors contributing to these challenges and evaluates a range of contemporary HR practices that can address them. It examines how digital learning, HR analytics, employer branding, wellbeing initiatives, inclusive recruitment, and DEI programmes can support organisational improvement. The report also critically assesses the essential role of departmental managers in ensuring these practices are implemented quickly and effectively.</w:t>
      </w:r>
      <w:r w:rsidR="00B27B70" w:rsidRPr="00B51BAA">
        <w:rPr>
          <w:rFonts w:ascii="Arial" w:hAnsi="Arial" w:cs="Arial"/>
          <w:sz w:val="22"/>
          <w:szCs w:val="22"/>
          <w:lang w:val="en-GB"/>
        </w:rPr>
        <w:t xml:space="preserve"> </w:t>
      </w:r>
      <w:r w:rsidRPr="00B51BAA">
        <w:rPr>
          <w:rFonts w:ascii="Arial" w:hAnsi="Arial" w:cs="Arial"/>
          <w:sz w:val="22"/>
          <w:szCs w:val="22"/>
          <w:lang w:val="en-GB"/>
        </w:rPr>
        <w:t xml:space="preserve">Overall, </w:t>
      </w:r>
      <w:r w:rsidR="008F4161" w:rsidRPr="00B51BAA">
        <w:rPr>
          <w:rFonts w:ascii="Arial" w:hAnsi="Arial" w:cs="Arial"/>
          <w:sz w:val="22"/>
          <w:szCs w:val="22"/>
          <w:lang w:val="en-GB"/>
        </w:rPr>
        <w:t>will be</w:t>
      </w:r>
      <w:r w:rsidR="003574D1" w:rsidRPr="00B51BAA">
        <w:rPr>
          <w:rFonts w:ascii="Arial" w:hAnsi="Arial" w:cs="Arial"/>
          <w:sz w:val="22"/>
          <w:szCs w:val="22"/>
          <w:lang w:val="en-GB"/>
        </w:rPr>
        <w:t xml:space="preserve"> analysed</w:t>
      </w:r>
      <w:r w:rsidRPr="00B51BAA">
        <w:rPr>
          <w:rFonts w:ascii="Arial" w:hAnsi="Arial" w:cs="Arial"/>
          <w:sz w:val="22"/>
          <w:szCs w:val="22"/>
          <w:lang w:val="en-GB"/>
        </w:rPr>
        <w:t xml:space="preserve"> how Waitrose &amp; Partners can strengthen its HR approach and respond proactively to current organisational demands.</w:t>
      </w:r>
    </w:p>
    <w:p w14:paraId="1CADBD38" w14:textId="77777777" w:rsidR="003E0C97" w:rsidRPr="00B51BAA" w:rsidRDefault="003E0C97" w:rsidP="00A76FEB">
      <w:pPr>
        <w:suppressAutoHyphens w:val="0"/>
        <w:spacing w:after="0" w:line="360" w:lineRule="auto"/>
        <w:ind w:left="0" w:firstLine="0"/>
        <w:jc w:val="both"/>
        <w:rPr>
          <w:rFonts w:ascii="Arial" w:hAnsi="Arial" w:cs="Arial"/>
          <w:sz w:val="22"/>
          <w:szCs w:val="22"/>
          <w:lang w:val="en-GB"/>
        </w:rPr>
      </w:pPr>
      <w:r w:rsidRPr="00B51BAA">
        <w:rPr>
          <w:rFonts w:ascii="Arial" w:hAnsi="Arial" w:cs="Arial"/>
          <w:sz w:val="22"/>
          <w:szCs w:val="22"/>
          <w:lang w:val="en-GB"/>
        </w:rPr>
        <w:br w:type="page"/>
      </w:r>
    </w:p>
    <w:p w14:paraId="203E84EE" w14:textId="40FFE03D" w:rsidR="00380EE1" w:rsidRPr="00380EE1" w:rsidRDefault="00037A50" w:rsidP="00380EE1">
      <w:pPr>
        <w:pStyle w:val="Heading1"/>
        <w:spacing w:line="360" w:lineRule="auto"/>
        <w:jc w:val="center"/>
        <w:rPr>
          <w:rFonts w:ascii="Arial" w:hAnsi="Arial" w:cs="Arial"/>
          <w:b/>
          <w:bCs/>
          <w:color w:val="auto"/>
          <w:sz w:val="22"/>
          <w:szCs w:val="22"/>
          <w:lang w:val="en-GB"/>
        </w:rPr>
      </w:pPr>
      <w:bookmarkStart w:id="9" w:name="_Toc223898305"/>
      <w:bookmarkStart w:id="10" w:name="_Toc224149235"/>
      <w:bookmarkStart w:id="11" w:name="_Toc227403474"/>
      <w:r w:rsidRPr="00B51BAA">
        <w:rPr>
          <w:rFonts w:ascii="Arial" w:hAnsi="Arial" w:cs="Arial"/>
          <w:b/>
          <w:bCs/>
          <w:color w:val="auto"/>
          <w:sz w:val="22"/>
          <w:szCs w:val="22"/>
          <w:lang w:val="en-GB"/>
        </w:rPr>
        <w:lastRenderedPageBreak/>
        <w:t xml:space="preserve">2 </w:t>
      </w:r>
      <w:r w:rsidR="00393CB4" w:rsidRPr="00B51BAA">
        <w:rPr>
          <w:rFonts w:ascii="Arial" w:hAnsi="Arial" w:cs="Arial"/>
          <w:b/>
          <w:bCs/>
          <w:color w:val="auto"/>
          <w:sz w:val="22"/>
          <w:szCs w:val="22"/>
          <w:lang w:val="en-GB"/>
        </w:rPr>
        <w:t>–</w:t>
      </w:r>
      <w:r w:rsidRPr="00B51BAA">
        <w:rPr>
          <w:rFonts w:ascii="Arial" w:hAnsi="Arial" w:cs="Arial"/>
          <w:b/>
          <w:bCs/>
          <w:color w:val="auto"/>
          <w:sz w:val="22"/>
          <w:szCs w:val="22"/>
          <w:lang w:val="en-GB"/>
        </w:rPr>
        <w:t xml:space="preserve"> </w:t>
      </w:r>
      <w:bookmarkEnd w:id="8"/>
      <w:bookmarkEnd w:id="9"/>
      <w:r w:rsidR="00B33E1A" w:rsidRPr="00B51BAA">
        <w:rPr>
          <w:rFonts w:ascii="Arial" w:hAnsi="Arial" w:cs="Arial"/>
          <w:b/>
          <w:bCs/>
          <w:color w:val="auto"/>
          <w:sz w:val="22"/>
          <w:szCs w:val="22"/>
          <w:lang w:val="en-GB"/>
        </w:rPr>
        <w:t>Key HR fac</w:t>
      </w:r>
      <w:r w:rsidR="00BC6DC9" w:rsidRPr="00B51BAA">
        <w:rPr>
          <w:rFonts w:ascii="Arial" w:hAnsi="Arial" w:cs="Arial"/>
          <w:b/>
          <w:bCs/>
          <w:color w:val="auto"/>
          <w:sz w:val="22"/>
          <w:szCs w:val="22"/>
          <w:lang w:val="en-GB"/>
        </w:rPr>
        <w:t>tors affecting the company</w:t>
      </w:r>
      <w:bookmarkEnd w:id="10"/>
      <w:bookmarkEnd w:id="11"/>
    </w:p>
    <w:p w14:paraId="3995BA00" w14:textId="77777777" w:rsidR="00B34288" w:rsidRPr="00B51BAA" w:rsidRDefault="00B34288" w:rsidP="00A76FEB">
      <w:pPr>
        <w:pStyle w:val="Heading2"/>
        <w:spacing w:before="0" w:line="360" w:lineRule="auto"/>
        <w:jc w:val="both"/>
        <w:rPr>
          <w:rFonts w:ascii="Arial" w:hAnsi="Arial" w:cs="Arial"/>
          <w:b/>
          <w:bCs/>
          <w:color w:val="auto"/>
          <w:sz w:val="22"/>
          <w:szCs w:val="22"/>
          <w:lang w:val="en-GB"/>
        </w:rPr>
      </w:pPr>
      <w:bookmarkStart w:id="12" w:name="_Toc224149236"/>
      <w:bookmarkStart w:id="13" w:name="_Toc227403475"/>
      <w:r w:rsidRPr="00B51BAA">
        <w:rPr>
          <w:rFonts w:ascii="Arial" w:hAnsi="Arial" w:cs="Arial"/>
          <w:b/>
          <w:bCs/>
          <w:color w:val="auto"/>
          <w:sz w:val="22"/>
          <w:szCs w:val="22"/>
          <w:lang w:val="en-GB"/>
        </w:rPr>
        <w:t>2.1 Meeting up with technological advancement</w:t>
      </w:r>
      <w:bookmarkEnd w:id="12"/>
      <w:bookmarkEnd w:id="13"/>
      <w:r w:rsidRPr="00B51BAA">
        <w:rPr>
          <w:rFonts w:ascii="Arial" w:hAnsi="Arial" w:cs="Arial"/>
          <w:b/>
          <w:bCs/>
          <w:color w:val="auto"/>
          <w:sz w:val="22"/>
          <w:szCs w:val="22"/>
          <w:lang w:val="en-GB"/>
        </w:rPr>
        <w:t xml:space="preserve"> </w:t>
      </w:r>
    </w:p>
    <w:p w14:paraId="43877EC7" w14:textId="64AD5188" w:rsidR="00FE1324" w:rsidRPr="00B51BAA" w:rsidRDefault="00871A8B" w:rsidP="00A76FEB">
      <w:pPr>
        <w:spacing w:after="0" w:line="360" w:lineRule="auto"/>
        <w:ind w:left="0" w:firstLine="708"/>
        <w:jc w:val="both"/>
        <w:rPr>
          <w:rFonts w:ascii="Arial" w:hAnsi="Arial" w:cs="Arial"/>
          <w:sz w:val="22"/>
          <w:szCs w:val="22"/>
          <w:lang w:val="en-GB"/>
        </w:rPr>
      </w:pPr>
      <w:r w:rsidRPr="00B51BAA">
        <w:rPr>
          <w:rFonts w:ascii="Arial" w:hAnsi="Arial" w:cs="Arial"/>
          <w:sz w:val="22"/>
          <w:szCs w:val="22"/>
          <w:lang w:val="en-GB"/>
        </w:rPr>
        <w:t xml:space="preserve">Digitalisation of </w:t>
      </w:r>
      <w:r w:rsidR="00527C11" w:rsidRPr="00B51BAA">
        <w:rPr>
          <w:rFonts w:ascii="Arial" w:hAnsi="Arial" w:cs="Arial"/>
          <w:sz w:val="22"/>
          <w:szCs w:val="22"/>
          <w:lang w:val="en-GB"/>
        </w:rPr>
        <w:t>r</w:t>
      </w:r>
      <w:r w:rsidRPr="00B51BAA">
        <w:rPr>
          <w:rFonts w:ascii="Arial" w:hAnsi="Arial" w:cs="Arial"/>
          <w:sz w:val="22"/>
          <w:szCs w:val="22"/>
          <w:lang w:val="en-GB"/>
        </w:rPr>
        <w:t xml:space="preserve">etail </w:t>
      </w:r>
      <w:r w:rsidR="00527C11" w:rsidRPr="00B51BAA">
        <w:rPr>
          <w:rFonts w:ascii="Arial" w:hAnsi="Arial" w:cs="Arial"/>
          <w:sz w:val="22"/>
          <w:szCs w:val="22"/>
          <w:lang w:val="en-GB"/>
        </w:rPr>
        <w:t>operations and changing skill requirements</w:t>
      </w:r>
      <w:r w:rsidR="00B868C6" w:rsidRPr="00B51BAA">
        <w:rPr>
          <w:rFonts w:ascii="Arial" w:hAnsi="Arial" w:cs="Arial"/>
          <w:sz w:val="22"/>
          <w:szCs w:val="22"/>
          <w:lang w:val="en-GB"/>
        </w:rPr>
        <w:t xml:space="preserve"> are factors that currently influence, </w:t>
      </w:r>
      <w:proofErr w:type="gramStart"/>
      <w:r w:rsidR="00B868C6" w:rsidRPr="00B51BAA">
        <w:rPr>
          <w:rFonts w:ascii="Arial" w:hAnsi="Arial" w:cs="Arial"/>
          <w:sz w:val="22"/>
          <w:szCs w:val="22"/>
          <w:lang w:val="en-GB"/>
        </w:rPr>
        <w:t>since,</w:t>
      </w:r>
      <w:proofErr w:type="gramEnd"/>
      <w:r w:rsidR="00B868C6" w:rsidRPr="00B51BAA">
        <w:rPr>
          <w:rFonts w:ascii="Arial" w:hAnsi="Arial" w:cs="Arial"/>
          <w:sz w:val="22"/>
          <w:szCs w:val="22"/>
          <w:lang w:val="en-GB"/>
        </w:rPr>
        <w:t xml:space="preserve"> t</w:t>
      </w:r>
      <w:r w:rsidRPr="00B51BAA">
        <w:rPr>
          <w:rFonts w:ascii="Arial" w:hAnsi="Arial" w:cs="Arial"/>
          <w:sz w:val="22"/>
          <w:szCs w:val="22"/>
          <w:lang w:val="en-GB"/>
        </w:rPr>
        <w:t>he rise of self</w:t>
      </w:r>
      <w:r w:rsidRPr="00B51BAA">
        <w:rPr>
          <w:rFonts w:ascii="Arial" w:hAnsi="Arial" w:cs="Arial"/>
          <w:sz w:val="22"/>
          <w:szCs w:val="22"/>
          <w:lang w:val="en-GB"/>
        </w:rPr>
        <w:noBreakHyphen/>
        <w:t>checkout systems, online grocery platforms, automated stock</w:t>
      </w:r>
      <w:r w:rsidR="00490507">
        <w:rPr>
          <w:rFonts w:ascii="Arial" w:hAnsi="Arial" w:cs="Arial"/>
          <w:sz w:val="22"/>
          <w:szCs w:val="22"/>
          <w:lang w:val="en-GB"/>
        </w:rPr>
        <w:t xml:space="preserve"> </w:t>
      </w:r>
      <w:r w:rsidRPr="00B51BAA">
        <w:rPr>
          <w:rFonts w:ascii="Arial" w:hAnsi="Arial" w:cs="Arial"/>
          <w:sz w:val="22"/>
          <w:szCs w:val="22"/>
          <w:lang w:val="en-GB"/>
        </w:rPr>
        <w:t>management tools, and data</w:t>
      </w:r>
      <w:r w:rsidRPr="00B51BAA">
        <w:rPr>
          <w:rFonts w:ascii="Arial" w:hAnsi="Arial" w:cs="Arial"/>
          <w:sz w:val="22"/>
          <w:szCs w:val="22"/>
          <w:lang w:val="en-GB"/>
        </w:rPr>
        <w:noBreakHyphen/>
        <w:t>driven decision</w:t>
      </w:r>
      <w:r w:rsidR="00EB34B4">
        <w:rPr>
          <w:rFonts w:ascii="Arial" w:hAnsi="Arial" w:cs="Arial"/>
          <w:sz w:val="22"/>
          <w:szCs w:val="22"/>
          <w:lang w:val="en-GB"/>
        </w:rPr>
        <w:t xml:space="preserve"> </w:t>
      </w:r>
      <w:r w:rsidRPr="00B51BAA">
        <w:rPr>
          <w:rFonts w:ascii="Arial" w:hAnsi="Arial" w:cs="Arial"/>
          <w:sz w:val="22"/>
          <w:szCs w:val="22"/>
          <w:lang w:val="en-GB"/>
        </w:rPr>
        <w:t>making requires employees to develop new digital competencies. Traditional retail roles are evolving. Employees now need hybrid skills that combine customer service with digital literacy. HR must redesign job descriptions, update competency frameworks, and provide continuous learning opportunities.</w:t>
      </w:r>
      <w:r w:rsidR="00155A98" w:rsidRPr="00B51BAA">
        <w:rPr>
          <w:rFonts w:ascii="Arial" w:hAnsi="Arial" w:cs="Arial"/>
          <w:sz w:val="22"/>
          <w:szCs w:val="22"/>
          <w:lang w:val="en-GB"/>
        </w:rPr>
        <w:t xml:space="preserve"> </w:t>
      </w:r>
      <w:r w:rsidR="00FE1324" w:rsidRPr="00B51BAA">
        <w:rPr>
          <w:rFonts w:ascii="Arial" w:hAnsi="Arial" w:cs="Arial"/>
          <w:sz w:val="22"/>
          <w:szCs w:val="22"/>
          <w:lang w:val="en-GB"/>
        </w:rPr>
        <w:t>In the Waitrose supermarket and throughout the national job market, especially in customer service roles, there is a gap in digital skills, as can be seen in the percentages shown in the graph below</w:t>
      </w:r>
      <w:r w:rsidR="000B3DE4" w:rsidRPr="00B51BAA">
        <w:rPr>
          <w:rFonts w:ascii="Arial" w:hAnsi="Arial" w:cs="Arial"/>
          <w:sz w:val="22"/>
          <w:szCs w:val="22"/>
          <w:lang w:val="en-GB"/>
        </w:rPr>
        <w:t>:</w:t>
      </w:r>
    </w:p>
    <w:p w14:paraId="772193DE" w14:textId="10D229F4" w:rsidR="00FC6F12" w:rsidRPr="00B51BAA" w:rsidRDefault="00B45A5A" w:rsidP="00A76FEB">
      <w:pPr>
        <w:spacing w:after="0" w:line="360" w:lineRule="auto"/>
        <w:ind w:left="0" w:firstLine="708"/>
        <w:jc w:val="center"/>
        <w:rPr>
          <w:rFonts w:ascii="Arial" w:hAnsi="Arial" w:cs="Arial"/>
          <w:sz w:val="22"/>
          <w:szCs w:val="22"/>
          <w:lang w:val="en-GB"/>
        </w:rPr>
      </w:pPr>
      <w:r w:rsidRPr="00B51BAA">
        <w:rPr>
          <w:rFonts w:ascii="Arial" w:hAnsi="Arial" w:cs="Arial"/>
          <w:noProof/>
          <w:sz w:val="22"/>
          <w:szCs w:val="22"/>
          <w:lang w:val="en-GB"/>
        </w:rPr>
        <w:drawing>
          <wp:inline distT="0" distB="0" distL="0" distR="0" wp14:anchorId="4A04E04A" wp14:editId="4D6D9701">
            <wp:extent cx="3745523" cy="2157509"/>
            <wp:effectExtent l="0" t="0" r="7620" b="0"/>
            <wp:docPr id="1394203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203965" name=""/>
                    <pic:cNvPicPr/>
                  </pic:nvPicPr>
                  <pic:blipFill>
                    <a:blip r:embed="rId8"/>
                    <a:stretch>
                      <a:fillRect/>
                    </a:stretch>
                  </pic:blipFill>
                  <pic:spPr>
                    <a:xfrm>
                      <a:off x="0" y="0"/>
                      <a:ext cx="3782107" cy="2178582"/>
                    </a:xfrm>
                    <a:prstGeom prst="rect">
                      <a:avLst/>
                    </a:prstGeom>
                  </pic:spPr>
                </pic:pic>
              </a:graphicData>
            </a:graphic>
          </wp:inline>
        </w:drawing>
      </w:r>
      <w:bookmarkStart w:id="14" w:name="_Toc224149237"/>
    </w:p>
    <w:p w14:paraId="4F3F67EF" w14:textId="076B5BD4" w:rsidR="00F95AEA" w:rsidRDefault="00AC2ECE" w:rsidP="00F95AEA">
      <w:pPr>
        <w:spacing w:after="0" w:line="240" w:lineRule="auto"/>
        <w:rPr>
          <w:rFonts w:ascii="Arial" w:hAnsi="Arial" w:cs="Arial"/>
          <w:sz w:val="14"/>
          <w:szCs w:val="14"/>
          <w:lang w:val="en-GB"/>
        </w:rPr>
      </w:pPr>
      <w:r>
        <w:rPr>
          <w:rFonts w:ascii="Arial" w:hAnsi="Arial" w:cs="Arial"/>
          <w:sz w:val="14"/>
          <w:szCs w:val="14"/>
          <w:lang w:val="en-GB"/>
        </w:rPr>
        <w:t>Figu</w:t>
      </w:r>
      <w:r w:rsidR="00380EE1">
        <w:rPr>
          <w:rFonts w:ascii="Arial" w:hAnsi="Arial" w:cs="Arial"/>
          <w:sz w:val="14"/>
          <w:szCs w:val="14"/>
          <w:lang w:val="en-GB"/>
        </w:rPr>
        <w:t xml:space="preserve">re 1 - </w:t>
      </w:r>
      <w:r w:rsidR="00F95AEA" w:rsidRPr="00B51BAA">
        <w:rPr>
          <w:rFonts w:ascii="Arial" w:hAnsi="Arial" w:cs="Arial"/>
          <w:sz w:val="14"/>
          <w:szCs w:val="14"/>
          <w:lang w:val="en-GB"/>
        </w:rPr>
        <w:t xml:space="preserve">The aforementioned information was obtained through </w:t>
      </w:r>
      <w:r w:rsidR="00025347" w:rsidRPr="00B51BAA">
        <w:rPr>
          <w:rFonts w:ascii="Arial" w:hAnsi="Arial" w:cs="Arial"/>
          <w:sz w:val="14"/>
          <w:szCs w:val="14"/>
          <w:lang w:val="en-GB"/>
        </w:rPr>
        <w:t>research</w:t>
      </w:r>
      <w:r w:rsidR="00F95AEA" w:rsidRPr="00B51BAA">
        <w:rPr>
          <w:rFonts w:ascii="Arial" w:hAnsi="Arial" w:cs="Arial"/>
          <w:sz w:val="14"/>
          <w:szCs w:val="14"/>
          <w:lang w:val="en-GB"/>
        </w:rPr>
        <w:t xml:space="preserve"> with the Waitrose &amp; Partners (2026) Digital capability and skills gaps</w:t>
      </w:r>
      <w:r w:rsidR="00025347" w:rsidRPr="00B51BAA">
        <w:rPr>
          <w:rFonts w:ascii="Arial" w:hAnsi="Arial" w:cs="Arial"/>
          <w:sz w:val="14"/>
          <w:szCs w:val="14"/>
          <w:lang w:val="en-GB"/>
        </w:rPr>
        <w:t>;</w:t>
      </w:r>
      <w:r w:rsidR="00F95AEA" w:rsidRPr="00B51BAA">
        <w:rPr>
          <w:rFonts w:ascii="Arial" w:hAnsi="Arial" w:cs="Arial"/>
          <w:sz w:val="14"/>
          <w:szCs w:val="14"/>
          <w:lang w:val="en-GB"/>
        </w:rPr>
        <w:t xml:space="preserve"> </w:t>
      </w:r>
      <w:r w:rsidR="00025347" w:rsidRPr="00B51BAA">
        <w:rPr>
          <w:rFonts w:ascii="Arial" w:hAnsi="Arial" w:cs="Arial"/>
          <w:sz w:val="14"/>
          <w:szCs w:val="14"/>
          <w:lang w:val="en-GB"/>
        </w:rPr>
        <w:t>A</w:t>
      </w:r>
      <w:r w:rsidR="00F95AEA" w:rsidRPr="00B51BAA">
        <w:rPr>
          <w:rFonts w:ascii="Arial" w:hAnsi="Arial" w:cs="Arial"/>
          <w:sz w:val="14"/>
          <w:szCs w:val="14"/>
          <w:lang w:val="en-GB"/>
        </w:rPr>
        <w:t>nalysis based on UK digital</w:t>
      </w:r>
      <w:r w:rsidR="00F95AEA" w:rsidRPr="00B51BAA">
        <w:rPr>
          <w:rFonts w:ascii="Cambria Math" w:hAnsi="Cambria Math" w:cs="Cambria Math"/>
          <w:sz w:val="14"/>
          <w:szCs w:val="14"/>
          <w:lang w:val="en-GB"/>
        </w:rPr>
        <w:t>‑</w:t>
      </w:r>
      <w:r w:rsidR="00F95AEA" w:rsidRPr="00B51BAA">
        <w:rPr>
          <w:rFonts w:ascii="Arial" w:hAnsi="Arial" w:cs="Arial"/>
          <w:sz w:val="14"/>
          <w:szCs w:val="14"/>
          <w:lang w:val="en-GB"/>
        </w:rPr>
        <w:t>skills reports, Department for Education (DfE) (2023) UK Employer Digital Skills Survey</w:t>
      </w:r>
      <w:r w:rsidR="00025347" w:rsidRPr="00B51BAA">
        <w:rPr>
          <w:rFonts w:ascii="Arial" w:hAnsi="Arial" w:cs="Arial"/>
          <w:sz w:val="14"/>
          <w:szCs w:val="14"/>
          <w:lang w:val="en-GB"/>
        </w:rPr>
        <w:t>;</w:t>
      </w:r>
      <w:r w:rsidR="00F95AEA" w:rsidRPr="00B51BAA">
        <w:rPr>
          <w:rFonts w:ascii="Arial" w:hAnsi="Arial" w:cs="Arial"/>
          <w:sz w:val="14"/>
          <w:szCs w:val="14"/>
          <w:lang w:val="en-GB"/>
        </w:rPr>
        <w:t xml:space="preserve"> Office for National Statistics (ONS) (2023) Labor market overview: Digital skills and vacancies.</w:t>
      </w:r>
    </w:p>
    <w:p w14:paraId="47C86EE1" w14:textId="77777777" w:rsidR="00380EE1" w:rsidRPr="00B51BAA" w:rsidRDefault="00380EE1" w:rsidP="00F95AEA">
      <w:pPr>
        <w:spacing w:after="0" w:line="240" w:lineRule="auto"/>
        <w:rPr>
          <w:rFonts w:ascii="Arial" w:hAnsi="Arial" w:cs="Arial"/>
          <w:sz w:val="14"/>
          <w:szCs w:val="14"/>
          <w:lang w:val="en-GB"/>
        </w:rPr>
      </w:pPr>
    </w:p>
    <w:p w14:paraId="4FC5B01F" w14:textId="77777777" w:rsidR="00F95AEA" w:rsidRPr="00B51BAA" w:rsidRDefault="00F95AEA" w:rsidP="00F95AEA">
      <w:pPr>
        <w:spacing w:after="0" w:line="240" w:lineRule="auto"/>
        <w:rPr>
          <w:rFonts w:ascii="Arial" w:hAnsi="Arial" w:cs="Arial"/>
          <w:sz w:val="18"/>
          <w:szCs w:val="18"/>
          <w:lang w:val="en-GB"/>
        </w:rPr>
      </w:pPr>
    </w:p>
    <w:p w14:paraId="6361B82C" w14:textId="3C327790" w:rsidR="00B34288" w:rsidRPr="00B51BAA" w:rsidRDefault="00B34288" w:rsidP="00A76FEB">
      <w:pPr>
        <w:pStyle w:val="Heading2"/>
        <w:spacing w:before="0" w:line="360" w:lineRule="auto"/>
        <w:jc w:val="both"/>
        <w:rPr>
          <w:rFonts w:ascii="Arial" w:hAnsi="Arial" w:cs="Arial"/>
          <w:b/>
          <w:bCs/>
          <w:color w:val="auto"/>
          <w:sz w:val="22"/>
          <w:szCs w:val="22"/>
          <w:lang w:val="en-GB"/>
        </w:rPr>
      </w:pPr>
      <w:bookmarkStart w:id="15" w:name="_Toc227403476"/>
      <w:r w:rsidRPr="00B51BAA">
        <w:rPr>
          <w:rFonts w:ascii="Arial" w:hAnsi="Arial" w:cs="Arial"/>
          <w:b/>
          <w:bCs/>
          <w:color w:val="auto"/>
          <w:sz w:val="22"/>
          <w:szCs w:val="22"/>
          <w:lang w:val="en-GB"/>
        </w:rPr>
        <w:t>2.2 Talent Acquisition and retention</w:t>
      </w:r>
      <w:bookmarkEnd w:id="14"/>
      <w:bookmarkEnd w:id="15"/>
    </w:p>
    <w:p w14:paraId="7FFED4FA" w14:textId="77777777" w:rsidR="00380EE1" w:rsidRDefault="00277DBD" w:rsidP="00380EE1">
      <w:pPr>
        <w:spacing w:after="0" w:line="360" w:lineRule="auto"/>
        <w:ind w:firstLine="698"/>
        <w:jc w:val="both"/>
        <w:rPr>
          <w:rFonts w:ascii="Arial" w:hAnsi="Arial" w:cs="Arial"/>
          <w:sz w:val="22"/>
          <w:szCs w:val="22"/>
          <w:lang w:val="en-GB"/>
        </w:rPr>
      </w:pPr>
      <w:r w:rsidRPr="00B51BAA">
        <w:rPr>
          <w:rFonts w:ascii="Arial" w:hAnsi="Arial" w:cs="Arial"/>
          <w:sz w:val="22"/>
          <w:szCs w:val="22"/>
          <w:lang w:val="en-GB"/>
        </w:rPr>
        <w:t>Attracting and retaining talent is a persistent challenge in the UK retail sector, and Waitrose &amp; Partners faces several specific pressures</w:t>
      </w:r>
      <w:r w:rsidR="00E8293F" w:rsidRPr="00B51BAA">
        <w:rPr>
          <w:rFonts w:ascii="Arial" w:hAnsi="Arial" w:cs="Arial"/>
          <w:sz w:val="22"/>
          <w:szCs w:val="22"/>
          <w:lang w:val="en-GB"/>
        </w:rPr>
        <w:t xml:space="preserve">, </w:t>
      </w:r>
      <w:proofErr w:type="gramStart"/>
      <w:r w:rsidR="00C312BF" w:rsidRPr="00B51BAA">
        <w:rPr>
          <w:rFonts w:ascii="Arial" w:hAnsi="Arial" w:cs="Arial"/>
          <w:sz w:val="22"/>
          <w:szCs w:val="22"/>
          <w:lang w:val="en-GB"/>
        </w:rPr>
        <w:t>whereas,</w:t>
      </w:r>
      <w:proofErr w:type="gramEnd"/>
      <w:r w:rsidR="00C312BF" w:rsidRPr="00B51BAA">
        <w:rPr>
          <w:rFonts w:ascii="Arial" w:hAnsi="Arial" w:cs="Arial"/>
          <w:sz w:val="22"/>
          <w:szCs w:val="22"/>
          <w:lang w:val="en-GB"/>
        </w:rPr>
        <w:t xml:space="preserve"> </w:t>
      </w:r>
      <w:r w:rsidR="000C5EF1" w:rsidRPr="00B51BAA">
        <w:rPr>
          <w:rFonts w:ascii="Arial" w:hAnsi="Arial" w:cs="Arial"/>
          <w:sz w:val="22"/>
          <w:szCs w:val="22"/>
          <w:lang w:val="en-GB"/>
        </w:rPr>
        <w:t>r</w:t>
      </w:r>
      <w:r w:rsidRPr="00B51BAA">
        <w:rPr>
          <w:rFonts w:ascii="Arial" w:hAnsi="Arial" w:cs="Arial"/>
          <w:sz w:val="22"/>
          <w:szCs w:val="22"/>
          <w:lang w:val="en-GB"/>
        </w:rPr>
        <w:t>etail roles often compete with hospitality, logistics, and gig</w:t>
      </w:r>
      <w:r w:rsidRPr="00B51BAA">
        <w:rPr>
          <w:rFonts w:ascii="Arial" w:hAnsi="Arial" w:cs="Arial"/>
          <w:sz w:val="22"/>
          <w:szCs w:val="22"/>
          <w:lang w:val="en-GB"/>
        </w:rPr>
        <w:noBreakHyphen/>
        <w:t>economy jobs. To attract high</w:t>
      </w:r>
      <w:r w:rsidRPr="00B51BAA">
        <w:rPr>
          <w:rFonts w:ascii="Arial" w:hAnsi="Arial" w:cs="Arial"/>
          <w:sz w:val="22"/>
          <w:szCs w:val="22"/>
          <w:lang w:val="en-GB"/>
        </w:rPr>
        <w:noBreakHyphen/>
        <w:t>quality candidates, Waitrose must offer competitive pay</w:t>
      </w:r>
      <w:r w:rsidRPr="00B51BAA">
        <w:rPr>
          <w:rFonts w:ascii="Arial" w:hAnsi="Arial" w:cs="Arial"/>
          <w:color w:val="auto"/>
          <w:sz w:val="22"/>
          <w:szCs w:val="22"/>
          <w:lang w:val="en-GB"/>
        </w:rPr>
        <w:t xml:space="preserve">, flexible working </w:t>
      </w:r>
      <w:r w:rsidRPr="00B51BAA">
        <w:rPr>
          <w:rFonts w:ascii="Arial" w:hAnsi="Arial" w:cs="Arial"/>
          <w:sz w:val="22"/>
          <w:szCs w:val="22"/>
          <w:lang w:val="en-GB"/>
        </w:rPr>
        <w:t>arrangements, and clear career pathways</w:t>
      </w:r>
      <w:r w:rsidR="00160A97" w:rsidRPr="00B51BAA">
        <w:rPr>
          <w:rFonts w:ascii="Arial" w:hAnsi="Arial" w:cs="Arial"/>
          <w:sz w:val="22"/>
          <w:szCs w:val="22"/>
          <w:lang w:val="en-GB"/>
        </w:rPr>
        <w:t xml:space="preserve">. Moreover, </w:t>
      </w:r>
      <w:r w:rsidR="006E3BA1" w:rsidRPr="00B51BAA">
        <w:rPr>
          <w:rFonts w:ascii="Arial" w:hAnsi="Arial" w:cs="Arial"/>
          <w:sz w:val="22"/>
          <w:szCs w:val="22"/>
          <w:lang w:val="en-GB"/>
        </w:rPr>
        <w:t>there is a</w:t>
      </w:r>
      <w:r w:rsidR="008A0402" w:rsidRPr="00B51BAA">
        <w:rPr>
          <w:rFonts w:ascii="Arial" w:hAnsi="Arial" w:cs="Arial"/>
          <w:b/>
          <w:bCs/>
          <w:sz w:val="22"/>
          <w:szCs w:val="22"/>
          <w:lang w:val="en-GB"/>
        </w:rPr>
        <w:t xml:space="preserve"> </w:t>
      </w:r>
      <w:r w:rsidR="000C5EF1" w:rsidRPr="00B51BAA">
        <w:rPr>
          <w:rFonts w:ascii="Arial" w:hAnsi="Arial" w:cs="Arial"/>
          <w:sz w:val="22"/>
          <w:szCs w:val="22"/>
          <w:lang w:val="en-GB"/>
        </w:rPr>
        <w:t>h</w:t>
      </w:r>
      <w:r w:rsidRPr="00B51BAA">
        <w:rPr>
          <w:rFonts w:ascii="Arial" w:hAnsi="Arial" w:cs="Arial"/>
          <w:sz w:val="22"/>
          <w:szCs w:val="22"/>
          <w:lang w:val="en-GB"/>
        </w:rPr>
        <w:t>igh turnover is common in retail.</w:t>
      </w:r>
      <w:r w:rsidR="00902B8B" w:rsidRPr="00B51BAA">
        <w:rPr>
          <w:rFonts w:ascii="Arial" w:hAnsi="Arial" w:cs="Arial"/>
          <w:sz w:val="22"/>
          <w:szCs w:val="22"/>
          <w:lang w:val="en-GB"/>
        </w:rPr>
        <w:t xml:space="preserve"> High turnover levels in the UK retail sector align with national patterns identified by the Chartered Institute of Personnel and Development, which highlights persistent challenges in labour retention across frontline roles (CIPD, 2023).</w:t>
      </w:r>
    </w:p>
    <w:p w14:paraId="1CF820F0" w14:textId="52B189C3" w:rsidR="00FC6F12" w:rsidRPr="00B51BAA" w:rsidRDefault="00FC6F12" w:rsidP="00380EE1">
      <w:pPr>
        <w:spacing w:after="0" w:line="360" w:lineRule="auto"/>
        <w:ind w:firstLine="698"/>
        <w:jc w:val="center"/>
        <w:rPr>
          <w:rFonts w:ascii="Arial" w:hAnsi="Arial" w:cs="Arial"/>
          <w:sz w:val="22"/>
          <w:szCs w:val="22"/>
          <w:lang w:val="en-GB"/>
        </w:rPr>
      </w:pPr>
      <w:r w:rsidRPr="00B51BAA">
        <w:rPr>
          <w:rFonts w:ascii="Arial" w:hAnsi="Arial" w:cs="Arial"/>
          <w:noProof/>
          <w:sz w:val="22"/>
          <w:szCs w:val="22"/>
          <w:lang w:val="en-GB"/>
        </w:rPr>
        <w:lastRenderedPageBreak/>
        <w:drawing>
          <wp:inline distT="0" distB="0" distL="0" distR="0" wp14:anchorId="19382AA0" wp14:editId="3D3046B5">
            <wp:extent cx="4278657" cy="2664070"/>
            <wp:effectExtent l="0" t="0" r="7620" b="3175"/>
            <wp:docPr id="1790221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221028" name=""/>
                    <pic:cNvPicPr/>
                  </pic:nvPicPr>
                  <pic:blipFill>
                    <a:blip r:embed="rId9"/>
                    <a:stretch>
                      <a:fillRect/>
                    </a:stretch>
                  </pic:blipFill>
                  <pic:spPr>
                    <a:xfrm>
                      <a:off x="0" y="0"/>
                      <a:ext cx="4298455" cy="2676397"/>
                    </a:xfrm>
                    <a:prstGeom prst="rect">
                      <a:avLst/>
                    </a:prstGeom>
                  </pic:spPr>
                </pic:pic>
              </a:graphicData>
            </a:graphic>
          </wp:inline>
        </w:drawing>
      </w:r>
    </w:p>
    <w:p w14:paraId="26196E98" w14:textId="19284300" w:rsidR="00025347" w:rsidRPr="00B51BAA" w:rsidRDefault="00380EE1" w:rsidP="00025347">
      <w:pPr>
        <w:spacing w:after="0" w:line="240" w:lineRule="auto"/>
        <w:rPr>
          <w:rFonts w:ascii="Arial" w:hAnsi="Arial" w:cs="Arial"/>
          <w:sz w:val="14"/>
          <w:szCs w:val="14"/>
          <w:lang w:val="en-GB"/>
        </w:rPr>
      </w:pPr>
      <w:r>
        <w:rPr>
          <w:rFonts w:ascii="Arial" w:hAnsi="Arial" w:cs="Arial"/>
          <w:sz w:val="14"/>
          <w:szCs w:val="14"/>
          <w:lang w:val="en-GB"/>
        </w:rPr>
        <w:t xml:space="preserve">Figure 2 - </w:t>
      </w:r>
      <w:r w:rsidR="00025347" w:rsidRPr="00B51BAA">
        <w:rPr>
          <w:rFonts w:ascii="Arial" w:hAnsi="Arial" w:cs="Arial"/>
          <w:sz w:val="14"/>
          <w:szCs w:val="14"/>
          <w:lang w:val="en-GB"/>
        </w:rPr>
        <w:t>The aforementioned information was obtained through Analysis based on UK digital</w:t>
      </w:r>
      <w:r w:rsidR="00025347" w:rsidRPr="00B51BAA">
        <w:rPr>
          <w:rFonts w:ascii="Cambria Math" w:hAnsi="Cambria Math" w:cs="Cambria Math"/>
          <w:sz w:val="14"/>
          <w:szCs w:val="14"/>
          <w:lang w:val="en-GB"/>
        </w:rPr>
        <w:t>‑</w:t>
      </w:r>
      <w:r w:rsidR="00025347" w:rsidRPr="00B51BAA">
        <w:rPr>
          <w:rFonts w:ascii="Arial" w:hAnsi="Arial" w:cs="Arial"/>
          <w:sz w:val="14"/>
          <w:szCs w:val="14"/>
          <w:lang w:val="en-GB"/>
        </w:rPr>
        <w:t>skills reports, Department for Education (DfE) (2023) UK Employer Digital Skills Survey; Chartered Institute of Personnel and Development (CIPD) (2023) Labour turnover and retention factsheet.</w:t>
      </w:r>
    </w:p>
    <w:p w14:paraId="1328FA5D" w14:textId="77777777" w:rsidR="00025347" w:rsidRPr="00B51BAA" w:rsidRDefault="00025347" w:rsidP="00A76FEB">
      <w:pPr>
        <w:spacing w:after="0" w:line="360" w:lineRule="auto"/>
        <w:ind w:firstLine="698"/>
        <w:jc w:val="center"/>
        <w:rPr>
          <w:rFonts w:ascii="Arial" w:hAnsi="Arial" w:cs="Arial"/>
          <w:sz w:val="22"/>
          <w:szCs w:val="22"/>
          <w:lang w:val="en-GB"/>
        </w:rPr>
      </w:pPr>
    </w:p>
    <w:p w14:paraId="18151F3C" w14:textId="55A9A099" w:rsidR="000F3E41" w:rsidRDefault="00277DBD" w:rsidP="00A76FEB">
      <w:pPr>
        <w:spacing w:after="0" w:line="360" w:lineRule="auto"/>
        <w:ind w:firstLine="698"/>
        <w:jc w:val="both"/>
        <w:rPr>
          <w:rFonts w:ascii="Arial" w:eastAsia="Times New Roman" w:hAnsi="Arial" w:cs="Arial"/>
          <w:color w:val="auto"/>
          <w:kern w:val="0"/>
          <w:sz w:val="22"/>
          <w:szCs w:val="22"/>
          <w:lang w:val="en-GB"/>
        </w:rPr>
      </w:pPr>
      <w:r w:rsidRPr="00B51BAA">
        <w:rPr>
          <w:rFonts w:ascii="Arial" w:hAnsi="Arial" w:cs="Arial"/>
          <w:sz w:val="22"/>
          <w:szCs w:val="22"/>
          <w:lang w:val="en-GB"/>
        </w:rPr>
        <w:t>Retaining experienced staff requires investment in training, recognition programmes, and opportunities for progression. HR must also address workload pressures and ensure a supportive work environment</w:t>
      </w:r>
      <w:r w:rsidR="00A5312F" w:rsidRPr="00B51BAA">
        <w:rPr>
          <w:rFonts w:ascii="Arial" w:hAnsi="Arial" w:cs="Arial"/>
          <w:sz w:val="22"/>
          <w:szCs w:val="22"/>
          <w:lang w:val="en-GB"/>
        </w:rPr>
        <w:t>.</w:t>
      </w:r>
      <w:r w:rsidR="008A0402" w:rsidRPr="00B51BAA">
        <w:rPr>
          <w:rFonts w:ascii="Arial" w:hAnsi="Arial" w:cs="Arial"/>
          <w:sz w:val="22"/>
          <w:szCs w:val="22"/>
          <w:lang w:val="en-GB"/>
        </w:rPr>
        <w:t xml:space="preserve"> </w:t>
      </w:r>
      <w:r w:rsidR="00A5312F" w:rsidRPr="00B51BAA">
        <w:rPr>
          <w:rFonts w:ascii="Arial" w:eastAsia="Times New Roman" w:hAnsi="Arial" w:cs="Arial"/>
          <w:color w:val="auto"/>
          <w:kern w:val="0"/>
          <w:sz w:val="22"/>
          <w:szCs w:val="22"/>
          <w:lang w:val="en-GB"/>
        </w:rPr>
        <w:t>The</w:t>
      </w:r>
      <w:r w:rsidR="000C5EF1" w:rsidRPr="00B51BAA">
        <w:rPr>
          <w:rFonts w:ascii="Arial" w:eastAsia="Times New Roman" w:hAnsi="Arial" w:cs="Arial"/>
          <w:color w:val="auto"/>
          <w:kern w:val="0"/>
          <w:sz w:val="22"/>
          <w:szCs w:val="22"/>
          <w:lang w:val="en-GB"/>
        </w:rPr>
        <w:t xml:space="preserve"> m</w:t>
      </w:r>
      <w:r w:rsidR="002F7ABB" w:rsidRPr="00B51BAA">
        <w:rPr>
          <w:rFonts w:ascii="Arial" w:eastAsia="Times New Roman" w:hAnsi="Arial" w:cs="Arial"/>
          <w:color w:val="auto"/>
          <w:kern w:val="0"/>
          <w:sz w:val="22"/>
          <w:szCs w:val="22"/>
          <w:lang w:val="en-GB"/>
        </w:rPr>
        <w:t>odern employees</w:t>
      </w:r>
      <w:r w:rsidR="00A5312F" w:rsidRPr="00B51BAA">
        <w:rPr>
          <w:rFonts w:ascii="Arial" w:eastAsia="Times New Roman" w:hAnsi="Arial" w:cs="Arial"/>
          <w:color w:val="auto"/>
          <w:kern w:val="0"/>
          <w:sz w:val="22"/>
          <w:szCs w:val="22"/>
          <w:lang w:val="en-GB"/>
        </w:rPr>
        <w:t xml:space="preserve">, </w:t>
      </w:r>
      <w:r w:rsidR="002F7ABB" w:rsidRPr="00B51BAA">
        <w:rPr>
          <w:rFonts w:ascii="Arial" w:eastAsia="Times New Roman" w:hAnsi="Arial" w:cs="Arial"/>
          <w:color w:val="auto"/>
          <w:kern w:val="0"/>
          <w:sz w:val="22"/>
          <w:szCs w:val="22"/>
          <w:lang w:val="en-GB"/>
        </w:rPr>
        <w:t>especially younger generations</w:t>
      </w:r>
      <w:r w:rsidR="00A5312F" w:rsidRPr="00B51BAA">
        <w:rPr>
          <w:rFonts w:ascii="Arial" w:eastAsia="Times New Roman" w:hAnsi="Arial" w:cs="Arial"/>
          <w:color w:val="auto"/>
          <w:kern w:val="0"/>
          <w:sz w:val="22"/>
          <w:szCs w:val="22"/>
          <w:lang w:val="en-GB"/>
        </w:rPr>
        <w:t xml:space="preserve">, </w:t>
      </w:r>
      <w:r w:rsidR="002F7ABB" w:rsidRPr="00B51BAA">
        <w:rPr>
          <w:rFonts w:ascii="Arial" w:eastAsia="Times New Roman" w:hAnsi="Arial" w:cs="Arial"/>
          <w:color w:val="auto"/>
          <w:kern w:val="0"/>
          <w:sz w:val="22"/>
          <w:szCs w:val="22"/>
          <w:lang w:val="en-GB"/>
        </w:rPr>
        <w:t>seek meaningful work, work</w:t>
      </w:r>
      <w:r w:rsidR="00490507">
        <w:rPr>
          <w:rFonts w:ascii="Arial" w:eastAsia="Times New Roman" w:hAnsi="Arial" w:cs="Arial"/>
          <w:color w:val="auto"/>
          <w:kern w:val="0"/>
          <w:sz w:val="22"/>
          <w:szCs w:val="22"/>
          <w:lang w:val="en-GB"/>
        </w:rPr>
        <w:t xml:space="preserve"> </w:t>
      </w:r>
      <w:r w:rsidR="002F7ABB" w:rsidRPr="00B51BAA">
        <w:rPr>
          <w:rFonts w:ascii="Arial" w:eastAsia="Times New Roman" w:hAnsi="Arial" w:cs="Arial"/>
          <w:color w:val="auto"/>
          <w:kern w:val="0"/>
          <w:sz w:val="22"/>
          <w:szCs w:val="22"/>
          <w:lang w:val="en-GB"/>
        </w:rPr>
        <w:t>life balance, and development opportunities. HR must adapt policies to meet these expectations, such as offering flexible shifts, wellbeing initiatives, and structured learning programmes.</w:t>
      </w:r>
    </w:p>
    <w:p w14:paraId="78392B7B" w14:textId="77777777" w:rsidR="00380EE1" w:rsidRPr="00B51BAA" w:rsidRDefault="00380EE1" w:rsidP="00A76FEB">
      <w:pPr>
        <w:spacing w:after="0" w:line="360" w:lineRule="auto"/>
        <w:ind w:firstLine="698"/>
        <w:jc w:val="both"/>
        <w:rPr>
          <w:rFonts w:ascii="Arial" w:eastAsia="Times New Roman" w:hAnsi="Arial" w:cs="Arial"/>
          <w:color w:val="auto"/>
          <w:kern w:val="0"/>
          <w:sz w:val="22"/>
          <w:szCs w:val="22"/>
          <w:lang w:val="en-GB"/>
        </w:rPr>
      </w:pPr>
    </w:p>
    <w:p w14:paraId="34C4552D" w14:textId="77777777" w:rsidR="00F54CE9" w:rsidRPr="00B51BAA" w:rsidRDefault="00B34288" w:rsidP="00A76FEB">
      <w:pPr>
        <w:pStyle w:val="Heading2"/>
        <w:spacing w:before="0" w:line="360" w:lineRule="auto"/>
        <w:jc w:val="both"/>
        <w:rPr>
          <w:rFonts w:ascii="Arial" w:hAnsi="Arial" w:cs="Arial"/>
          <w:b/>
          <w:bCs/>
          <w:color w:val="auto"/>
          <w:sz w:val="22"/>
          <w:szCs w:val="22"/>
          <w:lang w:val="en-GB"/>
        </w:rPr>
      </w:pPr>
      <w:bookmarkStart w:id="16" w:name="_Toc224149238"/>
      <w:bookmarkStart w:id="17" w:name="_Toc227403477"/>
      <w:r w:rsidRPr="00B51BAA">
        <w:rPr>
          <w:rFonts w:ascii="Arial" w:hAnsi="Arial" w:cs="Arial"/>
          <w:b/>
          <w:bCs/>
          <w:color w:val="auto"/>
          <w:sz w:val="22"/>
          <w:szCs w:val="22"/>
          <w:lang w:val="en-GB"/>
        </w:rPr>
        <w:t>2.3 Diversity, Equity and Inclusion (DEI)</w:t>
      </w:r>
      <w:bookmarkEnd w:id="16"/>
      <w:bookmarkEnd w:id="17"/>
      <w:r w:rsidRPr="00B51BAA">
        <w:rPr>
          <w:rFonts w:ascii="Arial" w:hAnsi="Arial" w:cs="Arial"/>
          <w:b/>
          <w:bCs/>
          <w:color w:val="auto"/>
          <w:sz w:val="22"/>
          <w:szCs w:val="22"/>
          <w:lang w:val="en-GB"/>
        </w:rPr>
        <w:t xml:space="preserve"> </w:t>
      </w:r>
    </w:p>
    <w:p w14:paraId="4332853D" w14:textId="77777777" w:rsidR="005928F1" w:rsidRPr="00B51BAA" w:rsidRDefault="00F54CE9" w:rsidP="00A76FEB">
      <w:pPr>
        <w:spacing w:after="0" w:line="360" w:lineRule="auto"/>
        <w:ind w:firstLine="698"/>
        <w:jc w:val="both"/>
        <w:rPr>
          <w:rFonts w:ascii="Arial" w:hAnsi="Arial" w:cs="Arial"/>
          <w:sz w:val="22"/>
          <w:szCs w:val="22"/>
          <w:lang w:val="en-GB"/>
        </w:rPr>
      </w:pPr>
      <w:r w:rsidRPr="00B51BAA">
        <w:rPr>
          <w:rFonts w:ascii="Arial" w:hAnsi="Arial" w:cs="Arial"/>
          <w:sz w:val="22"/>
          <w:szCs w:val="22"/>
          <w:lang w:val="en-GB"/>
        </w:rPr>
        <w:t>DEI is increasingly central to organisational success, and Waitrose &amp; Partners must address several factors to strengthen its DEI strategy</w:t>
      </w:r>
      <w:r w:rsidR="00030F80" w:rsidRPr="00B51BAA">
        <w:rPr>
          <w:rFonts w:ascii="Arial" w:hAnsi="Arial" w:cs="Arial"/>
          <w:sz w:val="22"/>
          <w:szCs w:val="22"/>
          <w:lang w:val="en-GB"/>
        </w:rPr>
        <w:t xml:space="preserve">, </w:t>
      </w:r>
      <w:proofErr w:type="spellStart"/>
      <w:r w:rsidR="00030F80" w:rsidRPr="00B51BAA">
        <w:rPr>
          <w:rFonts w:ascii="Arial" w:hAnsi="Arial" w:cs="Arial"/>
          <w:sz w:val="22"/>
          <w:szCs w:val="22"/>
          <w:lang w:val="en-GB"/>
        </w:rPr>
        <w:t>sush</w:t>
      </w:r>
      <w:proofErr w:type="spellEnd"/>
      <w:r w:rsidR="00030F80" w:rsidRPr="00B51BAA">
        <w:rPr>
          <w:rFonts w:ascii="Arial" w:hAnsi="Arial" w:cs="Arial"/>
          <w:sz w:val="22"/>
          <w:szCs w:val="22"/>
          <w:lang w:val="en-GB"/>
        </w:rPr>
        <w:t xml:space="preserve"> as, i</w:t>
      </w:r>
      <w:r w:rsidRPr="00B51BAA">
        <w:rPr>
          <w:rFonts w:ascii="Arial" w:hAnsi="Arial" w:cs="Arial"/>
          <w:sz w:val="22"/>
          <w:szCs w:val="22"/>
          <w:lang w:val="en-GB"/>
        </w:rPr>
        <w:t xml:space="preserve">nclusive </w:t>
      </w:r>
      <w:r w:rsidR="005928F1" w:rsidRPr="00B51BAA">
        <w:rPr>
          <w:rFonts w:ascii="Arial" w:hAnsi="Arial" w:cs="Arial"/>
          <w:sz w:val="22"/>
          <w:szCs w:val="22"/>
          <w:lang w:val="en-GB"/>
        </w:rPr>
        <w:t>r</w:t>
      </w:r>
      <w:r w:rsidRPr="00B51BAA">
        <w:rPr>
          <w:rFonts w:ascii="Arial" w:hAnsi="Arial" w:cs="Arial"/>
          <w:sz w:val="22"/>
          <w:szCs w:val="22"/>
          <w:lang w:val="en-GB"/>
        </w:rPr>
        <w:t xml:space="preserve">ecruitment </w:t>
      </w:r>
      <w:r w:rsidR="005928F1" w:rsidRPr="00B51BAA">
        <w:rPr>
          <w:rFonts w:ascii="Arial" w:hAnsi="Arial" w:cs="Arial"/>
          <w:sz w:val="22"/>
          <w:szCs w:val="22"/>
          <w:lang w:val="en-GB"/>
        </w:rPr>
        <w:t>p</w:t>
      </w:r>
      <w:r w:rsidRPr="00B51BAA">
        <w:rPr>
          <w:rFonts w:ascii="Arial" w:hAnsi="Arial" w:cs="Arial"/>
          <w:sz w:val="22"/>
          <w:szCs w:val="22"/>
          <w:lang w:val="en-GB"/>
        </w:rPr>
        <w:t>ractices</w:t>
      </w:r>
      <w:r w:rsidR="00006A55" w:rsidRPr="00B51BAA">
        <w:rPr>
          <w:rFonts w:ascii="Arial" w:hAnsi="Arial" w:cs="Arial"/>
          <w:sz w:val="22"/>
          <w:szCs w:val="22"/>
          <w:lang w:val="en-GB"/>
        </w:rPr>
        <w:t xml:space="preserve"> with</w:t>
      </w:r>
      <w:r w:rsidRPr="00B51BAA">
        <w:rPr>
          <w:rFonts w:ascii="Arial" w:hAnsi="Arial" w:cs="Arial"/>
          <w:sz w:val="22"/>
          <w:szCs w:val="22"/>
          <w:lang w:val="en-GB"/>
        </w:rPr>
        <w:t xml:space="preserve"> Implementing structured interviews, diverse hiring panels, and inclusive job adverts helps ensure fairness and widen the talent pool.</w:t>
      </w:r>
      <w:r w:rsidR="00A66A99" w:rsidRPr="00B51BAA">
        <w:rPr>
          <w:rFonts w:ascii="Arial" w:hAnsi="Arial" w:cs="Arial"/>
          <w:sz w:val="22"/>
          <w:szCs w:val="22"/>
          <w:lang w:val="en-GB"/>
        </w:rPr>
        <w:t xml:space="preserve">  </w:t>
      </w:r>
      <w:r w:rsidRPr="00B51BAA">
        <w:rPr>
          <w:rFonts w:ascii="Arial" w:hAnsi="Arial" w:cs="Arial"/>
          <w:sz w:val="22"/>
          <w:szCs w:val="22"/>
          <w:lang w:val="en-GB"/>
        </w:rPr>
        <w:t xml:space="preserve">Creating an </w:t>
      </w:r>
      <w:r w:rsidR="005928F1" w:rsidRPr="00B51BAA">
        <w:rPr>
          <w:rFonts w:ascii="Arial" w:hAnsi="Arial" w:cs="Arial"/>
          <w:sz w:val="22"/>
          <w:szCs w:val="22"/>
          <w:lang w:val="en-GB"/>
        </w:rPr>
        <w:t>i</w:t>
      </w:r>
      <w:r w:rsidRPr="00B51BAA">
        <w:rPr>
          <w:rFonts w:ascii="Arial" w:hAnsi="Arial" w:cs="Arial"/>
          <w:sz w:val="22"/>
          <w:szCs w:val="22"/>
          <w:lang w:val="en-GB"/>
        </w:rPr>
        <w:t xml:space="preserve">nclusive </w:t>
      </w:r>
      <w:r w:rsidR="005928F1" w:rsidRPr="00B51BAA">
        <w:rPr>
          <w:rFonts w:ascii="Arial" w:hAnsi="Arial" w:cs="Arial"/>
          <w:sz w:val="22"/>
          <w:szCs w:val="22"/>
          <w:lang w:val="en-GB"/>
        </w:rPr>
        <w:t>c</w:t>
      </w:r>
      <w:r w:rsidRPr="00B51BAA">
        <w:rPr>
          <w:rFonts w:ascii="Arial" w:hAnsi="Arial" w:cs="Arial"/>
          <w:sz w:val="22"/>
          <w:szCs w:val="22"/>
          <w:lang w:val="en-GB"/>
        </w:rPr>
        <w:t>ulture</w:t>
      </w:r>
      <w:r w:rsidR="005928F1" w:rsidRPr="00B51BAA">
        <w:rPr>
          <w:rFonts w:ascii="Arial" w:hAnsi="Arial" w:cs="Arial"/>
          <w:sz w:val="22"/>
          <w:szCs w:val="22"/>
          <w:lang w:val="en-GB"/>
        </w:rPr>
        <w:t xml:space="preserve"> </w:t>
      </w:r>
      <w:r w:rsidRPr="00B51BAA">
        <w:rPr>
          <w:rFonts w:ascii="Arial" w:hAnsi="Arial" w:cs="Arial"/>
          <w:sz w:val="22"/>
          <w:szCs w:val="22"/>
          <w:lang w:val="en-GB"/>
        </w:rPr>
        <w:t>DEI is not only about numbers; it is about creating a workplace where all employees feel valued and respected. HR must promote inclusive behaviours, provide training on cultural awareness, and address discrimination promptly.</w:t>
      </w:r>
    </w:p>
    <w:p w14:paraId="792DB9B5" w14:textId="5F8CC3B0" w:rsidR="00B24250" w:rsidRPr="00B51BAA" w:rsidRDefault="00CC67F5" w:rsidP="00A76FEB">
      <w:pPr>
        <w:spacing w:after="0" w:line="360" w:lineRule="auto"/>
        <w:ind w:firstLine="698"/>
        <w:jc w:val="both"/>
        <w:rPr>
          <w:rFonts w:ascii="Arial" w:hAnsi="Arial" w:cs="Arial"/>
          <w:sz w:val="22"/>
          <w:szCs w:val="22"/>
          <w:lang w:val="en-GB"/>
        </w:rPr>
      </w:pPr>
      <w:r w:rsidRPr="00B51BAA">
        <w:rPr>
          <w:rFonts w:ascii="Arial" w:eastAsia="Times New Roman" w:hAnsi="Arial" w:cs="Arial"/>
          <w:color w:val="auto"/>
          <w:kern w:val="0"/>
          <w:sz w:val="22"/>
          <w:szCs w:val="22"/>
          <w:lang w:val="en-GB"/>
        </w:rPr>
        <w:t>Furthermore, l</w:t>
      </w:r>
      <w:r w:rsidR="00B24250" w:rsidRPr="00B51BAA">
        <w:rPr>
          <w:rFonts w:ascii="Arial" w:eastAsia="Times New Roman" w:hAnsi="Arial" w:cs="Arial"/>
          <w:color w:val="auto"/>
          <w:kern w:val="0"/>
          <w:sz w:val="22"/>
          <w:szCs w:val="22"/>
          <w:lang w:val="en-GB"/>
        </w:rPr>
        <w:t xml:space="preserve">egal and </w:t>
      </w:r>
      <w:r w:rsidR="008B4975" w:rsidRPr="00B51BAA">
        <w:rPr>
          <w:rFonts w:ascii="Arial" w:eastAsia="Times New Roman" w:hAnsi="Arial" w:cs="Arial"/>
          <w:color w:val="auto"/>
          <w:kern w:val="0"/>
          <w:sz w:val="22"/>
          <w:szCs w:val="22"/>
          <w:lang w:val="en-GB"/>
        </w:rPr>
        <w:t>e</w:t>
      </w:r>
      <w:r w:rsidR="00B24250" w:rsidRPr="00B51BAA">
        <w:rPr>
          <w:rFonts w:ascii="Arial" w:eastAsia="Times New Roman" w:hAnsi="Arial" w:cs="Arial"/>
          <w:color w:val="auto"/>
          <w:kern w:val="0"/>
          <w:sz w:val="22"/>
          <w:szCs w:val="22"/>
          <w:lang w:val="en-GB"/>
        </w:rPr>
        <w:t xml:space="preserve">thical </w:t>
      </w:r>
      <w:r w:rsidR="008B4975" w:rsidRPr="00B51BAA">
        <w:rPr>
          <w:rFonts w:ascii="Arial" w:eastAsia="Times New Roman" w:hAnsi="Arial" w:cs="Arial"/>
          <w:color w:val="auto"/>
          <w:kern w:val="0"/>
          <w:sz w:val="22"/>
          <w:szCs w:val="22"/>
          <w:lang w:val="en-GB"/>
        </w:rPr>
        <w:t>r</w:t>
      </w:r>
      <w:r w:rsidR="00B24250" w:rsidRPr="00B51BAA">
        <w:rPr>
          <w:rFonts w:ascii="Arial" w:eastAsia="Times New Roman" w:hAnsi="Arial" w:cs="Arial"/>
          <w:color w:val="auto"/>
          <w:kern w:val="0"/>
          <w:sz w:val="22"/>
          <w:szCs w:val="22"/>
          <w:lang w:val="en-GB"/>
        </w:rPr>
        <w:t>esponsibilities</w:t>
      </w:r>
      <w:r w:rsidRPr="00B51BAA">
        <w:rPr>
          <w:rFonts w:ascii="Arial" w:eastAsia="Times New Roman" w:hAnsi="Arial" w:cs="Arial"/>
          <w:color w:val="auto"/>
          <w:kern w:val="0"/>
          <w:sz w:val="22"/>
          <w:szCs w:val="22"/>
          <w:lang w:val="en-GB"/>
        </w:rPr>
        <w:t xml:space="preserve"> </w:t>
      </w:r>
      <w:r w:rsidR="0066032A" w:rsidRPr="00B51BAA">
        <w:rPr>
          <w:rFonts w:ascii="Arial" w:eastAsia="Times New Roman" w:hAnsi="Arial" w:cs="Arial"/>
          <w:color w:val="auto"/>
          <w:kern w:val="0"/>
          <w:sz w:val="22"/>
          <w:szCs w:val="22"/>
          <w:lang w:val="en-GB"/>
        </w:rPr>
        <w:t>a</w:t>
      </w:r>
      <w:r w:rsidR="00B24250" w:rsidRPr="00B51BAA">
        <w:rPr>
          <w:rFonts w:ascii="Arial" w:eastAsia="Times New Roman" w:hAnsi="Arial" w:cs="Arial"/>
          <w:color w:val="auto"/>
          <w:kern w:val="0"/>
          <w:sz w:val="22"/>
          <w:szCs w:val="22"/>
          <w:lang w:val="en-GB"/>
        </w:rPr>
        <w:t>s a UK employer, Waitrose must comply with the Equality Act 2010 and demonstrate commitment to eliminating discrimination. Transparent reporting, such as gender pay gap disclosures, supports accountability and public trust.</w:t>
      </w:r>
    </w:p>
    <w:p w14:paraId="65E3A2D3" w14:textId="77777777" w:rsidR="00B24250" w:rsidRPr="00B51BAA" w:rsidRDefault="00B24250" w:rsidP="00A76FEB">
      <w:pPr>
        <w:spacing w:after="0" w:line="360" w:lineRule="auto"/>
        <w:ind w:left="720" w:firstLine="0"/>
        <w:jc w:val="both"/>
        <w:rPr>
          <w:rFonts w:ascii="Arial" w:hAnsi="Arial" w:cs="Arial"/>
          <w:sz w:val="22"/>
          <w:szCs w:val="22"/>
          <w:lang w:val="en-GB"/>
        </w:rPr>
      </w:pPr>
    </w:p>
    <w:p w14:paraId="6D8DB5F9" w14:textId="6595ED30" w:rsidR="006C23E4" w:rsidRPr="00B51BAA" w:rsidRDefault="00BF10B8" w:rsidP="00A76FEB">
      <w:pPr>
        <w:pStyle w:val="Heading1"/>
        <w:spacing w:line="360" w:lineRule="auto"/>
        <w:jc w:val="center"/>
        <w:rPr>
          <w:rFonts w:ascii="Arial" w:hAnsi="Arial" w:cs="Arial"/>
          <w:b/>
          <w:bCs/>
          <w:color w:val="auto"/>
          <w:sz w:val="22"/>
          <w:szCs w:val="22"/>
          <w:lang w:val="en-GB"/>
        </w:rPr>
      </w:pPr>
      <w:bookmarkStart w:id="18" w:name="_Toc11993"/>
      <w:bookmarkStart w:id="19" w:name="_Toc223898306"/>
      <w:bookmarkStart w:id="20" w:name="_Toc224149239"/>
      <w:bookmarkStart w:id="21" w:name="_Toc227403478"/>
      <w:r w:rsidRPr="00B51BAA">
        <w:rPr>
          <w:rFonts w:ascii="Arial" w:hAnsi="Arial" w:cs="Arial"/>
          <w:b/>
          <w:bCs/>
          <w:color w:val="auto"/>
          <w:sz w:val="22"/>
          <w:szCs w:val="22"/>
          <w:lang w:val="en-GB"/>
        </w:rPr>
        <w:t xml:space="preserve">3 </w:t>
      </w:r>
      <w:r w:rsidR="00037A50" w:rsidRPr="00B51BAA">
        <w:rPr>
          <w:rFonts w:ascii="Arial" w:hAnsi="Arial" w:cs="Arial"/>
          <w:b/>
          <w:bCs/>
          <w:color w:val="auto"/>
          <w:sz w:val="22"/>
          <w:szCs w:val="22"/>
          <w:lang w:val="en-GB"/>
        </w:rPr>
        <w:t xml:space="preserve">– </w:t>
      </w:r>
      <w:bookmarkEnd w:id="18"/>
      <w:bookmarkEnd w:id="19"/>
      <w:r w:rsidR="003F434E" w:rsidRPr="00B51BAA">
        <w:rPr>
          <w:rFonts w:ascii="Arial" w:hAnsi="Arial" w:cs="Arial"/>
          <w:b/>
          <w:bCs/>
          <w:color w:val="auto"/>
          <w:sz w:val="22"/>
          <w:szCs w:val="22"/>
          <w:lang w:val="en-GB"/>
        </w:rPr>
        <w:t>Evaluation of contemporary HR practices to address key factors.</w:t>
      </w:r>
      <w:bookmarkEnd w:id="20"/>
      <w:bookmarkEnd w:id="21"/>
    </w:p>
    <w:tbl>
      <w:tblPr>
        <w:tblStyle w:val="TableGrid"/>
        <w:tblW w:w="0" w:type="auto"/>
        <w:tblLook w:val="04A0" w:firstRow="1" w:lastRow="0" w:firstColumn="1" w:lastColumn="0" w:noHBand="0" w:noVBand="1"/>
      </w:tblPr>
      <w:tblGrid>
        <w:gridCol w:w="1662"/>
        <w:gridCol w:w="3240"/>
        <w:gridCol w:w="4167"/>
      </w:tblGrid>
      <w:tr w:rsidR="00534DCA" w:rsidRPr="00B51BAA" w14:paraId="50484DB1" w14:textId="77777777" w:rsidTr="00D83ED7">
        <w:trPr>
          <w:trHeight w:val="300"/>
        </w:trPr>
        <w:tc>
          <w:tcPr>
            <w:tcW w:w="1662" w:type="dxa"/>
            <w:noWrap/>
            <w:hideMark/>
          </w:tcPr>
          <w:p w14:paraId="2ED8D05E" w14:textId="77777777" w:rsidR="00534DCA" w:rsidRPr="00B51BAA" w:rsidRDefault="00534DCA" w:rsidP="00A76FEB">
            <w:pPr>
              <w:spacing w:after="0" w:line="360" w:lineRule="auto"/>
              <w:jc w:val="both"/>
              <w:rPr>
                <w:rFonts w:ascii="Arial" w:hAnsi="Arial" w:cs="Arial"/>
                <w:b/>
                <w:bCs/>
                <w:sz w:val="22"/>
                <w:szCs w:val="22"/>
              </w:rPr>
            </w:pPr>
            <w:r w:rsidRPr="00B51BAA">
              <w:rPr>
                <w:rFonts w:ascii="Arial" w:hAnsi="Arial" w:cs="Arial"/>
                <w:b/>
                <w:bCs/>
                <w:sz w:val="22"/>
                <w:szCs w:val="22"/>
              </w:rPr>
              <w:t>Practice</w:t>
            </w:r>
          </w:p>
        </w:tc>
        <w:tc>
          <w:tcPr>
            <w:tcW w:w="3240" w:type="dxa"/>
            <w:noWrap/>
            <w:hideMark/>
          </w:tcPr>
          <w:p w14:paraId="4EBE829C" w14:textId="77777777" w:rsidR="00534DCA" w:rsidRPr="00B51BAA" w:rsidRDefault="00534DCA" w:rsidP="00A76FEB">
            <w:pPr>
              <w:spacing w:after="0" w:line="360" w:lineRule="auto"/>
              <w:jc w:val="both"/>
              <w:rPr>
                <w:rFonts w:ascii="Arial" w:hAnsi="Arial" w:cs="Arial"/>
                <w:b/>
                <w:bCs/>
                <w:sz w:val="22"/>
                <w:szCs w:val="22"/>
              </w:rPr>
            </w:pPr>
            <w:r w:rsidRPr="00B51BAA">
              <w:rPr>
                <w:rFonts w:ascii="Arial" w:hAnsi="Arial" w:cs="Arial"/>
                <w:b/>
                <w:bCs/>
                <w:sz w:val="22"/>
                <w:szCs w:val="22"/>
              </w:rPr>
              <w:t>Concise Description</w:t>
            </w:r>
          </w:p>
        </w:tc>
        <w:tc>
          <w:tcPr>
            <w:tcW w:w="4167" w:type="dxa"/>
            <w:noWrap/>
            <w:hideMark/>
          </w:tcPr>
          <w:p w14:paraId="7DA57A0D" w14:textId="77777777" w:rsidR="00534DCA" w:rsidRPr="00B51BAA" w:rsidRDefault="00534DCA" w:rsidP="00A76FEB">
            <w:pPr>
              <w:spacing w:after="0" w:line="360" w:lineRule="auto"/>
              <w:jc w:val="both"/>
              <w:rPr>
                <w:rFonts w:ascii="Arial" w:hAnsi="Arial" w:cs="Arial"/>
                <w:b/>
                <w:bCs/>
                <w:sz w:val="22"/>
                <w:szCs w:val="22"/>
              </w:rPr>
            </w:pPr>
            <w:r w:rsidRPr="00B51BAA">
              <w:rPr>
                <w:rFonts w:ascii="Arial" w:hAnsi="Arial" w:cs="Arial"/>
                <w:b/>
                <w:bCs/>
                <w:sz w:val="22"/>
                <w:szCs w:val="22"/>
              </w:rPr>
              <w:t>Critical Evaluation</w:t>
            </w:r>
          </w:p>
        </w:tc>
      </w:tr>
      <w:tr w:rsidR="00534DCA" w:rsidRPr="00AC2ECE" w14:paraId="12B268DD" w14:textId="77777777" w:rsidTr="00D83ED7">
        <w:trPr>
          <w:trHeight w:val="300"/>
        </w:trPr>
        <w:tc>
          <w:tcPr>
            <w:tcW w:w="1662" w:type="dxa"/>
            <w:noWrap/>
            <w:hideMark/>
          </w:tcPr>
          <w:p w14:paraId="00D95AA4" w14:textId="77777777" w:rsidR="00534DCA" w:rsidRPr="00B51BAA" w:rsidRDefault="00534DCA" w:rsidP="00A76FEB">
            <w:pPr>
              <w:spacing w:after="0" w:line="360" w:lineRule="auto"/>
              <w:jc w:val="both"/>
              <w:rPr>
                <w:rFonts w:ascii="Arial" w:hAnsi="Arial" w:cs="Arial"/>
                <w:sz w:val="22"/>
                <w:szCs w:val="22"/>
              </w:rPr>
            </w:pPr>
            <w:r w:rsidRPr="00B51BAA">
              <w:rPr>
                <w:rFonts w:ascii="Arial" w:hAnsi="Arial" w:cs="Arial"/>
                <w:sz w:val="22"/>
                <w:szCs w:val="22"/>
              </w:rPr>
              <w:lastRenderedPageBreak/>
              <w:t>Digital Learning Platforms</w:t>
            </w:r>
          </w:p>
        </w:tc>
        <w:tc>
          <w:tcPr>
            <w:tcW w:w="3240" w:type="dxa"/>
            <w:noWrap/>
            <w:hideMark/>
          </w:tcPr>
          <w:p w14:paraId="2D77092A" w14:textId="0735CA4C"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Use of microlearning and AI tools for continuous upskilling.</w:t>
            </w:r>
          </w:p>
        </w:tc>
        <w:tc>
          <w:tcPr>
            <w:tcW w:w="4167" w:type="dxa"/>
            <w:noWrap/>
            <w:hideMark/>
          </w:tcPr>
          <w:p w14:paraId="4AA763F4" w14:textId="5024DFA1"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Scalable and data</w:t>
            </w:r>
            <w:r w:rsidR="00453829">
              <w:rPr>
                <w:rFonts w:ascii="Arial" w:hAnsi="Arial" w:cs="Arial"/>
                <w:sz w:val="22"/>
                <w:szCs w:val="22"/>
                <w:lang w:val="en-GB"/>
              </w:rPr>
              <w:t xml:space="preserve"> </w:t>
            </w:r>
            <w:r w:rsidRPr="00B51BAA">
              <w:rPr>
                <w:rFonts w:ascii="Arial" w:hAnsi="Arial" w:cs="Arial"/>
                <w:sz w:val="22"/>
                <w:szCs w:val="22"/>
                <w:lang w:val="en-GB"/>
              </w:rPr>
              <w:t>driven; requires investment and may disadvantage low digital</w:t>
            </w:r>
            <w:r w:rsidRPr="00B51BAA">
              <w:rPr>
                <w:rFonts w:ascii="Arial" w:hAnsi="Arial" w:cs="Arial"/>
                <w:sz w:val="22"/>
                <w:szCs w:val="22"/>
                <w:lang w:val="en-GB"/>
              </w:rPr>
              <w:noBreakHyphen/>
              <w:t>confidence staff.</w:t>
            </w:r>
          </w:p>
        </w:tc>
      </w:tr>
      <w:tr w:rsidR="00534DCA" w:rsidRPr="00AC2ECE" w14:paraId="78BFCB11" w14:textId="77777777" w:rsidTr="00D83ED7">
        <w:trPr>
          <w:trHeight w:val="300"/>
        </w:trPr>
        <w:tc>
          <w:tcPr>
            <w:tcW w:w="1662" w:type="dxa"/>
            <w:noWrap/>
            <w:hideMark/>
          </w:tcPr>
          <w:p w14:paraId="00B8DA8E" w14:textId="77777777" w:rsidR="00534DCA" w:rsidRPr="00B51BAA" w:rsidRDefault="00534DCA" w:rsidP="00A76FEB">
            <w:pPr>
              <w:spacing w:after="0" w:line="360" w:lineRule="auto"/>
              <w:jc w:val="both"/>
              <w:rPr>
                <w:rFonts w:ascii="Arial" w:hAnsi="Arial" w:cs="Arial"/>
                <w:sz w:val="22"/>
                <w:szCs w:val="22"/>
              </w:rPr>
            </w:pPr>
            <w:r w:rsidRPr="00B51BAA">
              <w:rPr>
                <w:rFonts w:ascii="Arial" w:hAnsi="Arial" w:cs="Arial"/>
                <w:sz w:val="22"/>
                <w:szCs w:val="22"/>
              </w:rPr>
              <w:t>Change Management Frameworks</w:t>
            </w:r>
          </w:p>
        </w:tc>
        <w:tc>
          <w:tcPr>
            <w:tcW w:w="3240" w:type="dxa"/>
            <w:noWrap/>
            <w:hideMark/>
          </w:tcPr>
          <w:p w14:paraId="4EA52AE3" w14:textId="3EA3554C"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Structured models to support technological adoption.</w:t>
            </w:r>
          </w:p>
        </w:tc>
        <w:tc>
          <w:tcPr>
            <w:tcW w:w="4167" w:type="dxa"/>
            <w:noWrap/>
            <w:hideMark/>
          </w:tcPr>
          <w:p w14:paraId="316B343D" w14:textId="77777777"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Reduces resistance and improves communication; requires sustained leadership and time.</w:t>
            </w:r>
          </w:p>
        </w:tc>
      </w:tr>
      <w:tr w:rsidR="00534DCA" w:rsidRPr="00AC2ECE" w14:paraId="4AD15BBF" w14:textId="77777777" w:rsidTr="00D83ED7">
        <w:trPr>
          <w:trHeight w:val="300"/>
        </w:trPr>
        <w:tc>
          <w:tcPr>
            <w:tcW w:w="1662" w:type="dxa"/>
            <w:noWrap/>
            <w:hideMark/>
          </w:tcPr>
          <w:p w14:paraId="739BB417" w14:textId="77777777" w:rsidR="00534DCA" w:rsidRPr="00B51BAA" w:rsidRDefault="00534DCA" w:rsidP="00A76FEB">
            <w:pPr>
              <w:spacing w:after="0" w:line="360" w:lineRule="auto"/>
              <w:jc w:val="both"/>
              <w:rPr>
                <w:rFonts w:ascii="Arial" w:hAnsi="Arial" w:cs="Arial"/>
                <w:sz w:val="22"/>
                <w:szCs w:val="22"/>
              </w:rPr>
            </w:pPr>
            <w:r w:rsidRPr="00B51BAA">
              <w:rPr>
                <w:rFonts w:ascii="Arial" w:hAnsi="Arial" w:cs="Arial"/>
                <w:color w:val="auto"/>
                <w:sz w:val="22"/>
                <w:szCs w:val="22"/>
              </w:rPr>
              <w:t>Flexible Working &amp; Wellbeing</w:t>
            </w:r>
          </w:p>
        </w:tc>
        <w:tc>
          <w:tcPr>
            <w:tcW w:w="3240" w:type="dxa"/>
            <w:noWrap/>
            <w:hideMark/>
          </w:tcPr>
          <w:p w14:paraId="3758CBB2" w14:textId="77777777"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Initiatives supporting work</w:t>
            </w:r>
            <w:r w:rsidRPr="00B51BAA">
              <w:rPr>
                <w:rFonts w:ascii="Arial" w:hAnsi="Arial" w:cs="Arial"/>
                <w:sz w:val="22"/>
                <w:szCs w:val="22"/>
                <w:lang w:val="en-GB"/>
              </w:rPr>
              <w:noBreakHyphen/>
              <w:t>life balance and mental health.</w:t>
            </w:r>
          </w:p>
        </w:tc>
        <w:tc>
          <w:tcPr>
            <w:tcW w:w="4167" w:type="dxa"/>
            <w:noWrap/>
            <w:hideMark/>
          </w:tcPr>
          <w:p w14:paraId="648B3085" w14:textId="77777777"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Improves retention; challenging to balance with operational demands.</w:t>
            </w:r>
          </w:p>
        </w:tc>
      </w:tr>
      <w:tr w:rsidR="00534DCA" w:rsidRPr="00AC2ECE" w14:paraId="082ADBA1" w14:textId="77777777" w:rsidTr="00D83ED7">
        <w:trPr>
          <w:trHeight w:val="300"/>
        </w:trPr>
        <w:tc>
          <w:tcPr>
            <w:tcW w:w="1662" w:type="dxa"/>
            <w:noWrap/>
            <w:hideMark/>
          </w:tcPr>
          <w:p w14:paraId="5CB98AC6" w14:textId="77777777" w:rsidR="00534DCA" w:rsidRPr="00B51BAA" w:rsidRDefault="00534DCA" w:rsidP="00A76FEB">
            <w:pPr>
              <w:spacing w:after="0" w:line="360" w:lineRule="auto"/>
              <w:jc w:val="both"/>
              <w:rPr>
                <w:rFonts w:ascii="Arial" w:hAnsi="Arial" w:cs="Arial"/>
                <w:sz w:val="22"/>
                <w:szCs w:val="22"/>
              </w:rPr>
            </w:pPr>
            <w:r w:rsidRPr="00B51BAA">
              <w:rPr>
                <w:rFonts w:ascii="Arial" w:hAnsi="Arial" w:cs="Arial"/>
                <w:sz w:val="22"/>
                <w:szCs w:val="22"/>
              </w:rPr>
              <w:t>Career Pathways &amp; Internal Mobility</w:t>
            </w:r>
          </w:p>
        </w:tc>
        <w:tc>
          <w:tcPr>
            <w:tcW w:w="3240" w:type="dxa"/>
            <w:noWrap/>
            <w:hideMark/>
          </w:tcPr>
          <w:p w14:paraId="550DA658" w14:textId="77777777"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Structured progression routes and internal promotions.</w:t>
            </w:r>
          </w:p>
        </w:tc>
        <w:tc>
          <w:tcPr>
            <w:tcW w:w="4167" w:type="dxa"/>
            <w:noWrap/>
            <w:hideMark/>
          </w:tcPr>
          <w:p w14:paraId="07B364B3" w14:textId="77777777"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Reduces turnover; requires investment in training and mentoring.</w:t>
            </w:r>
          </w:p>
        </w:tc>
      </w:tr>
      <w:tr w:rsidR="00534DCA" w:rsidRPr="00AC2ECE" w14:paraId="1547378D" w14:textId="77777777" w:rsidTr="00D83ED7">
        <w:trPr>
          <w:trHeight w:val="300"/>
        </w:trPr>
        <w:tc>
          <w:tcPr>
            <w:tcW w:w="1662" w:type="dxa"/>
            <w:noWrap/>
            <w:hideMark/>
          </w:tcPr>
          <w:p w14:paraId="6F387698" w14:textId="77777777" w:rsidR="00534DCA" w:rsidRPr="00B51BAA" w:rsidRDefault="00534DCA" w:rsidP="00A76FEB">
            <w:pPr>
              <w:spacing w:after="0" w:line="360" w:lineRule="auto"/>
              <w:jc w:val="both"/>
              <w:rPr>
                <w:rFonts w:ascii="Arial" w:hAnsi="Arial" w:cs="Arial"/>
                <w:sz w:val="22"/>
                <w:szCs w:val="22"/>
              </w:rPr>
            </w:pPr>
            <w:r w:rsidRPr="00B51BAA">
              <w:rPr>
                <w:rFonts w:ascii="Arial" w:hAnsi="Arial" w:cs="Arial"/>
                <w:sz w:val="22"/>
                <w:szCs w:val="22"/>
              </w:rPr>
              <w:t>Inclusive Recruitment</w:t>
            </w:r>
          </w:p>
        </w:tc>
        <w:tc>
          <w:tcPr>
            <w:tcW w:w="3240" w:type="dxa"/>
            <w:noWrap/>
            <w:hideMark/>
          </w:tcPr>
          <w:p w14:paraId="642A8D84" w14:textId="77777777"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Anonymous screening, structured interviews and diverse panels.</w:t>
            </w:r>
          </w:p>
        </w:tc>
        <w:tc>
          <w:tcPr>
            <w:tcW w:w="4167" w:type="dxa"/>
            <w:noWrap/>
            <w:hideMark/>
          </w:tcPr>
          <w:p w14:paraId="4F83FB29" w14:textId="77777777"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Reduces bias and broadens talent pool; ineffective without inclusive culture.</w:t>
            </w:r>
          </w:p>
        </w:tc>
      </w:tr>
      <w:tr w:rsidR="00534DCA" w:rsidRPr="00AC2ECE" w14:paraId="3CA57E85" w14:textId="77777777" w:rsidTr="00D83ED7">
        <w:trPr>
          <w:trHeight w:val="300"/>
        </w:trPr>
        <w:tc>
          <w:tcPr>
            <w:tcW w:w="1662" w:type="dxa"/>
            <w:noWrap/>
            <w:hideMark/>
          </w:tcPr>
          <w:p w14:paraId="682AE606" w14:textId="77777777" w:rsidR="00534DCA" w:rsidRPr="00B51BAA" w:rsidRDefault="00534DCA" w:rsidP="00A76FEB">
            <w:pPr>
              <w:spacing w:after="0" w:line="360" w:lineRule="auto"/>
              <w:jc w:val="both"/>
              <w:rPr>
                <w:rFonts w:ascii="Arial" w:hAnsi="Arial" w:cs="Arial"/>
                <w:sz w:val="22"/>
                <w:szCs w:val="22"/>
              </w:rPr>
            </w:pPr>
            <w:r w:rsidRPr="00B51BAA">
              <w:rPr>
                <w:rFonts w:ascii="Arial" w:hAnsi="Arial" w:cs="Arial"/>
                <w:sz w:val="22"/>
                <w:szCs w:val="22"/>
              </w:rPr>
              <w:t>DEI Training</w:t>
            </w:r>
          </w:p>
        </w:tc>
        <w:tc>
          <w:tcPr>
            <w:tcW w:w="3240" w:type="dxa"/>
            <w:noWrap/>
            <w:hideMark/>
          </w:tcPr>
          <w:p w14:paraId="50C77129" w14:textId="77777777"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Ongoing training on bias, cultural competence and inclusive leadership.</w:t>
            </w:r>
          </w:p>
        </w:tc>
        <w:tc>
          <w:tcPr>
            <w:tcW w:w="4167" w:type="dxa"/>
            <w:noWrap/>
            <w:hideMark/>
          </w:tcPr>
          <w:p w14:paraId="0E4D0AD6" w14:textId="77777777"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Supports cultural change; insufficient without accountability mechanisms.</w:t>
            </w:r>
          </w:p>
        </w:tc>
      </w:tr>
      <w:tr w:rsidR="00534DCA" w:rsidRPr="00AC2ECE" w14:paraId="6D3BA157" w14:textId="77777777" w:rsidTr="00D83ED7">
        <w:trPr>
          <w:trHeight w:val="300"/>
        </w:trPr>
        <w:tc>
          <w:tcPr>
            <w:tcW w:w="1662" w:type="dxa"/>
            <w:noWrap/>
            <w:hideMark/>
          </w:tcPr>
          <w:p w14:paraId="4E94EBE7" w14:textId="77777777" w:rsidR="00534DCA" w:rsidRPr="00B51BAA" w:rsidRDefault="00534DCA" w:rsidP="00A76FEB">
            <w:pPr>
              <w:spacing w:after="0" w:line="360" w:lineRule="auto"/>
              <w:jc w:val="both"/>
              <w:rPr>
                <w:rFonts w:ascii="Arial" w:hAnsi="Arial" w:cs="Arial"/>
                <w:sz w:val="22"/>
                <w:szCs w:val="22"/>
              </w:rPr>
            </w:pPr>
            <w:r w:rsidRPr="00B51BAA">
              <w:rPr>
                <w:rFonts w:ascii="Arial" w:hAnsi="Arial" w:cs="Arial"/>
                <w:sz w:val="22"/>
                <w:szCs w:val="22"/>
              </w:rPr>
              <w:t>DEI Metrics &amp; Transparency</w:t>
            </w:r>
          </w:p>
        </w:tc>
        <w:tc>
          <w:tcPr>
            <w:tcW w:w="3240" w:type="dxa"/>
            <w:noWrap/>
            <w:hideMark/>
          </w:tcPr>
          <w:p w14:paraId="422ACC7E" w14:textId="77777777"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Publication of diversity data and inclusion indicators.</w:t>
            </w:r>
          </w:p>
        </w:tc>
        <w:tc>
          <w:tcPr>
            <w:tcW w:w="4167" w:type="dxa"/>
            <w:noWrap/>
            <w:hideMark/>
          </w:tcPr>
          <w:p w14:paraId="7EF3E240" w14:textId="77777777" w:rsidR="00534DCA" w:rsidRPr="00B51BAA" w:rsidRDefault="00534DCA"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Builds trust and accountability; metrics require careful interpretation.</w:t>
            </w:r>
          </w:p>
        </w:tc>
      </w:tr>
    </w:tbl>
    <w:p w14:paraId="330B7F18" w14:textId="77777777" w:rsidR="00D63327" w:rsidRPr="00B51BAA" w:rsidRDefault="00D63327" w:rsidP="00A76FEB">
      <w:pPr>
        <w:spacing w:after="0" w:line="360" w:lineRule="auto"/>
        <w:jc w:val="both"/>
        <w:rPr>
          <w:rFonts w:ascii="Arial" w:hAnsi="Arial" w:cs="Arial"/>
          <w:sz w:val="22"/>
          <w:szCs w:val="22"/>
          <w:lang w:val="en-GB"/>
        </w:rPr>
      </w:pPr>
    </w:p>
    <w:p w14:paraId="6D8DB604" w14:textId="2EEB196F" w:rsidR="006C23E4" w:rsidRPr="00B51BAA" w:rsidRDefault="007A6CEA" w:rsidP="00A76FEB">
      <w:pPr>
        <w:pStyle w:val="Heading1"/>
        <w:spacing w:line="360" w:lineRule="auto"/>
        <w:jc w:val="center"/>
        <w:rPr>
          <w:rFonts w:ascii="Arial" w:hAnsi="Arial" w:cs="Arial"/>
          <w:b/>
          <w:bCs/>
          <w:color w:val="auto"/>
          <w:sz w:val="22"/>
          <w:szCs w:val="22"/>
          <w:lang w:val="en-GB"/>
        </w:rPr>
      </w:pPr>
      <w:bookmarkStart w:id="22" w:name="_Toc11994"/>
      <w:bookmarkStart w:id="23" w:name="_Toc223898307"/>
      <w:bookmarkStart w:id="24" w:name="_Toc224149240"/>
      <w:bookmarkStart w:id="25" w:name="_Toc227403479"/>
      <w:r w:rsidRPr="00B51BAA">
        <w:rPr>
          <w:rFonts w:ascii="Arial" w:hAnsi="Arial" w:cs="Arial"/>
          <w:b/>
          <w:bCs/>
          <w:color w:val="auto"/>
          <w:sz w:val="22"/>
          <w:szCs w:val="22"/>
          <w:lang w:val="en-GB"/>
        </w:rPr>
        <w:t>4</w:t>
      </w:r>
      <w:r w:rsidR="00037A50" w:rsidRPr="00B51BAA">
        <w:rPr>
          <w:rFonts w:ascii="Arial" w:hAnsi="Arial" w:cs="Arial"/>
          <w:b/>
          <w:bCs/>
          <w:color w:val="auto"/>
          <w:sz w:val="22"/>
          <w:szCs w:val="22"/>
          <w:lang w:val="en-GB"/>
        </w:rPr>
        <w:t xml:space="preserve"> </w:t>
      </w:r>
      <w:r w:rsidR="00DE3C28" w:rsidRPr="00B51BAA">
        <w:rPr>
          <w:rFonts w:ascii="Arial" w:hAnsi="Arial" w:cs="Arial"/>
          <w:b/>
          <w:bCs/>
          <w:color w:val="auto"/>
          <w:sz w:val="22"/>
          <w:szCs w:val="22"/>
          <w:lang w:val="en-GB"/>
        </w:rPr>
        <w:t>–</w:t>
      </w:r>
      <w:r w:rsidR="00037A50" w:rsidRPr="00B51BAA">
        <w:rPr>
          <w:rFonts w:ascii="Arial" w:hAnsi="Arial" w:cs="Arial"/>
          <w:b/>
          <w:bCs/>
          <w:color w:val="auto"/>
          <w:sz w:val="22"/>
          <w:szCs w:val="22"/>
          <w:lang w:val="en-GB"/>
        </w:rPr>
        <w:t xml:space="preserve"> </w:t>
      </w:r>
      <w:bookmarkEnd w:id="22"/>
      <w:bookmarkEnd w:id="23"/>
      <w:r w:rsidR="004F4C71" w:rsidRPr="00B51BAA">
        <w:rPr>
          <w:rFonts w:ascii="Arial" w:hAnsi="Arial" w:cs="Arial"/>
          <w:b/>
          <w:bCs/>
          <w:color w:val="auto"/>
          <w:sz w:val="22"/>
          <w:szCs w:val="22"/>
          <w:lang w:val="en-GB"/>
        </w:rPr>
        <w:t>How to ensure that continuous practices are being implemented</w:t>
      </w:r>
      <w:bookmarkEnd w:id="24"/>
      <w:bookmarkEnd w:id="25"/>
    </w:p>
    <w:p w14:paraId="2AD6415E" w14:textId="77777777" w:rsidR="00ED6DDD" w:rsidRPr="00B51BAA" w:rsidRDefault="00ED6DDD" w:rsidP="00A76FEB">
      <w:pPr>
        <w:spacing w:after="0" w:line="360" w:lineRule="auto"/>
        <w:ind w:firstLine="698"/>
        <w:jc w:val="both"/>
        <w:rPr>
          <w:rFonts w:ascii="Arial" w:hAnsi="Arial" w:cs="Arial"/>
          <w:sz w:val="22"/>
          <w:szCs w:val="22"/>
          <w:lang w:val="en-GB"/>
        </w:rPr>
      </w:pPr>
      <w:r w:rsidRPr="00B51BAA">
        <w:rPr>
          <w:rFonts w:ascii="Arial" w:hAnsi="Arial" w:cs="Arial"/>
          <w:sz w:val="22"/>
          <w:szCs w:val="22"/>
          <w:lang w:val="en-GB"/>
        </w:rPr>
        <w:t>The HR challenges faced by Waitrose &amp; Partners require departmental managers to act swiftly and strategically to embed contemporary HR practices. While HR provides the overarching framework, it is managers who operationalise these initiatives and influence their success (Armstrong and Taylor, 2023). Their ability to lead change, support employees, and model expected behaviours is central to ensuring urgent implementation.</w:t>
      </w:r>
    </w:p>
    <w:p w14:paraId="369CB843" w14:textId="5FC34070" w:rsidR="00A23AFB" w:rsidRPr="00B51BAA" w:rsidRDefault="00A512F3"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ab/>
      </w:r>
      <w:r w:rsidRPr="00B51BAA">
        <w:rPr>
          <w:rFonts w:ascii="Arial" w:hAnsi="Arial" w:cs="Arial"/>
          <w:sz w:val="22"/>
          <w:szCs w:val="22"/>
          <w:lang w:val="en-GB"/>
        </w:rPr>
        <w:tab/>
        <w:t xml:space="preserve">A key area requiring immediate managerial intervention is the adoption of </w:t>
      </w:r>
      <w:r w:rsidRPr="00B51BAA">
        <w:rPr>
          <w:rFonts w:ascii="Arial" w:hAnsi="Arial" w:cs="Arial"/>
          <w:sz w:val="22"/>
          <w:szCs w:val="22"/>
          <w:u w:val="single"/>
          <w:lang w:val="en-GB"/>
        </w:rPr>
        <w:t>technological advancements,</w:t>
      </w:r>
      <w:r w:rsidRPr="00B51BAA">
        <w:rPr>
          <w:rFonts w:ascii="Arial" w:hAnsi="Arial" w:cs="Arial"/>
          <w:sz w:val="22"/>
          <w:szCs w:val="22"/>
          <w:lang w:val="en-GB"/>
        </w:rPr>
        <w:t xml:space="preserve"> particularly digital learning platforms and HR analytics. Managers must champion the use of Learning Management Systems (LMS) by integrating digital learning into daily routines, allocating protected time for staff to complete modules, and modelling engagement themselves. Without visible managerial commitment, uptake will remain inconsistent, especially among employees with low digital confidence. </w:t>
      </w:r>
    </w:p>
    <w:p w14:paraId="2B679EEA" w14:textId="4647E2CE" w:rsidR="00427BE7" w:rsidRPr="00B51BAA" w:rsidRDefault="00A512F3" w:rsidP="00A76FEB">
      <w:pPr>
        <w:spacing w:after="0" w:line="360" w:lineRule="auto"/>
        <w:ind w:firstLine="698"/>
        <w:jc w:val="both"/>
        <w:rPr>
          <w:rFonts w:ascii="Arial" w:hAnsi="Arial" w:cs="Arial"/>
          <w:sz w:val="22"/>
          <w:szCs w:val="22"/>
          <w:lang w:val="en-GB"/>
        </w:rPr>
      </w:pPr>
      <w:r w:rsidRPr="00B51BAA">
        <w:rPr>
          <w:rFonts w:ascii="Arial" w:hAnsi="Arial" w:cs="Arial"/>
          <w:sz w:val="22"/>
          <w:szCs w:val="22"/>
          <w:lang w:val="en-GB"/>
        </w:rPr>
        <w:t xml:space="preserve">In relation to </w:t>
      </w:r>
      <w:r w:rsidRPr="00B51BAA">
        <w:rPr>
          <w:rFonts w:ascii="Arial" w:hAnsi="Arial" w:cs="Arial"/>
          <w:sz w:val="22"/>
          <w:szCs w:val="22"/>
          <w:u w:val="single"/>
          <w:lang w:val="en-GB"/>
        </w:rPr>
        <w:t>talent acquisition and retention,</w:t>
      </w:r>
      <w:r w:rsidRPr="00B51BAA">
        <w:rPr>
          <w:rFonts w:ascii="Arial" w:hAnsi="Arial" w:cs="Arial"/>
          <w:sz w:val="22"/>
          <w:szCs w:val="22"/>
          <w:lang w:val="en-GB"/>
        </w:rPr>
        <w:t xml:space="preserve"> departmental managers must actively reinforce the organisation’s Employee Value Proposition (EVP). While HR may design the EVP, managers bring it to life through everyday behaviours, communication, and team culture. To </w:t>
      </w:r>
      <w:r w:rsidRPr="00B51BAA">
        <w:rPr>
          <w:rFonts w:ascii="Arial" w:hAnsi="Arial" w:cs="Arial"/>
          <w:sz w:val="22"/>
          <w:szCs w:val="22"/>
          <w:lang w:val="en-GB"/>
        </w:rPr>
        <w:lastRenderedPageBreak/>
        <w:t>ensure urgent implementation, managers must align their practices with EVP promises</w:t>
      </w:r>
      <w:r w:rsidR="00DD2F30">
        <w:rPr>
          <w:rFonts w:ascii="Arial" w:hAnsi="Arial" w:cs="Arial"/>
          <w:sz w:val="22"/>
          <w:szCs w:val="22"/>
          <w:lang w:val="en-GB"/>
        </w:rPr>
        <w:t xml:space="preserve">, </w:t>
      </w:r>
      <w:r w:rsidRPr="00B51BAA">
        <w:rPr>
          <w:rFonts w:ascii="Arial" w:hAnsi="Arial" w:cs="Arial"/>
          <w:sz w:val="22"/>
          <w:szCs w:val="22"/>
          <w:lang w:val="en-GB"/>
        </w:rPr>
        <w:t>such as development opportunities, wellbeing support, and</w:t>
      </w:r>
      <w:r w:rsidRPr="00B51BAA">
        <w:rPr>
          <w:rFonts w:ascii="Arial" w:hAnsi="Arial" w:cs="Arial"/>
          <w:color w:val="EE0000"/>
          <w:sz w:val="22"/>
          <w:szCs w:val="22"/>
          <w:lang w:val="en-GB"/>
        </w:rPr>
        <w:t xml:space="preserve"> </w:t>
      </w:r>
      <w:r w:rsidRPr="00B51BAA">
        <w:rPr>
          <w:rFonts w:ascii="Arial" w:hAnsi="Arial" w:cs="Arial"/>
          <w:color w:val="auto"/>
          <w:sz w:val="22"/>
          <w:szCs w:val="22"/>
          <w:lang w:val="en-GB"/>
        </w:rPr>
        <w:t xml:space="preserve">flexible working. </w:t>
      </w:r>
      <w:r w:rsidRPr="00B51BAA">
        <w:rPr>
          <w:rFonts w:ascii="Arial" w:hAnsi="Arial" w:cs="Arial"/>
          <w:sz w:val="22"/>
          <w:szCs w:val="22"/>
          <w:lang w:val="en-GB"/>
        </w:rPr>
        <w:t>Failure to do so risks undermining recruitment efforts and accelerating turnover. Managers must also ensure that data</w:t>
      </w:r>
      <w:r w:rsidR="00DD2F30">
        <w:rPr>
          <w:rFonts w:ascii="Arial" w:hAnsi="Arial" w:cs="Arial"/>
          <w:sz w:val="22"/>
          <w:szCs w:val="22"/>
          <w:lang w:val="en-GB"/>
        </w:rPr>
        <w:t xml:space="preserve"> </w:t>
      </w:r>
      <w:r w:rsidRPr="00B51BAA">
        <w:rPr>
          <w:rFonts w:ascii="Arial" w:hAnsi="Arial" w:cs="Arial"/>
          <w:sz w:val="22"/>
          <w:szCs w:val="22"/>
          <w:lang w:val="en-GB"/>
        </w:rPr>
        <w:t xml:space="preserve">driven recruitment tools are used responsibly by providing feedback on candidate quality and monitoring for potential bias. </w:t>
      </w:r>
    </w:p>
    <w:p w14:paraId="303C85C4" w14:textId="77777777" w:rsidR="00427BE7" w:rsidRPr="00B51BAA" w:rsidRDefault="00A512F3" w:rsidP="00A76FEB">
      <w:pPr>
        <w:spacing w:after="0" w:line="360" w:lineRule="auto"/>
        <w:ind w:firstLine="698"/>
        <w:jc w:val="both"/>
        <w:rPr>
          <w:rFonts w:ascii="Arial" w:hAnsi="Arial" w:cs="Arial"/>
          <w:sz w:val="22"/>
          <w:szCs w:val="22"/>
          <w:lang w:val="en-GB"/>
        </w:rPr>
      </w:pPr>
      <w:r w:rsidRPr="00B51BAA">
        <w:rPr>
          <w:rFonts w:ascii="Arial" w:hAnsi="Arial" w:cs="Arial"/>
          <w:sz w:val="22"/>
          <w:szCs w:val="22"/>
          <w:lang w:val="en-GB"/>
        </w:rPr>
        <w:t>Retention practices, such as flexible scheduling and career pathways, also depend heavily on managerial action. Managers must balance operational demands with employee wellbeing by using fair, transparent scheduling systems and proactively identifying staff for progression. Urgency is required here because retail labour markets are highly competitive; delays in offering development or flexibility can quickly lead to attrition.</w:t>
      </w:r>
    </w:p>
    <w:p w14:paraId="0C545DFC" w14:textId="10065C51" w:rsidR="00427BE7" w:rsidRPr="00B51BAA" w:rsidRDefault="00A512F3" w:rsidP="00A76FEB">
      <w:pPr>
        <w:spacing w:after="0" w:line="360" w:lineRule="auto"/>
        <w:ind w:firstLine="698"/>
        <w:jc w:val="both"/>
        <w:rPr>
          <w:rFonts w:ascii="Arial" w:hAnsi="Arial" w:cs="Arial"/>
          <w:sz w:val="22"/>
          <w:szCs w:val="22"/>
          <w:lang w:val="en-GB"/>
        </w:rPr>
      </w:pPr>
      <w:r w:rsidRPr="00B51BAA">
        <w:rPr>
          <w:rFonts w:ascii="Arial" w:hAnsi="Arial" w:cs="Arial"/>
          <w:sz w:val="22"/>
          <w:szCs w:val="22"/>
          <w:lang w:val="en-GB"/>
        </w:rPr>
        <w:t xml:space="preserve">Addressing </w:t>
      </w:r>
      <w:r w:rsidRPr="00B51BAA">
        <w:rPr>
          <w:rFonts w:ascii="Arial" w:hAnsi="Arial" w:cs="Arial"/>
          <w:sz w:val="22"/>
          <w:szCs w:val="22"/>
          <w:u w:val="single"/>
          <w:lang w:val="en-GB"/>
        </w:rPr>
        <w:t>Diversity, Equity and Inclusion (DEI)</w:t>
      </w:r>
      <w:r w:rsidRPr="00B51BAA">
        <w:rPr>
          <w:rFonts w:ascii="Arial" w:hAnsi="Arial" w:cs="Arial"/>
          <w:sz w:val="22"/>
          <w:szCs w:val="22"/>
          <w:lang w:val="en-GB"/>
        </w:rPr>
        <w:t xml:space="preserve"> also </w:t>
      </w:r>
      <w:proofErr w:type="gramStart"/>
      <w:r w:rsidRPr="00B51BAA">
        <w:rPr>
          <w:rFonts w:ascii="Arial" w:hAnsi="Arial" w:cs="Arial"/>
          <w:sz w:val="22"/>
          <w:szCs w:val="22"/>
          <w:lang w:val="en-GB"/>
        </w:rPr>
        <w:t>requires</w:t>
      </w:r>
      <w:proofErr w:type="gramEnd"/>
      <w:r w:rsidRPr="00B51BAA">
        <w:rPr>
          <w:rFonts w:ascii="Arial" w:hAnsi="Arial" w:cs="Arial"/>
          <w:sz w:val="22"/>
          <w:szCs w:val="22"/>
          <w:lang w:val="en-GB"/>
        </w:rPr>
        <w:t xml:space="preserve"> strong managerial leadership. Inclusive recruitment practices</w:t>
      </w:r>
      <w:r w:rsidR="00DD2F30">
        <w:rPr>
          <w:rFonts w:ascii="Arial" w:hAnsi="Arial" w:cs="Arial"/>
          <w:sz w:val="22"/>
          <w:szCs w:val="22"/>
          <w:lang w:val="en-GB"/>
        </w:rPr>
        <w:t xml:space="preserve">, </w:t>
      </w:r>
      <w:r w:rsidRPr="00B51BAA">
        <w:rPr>
          <w:rFonts w:ascii="Arial" w:hAnsi="Arial" w:cs="Arial"/>
          <w:sz w:val="22"/>
          <w:szCs w:val="22"/>
          <w:lang w:val="en-GB"/>
        </w:rPr>
        <w:t>such as structured interviews and diverse panels</w:t>
      </w:r>
      <w:r w:rsidR="00DD2F30">
        <w:rPr>
          <w:rFonts w:ascii="Arial" w:hAnsi="Arial" w:cs="Arial"/>
          <w:sz w:val="22"/>
          <w:szCs w:val="22"/>
          <w:lang w:val="en-GB"/>
        </w:rPr>
        <w:t xml:space="preserve">, </w:t>
      </w:r>
      <w:r w:rsidRPr="00B51BAA">
        <w:rPr>
          <w:rFonts w:ascii="Arial" w:hAnsi="Arial" w:cs="Arial"/>
          <w:sz w:val="22"/>
          <w:szCs w:val="22"/>
          <w:lang w:val="en-GB"/>
        </w:rPr>
        <w:t>can only be implemented urgently if managers are trained, held accountable, and monitored for compliance. Managers must also reinforce DEI training by modelling inclusive behaviours and addressing inappropriate conduct immediately. Employee Resource Groups (ERGs) can only influence organisational policy if managers actively support participation and act on feedback. Furthermore, managers must engage with DEI metrics and reporting, using data to identify disparities within their departments and implementing corrective actions without delay.</w:t>
      </w:r>
    </w:p>
    <w:p w14:paraId="20006B4E" w14:textId="48DE1EE7" w:rsidR="00A512F3" w:rsidRPr="00B51BAA" w:rsidRDefault="00A512F3" w:rsidP="00A76FEB">
      <w:pPr>
        <w:spacing w:after="0" w:line="360" w:lineRule="auto"/>
        <w:ind w:firstLine="698"/>
        <w:jc w:val="both"/>
        <w:rPr>
          <w:rFonts w:ascii="Arial" w:hAnsi="Arial" w:cs="Arial"/>
          <w:sz w:val="22"/>
          <w:szCs w:val="22"/>
          <w:lang w:val="en-GB"/>
        </w:rPr>
      </w:pPr>
      <w:r w:rsidRPr="00B51BAA">
        <w:rPr>
          <w:rFonts w:ascii="Arial" w:hAnsi="Arial" w:cs="Arial"/>
          <w:sz w:val="22"/>
          <w:szCs w:val="22"/>
          <w:lang w:val="en-GB"/>
        </w:rPr>
        <w:t xml:space="preserve">Overall, departmental managers are the critical link between HR strategy and operational reality. Ensuring urgent implementation of contemporary practices requires them to demonstrate visible leadership, allocate resources, uphold accountability, and foster a culture that embraces modernisation. </w:t>
      </w:r>
    </w:p>
    <w:p w14:paraId="62FF317D" w14:textId="77777777" w:rsidR="0066032A" w:rsidRPr="00B51BAA" w:rsidRDefault="0066032A" w:rsidP="00A76FEB">
      <w:pPr>
        <w:spacing w:after="0" w:line="360" w:lineRule="auto"/>
        <w:ind w:firstLine="698"/>
        <w:jc w:val="both"/>
        <w:rPr>
          <w:rFonts w:ascii="Arial" w:hAnsi="Arial" w:cs="Arial"/>
          <w:sz w:val="22"/>
          <w:szCs w:val="22"/>
          <w:lang w:val="en-GB"/>
        </w:rPr>
      </w:pPr>
    </w:p>
    <w:p w14:paraId="6D8DB61C" w14:textId="49CEA08F" w:rsidR="006C23E4" w:rsidRPr="00B51BAA" w:rsidRDefault="00427BE7" w:rsidP="00A76FEB">
      <w:pPr>
        <w:pStyle w:val="Heading1"/>
        <w:spacing w:line="360" w:lineRule="auto"/>
        <w:jc w:val="center"/>
        <w:rPr>
          <w:rFonts w:ascii="Arial" w:hAnsi="Arial" w:cs="Arial"/>
          <w:b/>
          <w:bCs/>
          <w:color w:val="auto"/>
          <w:sz w:val="22"/>
          <w:szCs w:val="22"/>
          <w:lang w:val="en-GB"/>
        </w:rPr>
      </w:pPr>
      <w:bookmarkStart w:id="26" w:name="_Toc223898310"/>
      <w:bookmarkStart w:id="27" w:name="_Toc224149241"/>
      <w:bookmarkStart w:id="28" w:name="_Toc227403480"/>
      <w:r w:rsidRPr="00B51BAA">
        <w:rPr>
          <w:rFonts w:ascii="Arial" w:hAnsi="Arial" w:cs="Arial"/>
          <w:b/>
          <w:bCs/>
          <w:color w:val="auto"/>
          <w:sz w:val="22"/>
          <w:szCs w:val="22"/>
          <w:lang w:val="en-GB"/>
        </w:rPr>
        <w:t>5</w:t>
      </w:r>
      <w:r w:rsidR="00037A50" w:rsidRPr="00B51BAA">
        <w:rPr>
          <w:rFonts w:ascii="Arial" w:hAnsi="Arial" w:cs="Arial"/>
          <w:b/>
          <w:bCs/>
          <w:color w:val="auto"/>
          <w:sz w:val="22"/>
          <w:szCs w:val="22"/>
          <w:lang w:val="en-GB"/>
        </w:rPr>
        <w:t xml:space="preserve"> – Recommendations</w:t>
      </w:r>
      <w:bookmarkEnd w:id="26"/>
      <w:bookmarkEnd w:id="27"/>
      <w:bookmarkEnd w:id="28"/>
    </w:p>
    <w:p w14:paraId="7F8A2C0E" w14:textId="77777777" w:rsidR="0035287A" w:rsidRPr="00B51BAA" w:rsidRDefault="0035287A" w:rsidP="00A76FEB">
      <w:pPr>
        <w:spacing w:after="0" w:line="360" w:lineRule="auto"/>
        <w:ind w:firstLine="698"/>
        <w:jc w:val="both"/>
        <w:rPr>
          <w:rFonts w:ascii="Arial" w:hAnsi="Arial" w:cs="Arial"/>
          <w:sz w:val="22"/>
          <w:szCs w:val="22"/>
          <w:lang w:val="en-GB"/>
        </w:rPr>
      </w:pPr>
      <w:r w:rsidRPr="00B51BAA">
        <w:rPr>
          <w:rFonts w:ascii="Arial" w:hAnsi="Arial" w:cs="Arial"/>
          <w:sz w:val="22"/>
          <w:szCs w:val="22"/>
          <w:lang w:val="en-GB"/>
        </w:rPr>
        <w:t xml:space="preserve">The rapid evolution of the UK retail sector has intensified pressures on the HR department at Waitrose &amp; Partners, exposing challenges linked to technological advancements, talent attraction and retention, and the strengthening of Diversity, Equity and Inclusion (DEI). Using the </w:t>
      </w:r>
      <w:r w:rsidRPr="00B51BAA">
        <w:rPr>
          <w:rFonts w:ascii="Arial" w:hAnsi="Arial" w:cs="Arial"/>
          <w:sz w:val="22"/>
          <w:szCs w:val="22"/>
          <w:u w:val="single"/>
          <w:lang w:val="en-GB"/>
        </w:rPr>
        <w:t xml:space="preserve">Koffer 8-Step Model </w:t>
      </w:r>
      <w:r w:rsidRPr="00B51BAA">
        <w:rPr>
          <w:rFonts w:ascii="Arial" w:hAnsi="Arial" w:cs="Arial"/>
          <w:sz w:val="22"/>
          <w:szCs w:val="22"/>
          <w:lang w:val="en-GB"/>
        </w:rPr>
        <w:t>provides a structured approach to evaluate how contemporary HR practices can address these key factors.</w:t>
      </w:r>
    </w:p>
    <w:p w14:paraId="094E0FFF" w14:textId="3C6800C6" w:rsidR="003C40F5" w:rsidRDefault="0035287A" w:rsidP="00A76FEB">
      <w:pPr>
        <w:spacing w:after="0" w:line="360" w:lineRule="auto"/>
        <w:ind w:firstLine="698"/>
        <w:jc w:val="both"/>
        <w:rPr>
          <w:rFonts w:ascii="Arial" w:hAnsi="Arial" w:cs="Arial"/>
          <w:sz w:val="22"/>
          <w:szCs w:val="22"/>
          <w:lang w:val="en-GB"/>
        </w:rPr>
      </w:pPr>
      <w:r w:rsidRPr="00B51BAA">
        <w:rPr>
          <w:rFonts w:ascii="Arial" w:hAnsi="Arial" w:cs="Arial"/>
          <w:sz w:val="22"/>
          <w:szCs w:val="22"/>
          <w:lang w:val="en-GB"/>
        </w:rPr>
        <w:t>The first step defines the central problem: HR must modernise its strategies to remain competitive and responsive to workforce expectations. The second step involves gathering evidence from organisational data, sector reports and academic research to understand how digitalisation, labour shortages and DEI gaps affect performance. The third step identifies alternative HR practices, such as digital</w:t>
      </w:r>
      <w:r w:rsidRPr="00B51BAA">
        <w:rPr>
          <w:rFonts w:ascii="Cambria Math" w:hAnsi="Cambria Math" w:cs="Cambria Math"/>
          <w:sz w:val="22"/>
          <w:szCs w:val="22"/>
          <w:lang w:val="en-GB"/>
        </w:rPr>
        <w:t>‑</w:t>
      </w:r>
      <w:r w:rsidRPr="00B51BAA">
        <w:rPr>
          <w:rFonts w:ascii="Arial" w:hAnsi="Arial" w:cs="Arial"/>
          <w:sz w:val="22"/>
          <w:szCs w:val="22"/>
          <w:lang w:val="en-GB"/>
        </w:rPr>
        <w:t>skills training, inclusive recruitment, enhanced employer branding and data</w:t>
      </w:r>
      <w:r w:rsidRPr="00B51BAA">
        <w:rPr>
          <w:rFonts w:ascii="Cambria Math" w:hAnsi="Cambria Math" w:cs="Cambria Math"/>
          <w:sz w:val="22"/>
          <w:szCs w:val="22"/>
          <w:lang w:val="en-GB"/>
        </w:rPr>
        <w:t>‑</w:t>
      </w:r>
      <w:r w:rsidRPr="00B51BAA">
        <w:rPr>
          <w:rFonts w:ascii="Arial" w:hAnsi="Arial" w:cs="Arial"/>
          <w:sz w:val="22"/>
          <w:szCs w:val="22"/>
          <w:lang w:val="en-GB"/>
        </w:rPr>
        <w:t>driven workforce planning. Step four establishes evaluation criteria, including cost, feasibility, strategic alignment and long</w:t>
      </w:r>
      <w:r w:rsidRPr="00B51BAA">
        <w:rPr>
          <w:rFonts w:ascii="Cambria Math" w:hAnsi="Cambria Math" w:cs="Cambria Math"/>
          <w:sz w:val="22"/>
          <w:szCs w:val="22"/>
          <w:lang w:val="en-GB"/>
        </w:rPr>
        <w:t>‑</w:t>
      </w:r>
      <w:r w:rsidRPr="00B51BAA">
        <w:rPr>
          <w:rFonts w:ascii="Arial" w:hAnsi="Arial" w:cs="Arial"/>
          <w:sz w:val="22"/>
          <w:szCs w:val="22"/>
          <w:lang w:val="en-GB"/>
        </w:rPr>
        <w:t xml:space="preserve">term impact. The fifth step projects the outcomes of each practice, while step six examines </w:t>
      </w:r>
      <w:proofErr w:type="spellStart"/>
      <w:r w:rsidRPr="00B51BAA">
        <w:rPr>
          <w:rFonts w:ascii="Arial" w:hAnsi="Arial" w:cs="Arial"/>
          <w:sz w:val="22"/>
          <w:szCs w:val="22"/>
          <w:lang w:val="en-GB"/>
        </w:rPr>
        <w:t>trade</w:t>
      </w:r>
      <w:r w:rsidR="00A34E02">
        <w:rPr>
          <w:rFonts w:ascii="Cambria Math" w:hAnsi="Cambria Math" w:cs="Cambria Math"/>
          <w:sz w:val="22"/>
          <w:szCs w:val="22"/>
          <w:lang w:val="en-GB"/>
        </w:rPr>
        <w:t xml:space="preserve"> </w:t>
      </w:r>
      <w:r w:rsidRPr="00B51BAA">
        <w:rPr>
          <w:rFonts w:ascii="Arial" w:hAnsi="Arial" w:cs="Arial"/>
          <w:sz w:val="22"/>
          <w:szCs w:val="22"/>
          <w:lang w:val="en-GB"/>
        </w:rPr>
        <w:t>offs</w:t>
      </w:r>
      <w:proofErr w:type="spellEnd"/>
      <w:r w:rsidRPr="00B51BAA">
        <w:rPr>
          <w:rFonts w:ascii="Arial" w:hAnsi="Arial" w:cs="Arial"/>
          <w:sz w:val="22"/>
          <w:szCs w:val="22"/>
          <w:lang w:val="en-GB"/>
        </w:rPr>
        <w:t xml:space="preserve">, such as balancing </w:t>
      </w:r>
      <w:r w:rsidRPr="00B51BAA">
        <w:rPr>
          <w:rFonts w:ascii="Arial" w:hAnsi="Arial" w:cs="Arial"/>
          <w:sz w:val="22"/>
          <w:szCs w:val="22"/>
          <w:lang w:val="en-GB"/>
        </w:rPr>
        <w:lastRenderedPageBreak/>
        <w:t>investment in technology with operational demands.</w:t>
      </w:r>
      <w:r w:rsidR="00B445E1" w:rsidRPr="00B51BAA">
        <w:rPr>
          <w:rFonts w:ascii="Arial" w:hAnsi="Arial" w:cs="Arial"/>
          <w:sz w:val="22"/>
          <w:szCs w:val="22"/>
          <w:lang w:val="en-GB"/>
        </w:rPr>
        <w:t xml:space="preserve"> </w:t>
      </w:r>
      <w:r w:rsidRPr="00B51BAA">
        <w:rPr>
          <w:rFonts w:ascii="Arial" w:hAnsi="Arial" w:cs="Arial"/>
          <w:sz w:val="22"/>
          <w:szCs w:val="22"/>
          <w:lang w:val="en-GB"/>
        </w:rPr>
        <w:t>Step seven supports selecting the most viable HR solutions to strengthen capability, retention and inclusion. Finally, step eight emphasises clear communication of recommendations to stakeholders. Through this model, Waitrose can adopt evidence</w:t>
      </w:r>
      <w:r w:rsidRPr="00B51BAA">
        <w:rPr>
          <w:rFonts w:ascii="Cambria Math" w:hAnsi="Cambria Math" w:cs="Cambria Math"/>
          <w:sz w:val="22"/>
          <w:szCs w:val="22"/>
          <w:lang w:val="en-GB"/>
        </w:rPr>
        <w:t>‑</w:t>
      </w:r>
      <w:r w:rsidRPr="00B51BAA">
        <w:rPr>
          <w:rFonts w:ascii="Arial" w:hAnsi="Arial" w:cs="Arial"/>
          <w:sz w:val="22"/>
          <w:szCs w:val="22"/>
          <w:lang w:val="en-GB"/>
        </w:rPr>
        <w:t>based, future</w:t>
      </w:r>
      <w:r w:rsidRPr="00B51BAA">
        <w:rPr>
          <w:rFonts w:ascii="Cambria Math" w:hAnsi="Cambria Math" w:cs="Cambria Math"/>
          <w:sz w:val="22"/>
          <w:szCs w:val="22"/>
          <w:lang w:val="en-GB"/>
        </w:rPr>
        <w:t>‑</w:t>
      </w:r>
      <w:r w:rsidRPr="00B51BAA">
        <w:rPr>
          <w:rFonts w:ascii="Arial" w:hAnsi="Arial" w:cs="Arial"/>
          <w:sz w:val="22"/>
          <w:szCs w:val="22"/>
          <w:lang w:val="en-GB"/>
        </w:rPr>
        <w:t>focused HR strategies.</w:t>
      </w:r>
      <w:r w:rsidR="00B445E1" w:rsidRPr="00B51BAA">
        <w:rPr>
          <w:rFonts w:ascii="Arial" w:hAnsi="Arial" w:cs="Arial"/>
          <w:sz w:val="22"/>
          <w:szCs w:val="22"/>
          <w:lang w:val="en-GB"/>
        </w:rPr>
        <w:t xml:space="preserve"> </w:t>
      </w:r>
      <w:r w:rsidR="00107CF6" w:rsidRPr="00B51BAA">
        <w:rPr>
          <w:rFonts w:ascii="Arial" w:hAnsi="Arial" w:cs="Arial"/>
          <w:sz w:val="22"/>
          <w:szCs w:val="22"/>
          <w:lang w:val="en-GB"/>
        </w:rPr>
        <w:t>To ensure the urgent and effective implementation of contemporary HR practices across Waitrose &amp; Partners, the following recommendations are proposed:</w:t>
      </w:r>
    </w:p>
    <w:p w14:paraId="4E44D293" w14:textId="77777777" w:rsidR="00380EE1" w:rsidRPr="00B51BAA" w:rsidRDefault="00380EE1" w:rsidP="00A76FEB">
      <w:pPr>
        <w:spacing w:after="0" w:line="360" w:lineRule="auto"/>
        <w:ind w:firstLine="698"/>
        <w:jc w:val="both"/>
        <w:rPr>
          <w:rFonts w:ascii="Arial" w:hAnsi="Arial" w:cs="Arial"/>
          <w:sz w:val="22"/>
          <w:szCs w:val="22"/>
          <w:lang w:val="en-GB"/>
        </w:rPr>
      </w:pPr>
    </w:p>
    <w:p w14:paraId="57EA596E" w14:textId="5260E3CF" w:rsidR="00356B66" w:rsidRPr="00B51BAA" w:rsidRDefault="00356B66" w:rsidP="00356B66">
      <w:pPr>
        <w:spacing w:after="0" w:line="360" w:lineRule="auto"/>
        <w:ind w:firstLine="0"/>
        <w:jc w:val="both"/>
        <w:rPr>
          <w:rFonts w:ascii="Arial" w:hAnsi="Arial" w:cs="Arial"/>
          <w:sz w:val="22"/>
          <w:szCs w:val="22"/>
          <w:lang w:val="en-GB"/>
        </w:rPr>
      </w:pPr>
      <w:r w:rsidRPr="00B51BAA">
        <w:rPr>
          <w:rFonts w:ascii="Arial" w:hAnsi="Arial" w:cs="Arial"/>
          <w:sz w:val="22"/>
          <w:szCs w:val="22"/>
          <w:lang w:val="en-GB"/>
        </w:rPr>
        <w:t>I. Strengthen Managerial Capability Through Targeted Training</w:t>
      </w:r>
    </w:p>
    <w:p w14:paraId="5475C792" w14:textId="77777777" w:rsidR="00356B66" w:rsidRDefault="00356B66" w:rsidP="00A76FEB">
      <w:pPr>
        <w:spacing w:after="0" w:line="360" w:lineRule="auto"/>
        <w:ind w:firstLine="0"/>
        <w:jc w:val="both"/>
        <w:rPr>
          <w:rFonts w:ascii="Arial" w:hAnsi="Arial" w:cs="Arial"/>
          <w:sz w:val="22"/>
          <w:szCs w:val="22"/>
          <w:lang w:val="en-GB"/>
        </w:rPr>
      </w:pPr>
      <w:r w:rsidRPr="00B51BAA">
        <w:rPr>
          <w:rFonts w:ascii="Arial" w:hAnsi="Arial" w:cs="Arial"/>
          <w:sz w:val="22"/>
          <w:szCs w:val="22"/>
          <w:lang w:val="en-GB"/>
        </w:rPr>
        <w:t xml:space="preserve">Departmental managers should receive structured development in digital literacy, HR analytics, inclusive leadership, and change management. This will equip them to lead technological adoption, interpret workforce data, and model inclusive behaviours. Priority should be given to practical, </w:t>
      </w:r>
      <w:proofErr w:type="gramStart"/>
      <w:r w:rsidRPr="00B51BAA">
        <w:rPr>
          <w:rFonts w:ascii="Arial" w:hAnsi="Arial" w:cs="Arial"/>
          <w:sz w:val="22"/>
          <w:szCs w:val="22"/>
          <w:lang w:val="en-GB"/>
        </w:rPr>
        <w:t>scenario</w:t>
      </w:r>
      <w:r>
        <w:rPr>
          <w:rFonts w:ascii="Arial" w:hAnsi="Arial" w:cs="Arial"/>
          <w:sz w:val="22"/>
          <w:szCs w:val="22"/>
          <w:lang w:val="en-GB"/>
        </w:rPr>
        <w:t xml:space="preserve"> </w:t>
      </w:r>
      <w:r w:rsidRPr="00B51BAA">
        <w:rPr>
          <w:rFonts w:ascii="Arial" w:hAnsi="Arial" w:cs="Arial"/>
          <w:sz w:val="22"/>
          <w:szCs w:val="22"/>
          <w:lang w:val="en-GB"/>
        </w:rPr>
        <w:t>based</w:t>
      </w:r>
      <w:proofErr w:type="gramEnd"/>
      <w:r w:rsidRPr="00B51BAA">
        <w:rPr>
          <w:rFonts w:ascii="Arial" w:hAnsi="Arial" w:cs="Arial"/>
          <w:sz w:val="22"/>
          <w:szCs w:val="22"/>
          <w:lang w:val="en-GB"/>
        </w:rPr>
        <w:t xml:space="preserve"> training that reflects the realities of retail operations.</w:t>
      </w:r>
    </w:p>
    <w:p w14:paraId="12C3ECA6" w14:textId="77777777" w:rsidR="00356B66" w:rsidRPr="00B51BAA" w:rsidRDefault="00356B66" w:rsidP="00A76FEB">
      <w:pPr>
        <w:spacing w:after="0" w:line="360" w:lineRule="auto"/>
        <w:ind w:firstLine="0"/>
        <w:jc w:val="both"/>
        <w:rPr>
          <w:rFonts w:ascii="Arial" w:hAnsi="Arial" w:cs="Arial"/>
          <w:sz w:val="22"/>
          <w:szCs w:val="22"/>
          <w:lang w:val="en-GB"/>
        </w:rPr>
      </w:pPr>
    </w:p>
    <w:p w14:paraId="45761A7C" w14:textId="77777777" w:rsidR="00356B66" w:rsidRPr="00B51BAA" w:rsidRDefault="00356B66" w:rsidP="00A76FEB">
      <w:pPr>
        <w:spacing w:after="0" w:line="360" w:lineRule="auto"/>
        <w:jc w:val="both"/>
        <w:rPr>
          <w:rFonts w:ascii="Arial" w:hAnsi="Arial" w:cs="Arial"/>
          <w:sz w:val="22"/>
          <w:szCs w:val="22"/>
          <w:lang w:val="en-GB"/>
        </w:rPr>
      </w:pPr>
      <w:r w:rsidRPr="00B51BAA">
        <w:rPr>
          <w:rFonts w:ascii="Arial" w:hAnsi="Arial" w:cs="Arial"/>
          <w:sz w:val="22"/>
          <w:szCs w:val="22"/>
          <w:lang w:val="en-GB"/>
        </w:rPr>
        <w:t>II. Embed Accountability Mechanisms</w:t>
      </w:r>
    </w:p>
    <w:p w14:paraId="5EE2D6D8" w14:textId="77777777" w:rsidR="00356B66" w:rsidRDefault="00356B66" w:rsidP="00A76FEB">
      <w:pPr>
        <w:spacing w:after="0" w:line="360" w:lineRule="auto"/>
        <w:ind w:firstLine="0"/>
        <w:jc w:val="both"/>
        <w:rPr>
          <w:rFonts w:ascii="Arial" w:hAnsi="Arial" w:cs="Arial"/>
          <w:sz w:val="22"/>
          <w:szCs w:val="22"/>
          <w:lang w:val="en-GB"/>
        </w:rPr>
      </w:pPr>
      <w:r w:rsidRPr="00B51BAA">
        <w:rPr>
          <w:rFonts w:ascii="Arial" w:hAnsi="Arial" w:cs="Arial"/>
          <w:sz w:val="22"/>
          <w:szCs w:val="22"/>
          <w:lang w:val="en-GB"/>
        </w:rPr>
        <w:t xml:space="preserve">To accelerate implementation, Waitrose should integrate contemporary HR practices into managerial performance objectives. Metrics such as digital learning completion rates, retention figures, DEI outcomes, and internal mobility statistics should form part of regular performance reviews. </w:t>
      </w:r>
    </w:p>
    <w:p w14:paraId="01D8B024" w14:textId="77777777" w:rsidR="00356B66" w:rsidRPr="00B51BAA" w:rsidRDefault="00356B66" w:rsidP="00A76FEB">
      <w:pPr>
        <w:spacing w:after="0" w:line="360" w:lineRule="auto"/>
        <w:ind w:firstLine="0"/>
        <w:jc w:val="both"/>
        <w:rPr>
          <w:rFonts w:ascii="Arial" w:hAnsi="Arial" w:cs="Arial"/>
          <w:sz w:val="22"/>
          <w:szCs w:val="22"/>
          <w:lang w:val="en-GB"/>
        </w:rPr>
      </w:pPr>
    </w:p>
    <w:p w14:paraId="3F590777" w14:textId="77777777" w:rsidR="00356B66" w:rsidRPr="00B51BAA" w:rsidRDefault="00356B66" w:rsidP="00A76FEB">
      <w:pPr>
        <w:spacing w:after="0" w:line="360" w:lineRule="auto"/>
        <w:ind w:firstLine="0"/>
        <w:jc w:val="both"/>
        <w:rPr>
          <w:rFonts w:ascii="Arial" w:hAnsi="Arial" w:cs="Arial"/>
          <w:sz w:val="22"/>
          <w:szCs w:val="22"/>
          <w:lang w:val="en-GB"/>
        </w:rPr>
      </w:pPr>
      <w:r w:rsidRPr="00B51BAA">
        <w:rPr>
          <w:rFonts w:ascii="Arial" w:hAnsi="Arial" w:cs="Arial"/>
          <w:sz w:val="22"/>
          <w:szCs w:val="22"/>
          <w:lang w:val="en-GB"/>
        </w:rPr>
        <w:t>III. Enhance Communication and Change Readiness</w:t>
      </w:r>
    </w:p>
    <w:p w14:paraId="558048C1" w14:textId="77777777" w:rsidR="00356B66" w:rsidRDefault="00356B66" w:rsidP="00A76FEB">
      <w:pPr>
        <w:spacing w:after="0" w:line="360" w:lineRule="auto"/>
        <w:ind w:firstLine="0"/>
        <w:jc w:val="both"/>
        <w:rPr>
          <w:rFonts w:ascii="Arial" w:hAnsi="Arial" w:cs="Arial"/>
          <w:sz w:val="22"/>
          <w:szCs w:val="22"/>
          <w:lang w:val="en-GB"/>
        </w:rPr>
      </w:pPr>
      <w:r w:rsidRPr="00B51BAA">
        <w:rPr>
          <w:rFonts w:ascii="Arial" w:hAnsi="Arial" w:cs="Arial"/>
          <w:sz w:val="22"/>
          <w:szCs w:val="22"/>
          <w:lang w:val="en-GB"/>
        </w:rPr>
        <w:t>Managers must be supported with clear communication toolkits explaining the purpose, benefits, and expectations of new HR initiatives. Regular briefings, FAQs, and manager</w:t>
      </w:r>
      <w:r w:rsidRPr="00B51BAA">
        <w:rPr>
          <w:rFonts w:ascii="Cambria Math" w:hAnsi="Cambria Math" w:cs="Cambria Math"/>
          <w:sz w:val="22"/>
          <w:szCs w:val="22"/>
          <w:lang w:val="en-GB"/>
        </w:rPr>
        <w:t>‑</w:t>
      </w:r>
      <w:r w:rsidRPr="00B51BAA">
        <w:rPr>
          <w:rFonts w:ascii="Arial" w:hAnsi="Arial" w:cs="Arial"/>
          <w:sz w:val="22"/>
          <w:szCs w:val="22"/>
          <w:lang w:val="en-GB"/>
        </w:rPr>
        <w:t>led team discussions will help build urgency and reduce resistance. Communication should emphasise how these practices improve customer service, operational efficiency, and employee experience.</w:t>
      </w:r>
    </w:p>
    <w:p w14:paraId="5D850AB0" w14:textId="77777777" w:rsidR="00356B66" w:rsidRPr="00B51BAA" w:rsidRDefault="00356B66" w:rsidP="00A76FEB">
      <w:pPr>
        <w:spacing w:after="0" w:line="360" w:lineRule="auto"/>
        <w:ind w:firstLine="0"/>
        <w:jc w:val="both"/>
        <w:rPr>
          <w:rFonts w:ascii="Arial" w:hAnsi="Arial" w:cs="Arial"/>
          <w:sz w:val="22"/>
          <w:szCs w:val="22"/>
          <w:lang w:val="en-GB"/>
        </w:rPr>
      </w:pPr>
    </w:p>
    <w:p w14:paraId="3573FCDD" w14:textId="77777777" w:rsidR="00356B66" w:rsidRPr="00B51BAA" w:rsidRDefault="00356B66" w:rsidP="00A76FEB">
      <w:pPr>
        <w:spacing w:after="0" w:line="360" w:lineRule="auto"/>
        <w:ind w:firstLine="0"/>
        <w:jc w:val="both"/>
        <w:rPr>
          <w:rFonts w:ascii="Arial" w:hAnsi="Arial" w:cs="Arial"/>
          <w:sz w:val="22"/>
          <w:szCs w:val="22"/>
          <w:lang w:val="en-GB"/>
        </w:rPr>
      </w:pPr>
      <w:r w:rsidRPr="00B51BAA">
        <w:rPr>
          <w:rFonts w:ascii="Arial" w:hAnsi="Arial" w:cs="Arial"/>
          <w:sz w:val="22"/>
          <w:szCs w:val="22"/>
          <w:lang w:val="en-GB"/>
        </w:rPr>
        <w:t>IV. Strengthen Collaboration Between HR and Store Managers</w:t>
      </w:r>
    </w:p>
    <w:p w14:paraId="3DB88194" w14:textId="77777777" w:rsidR="00356B66" w:rsidRDefault="00356B66" w:rsidP="00A76FEB">
      <w:pPr>
        <w:spacing w:after="0" w:line="360" w:lineRule="auto"/>
        <w:ind w:firstLine="0"/>
        <w:jc w:val="both"/>
        <w:rPr>
          <w:rFonts w:ascii="Arial" w:hAnsi="Arial" w:cs="Arial"/>
          <w:sz w:val="22"/>
          <w:szCs w:val="22"/>
          <w:lang w:val="en-GB"/>
        </w:rPr>
      </w:pPr>
      <w:r w:rsidRPr="00B51BAA">
        <w:rPr>
          <w:rFonts w:ascii="Arial" w:hAnsi="Arial" w:cs="Arial"/>
          <w:sz w:val="22"/>
          <w:szCs w:val="22"/>
          <w:lang w:val="en-GB"/>
        </w:rPr>
        <w:t>A partnership model should be adopted where HR provides strategic guidance and managers provide operational insight. Regular cross</w:t>
      </w:r>
      <w:r w:rsidRPr="00B51BAA">
        <w:rPr>
          <w:rFonts w:ascii="Arial" w:hAnsi="Arial" w:cs="Arial"/>
          <w:sz w:val="22"/>
          <w:szCs w:val="22"/>
          <w:lang w:val="en-GB"/>
        </w:rPr>
        <w:noBreakHyphen/>
        <w:t>functional meetings, shared dashboards, and joint problem</w:t>
      </w:r>
      <w:r>
        <w:rPr>
          <w:rFonts w:ascii="Arial" w:hAnsi="Arial" w:cs="Arial"/>
          <w:sz w:val="22"/>
          <w:szCs w:val="22"/>
          <w:lang w:val="en-GB"/>
        </w:rPr>
        <w:t xml:space="preserve"> </w:t>
      </w:r>
      <w:r w:rsidRPr="00B51BAA">
        <w:rPr>
          <w:rFonts w:ascii="Arial" w:hAnsi="Arial" w:cs="Arial"/>
          <w:sz w:val="22"/>
          <w:szCs w:val="22"/>
          <w:lang w:val="en-GB"/>
        </w:rPr>
        <w:t>solving sessions will ensure that contemporary practices are adapted to the realities of each store and implemented consistently.</w:t>
      </w:r>
    </w:p>
    <w:p w14:paraId="6707AF57" w14:textId="77777777" w:rsidR="00356B66" w:rsidRPr="00B51BAA" w:rsidRDefault="00356B66" w:rsidP="00A76FEB">
      <w:pPr>
        <w:spacing w:after="0" w:line="360" w:lineRule="auto"/>
        <w:ind w:firstLine="0"/>
        <w:jc w:val="both"/>
        <w:rPr>
          <w:rFonts w:ascii="Arial" w:hAnsi="Arial" w:cs="Arial"/>
          <w:sz w:val="22"/>
          <w:szCs w:val="22"/>
          <w:lang w:val="en-GB"/>
        </w:rPr>
      </w:pPr>
    </w:p>
    <w:p w14:paraId="6A4FD5B1" w14:textId="77777777" w:rsidR="00356B66" w:rsidRPr="00B51BAA" w:rsidRDefault="00356B66" w:rsidP="00A76FEB">
      <w:pPr>
        <w:spacing w:after="0" w:line="360" w:lineRule="auto"/>
        <w:ind w:firstLine="0"/>
        <w:jc w:val="both"/>
        <w:rPr>
          <w:rFonts w:ascii="Arial" w:hAnsi="Arial" w:cs="Arial"/>
          <w:sz w:val="22"/>
          <w:szCs w:val="22"/>
          <w:lang w:val="en-GB"/>
        </w:rPr>
      </w:pPr>
      <w:r w:rsidRPr="00B51BAA">
        <w:rPr>
          <w:rFonts w:ascii="Arial" w:hAnsi="Arial" w:cs="Arial"/>
          <w:sz w:val="22"/>
          <w:szCs w:val="22"/>
          <w:lang w:val="en-GB"/>
        </w:rPr>
        <w:t>V. Prioritise Authenticity in Employee Value Proposition (EVP) and Wellbeing Initiatives</w:t>
      </w:r>
    </w:p>
    <w:p w14:paraId="13C5D9B8" w14:textId="77777777" w:rsidR="00356B66" w:rsidRPr="00B51BAA" w:rsidRDefault="00356B66" w:rsidP="00A76FEB">
      <w:pPr>
        <w:spacing w:after="0" w:line="360" w:lineRule="auto"/>
        <w:ind w:firstLine="0"/>
        <w:jc w:val="both"/>
        <w:rPr>
          <w:rFonts w:ascii="Arial" w:hAnsi="Arial" w:cs="Arial"/>
          <w:sz w:val="22"/>
          <w:szCs w:val="22"/>
          <w:lang w:val="en-GB"/>
        </w:rPr>
      </w:pPr>
      <w:r w:rsidRPr="00B51BAA">
        <w:rPr>
          <w:rFonts w:ascii="Arial" w:hAnsi="Arial" w:cs="Arial"/>
          <w:sz w:val="22"/>
          <w:szCs w:val="22"/>
          <w:lang w:val="en-GB"/>
        </w:rPr>
        <w:t xml:space="preserve">Managers must ensure that the lived employee experience aligns with the organisation’s EVP. This includes fair scheduling, transparent communication about career pathways, and consistent wellbeing support. </w:t>
      </w:r>
    </w:p>
    <w:p w14:paraId="06B356FE" w14:textId="2E5EE679" w:rsidR="00693C16" w:rsidRPr="00B51BAA" w:rsidRDefault="00693C16" w:rsidP="00A76FEB">
      <w:pPr>
        <w:spacing w:after="0" w:line="360" w:lineRule="auto"/>
        <w:ind w:firstLine="698"/>
        <w:jc w:val="both"/>
        <w:rPr>
          <w:rFonts w:ascii="Arial" w:hAnsi="Arial" w:cs="Arial"/>
          <w:sz w:val="22"/>
          <w:szCs w:val="22"/>
          <w:u w:val="single"/>
          <w:lang w:val="en-GB"/>
        </w:rPr>
      </w:pPr>
    </w:p>
    <w:p w14:paraId="6D8DB61E" w14:textId="4D13CF82" w:rsidR="006C23E4" w:rsidRPr="00B51BAA" w:rsidRDefault="006774CA" w:rsidP="00A76FEB">
      <w:pPr>
        <w:spacing w:after="0" w:line="360" w:lineRule="auto"/>
        <w:ind w:firstLine="698"/>
        <w:jc w:val="center"/>
        <w:rPr>
          <w:rFonts w:ascii="Arial" w:hAnsi="Arial" w:cs="Arial"/>
          <w:b/>
          <w:bCs/>
          <w:color w:val="auto"/>
          <w:sz w:val="22"/>
          <w:szCs w:val="22"/>
          <w:lang w:val="en-GB"/>
        </w:rPr>
      </w:pPr>
      <w:bookmarkStart w:id="29" w:name="_Toc223898311"/>
      <w:bookmarkStart w:id="30" w:name="_Toc224149242"/>
      <w:r w:rsidRPr="00B51BAA">
        <w:rPr>
          <w:rFonts w:ascii="Arial" w:hAnsi="Arial" w:cs="Arial"/>
          <w:b/>
          <w:bCs/>
          <w:color w:val="auto"/>
          <w:sz w:val="22"/>
          <w:szCs w:val="22"/>
          <w:lang w:val="en-GB"/>
        </w:rPr>
        <w:t>6</w:t>
      </w:r>
      <w:r w:rsidR="00037A50" w:rsidRPr="00B51BAA">
        <w:rPr>
          <w:rFonts w:ascii="Arial" w:hAnsi="Arial" w:cs="Arial"/>
          <w:b/>
          <w:bCs/>
          <w:color w:val="auto"/>
          <w:sz w:val="22"/>
          <w:szCs w:val="22"/>
          <w:lang w:val="en-GB"/>
        </w:rPr>
        <w:t xml:space="preserve"> - Conclusion</w:t>
      </w:r>
      <w:bookmarkEnd w:id="29"/>
      <w:bookmarkEnd w:id="30"/>
    </w:p>
    <w:p w14:paraId="3AEC8C27" w14:textId="77777777" w:rsidR="00693C16" w:rsidRPr="00B51BAA" w:rsidRDefault="00693C16" w:rsidP="00A76FEB">
      <w:pPr>
        <w:spacing w:after="0" w:line="360" w:lineRule="auto"/>
        <w:ind w:firstLine="698"/>
        <w:jc w:val="both"/>
        <w:rPr>
          <w:rFonts w:ascii="Arial" w:hAnsi="Arial" w:cs="Arial"/>
          <w:sz w:val="22"/>
          <w:szCs w:val="22"/>
          <w:lang w:val="en-GB"/>
        </w:rPr>
      </w:pPr>
      <w:r w:rsidRPr="00B51BAA">
        <w:rPr>
          <w:rFonts w:ascii="Arial" w:hAnsi="Arial" w:cs="Arial"/>
          <w:sz w:val="22"/>
          <w:szCs w:val="22"/>
          <w:lang w:val="en-GB"/>
        </w:rPr>
        <w:t>The scenario at Waitrose &amp; Partners highlights significant challenges across technology adoption, talent management, and DEI. While HR provides the strategic framework, departmental managers are the pivotal actors who determine whether contemporary practices are implemented with the urgency required. Their role is not merely operational but transformational.</w:t>
      </w:r>
    </w:p>
    <w:p w14:paraId="1FC97D00" w14:textId="4B14D03E" w:rsidR="00693C16" w:rsidRPr="00B51BAA" w:rsidRDefault="00693C16" w:rsidP="00A76FEB">
      <w:pPr>
        <w:spacing w:after="0" w:line="360" w:lineRule="auto"/>
        <w:ind w:firstLine="698"/>
        <w:jc w:val="both"/>
        <w:rPr>
          <w:rFonts w:ascii="Arial" w:hAnsi="Arial" w:cs="Arial"/>
          <w:sz w:val="22"/>
          <w:szCs w:val="22"/>
          <w:lang w:val="en-GB"/>
        </w:rPr>
      </w:pPr>
      <w:r w:rsidRPr="00B51BAA">
        <w:rPr>
          <w:rFonts w:ascii="Arial" w:hAnsi="Arial" w:cs="Arial"/>
          <w:sz w:val="22"/>
          <w:szCs w:val="22"/>
          <w:lang w:val="en-GB"/>
        </w:rPr>
        <w:t xml:space="preserve">To succeed, managers must champion </w:t>
      </w:r>
      <w:proofErr w:type="gramStart"/>
      <w:r w:rsidRPr="00B51BAA">
        <w:rPr>
          <w:rFonts w:ascii="Arial" w:hAnsi="Arial" w:cs="Arial"/>
          <w:sz w:val="22"/>
          <w:szCs w:val="22"/>
          <w:lang w:val="en-GB"/>
        </w:rPr>
        <w:t>digital</w:t>
      </w:r>
      <w:proofErr w:type="gramEnd"/>
      <w:r w:rsidRPr="00B51BAA">
        <w:rPr>
          <w:rFonts w:ascii="Arial" w:hAnsi="Arial" w:cs="Arial"/>
          <w:sz w:val="22"/>
          <w:szCs w:val="22"/>
          <w:lang w:val="en-GB"/>
        </w:rPr>
        <w:t xml:space="preserve"> learning, leverage HR analytics, and lead change with clarity and confidence. They must embody the organisation’s EVP, support flexible working, and create pathways for internal progression to strengthen retention. Equally, they must drive DEI initiatives by modelling inclusive behaviours, supporting and using data to identify and address inequalities.</w:t>
      </w:r>
    </w:p>
    <w:p w14:paraId="73681B8B" w14:textId="77CE37FD" w:rsidR="005F7E8F" w:rsidRPr="00B51BAA" w:rsidRDefault="0095007B" w:rsidP="00A76FEB">
      <w:pPr>
        <w:spacing w:after="0" w:line="360" w:lineRule="auto"/>
        <w:ind w:firstLine="698"/>
        <w:jc w:val="both"/>
        <w:rPr>
          <w:rFonts w:ascii="Arial" w:hAnsi="Arial" w:cs="Arial"/>
          <w:sz w:val="22"/>
          <w:szCs w:val="22"/>
          <w:lang w:val="en-GB"/>
        </w:rPr>
      </w:pPr>
      <w:r w:rsidRPr="00B51BAA">
        <w:rPr>
          <w:rFonts w:ascii="Arial" w:hAnsi="Arial" w:cs="Arial"/>
          <w:sz w:val="22"/>
          <w:szCs w:val="22"/>
          <w:lang w:val="en-GB"/>
        </w:rPr>
        <w:t>Urgent implementation depends on strong leadership, accountability, adequate resources, and a culture that embraces continuous improvement. When departmental managers are empowered, trained, and held accountable, contemporary HR practices become embedded in everyday operations rather than remaining aspirational. This positions Waitrose &amp; Partners to remain competitive, resilient, and aligned with the expectations of a modern workforce.</w:t>
      </w:r>
    </w:p>
    <w:p w14:paraId="3D46E3C4" w14:textId="77777777" w:rsidR="005F7E8F" w:rsidRPr="00B51BAA" w:rsidRDefault="005F7E8F" w:rsidP="00A76FEB">
      <w:pPr>
        <w:suppressAutoHyphens w:val="0"/>
        <w:spacing w:after="0" w:line="360" w:lineRule="auto"/>
        <w:ind w:left="0" w:firstLine="0"/>
        <w:jc w:val="both"/>
        <w:rPr>
          <w:rFonts w:ascii="Arial" w:hAnsi="Arial" w:cs="Arial"/>
          <w:sz w:val="22"/>
          <w:szCs w:val="22"/>
          <w:lang w:val="en-GB"/>
        </w:rPr>
      </w:pPr>
      <w:r w:rsidRPr="00B51BAA">
        <w:rPr>
          <w:rFonts w:ascii="Arial" w:hAnsi="Arial" w:cs="Arial"/>
          <w:sz w:val="22"/>
          <w:szCs w:val="22"/>
          <w:lang w:val="en-GB"/>
        </w:rPr>
        <w:br w:type="page"/>
      </w:r>
    </w:p>
    <w:p w14:paraId="6D8DB64A" w14:textId="640EC0EE" w:rsidR="006C23E4" w:rsidRPr="00B51BAA" w:rsidRDefault="00C662FB" w:rsidP="00A76FEB">
      <w:pPr>
        <w:pStyle w:val="Heading1"/>
        <w:spacing w:line="360" w:lineRule="auto"/>
        <w:jc w:val="center"/>
        <w:rPr>
          <w:rFonts w:ascii="Arial" w:hAnsi="Arial" w:cs="Arial"/>
          <w:b/>
          <w:bCs/>
          <w:color w:val="auto"/>
          <w:sz w:val="22"/>
          <w:szCs w:val="22"/>
          <w:lang w:val="en-GB"/>
        </w:rPr>
      </w:pPr>
      <w:bookmarkStart w:id="31" w:name="_Toc223898312"/>
      <w:bookmarkStart w:id="32" w:name="_Toc224149243"/>
      <w:bookmarkStart w:id="33" w:name="_Toc227403481"/>
      <w:r w:rsidRPr="00B51BAA">
        <w:rPr>
          <w:rFonts w:ascii="Arial" w:hAnsi="Arial" w:cs="Arial"/>
          <w:b/>
          <w:bCs/>
          <w:color w:val="auto"/>
          <w:sz w:val="22"/>
          <w:szCs w:val="22"/>
          <w:lang w:val="en-GB"/>
        </w:rPr>
        <w:lastRenderedPageBreak/>
        <w:t>7</w:t>
      </w:r>
      <w:r w:rsidR="00037A50" w:rsidRPr="00B51BAA">
        <w:rPr>
          <w:rFonts w:ascii="Arial" w:hAnsi="Arial" w:cs="Arial"/>
          <w:b/>
          <w:bCs/>
          <w:color w:val="auto"/>
          <w:sz w:val="22"/>
          <w:szCs w:val="22"/>
          <w:lang w:val="en-GB"/>
        </w:rPr>
        <w:t xml:space="preserve"> - Reference List</w:t>
      </w:r>
      <w:bookmarkEnd w:id="31"/>
      <w:bookmarkEnd w:id="32"/>
      <w:bookmarkEnd w:id="33"/>
    </w:p>
    <w:p w14:paraId="570033DB" w14:textId="13A80533" w:rsidR="00887F60" w:rsidRPr="00B51BAA" w:rsidRDefault="00C614FA" w:rsidP="00A76FEB">
      <w:pPr>
        <w:spacing w:after="0" w:line="360" w:lineRule="auto"/>
        <w:ind w:left="0" w:firstLine="0"/>
        <w:jc w:val="both"/>
        <w:rPr>
          <w:rFonts w:ascii="Arial" w:hAnsi="Arial" w:cs="Arial"/>
          <w:sz w:val="22"/>
          <w:szCs w:val="22"/>
          <w:lang w:val="en-GB"/>
        </w:rPr>
      </w:pPr>
      <w:r w:rsidRPr="00B51BAA">
        <w:rPr>
          <w:rFonts w:ascii="Arial" w:hAnsi="Arial" w:cs="Arial"/>
          <w:sz w:val="22"/>
          <w:szCs w:val="22"/>
          <w:lang w:val="en-GB"/>
        </w:rPr>
        <w:t>Armstrong, M. &amp; Taylor, S. (2023). Armstrong's handbook of human resource management practice: A guide to the theory and practice of people management</w:t>
      </w:r>
      <w:r w:rsidR="00887F60" w:rsidRPr="00B51BAA">
        <w:rPr>
          <w:rFonts w:ascii="Arial" w:hAnsi="Arial" w:cs="Arial"/>
          <w:sz w:val="22"/>
          <w:szCs w:val="22"/>
          <w:lang w:val="en-GB"/>
        </w:rPr>
        <w:t>.</w:t>
      </w:r>
    </w:p>
    <w:p w14:paraId="704A7A90" w14:textId="77777777" w:rsidR="00A76FEB" w:rsidRPr="00B51BAA" w:rsidRDefault="00A76FEB" w:rsidP="00A76FEB">
      <w:pPr>
        <w:spacing w:after="0" w:line="360" w:lineRule="auto"/>
        <w:ind w:left="0" w:firstLine="0"/>
        <w:jc w:val="both"/>
        <w:rPr>
          <w:rFonts w:ascii="Arial" w:hAnsi="Arial" w:cs="Arial"/>
          <w:sz w:val="22"/>
          <w:szCs w:val="22"/>
          <w:lang w:val="en-GB"/>
        </w:rPr>
      </w:pPr>
    </w:p>
    <w:p w14:paraId="018AB98B" w14:textId="744CD175" w:rsidR="00D36343" w:rsidRPr="00AC2ECE" w:rsidRDefault="00D36343" w:rsidP="00A76FEB">
      <w:pPr>
        <w:spacing w:after="0" w:line="360" w:lineRule="auto"/>
        <w:ind w:left="0" w:firstLine="0"/>
        <w:jc w:val="both"/>
        <w:rPr>
          <w:rFonts w:ascii="Arial" w:hAnsi="Arial" w:cs="Arial"/>
          <w:sz w:val="22"/>
          <w:szCs w:val="22"/>
          <w:lang w:val="en-GB"/>
        </w:rPr>
      </w:pPr>
      <w:r w:rsidRPr="00D36343">
        <w:rPr>
          <w:rFonts w:ascii="Arial" w:hAnsi="Arial" w:cs="Arial"/>
          <w:sz w:val="22"/>
          <w:szCs w:val="22"/>
          <w:lang w:val="en-GB"/>
        </w:rPr>
        <w:t xml:space="preserve">Bardach, E. and </w:t>
      </w:r>
      <w:proofErr w:type="spellStart"/>
      <w:r w:rsidRPr="00D36343">
        <w:rPr>
          <w:rFonts w:ascii="Arial" w:hAnsi="Arial" w:cs="Arial"/>
          <w:sz w:val="22"/>
          <w:szCs w:val="22"/>
          <w:lang w:val="en-GB"/>
        </w:rPr>
        <w:t>Patashnik</w:t>
      </w:r>
      <w:proofErr w:type="spellEnd"/>
      <w:r w:rsidRPr="00D36343">
        <w:rPr>
          <w:rFonts w:ascii="Arial" w:hAnsi="Arial" w:cs="Arial"/>
          <w:sz w:val="22"/>
          <w:szCs w:val="22"/>
          <w:lang w:val="en-GB"/>
        </w:rPr>
        <w:t xml:space="preserve">, E.M. (2020) </w:t>
      </w:r>
      <w:r w:rsidRPr="00D36343">
        <w:rPr>
          <w:rFonts w:ascii="Arial" w:hAnsi="Arial" w:cs="Arial"/>
          <w:i/>
          <w:iCs/>
          <w:sz w:val="22"/>
          <w:szCs w:val="22"/>
          <w:lang w:val="en-GB"/>
        </w:rPr>
        <w:t>A Practical Guide for Policy Analysis: The Eightfold Path to More Effective Problem Solving.</w:t>
      </w:r>
      <w:r w:rsidRPr="00D36343">
        <w:rPr>
          <w:rFonts w:ascii="Arial" w:hAnsi="Arial" w:cs="Arial"/>
          <w:sz w:val="22"/>
          <w:szCs w:val="22"/>
          <w:lang w:val="en-GB"/>
        </w:rPr>
        <w:t xml:space="preserve"> </w:t>
      </w:r>
      <w:r w:rsidRPr="00AC2ECE">
        <w:rPr>
          <w:rFonts w:ascii="Arial" w:hAnsi="Arial" w:cs="Arial"/>
          <w:sz w:val="22"/>
          <w:szCs w:val="22"/>
          <w:lang w:val="en-GB"/>
        </w:rPr>
        <w:t>6th ed. Thousand Oaks: CQ Press</w:t>
      </w:r>
      <w:r w:rsidR="00A76FEB" w:rsidRPr="00AC2ECE">
        <w:rPr>
          <w:rFonts w:ascii="Arial" w:hAnsi="Arial" w:cs="Arial"/>
          <w:sz w:val="22"/>
          <w:szCs w:val="22"/>
          <w:lang w:val="en-GB"/>
        </w:rPr>
        <w:t>.</w:t>
      </w:r>
    </w:p>
    <w:p w14:paraId="05B96505" w14:textId="77777777" w:rsidR="00DF364B" w:rsidRPr="00AC2ECE" w:rsidRDefault="00DF364B" w:rsidP="00A76FEB">
      <w:pPr>
        <w:spacing w:after="0" w:line="360" w:lineRule="auto"/>
        <w:ind w:left="0" w:firstLine="0"/>
        <w:jc w:val="both"/>
        <w:rPr>
          <w:rFonts w:ascii="Arial" w:hAnsi="Arial" w:cs="Arial"/>
          <w:sz w:val="22"/>
          <w:szCs w:val="22"/>
          <w:lang w:val="en-GB"/>
        </w:rPr>
      </w:pPr>
    </w:p>
    <w:p w14:paraId="389BCC91" w14:textId="0B9EB4B6" w:rsidR="00E5488A" w:rsidRPr="00B51BAA" w:rsidRDefault="00E5488A" w:rsidP="00A76FEB">
      <w:pPr>
        <w:spacing w:after="0" w:line="360" w:lineRule="auto"/>
        <w:ind w:left="0" w:firstLine="0"/>
        <w:jc w:val="both"/>
        <w:rPr>
          <w:rFonts w:ascii="Arial" w:hAnsi="Arial" w:cs="Arial"/>
          <w:sz w:val="22"/>
          <w:szCs w:val="22"/>
          <w:lang w:val="en-GB"/>
        </w:rPr>
      </w:pPr>
      <w:r w:rsidRPr="00B51BAA">
        <w:rPr>
          <w:rFonts w:ascii="Arial" w:hAnsi="Arial" w:cs="Arial"/>
          <w:sz w:val="22"/>
          <w:szCs w:val="22"/>
          <w:lang w:val="en-GB"/>
        </w:rPr>
        <w:t xml:space="preserve">Baron, A. and Armstrong, M. (2021) </w:t>
      </w:r>
      <w:r w:rsidRPr="00B51BAA">
        <w:rPr>
          <w:rFonts w:ascii="Arial" w:hAnsi="Arial" w:cs="Arial"/>
          <w:i/>
          <w:iCs/>
          <w:sz w:val="22"/>
          <w:szCs w:val="22"/>
          <w:lang w:val="en-GB"/>
        </w:rPr>
        <w:t>Human Capital Management: Achieving Added Value Through People.</w:t>
      </w:r>
      <w:r w:rsidRPr="00B51BAA">
        <w:rPr>
          <w:rFonts w:ascii="Arial" w:hAnsi="Arial" w:cs="Arial"/>
          <w:sz w:val="22"/>
          <w:szCs w:val="22"/>
          <w:lang w:val="en-GB"/>
        </w:rPr>
        <w:t xml:space="preserve"> 2nd ed. London: Kogan Page.</w:t>
      </w:r>
    </w:p>
    <w:p w14:paraId="27A3FD9E" w14:textId="77777777" w:rsidR="00DF364B" w:rsidRPr="00B51BAA" w:rsidRDefault="00DF364B" w:rsidP="00A76FEB">
      <w:pPr>
        <w:spacing w:after="0" w:line="360" w:lineRule="auto"/>
        <w:ind w:left="0" w:firstLine="0"/>
        <w:jc w:val="both"/>
        <w:rPr>
          <w:rFonts w:ascii="Arial" w:hAnsi="Arial" w:cs="Arial"/>
          <w:sz w:val="22"/>
          <w:szCs w:val="22"/>
          <w:lang w:val="en-GB"/>
        </w:rPr>
      </w:pPr>
    </w:p>
    <w:p w14:paraId="4C03BB27" w14:textId="6583314E" w:rsidR="00E5488A" w:rsidRPr="00B51BAA" w:rsidRDefault="00E5488A" w:rsidP="00AC2ECE">
      <w:pPr>
        <w:spacing w:after="0" w:line="360" w:lineRule="auto"/>
        <w:ind w:left="0" w:firstLine="0"/>
        <w:rPr>
          <w:rFonts w:ascii="Arial" w:hAnsi="Arial" w:cs="Arial"/>
          <w:sz w:val="22"/>
          <w:szCs w:val="22"/>
          <w:lang w:val="en-GB"/>
        </w:rPr>
      </w:pPr>
      <w:r w:rsidRPr="00B51BAA">
        <w:rPr>
          <w:rFonts w:ascii="Arial" w:hAnsi="Arial" w:cs="Arial"/>
          <w:sz w:val="22"/>
          <w:szCs w:val="22"/>
          <w:lang w:val="en-GB"/>
        </w:rPr>
        <w:t xml:space="preserve">Bersin, J. (2019) ‘HR Technology Market 2019: Disruption Ahead’, </w:t>
      </w:r>
      <w:r w:rsidRPr="00B51BAA">
        <w:rPr>
          <w:rFonts w:ascii="Arial" w:hAnsi="Arial" w:cs="Arial"/>
          <w:i/>
          <w:iCs/>
          <w:sz w:val="22"/>
          <w:szCs w:val="22"/>
          <w:lang w:val="en-GB"/>
        </w:rPr>
        <w:t>Deloitte Insights</w:t>
      </w:r>
      <w:r w:rsidRPr="00B51BAA">
        <w:rPr>
          <w:rFonts w:ascii="Arial" w:hAnsi="Arial" w:cs="Arial"/>
          <w:sz w:val="22"/>
          <w:szCs w:val="22"/>
          <w:lang w:val="en-GB"/>
        </w:rPr>
        <w:t xml:space="preserve">. Available at: </w:t>
      </w:r>
      <w:hyperlink r:id="rId10" w:history="1">
        <w:r w:rsidRPr="00B51BAA">
          <w:rPr>
            <w:rStyle w:val="Hyperlink"/>
            <w:rFonts w:ascii="Arial" w:hAnsi="Arial" w:cs="Arial"/>
            <w:sz w:val="22"/>
            <w:szCs w:val="22"/>
            <w:lang w:val="en-GB"/>
          </w:rPr>
          <w:t>https://www2.deloitte.com</w:t>
        </w:r>
      </w:hyperlink>
      <w:r w:rsidRPr="00B51BAA">
        <w:rPr>
          <w:rFonts w:ascii="Arial" w:hAnsi="Arial" w:cs="Arial"/>
          <w:sz w:val="22"/>
          <w:szCs w:val="22"/>
          <w:lang w:val="en-GB"/>
        </w:rPr>
        <w:t xml:space="preserve"> (Accessed: </w:t>
      </w:r>
      <w:r w:rsidR="006A67ED" w:rsidRPr="00B51BAA">
        <w:rPr>
          <w:rFonts w:ascii="Arial" w:hAnsi="Arial" w:cs="Arial"/>
          <w:sz w:val="22"/>
          <w:szCs w:val="22"/>
          <w:lang w:val="en-GB"/>
        </w:rPr>
        <w:t>Ap</w:t>
      </w:r>
      <w:r w:rsidR="00495874" w:rsidRPr="00B51BAA">
        <w:rPr>
          <w:rFonts w:ascii="Arial" w:hAnsi="Arial" w:cs="Arial"/>
          <w:sz w:val="22"/>
          <w:szCs w:val="22"/>
          <w:lang w:val="en-GB"/>
        </w:rPr>
        <w:t>rill 11, 2026</w:t>
      </w:r>
      <w:r w:rsidRPr="00B51BAA">
        <w:rPr>
          <w:rFonts w:ascii="Arial" w:hAnsi="Arial" w:cs="Arial"/>
          <w:sz w:val="22"/>
          <w:szCs w:val="22"/>
          <w:lang w:val="en-GB"/>
        </w:rPr>
        <w:t>).</w:t>
      </w:r>
    </w:p>
    <w:p w14:paraId="162B78E7" w14:textId="77777777" w:rsidR="00025347" w:rsidRPr="00B51BAA" w:rsidRDefault="00025347" w:rsidP="00A76FEB">
      <w:pPr>
        <w:spacing w:after="0" w:line="360" w:lineRule="auto"/>
        <w:ind w:left="0" w:firstLine="0"/>
        <w:jc w:val="both"/>
        <w:rPr>
          <w:rFonts w:ascii="Arial" w:hAnsi="Arial" w:cs="Arial"/>
          <w:sz w:val="22"/>
          <w:szCs w:val="22"/>
          <w:lang w:val="en-GB"/>
        </w:rPr>
      </w:pPr>
    </w:p>
    <w:p w14:paraId="09509643" w14:textId="0BC51F13" w:rsidR="00025347" w:rsidRPr="00B51BAA" w:rsidRDefault="00025347" w:rsidP="00A76FEB">
      <w:pPr>
        <w:spacing w:after="0" w:line="360" w:lineRule="auto"/>
        <w:ind w:left="0" w:firstLine="0"/>
        <w:jc w:val="both"/>
        <w:rPr>
          <w:rFonts w:ascii="Arial" w:hAnsi="Arial" w:cs="Arial"/>
          <w:sz w:val="22"/>
          <w:szCs w:val="22"/>
          <w:lang w:val="en-GB"/>
        </w:rPr>
      </w:pPr>
      <w:r w:rsidRPr="00025347">
        <w:rPr>
          <w:rFonts w:ascii="Arial" w:hAnsi="Arial" w:cs="Arial"/>
          <w:sz w:val="22"/>
          <w:szCs w:val="22"/>
          <w:lang w:val="en-GB"/>
        </w:rPr>
        <w:t>Chartered Institute of Personnel and Development (CIPD) (2023)</w:t>
      </w:r>
      <w:r w:rsidR="000B3DE4" w:rsidRPr="00B51BAA">
        <w:rPr>
          <w:rFonts w:ascii="Arial" w:hAnsi="Arial" w:cs="Arial"/>
          <w:sz w:val="22"/>
          <w:szCs w:val="22"/>
          <w:lang w:val="en-GB"/>
        </w:rPr>
        <w:t>:</w:t>
      </w:r>
      <w:r w:rsidRPr="00025347">
        <w:rPr>
          <w:rFonts w:ascii="Arial" w:hAnsi="Arial" w:cs="Arial"/>
          <w:sz w:val="22"/>
          <w:szCs w:val="22"/>
          <w:lang w:val="en-GB"/>
        </w:rPr>
        <w:t xml:space="preserve"> </w:t>
      </w:r>
      <w:r w:rsidRPr="00025347">
        <w:rPr>
          <w:rFonts w:ascii="Arial" w:hAnsi="Arial" w:cs="Arial"/>
          <w:i/>
          <w:iCs/>
          <w:sz w:val="22"/>
          <w:szCs w:val="22"/>
          <w:lang w:val="en-GB"/>
        </w:rPr>
        <w:t>Labour turnover and retention factsheet</w:t>
      </w:r>
      <w:r w:rsidRPr="00025347">
        <w:rPr>
          <w:rFonts w:ascii="Arial" w:hAnsi="Arial" w:cs="Arial"/>
          <w:sz w:val="22"/>
          <w:szCs w:val="22"/>
          <w:lang w:val="en-GB"/>
        </w:rPr>
        <w:t>. London: CIPD.</w:t>
      </w:r>
    </w:p>
    <w:p w14:paraId="558B6161" w14:textId="77777777" w:rsidR="00DF364B" w:rsidRPr="00B51BAA" w:rsidRDefault="00DF364B" w:rsidP="00A76FEB">
      <w:pPr>
        <w:spacing w:after="0" w:line="360" w:lineRule="auto"/>
        <w:ind w:left="0" w:firstLine="0"/>
        <w:jc w:val="both"/>
        <w:rPr>
          <w:rFonts w:ascii="Arial" w:hAnsi="Arial" w:cs="Arial"/>
          <w:sz w:val="22"/>
          <w:szCs w:val="22"/>
          <w:lang w:val="en-GB"/>
        </w:rPr>
      </w:pPr>
    </w:p>
    <w:p w14:paraId="2F9654FD" w14:textId="53890032" w:rsidR="00E5488A" w:rsidRPr="00B51BAA" w:rsidRDefault="000B3DE4" w:rsidP="00A76FEB">
      <w:pPr>
        <w:spacing w:after="0" w:line="360" w:lineRule="auto"/>
        <w:ind w:left="0" w:firstLine="0"/>
        <w:jc w:val="both"/>
        <w:rPr>
          <w:rFonts w:ascii="Arial" w:hAnsi="Arial" w:cs="Arial"/>
          <w:sz w:val="22"/>
          <w:szCs w:val="22"/>
          <w:lang w:val="en-GB"/>
        </w:rPr>
      </w:pPr>
      <w:r w:rsidRPr="00025347">
        <w:rPr>
          <w:rFonts w:ascii="Arial" w:hAnsi="Arial" w:cs="Arial"/>
          <w:sz w:val="22"/>
          <w:szCs w:val="22"/>
          <w:lang w:val="en-GB"/>
        </w:rPr>
        <w:t>Chartered Institute of Personnel and Development (CIPD)</w:t>
      </w:r>
      <w:r w:rsidRPr="00B51BAA">
        <w:rPr>
          <w:rFonts w:ascii="Arial" w:hAnsi="Arial" w:cs="Arial"/>
          <w:sz w:val="22"/>
          <w:szCs w:val="22"/>
          <w:lang w:val="en-GB"/>
        </w:rPr>
        <w:t xml:space="preserve"> (2022):</w:t>
      </w:r>
      <w:r w:rsidRPr="00025347">
        <w:rPr>
          <w:rFonts w:ascii="Arial" w:hAnsi="Arial" w:cs="Arial"/>
          <w:sz w:val="22"/>
          <w:szCs w:val="22"/>
          <w:lang w:val="en-GB"/>
        </w:rPr>
        <w:t xml:space="preserve"> </w:t>
      </w:r>
      <w:r w:rsidR="00E5488A" w:rsidRPr="00B51BAA">
        <w:rPr>
          <w:rFonts w:ascii="Arial" w:hAnsi="Arial" w:cs="Arial"/>
          <w:i/>
          <w:iCs/>
          <w:sz w:val="22"/>
          <w:szCs w:val="22"/>
          <w:lang w:val="en-GB"/>
        </w:rPr>
        <w:t>Resourcing and Talent Planning Survey.</w:t>
      </w:r>
      <w:r w:rsidR="00E5488A" w:rsidRPr="00B51BAA">
        <w:rPr>
          <w:rFonts w:ascii="Arial" w:hAnsi="Arial" w:cs="Arial"/>
          <w:sz w:val="22"/>
          <w:szCs w:val="22"/>
          <w:lang w:val="en-GB"/>
        </w:rPr>
        <w:t xml:space="preserve"> London: </w:t>
      </w:r>
      <w:r w:rsidRPr="00025347">
        <w:rPr>
          <w:rFonts w:ascii="Arial" w:hAnsi="Arial" w:cs="Arial"/>
          <w:sz w:val="22"/>
          <w:szCs w:val="22"/>
          <w:lang w:val="en-GB"/>
        </w:rPr>
        <w:t>CIPD.</w:t>
      </w:r>
    </w:p>
    <w:p w14:paraId="74005999" w14:textId="77777777" w:rsidR="00DF364B" w:rsidRPr="00B51BAA" w:rsidRDefault="00DF364B" w:rsidP="00A76FEB">
      <w:pPr>
        <w:spacing w:after="0" w:line="360" w:lineRule="auto"/>
        <w:ind w:left="0" w:firstLine="0"/>
        <w:jc w:val="both"/>
        <w:rPr>
          <w:rFonts w:ascii="Arial" w:hAnsi="Arial" w:cs="Arial"/>
          <w:sz w:val="22"/>
          <w:szCs w:val="22"/>
          <w:lang w:val="en-GB"/>
        </w:rPr>
      </w:pPr>
    </w:p>
    <w:p w14:paraId="532A85C5" w14:textId="329C0E47" w:rsidR="0071341D" w:rsidRPr="00B51BAA" w:rsidRDefault="0071341D" w:rsidP="00A76FEB">
      <w:pPr>
        <w:spacing w:after="0" w:line="360" w:lineRule="auto"/>
        <w:ind w:left="0" w:firstLine="0"/>
        <w:jc w:val="both"/>
        <w:rPr>
          <w:rFonts w:ascii="Arial" w:hAnsi="Arial" w:cs="Arial"/>
          <w:sz w:val="22"/>
          <w:szCs w:val="22"/>
          <w:lang w:val="en-GB"/>
        </w:rPr>
      </w:pPr>
      <w:r w:rsidRPr="0071341D">
        <w:rPr>
          <w:rFonts w:ascii="Arial" w:hAnsi="Arial" w:cs="Arial"/>
          <w:sz w:val="22"/>
          <w:szCs w:val="22"/>
          <w:lang w:val="en-GB"/>
        </w:rPr>
        <w:t xml:space="preserve">Department for Digital, Culture, Media and Sport (2021). </w:t>
      </w:r>
      <w:r w:rsidRPr="0071341D">
        <w:rPr>
          <w:rFonts w:ascii="Arial" w:hAnsi="Arial" w:cs="Arial"/>
          <w:i/>
          <w:iCs/>
          <w:sz w:val="22"/>
          <w:szCs w:val="22"/>
          <w:lang w:val="en-GB"/>
        </w:rPr>
        <w:t>Quantifying the UK Data Skills Gap: Full Report.</w:t>
      </w:r>
      <w:r w:rsidRPr="0071341D">
        <w:rPr>
          <w:rFonts w:ascii="Arial" w:hAnsi="Arial" w:cs="Arial"/>
          <w:sz w:val="22"/>
          <w:szCs w:val="22"/>
          <w:lang w:val="en-GB"/>
        </w:rPr>
        <w:t xml:space="preserve"> London: GOV.UK.</w:t>
      </w:r>
      <w:r w:rsidRPr="00B51BAA">
        <w:rPr>
          <w:rFonts w:ascii="Arial" w:hAnsi="Arial" w:cs="Arial"/>
          <w:sz w:val="22"/>
          <w:szCs w:val="22"/>
          <w:lang w:val="en-GB"/>
        </w:rPr>
        <w:t xml:space="preserve"> Available at</w:t>
      </w:r>
      <w:r w:rsidRPr="0071341D">
        <w:rPr>
          <w:rFonts w:ascii="Arial" w:hAnsi="Arial" w:cs="Arial"/>
          <w:sz w:val="22"/>
          <w:szCs w:val="22"/>
          <w:lang w:val="en-GB"/>
        </w:rPr>
        <w:t xml:space="preserve">: </w:t>
      </w:r>
      <w:hyperlink r:id="rId11" w:history="1">
        <w:r w:rsidRPr="0071341D">
          <w:rPr>
            <w:rStyle w:val="Hyperlink"/>
            <w:rFonts w:ascii="Arial" w:hAnsi="Arial" w:cs="Arial"/>
            <w:sz w:val="22"/>
            <w:szCs w:val="22"/>
            <w:lang w:val="en-GB"/>
          </w:rPr>
          <w:t>https://www.gov.uk/government/publications/quantifying-the-uk-data-skills-gap/quantifying-the-uk-data-skills-gap-full-report</w:t>
        </w:r>
      </w:hyperlink>
      <w:r w:rsidRPr="0071341D">
        <w:rPr>
          <w:rFonts w:ascii="Arial" w:hAnsi="Arial" w:cs="Arial"/>
          <w:sz w:val="22"/>
          <w:szCs w:val="22"/>
          <w:lang w:val="en-GB"/>
        </w:rPr>
        <w:t xml:space="preserve"> (Ac</w:t>
      </w:r>
      <w:r w:rsidRPr="00B51BAA">
        <w:rPr>
          <w:rFonts w:ascii="Arial" w:hAnsi="Arial" w:cs="Arial"/>
          <w:sz w:val="22"/>
          <w:szCs w:val="22"/>
          <w:lang w:val="en-GB"/>
        </w:rPr>
        <w:t>cessed</w:t>
      </w:r>
      <w:r w:rsidRPr="0071341D">
        <w:rPr>
          <w:rFonts w:ascii="Arial" w:hAnsi="Arial" w:cs="Arial"/>
          <w:sz w:val="22"/>
          <w:szCs w:val="22"/>
          <w:lang w:val="en-GB"/>
        </w:rPr>
        <w:t xml:space="preserve">: </w:t>
      </w:r>
      <w:r w:rsidRPr="00B51BAA">
        <w:rPr>
          <w:rFonts w:ascii="Arial" w:hAnsi="Arial" w:cs="Arial"/>
          <w:sz w:val="22"/>
          <w:szCs w:val="22"/>
          <w:lang w:val="en-GB"/>
        </w:rPr>
        <w:t xml:space="preserve">Aprill 18, </w:t>
      </w:r>
      <w:r w:rsidRPr="0071341D">
        <w:rPr>
          <w:rFonts w:ascii="Arial" w:hAnsi="Arial" w:cs="Arial"/>
          <w:sz w:val="22"/>
          <w:szCs w:val="22"/>
          <w:lang w:val="en-GB"/>
        </w:rPr>
        <w:t>2026).</w:t>
      </w:r>
    </w:p>
    <w:p w14:paraId="0A71FE8F" w14:textId="77777777" w:rsidR="00DF364B" w:rsidRPr="00B51BAA" w:rsidRDefault="00DF364B" w:rsidP="00A76FEB">
      <w:pPr>
        <w:spacing w:after="0" w:line="360" w:lineRule="auto"/>
        <w:ind w:left="0" w:firstLine="0"/>
        <w:jc w:val="both"/>
        <w:rPr>
          <w:rFonts w:ascii="Arial" w:hAnsi="Arial" w:cs="Arial"/>
          <w:sz w:val="22"/>
          <w:szCs w:val="22"/>
          <w:lang w:val="en-GB"/>
        </w:rPr>
      </w:pPr>
    </w:p>
    <w:p w14:paraId="4542CC89" w14:textId="1765739E" w:rsidR="007E101B" w:rsidRPr="00B51BAA" w:rsidRDefault="007E101B" w:rsidP="00A76FEB">
      <w:pPr>
        <w:spacing w:after="0" w:line="360" w:lineRule="auto"/>
        <w:ind w:left="0" w:firstLine="0"/>
        <w:jc w:val="both"/>
        <w:rPr>
          <w:rFonts w:ascii="Arial" w:hAnsi="Arial" w:cs="Arial"/>
          <w:sz w:val="22"/>
          <w:szCs w:val="22"/>
          <w:lang w:val="en-GB"/>
        </w:rPr>
      </w:pPr>
      <w:r w:rsidRPr="00B51BAA">
        <w:rPr>
          <w:rFonts w:ascii="Arial" w:hAnsi="Arial" w:cs="Arial"/>
          <w:sz w:val="22"/>
          <w:szCs w:val="22"/>
          <w:lang w:val="en-GB"/>
        </w:rPr>
        <w:t xml:space="preserve">Heathfield, S. (2021) ‘Employee Value Proposition (EVP): Definition and Best Practices’, </w:t>
      </w:r>
      <w:r w:rsidRPr="00B51BAA">
        <w:rPr>
          <w:rFonts w:ascii="Arial" w:hAnsi="Arial" w:cs="Arial"/>
          <w:i/>
          <w:iCs/>
          <w:sz w:val="22"/>
          <w:szCs w:val="22"/>
          <w:lang w:val="en-GB"/>
        </w:rPr>
        <w:t>The Balance Careers</w:t>
      </w:r>
      <w:r w:rsidRPr="00B51BAA">
        <w:rPr>
          <w:rFonts w:ascii="Arial" w:hAnsi="Arial" w:cs="Arial"/>
          <w:sz w:val="22"/>
          <w:szCs w:val="22"/>
          <w:lang w:val="en-GB"/>
        </w:rPr>
        <w:t xml:space="preserve">. Available at: </w:t>
      </w:r>
      <w:hyperlink r:id="rId12" w:history="1">
        <w:r w:rsidRPr="00B51BAA">
          <w:rPr>
            <w:rStyle w:val="Hyperlink"/>
            <w:rFonts w:ascii="Arial" w:hAnsi="Arial" w:cs="Arial"/>
            <w:sz w:val="22"/>
            <w:szCs w:val="22"/>
            <w:lang w:val="en-GB"/>
          </w:rPr>
          <w:t>https://www.thebalancecareers.com</w:t>
        </w:r>
      </w:hyperlink>
      <w:r w:rsidRPr="00B51BAA">
        <w:rPr>
          <w:rFonts w:ascii="Arial" w:hAnsi="Arial" w:cs="Arial"/>
          <w:sz w:val="22"/>
          <w:szCs w:val="22"/>
          <w:lang w:val="en-GB"/>
        </w:rPr>
        <w:t xml:space="preserve"> (</w:t>
      </w:r>
      <w:r w:rsidR="00494C12" w:rsidRPr="00B51BAA">
        <w:rPr>
          <w:rFonts w:ascii="Arial" w:hAnsi="Arial" w:cs="Arial"/>
          <w:sz w:val="22"/>
          <w:szCs w:val="22"/>
          <w:lang w:val="en-GB"/>
        </w:rPr>
        <w:t>Accessed: Aprill 11, 2026).</w:t>
      </w:r>
    </w:p>
    <w:p w14:paraId="66472891" w14:textId="77777777" w:rsidR="00DF364B" w:rsidRPr="00B51BAA" w:rsidRDefault="00DF364B" w:rsidP="00A76FEB">
      <w:pPr>
        <w:spacing w:after="0" w:line="360" w:lineRule="auto"/>
        <w:ind w:left="0" w:firstLine="0"/>
        <w:jc w:val="both"/>
        <w:rPr>
          <w:rFonts w:ascii="Arial" w:hAnsi="Arial" w:cs="Arial"/>
          <w:sz w:val="22"/>
          <w:szCs w:val="22"/>
          <w:lang w:val="en-GB"/>
        </w:rPr>
      </w:pPr>
    </w:p>
    <w:p w14:paraId="5F0C23FF" w14:textId="150B0C7A" w:rsidR="007E101B" w:rsidRPr="00B51BAA" w:rsidRDefault="007E101B" w:rsidP="00A76FEB">
      <w:pPr>
        <w:spacing w:after="0" w:line="360" w:lineRule="auto"/>
        <w:ind w:left="0" w:firstLine="0"/>
        <w:jc w:val="both"/>
        <w:rPr>
          <w:rFonts w:ascii="Arial" w:hAnsi="Arial" w:cs="Arial"/>
          <w:sz w:val="22"/>
          <w:szCs w:val="22"/>
          <w:lang w:val="en-GB"/>
        </w:rPr>
      </w:pPr>
      <w:r w:rsidRPr="00B51BAA">
        <w:rPr>
          <w:rFonts w:ascii="Arial" w:hAnsi="Arial" w:cs="Arial"/>
          <w:sz w:val="22"/>
          <w:szCs w:val="22"/>
          <w:lang w:val="en-GB"/>
        </w:rPr>
        <w:t xml:space="preserve">LinkedIn Talent Solutions (2022) </w:t>
      </w:r>
      <w:r w:rsidRPr="00B51BAA">
        <w:rPr>
          <w:rFonts w:ascii="Arial" w:hAnsi="Arial" w:cs="Arial"/>
          <w:i/>
          <w:iCs/>
          <w:sz w:val="22"/>
          <w:szCs w:val="22"/>
          <w:lang w:val="en-GB"/>
        </w:rPr>
        <w:t>Global Talent Trends Report.</w:t>
      </w:r>
      <w:r w:rsidRPr="00B51BAA">
        <w:rPr>
          <w:rFonts w:ascii="Arial" w:hAnsi="Arial" w:cs="Arial"/>
          <w:sz w:val="22"/>
          <w:szCs w:val="22"/>
          <w:lang w:val="en-GB"/>
        </w:rPr>
        <w:t xml:space="preserve"> Available at:</w:t>
      </w:r>
      <w:r w:rsidR="000C4806" w:rsidRPr="00B51BAA">
        <w:rPr>
          <w:rFonts w:ascii="Arial" w:hAnsi="Arial" w:cs="Arial"/>
          <w:sz w:val="22"/>
          <w:szCs w:val="22"/>
          <w:lang w:val="en-GB"/>
        </w:rPr>
        <w:t xml:space="preserve"> </w:t>
      </w:r>
      <w:hyperlink r:id="rId13" w:history="1">
        <w:r w:rsidR="000C4806" w:rsidRPr="00B51BAA">
          <w:rPr>
            <w:rStyle w:val="Hyperlink"/>
            <w:rFonts w:ascii="Arial" w:hAnsi="Arial" w:cs="Arial"/>
            <w:sz w:val="22"/>
            <w:szCs w:val="22"/>
            <w:lang w:val="en-GB"/>
          </w:rPr>
          <w:t>https://business.linkedin.com</w:t>
        </w:r>
      </w:hyperlink>
      <w:r w:rsidRPr="00B51BAA">
        <w:rPr>
          <w:rFonts w:ascii="Arial" w:hAnsi="Arial" w:cs="Arial"/>
          <w:sz w:val="22"/>
          <w:szCs w:val="22"/>
          <w:lang w:val="en-GB"/>
        </w:rPr>
        <w:t xml:space="preserve"> </w:t>
      </w:r>
      <w:r w:rsidR="00A23F42" w:rsidRPr="00B51BAA">
        <w:rPr>
          <w:rFonts w:ascii="Arial" w:hAnsi="Arial" w:cs="Arial"/>
          <w:sz w:val="22"/>
          <w:szCs w:val="22"/>
          <w:lang w:val="en-GB"/>
        </w:rPr>
        <w:t>(Accessed: Aprill 1</w:t>
      </w:r>
      <w:r w:rsidR="000665BC" w:rsidRPr="00B51BAA">
        <w:rPr>
          <w:rFonts w:ascii="Arial" w:hAnsi="Arial" w:cs="Arial"/>
          <w:sz w:val="22"/>
          <w:szCs w:val="22"/>
          <w:lang w:val="en-GB"/>
        </w:rPr>
        <w:t>1</w:t>
      </w:r>
      <w:r w:rsidR="00A23F42" w:rsidRPr="00B51BAA">
        <w:rPr>
          <w:rFonts w:ascii="Arial" w:hAnsi="Arial" w:cs="Arial"/>
          <w:sz w:val="22"/>
          <w:szCs w:val="22"/>
          <w:lang w:val="en-GB"/>
        </w:rPr>
        <w:t>, 2026).</w:t>
      </w:r>
    </w:p>
    <w:p w14:paraId="4C69E7F0" w14:textId="77777777" w:rsidR="00DF364B" w:rsidRPr="00B51BAA" w:rsidRDefault="00DF364B" w:rsidP="00A76FEB">
      <w:pPr>
        <w:spacing w:after="0" w:line="360" w:lineRule="auto"/>
        <w:ind w:left="0" w:firstLine="0"/>
        <w:jc w:val="both"/>
        <w:rPr>
          <w:rFonts w:ascii="Arial" w:hAnsi="Arial" w:cs="Arial"/>
          <w:sz w:val="22"/>
          <w:szCs w:val="22"/>
          <w:lang w:val="en-GB"/>
        </w:rPr>
      </w:pPr>
    </w:p>
    <w:p w14:paraId="6FCDDC9A" w14:textId="18EAB581" w:rsidR="007E101B" w:rsidRPr="00B51BAA" w:rsidRDefault="007E101B" w:rsidP="00A76FEB">
      <w:pPr>
        <w:spacing w:after="0" w:line="360" w:lineRule="auto"/>
        <w:ind w:left="0" w:firstLine="0"/>
        <w:jc w:val="both"/>
        <w:rPr>
          <w:rFonts w:ascii="Arial" w:hAnsi="Arial" w:cs="Arial"/>
          <w:sz w:val="22"/>
          <w:szCs w:val="22"/>
          <w:lang w:val="en-GB"/>
        </w:rPr>
      </w:pPr>
      <w:r w:rsidRPr="00B51BAA">
        <w:rPr>
          <w:rFonts w:ascii="Arial" w:hAnsi="Arial" w:cs="Arial"/>
          <w:sz w:val="22"/>
          <w:szCs w:val="22"/>
          <w:lang w:val="en-GB"/>
        </w:rPr>
        <w:t xml:space="preserve">McKinsey &amp; Company (2020) </w:t>
      </w:r>
      <w:r w:rsidRPr="00B51BAA">
        <w:rPr>
          <w:rFonts w:ascii="Arial" w:hAnsi="Arial" w:cs="Arial"/>
          <w:i/>
          <w:iCs/>
          <w:sz w:val="22"/>
          <w:szCs w:val="22"/>
          <w:lang w:val="en-GB"/>
        </w:rPr>
        <w:t>Diversity Wins: How Inclusion Matters.</w:t>
      </w:r>
      <w:r w:rsidRPr="00B51BAA">
        <w:rPr>
          <w:rFonts w:ascii="Arial" w:hAnsi="Arial" w:cs="Arial"/>
          <w:sz w:val="22"/>
          <w:szCs w:val="22"/>
          <w:lang w:val="en-GB"/>
        </w:rPr>
        <w:t xml:space="preserve"> Available at: </w:t>
      </w:r>
      <w:hyperlink r:id="rId14" w:history="1">
        <w:r w:rsidRPr="00B51BAA">
          <w:rPr>
            <w:rStyle w:val="Hyperlink"/>
            <w:rFonts w:ascii="Arial" w:hAnsi="Arial" w:cs="Arial"/>
            <w:sz w:val="22"/>
            <w:szCs w:val="22"/>
            <w:lang w:val="en-GB"/>
          </w:rPr>
          <w:t>https://www.mckinsey.com</w:t>
        </w:r>
      </w:hyperlink>
      <w:r w:rsidRPr="00B51BAA">
        <w:rPr>
          <w:rFonts w:ascii="Arial" w:hAnsi="Arial" w:cs="Arial"/>
          <w:sz w:val="22"/>
          <w:szCs w:val="22"/>
          <w:lang w:val="en-GB"/>
        </w:rPr>
        <w:t xml:space="preserve"> (Accessed: </w:t>
      </w:r>
      <w:r w:rsidR="00A46DDF" w:rsidRPr="00B51BAA">
        <w:rPr>
          <w:rFonts w:ascii="Arial" w:hAnsi="Arial" w:cs="Arial"/>
          <w:sz w:val="22"/>
          <w:szCs w:val="22"/>
          <w:lang w:val="en-GB"/>
        </w:rPr>
        <w:t>Aprill 01, 2026</w:t>
      </w:r>
      <w:r w:rsidRPr="00B51BAA">
        <w:rPr>
          <w:rFonts w:ascii="Arial" w:hAnsi="Arial" w:cs="Arial"/>
          <w:sz w:val="22"/>
          <w:szCs w:val="22"/>
          <w:lang w:val="en-GB"/>
        </w:rPr>
        <w:t>).</w:t>
      </w:r>
    </w:p>
    <w:p w14:paraId="410E5AE6" w14:textId="77777777" w:rsidR="00DF364B" w:rsidRPr="00B51BAA" w:rsidRDefault="00DF364B" w:rsidP="00A76FEB">
      <w:pPr>
        <w:spacing w:after="0" w:line="360" w:lineRule="auto"/>
        <w:ind w:left="0" w:firstLine="0"/>
        <w:jc w:val="both"/>
        <w:rPr>
          <w:rFonts w:ascii="Arial" w:hAnsi="Arial" w:cs="Arial"/>
          <w:sz w:val="22"/>
          <w:szCs w:val="22"/>
          <w:lang w:val="en-GB"/>
        </w:rPr>
      </w:pPr>
    </w:p>
    <w:p w14:paraId="47950086" w14:textId="77777777" w:rsidR="007E101B" w:rsidRPr="00B51BAA" w:rsidRDefault="007E101B" w:rsidP="00A76FEB">
      <w:pPr>
        <w:spacing w:after="0" w:line="360" w:lineRule="auto"/>
        <w:ind w:left="0" w:firstLine="0"/>
        <w:jc w:val="both"/>
        <w:rPr>
          <w:rFonts w:ascii="Arial" w:hAnsi="Arial" w:cs="Arial"/>
          <w:sz w:val="22"/>
          <w:szCs w:val="22"/>
          <w:lang w:val="en-GB"/>
        </w:rPr>
      </w:pPr>
      <w:r w:rsidRPr="00B51BAA">
        <w:rPr>
          <w:rFonts w:ascii="Arial" w:hAnsi="Arial" w:cs="Arial"/>
          <w:sz w:val="22"/>
          <w:szCs w:val="22"/>
          <w:lang w:val="en-GB"/>
        </w:rPr>
        <w:t xml:space="preserve">Noe, R. (2020) </w:t>
      </w:r>
      <w:r w:rsidRPr="00B51BAA">
        <w:rPr>
          <w:rFonts w:ascii="Arial" w:hAnsi="Arial" w:cs="Arial"/>
          <w:i/>
          <w:iCs/>
          <w:sz w:val="22"/>
          <w:szCs w:val="22"/>
          <w:lang w:val="en-GB"/>
        </w:rPr>
        <w:t>Employee Training and Development.</w:t>
      </w:r>
      <w:r w:rsidRPr="00B51BAA">
        <w:rPr>
          <w:rFonts w:ascii="Arial" w:hAnsi="Arial" w:cs="Arial"/>
          <w:sz w:val="22"/>
          <w:szCs w:val="22"/>
          <w:lang w:val="en-GB"/>
        </w:rPr>
        <w:t xml:space="preserve"> 8th ed. New York: McGraw</w:t>
      </w:r>
      <w:r w:rsidRPr="00B51BAA">
        <w:rPr>
          <w:rFonts w:ascii="Arial" w:hAnsi="Arial" w:cs="Arial"/>
          <w:sz w:val="22"/>
          <w:szCs w:val="22"/>
          <w:lang w:val="en-GB"/>
        </w:rPr>
        <w:noBreakHyphen/>
        <w:t>Hill.</w:t>
      </w:r>
    </w:p>
    <w:p w14:paraId="3A41E2D5" w14:textId="16CBACCE" w:rsidR="007E101B" w:rsidRPr="00B51BAA" w:rsidRDefault="007E101B" w:rsidP="00A76FEB">
      <w:pPr>
        <w:spacing w:after="0" w:line="360" w:lineRule="auto"/>
        <w:ind w:left="0" w:firstLine="0"/>
        <w:jc w:val="both"/>
        <w:rPr>
          <w:rFonts w:ascii="Arial" w:hAnsi="Arial" w:cs="Arial"/>
          <w:sz w:val="22"/>
          <w:szCs w:val="22"/>
          <w:lang w:val="en-GB"/>
        </w:rPr>
      </w:pPr>
      <w:r w:rsidRPr="00B51BAA">
        <w:rPr>
          <w:rFonts w:ascii="Arial" w:hAnsi="Arial" w:cs="Arial"/>
          <w:sz w:val="22"/>
          <w:szCs w:val="22"/>
          <w:lang w:val="en-GB"/>
        </w:rPr>
        <w:t xml:space="preserve">Peck, J. and Houghton, L. (2021) ‘The Role of HR Analytics in Workforce Planning’, </w:t>
      </w:r>
      <w:r w:rsidRPr="00B51BAA">
        <w:rPr>
          <w:rFonts w:ascii="Arial" w:hAnsi="Arial" w:cs="Arial"/>
          <w:i/>
          <w:iCs/>
          <w:sz w:val="22"/>
          <w:szCs w:val="22"/>
          <w:lang w:val="en-GB"/>
        </w:rPr>
        <w:t>Journal of Human Resource Management</w:t>
      </w:r>
      <w:r w:rsidR="00032E69" w:rsidRPr="00B51BAA">
        <w:rPr>
          <w:rFonts w:ascii="Arial" w:hAnsi="Arial" w:cs="Arial"/>
          <w:sz w:val="22"/>
          <w:szCs w:val="22"/>
          <w:lang w:val="en-GB"/>
        </w:rPr>
        <w:t>.</w:t>
      </w:r>
    </w:p>
    <w:p w14:paraId="33F5F03A" w14:textId="09E4E57A" w:rsidR="000B3DE4" w:rsidRPr="00B51BAA" w:rsidRDefault="000B3DE4" w:rsidP="00A76FEB">
      <w:pPr>
        <w:spacing w:after="0" w:line="360" w:lineRule="auto"/>
        <w:ind w:left="0" w:firstLine="0"/>
        <w:jc w:val="both"/>
        <w:rPr>
          <w:rFonts w:ascii="Arial" w:hAnsi="Arial" w:cs="Arial"/>
          <w:sz w:val="22"/>
          <w:szCs w:val="22"/>
          <w:lang w:val="en-GB"/>
        </w:rPr>
      </w:pPr>
      <w:r w:rsidRPr="000B3DE4">
        <w:rPr>
          <w:rFonts w:ascii="Arial" w:hAnsi="Arial" w:cs="Arial"/>
          <w:sz w:val="22"/>
          <w:szCs w:val="22"/>
          <w:lang w:val="en-GB"/>
        </w:rPr>
        <w:lastRenderedPageBreak/>
        <w:t xml:space="preserve">Office for National Statistics (ONS) (2023) </w:t>
      </w:r>
      <w:r w:rsidRPr="000B3DE4">
        <w:rPr>
          <w:rFonts w:ascii="Arial" w:hAnsi="Arial" w:cs="Arial"/>
          <w:i/>
          <w:iCs/>
          <w:sz w:val="22"/>
          <w:szCs w:val="22"/>
          <w:lang w:val="en-GB"/>
        </w:rPr>
        <w:t>Labour market overview: UK</w:t>
      </w:r>
      <w:r w:rsidRPr="000B3DE4">
        <w:rPr>
          <w:rFonts w:ascii="Arial" w:hAnsi="Arial" w:cs="Arial"/>
          <w:sz w:val="22"/>
          <w:szCs w:val="22"/>
          <w:lang w:val="en-GB"/>
        </w:rPr>
        <w:t>. Newport: ONS.</w:t>
      </w:r>
      <w:r w:rsidRPr="00B51BAA">
        <w:rPr>
          <w:rFonts w:ascii="Arial" w:hAnsi="Arial" w:cs="Arial"/>
          <w:sz w:val="22"/>
          <w:szCs w:val="22"/>
          <w:lang w:val="en-GB"/>
        </w:rPr>
        <w:t xml:space="preserve"> Available at: </w:t>
      </w:r>
      <w:hyperlink r:id="rId15" w:history="1">
        <w:r w:rsidRPr="00B51BAA">
          <w:rPr>
            <w:rStyle w:val="Hyperlink"/>
            <w:rFonts w:ascii="Arial" w:hAnsi="Arial" w:cs="Arial"/>
            <w:sz w:val="22"/>
            <w:szCs w:val="22"/>
            <w:lang w:val="en-GB"/>
          </w:rPr>
          <w:t>UK labour market: December 2023 - Office for National Statistics</w:t>
        </w:r>
      </w:hyperlink>
      <w:r w:rsidRPr="00B51BAA">
        <w:rPr>
          <w:rFonts w:ascii="Arial" w:hAnsi="Arial" w:cs="Arial"/>
          <w:sz w:val="22"/>
          <w:szCs w:val="22"/>
          <w:lang w:val="en-GB"/>
        </w:rPr>
        <w:t xml:space="preserve"> (Accessed: Aprill 18, 2026).</w:t>
      </w:r>
    </w:p>
    <w:p w14:paraId="5325F594" w14:textId="77777777" w:rsidR="00DF364B" w:rsidRPr="00B51BAA" w:rsidRDefault="00DF364B" w:rsidP="00A76FEB">
      <w:pPr>
        <w:spacing w:after="0" w:line="360" w:lineRule="auto"/>
        <w:ind w:left="0" w:firstLine="0"/>
        <w:jc w:val="both"/>
        <w:rPr>
          <w:rFonts w:ascii="Arial" w:hAnsi="Arial" w:cs="Arial"/>
          <w:sz w:val="22"/>
          <w:szCs w:val="22"/>
          <w:lang w:val="en-GB"/>
        </w:rPr>
      </w:pPr>
    </w:p>
    <w:p w14:paraId="5FE6980A" w14:textId="77777777" w:rsidR="00B80B14" w:rsidRPr="00B51BAA" w:rsidRDefault="00BF34C3" w:rsidP="00A76FEB">
      <w:pPr>
        <w:spacing w:after="0" w:line="360" w:lineRule="auto"/>
        <w:ind w:left="0" w:firstLine="0"/>
        <w:jc w:val="both"/>
        <w:rPr>
          <w:rFonts w:ascii="Arial" w:hAnsi="Arial" w:cs="Arial"/>
          <w:sz w:val="22"/>
          <w:szCs w:val="22"/>
          <w:lang w:val="en-GB"/>
        </w:rPr>
      </w:pPr>
      <w:r w:rsidRPr="00B51BAA">
        <w:rPr>
          <w:rFonts w:ascii="Arial" w:hAnsi="Arial" w:cs="Arial"/>
          <w:sz w:val="22"/>
          <w:szCs w:val="22"/>
          <w:lang w:val="en-GB"/>
        </w:rPr>
        <w:t>Ulrich, D., Younger, J., Brockbank, W., &amp; Ulrich, M. (2012). </w:t>
      </w:r>
      <w:r w:rsidRPr="00B51BAA">
        <w:rPr>
          <w:rFonts w:ascii="Arial" w:hAnsi="Arial" w:cs="Arial"/>
          <w:i/>
          <w:iCs/>
          <w:sz w:val="22"/>
          <w:szCs w:val="22"/>
          <w:lang w:val="en-GB"/>
        </w:rPr>
        <w:t>HR from the outside in: Six competencies for the future of human resources</w:t>
      </w:r>
      <w:r w:rsidRPr="00B51BAA">
        <w:rPr>
          <w:rFonts w:ascii="Arial" w:hAnsi="Arial" w:cs="Arial"/>
          <w:sz w:val="22"/>
          <w:szCs w:val="22"/>
          <w:lang w:val="en-GB"/>
        </w:rPr>
        <w:t>. McGraw Hill Professional.</w:t>
      </w:r>
    </w:p>
    <w:p w14:paraId="22663D6A" w14:textId="77777777" w:rsidR="000B3DE4" w:rsidRPr="00B51BAA" w:rsidRDefault="000B3DE4" w:rsidP="00A76FEB">
      <w:pPr>
        <w:spacing w:after="0" w:line="360" w:lineRule="auto"/>
        <w:ind w:left="0" w:firstLine="0"/>
        <w:jc w:val="both"/>
        <w:rPr>
          <w:rFonts w:ascii="Arial" w:hAnsi="Arial" w:cs="Arial"/>
          <w:sz w:val="22"/>
          <w:szCs w:val="22"/>
          <w:lang w:val="en-GB"/>
        </w:rPr>
      </w:pPr>
    </w:p>
    <w:p w14:paraId="3CC7068F" w14:textId="5BA6DB00" w:rsidR="00D84FB8" w:rsidRPr="00B51BAA" w:rsidRDefault="007E101B" w:rsidP="00A76FEB">
      <w:pPr>
        <w:spacing w:after="0" w:line="360" w:lineRule="auto"/>
        <w:ind w:left="0" w:firstLine="0"/>
        <w:jc w:val="both"/>
        <w:rPr>
          <w:rFonts w:ascii="Arial" w:hAnsi="Arial" w:cs="Arial"/>
          <w:sz w:val="22"/>
          <w:szCs w:val="22"/>
          <w:lang w:val="en-GB"/>
        </w:rPr>
      </w:pPr>
      <w:r w:rsidRPr="00B51BAA">
        <w:rPr>
          <w:rFonts w:ascii="Arial" w:hAnsi="Arial" w:cs="Arial"/>
          <w:sz w:val="22"/>
          <w:szCs w:val="22"/>
          <w:lang w:val="en-GB"/>
        </w:rPr>
        <w:t xml:space="preserve">Waitrose &amp; Partners (2023) </w:t>
      </w:r>
      <w:r w:rsidRPr="00B51BAA">
        <w:rPr>
          <w:rFonts w:ascii="Arial" w:hAnsi="Arial" w:cs="Arial"/>
          <w:i/>
          <w:iCs/>
          <w:sz w:val="22"/>
          <w:szCs w:val="22"/>
          <w:lang w:val="en-GB"/>
        </w:rPr>
        <w:t>Corporate Responsibility and Sustainability Report.</w:t>
      </w:r>
      <w:r w:rsidRPr="00B51BAA">
        <w:rPr>
          <w:rFonts w:ascii="Arial" w:hAnsi="Arial" w:cs="Arial"/>
          <w:sz w:val="22"/>
          <w:szCs w:val="22"/>
          <w:lang w:val="en-GB"/>
        </w:rPr>
        <w:t xml:space="preserve"> Available at: </w:t>
      </w:r>
      <w:hyperlink r:id="rId16" w:history="1">
        <w:r w:rsidRPr="00B51BAA">
          <w:rPr>
            <w:rStyle w:val="Hyperlink"/>
            <w:rFonts w:ascii="Arial" w:hAnsi="Arial" w:cs="Arial"/>
            <w:sz w:val="22"/>
            <w:szCs w:val="22"/>
            <w:lang w:val="en-GB"/>
          </w:rPr>
          <w:t>https://www.waitrose.com</w:t>
        </w:r>
      </w:hyperlink>
      <w:r w:rsidRPr="00B51BAA">
        <w:rPr>
          <w:rFonts w:ascii="Arial" w:hAnsi="Arial" w:cs="Arial"/>
          <w:sz w:val="22"/>
          <w:szCs w:val="22"/>
          <w:lang w:val="en-GB"/>
        </w:rPr>
        <w:t xml:space="preserve"> </w:t>
      </w:r>
      <w:r w:rsidR="00FB0687" w:rsidRPr="00B51BAA">
        <w:rPr>
          <w:rFonts w:ascii="Arial" w:hAnsi="Arial" w:cs="Arial"/>
          <w:sz w:val="22"/>
          <w:szCs w:val="22"/>
          <w:lang w:val="en-GB"/>
        </w:rPr>
        <w:t xml:space="preserve">(Accessed: Aprill </w:t>
      </w:r>
      <w:r w:rsidR="00B80B14" w:rsidRPr="00B51BAA">
        <w:rPr>
          <w:rFonts w:ascii="Arial" w:hAnsi="Arial" w:cs="Arial"/>
          <w:sz w:val="22"/>
          <w:szCs w:val="22"/>
          <w:lang w:val="en-GB"/>
        </w:rPr>
        <w:t>01</w:t>
      </w:r>
      <w:r w:rsidR="00FB0687" w:rsidRPr="00B51BAA">
        <w:rPr>
          <w:rFonts w:ascii="Arial" w:hAnsi="Arial" w:cs="Arial"/>
          <w:sz w:val="22"/>
          <w:szCs w:val="22"/>
          <w:lang w:val="en-GB"/>
        </w:rPr>
        <w:t>, 2026).</w:t>
      </w:r>
    </w:p>
    <w:sectPr w:rsidR="00D84FB8" w:rsidRPr="00B51BAA">
      <w:headerReference w:type="even" r:id="rId17"/>
      <w:headerReference w:type="default" r:id="rId18"/>
      <w:footerReference w:type="even" r:id="rId19"/>
      <w:footerReference w:type="default" r:id="rId20"/>
      <w:headerReference w:type="first" r:id="rId21"/>
      <w:footerReference w:type="first" r:id="rId22"/>
      <w:pgSz w:w="11906" w:h="16838"/>
      <w:pgMar w:top="1441" w:right="1387" w:bottom="705"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425204" w14:textId="77777777" w:rsidR="00B95CF1" w:rsidRDefault="00B95CF1">
      <w:pPr>
        <w:spacing w:after="0" w:line="240" w:lineRule="auto"/>
      </w:pPr>
      <w:r>
        <w:separator/>
      </w:r>
    </w:p>
  </w:endnote>
  <w:endnote w:type="continuationSeparator" w:id="0">
    <w:p w14:paraId="2B5A179F" w14:textId="77777777" w:rsidR="00B95CF1" w:rsidRDefault="00B95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DC0465" w14:textId="77777777" w:rsidR="00EE593B" w:rsidRDefault="00EE59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8DB5C7" w14:textId="673C4C97" w:rsidR="00037A50" w:rsidRDefault="00037A50">
    <w:pPr>
      <w:spacing w:after="0" w:line="240" w:lineRule="auto"/>
      <w:ind w:left="0" w:right="48" w:firstLine="0"/>
      <w:jc w:val="right"/>
    </w:pPr>
    <w:r>
      <w:rPr>
        <w:sz w:val="22"/>
      </w:rPr>
      <w:t xml:space="preserve">Page </w:t>
    </w:r>
    <w:r>
      <w:rPr>
        <w:b/>
        <w:sz w:val="22"/>
      </w:rPr>
      <w:fldChar w:fldCharType="begin"/>
    </w:r>
    <w:r>
      <w:rPr>
        <w:b/>
        <w:sz w:val="22"/>
      </w:rPr>
      <w:instrText xml:space="preserve"> PAGE </w:instrText>
    </w:r>
    <w:r>
      <w:rPr>
        <w:b/>
        <w:sz w:val="22"/>
      </w:rPr>
      <w:fldChar w:fldCharType="separate"/>
    </w:r>
    <w:r>
      <w:rPr>
        <w:b/>
        <w:sz w:val="22"/>
      </w:rPr>
      <w:t>2</w:t>
    </w:r>
    <w:r>
      <w:rPr>
        <w:b/>
        <w:sz w:val="22"/>
      </w:rPr>
      <w:fldChar w:fldCharType="end"/>
    </w:r>
    <w:r>
      <w:rPr>
        <w:sz w:val="22"/>
      </w:rPr>
      <w:t xml:space="preserve"> of </w:t>
    </w:r>
    <w:r w:rsidR="00F6541C">
      <w:rPr>
        <w:b/>
        <w:sz w:val="22"/>
      </w:rPr>
      <w:t>9</w:t>
    </w:r>
  </w:p>
  <w:p w14:paraId="6D8DB5C8" w14:textId="77777777" w:rsidR="00037A50" w:rsidRDefault="00037A50">
    <w:pPr>
      <w:spacing w:after="0" w:line="240" w:lineRule="auto"/>
      <w:ind w:left="0" w:firstLine="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8DB5CA" w14:textId="77777777" w:rsidR="00037A50" w:rsidRDefault="00037A50">
    <w:pPr>
      <w:spacing w:after="160" w:line="240"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52AFE" w14:textId="77777777" w:rsidR="00B95CF1" w:rsidRDefault="00B95CF1">
      <w:pPr>
        <w:spacing w:after="0" w:line="240" w:lineRule="auto"/>
      </w:pPr>
      <w:r>
        <w:separator/>
      </w:r>
    </w:p>
  </w:footnote>
  <w:footnote w:type="continuationSeparator" w:id="0">
    <w:p w14:paraId="62C91AD3" w14:textId="77777777" w:rsidR="00B95CF1" w:rsidRDefault="00B95C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D28FB" w14:textId="77777777" w:rsidR="00EE593B" w:rsidRDefault="00EE59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2A1971" w14:textId="77777777" w:rsidR="00EE593B" w:rsidRDefault="00EE59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920123" w14:textId="77777777" w:rsidR="00EE593B" w:rsidRDefault="00EE59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40C76"/>
    <w:multiLevelType w:val="multilevel"/>
    <w:tmpl w:val="9E7EB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5957CC"/>
    <w:multiLevelType w:val="multilevel"/>
    <w:tmpl w:val="F53A5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EA0C8A"/>
    <w:multiLevelType w:val="multilevel"/>
    <w:tmpl w:val="6DCA5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FB3DFC"/>
    <w:multiLevelType w:val="hybridMultilevel"/>
    <w:tmpl w:val="40C2C06C"/>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4" w15:restartNumberingAfterBreak="0">
    <w:nsid w:val="143275B9"/>
    <w:multiLevelType w:val="multilevel"/>
    <w:tmpl w:val="F8907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521771"/>
    <w:multiLevelType w:val="multilevel"/>
    <w:tmpl w:val="13DC2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AB3BFD"/>
    <w:multiLevelType w:val="multilevel"/>
    <w:tmpl w:val="4B0A4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120481"/>
    <w:multiLevelType w:val="multilevel"/>
    <w:tmpl w:val="080AC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7D59F9"/>
    <w:multiLevelType w:val="multilevel"/>
    <w:tmpl w:val="EE9A1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D6279F"/>
    <w:multiLevelType w:val="multilevel"/>
    <w:tmpl w:val="512EA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356457"/>
    <w:multiLevelType w:val="multilevel"/>
    <w:tmpl w:val="58284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A86FA2"/>
    <w:multiLevelType w:val="multilevel"/>
    <w:tmpl w:val="AE22B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EF60AD"/>
    <w:multiLevelType w:val="hybridMultilevel"/>
    <w:tmpl w:val="E8CA3DC4"/>
    <w:lvl w:ilvl="0" w:tplc="0416000F">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3" w15:restartNumberingAfterBreak="0">
    <w:nsid w:val="486332E9"/>
    <w:multiLevelType w:val="multilevel"/>
    <w:tmpl w:val="CA86FF9E"/>
    <w:lvl w:ilvl="0">
      <w:numFmt w:val="bullet"/>
      <w:lvlText w:val="-"/>
      <w:lvlJc w:val="left"/>
      <w:pPr>
        <w:ind w:left="720" w:hanging="360"/>
      </w:pPr>
      <w:rPr>
        <w:rFonts w:ascii="Arial" w:eastAsia="Times New Roman" w:hAnsi="Arial" w:cs="Arial"/>
        <w:b/>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4EC50EFF"/>
    <w:multiLevelType w:val="multilevel"/>
    <w:tmpl w:val="0C126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185EC0"/>
    <w:multiLevelType w:val="multilevel"/>
    <w:tmpl w:val="8424FBFC"/>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16" w15:restartNumberingAfterBreak="0">
    <w:nsid w:val="6E2B3940"/>
    <w:multiLevelType w:val="multilevel"/>
    <w:tmpl w:val="28362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035D0D"/>
    <w:multiLevelType w:val="multilevel"/>
    <w:tmpl w:val="FA380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5E64C3"/>
    <w:multiLevelType w:val="multilevel"/>
    <w:tmpl w:val="8F0E748A"/>
    <w:lvl w:ilvl="0">
      <w:numFmt w:val="bullet"/>
      <w:lvlText w:val=""/>
      <w:lvlJc w:val="left"/>
      <w:pPr>
        <w:ind w:left="720" w:hanging="360"/>
      </w:pPr>
      <w:rPr>
        <w:rFonts w:ascii="Wingdings" w:hAnsi="Wingdings"/>
      </w:rPr>
    </w:lvl>
    <w:lvl w:ilvl="1">
      <w:numFmt w:val="bullet"/>
      <w:lvlText w:val=""/>
      <w:lvlJc w:val="left"/>
      <w:pPr>
        <w:ind w:left="1440" w:hanging="360"/>
      </w:pPr>
      <w:rPr>
        <w:rFonts w:ascii="Wingdings" w:hAnsi="Wingdings"/>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Wingdings" w:hAnsi="Wingdings"/>
      </w:rPr>
    </w:lvl>
    <w:lvl w:ilvl="4">
      <w:numFmt w:val="bullet"/>
      <w:lvlText w:val=""/>
      <w:lvlJc w:val="left"/>
      <w:pPr>
        <w:ind w:left="3600" w:hanging="360"/>
      </w:pPr>
      <w:rPr>
        <w:rFonts w:ascii="Wingdings" w:hAnsi="Wingdings"/>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Wingdings" w:hAnsi="Wingdings"/>
      </w:rPr>
    </w:lvl>
    <w:lvl w:ilvl="7">
      <w:numFmt w:val="bullet"/>
      <w:lvlText w:val=""/>
      <w:lvlJc w:val="left"/>
      <w:pPr>
        <w:ind w:left="5760" w:hanging="360"/>
      </w:pPr>
      <w:rPr>
        <w:rFonts w:ascii="Wingdings" w:hAnsi="Wingdings"/>
      </w:rPr>
    </w:lvl>
    <w:lvl w:ilvl="8">
      <w:numFmt w:val="bullet"/>
      <w:lvlText w:val=""/>
      <w:lvlJc w:val="left"/>
      <w:pPr>
        <w:ind w:left="6480" w:hanging="360"/>
      </w:pPr>
      <w:rPr>
        <w:rFonts w:ascii="Wingdings" w:hAnsi="Wingdings"/>
      </w:rPr>
    </w:lvl>
  </w:abstractNum>
  <w:abstractNum w:abstractNumId="19" w15:restartNumberingAfterBreak="0">
    <w:nsid w:val="7CC5735B"/>
    <w:multiLevelType w:val="multilevel"/>
    <w:tmpl w:val="796A7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5194471">
    <w:abstractNumId w:val="13"/>
  </w:num>
  <w:num w:numId="2" w16cid:durableId="644433897">
    <w:abstractNumId w:val="18"/>
  </w:num>
  <w:num w:numId="3" w16cid:durableId="1395203964">
    <w:abstractNumId w:val="15"/>
  </w:num>
  <w:num w:numId="4" w16cid:durableId="1098211820">
    <w:abstractNumId w:val="12"/>
  </w:num>
  <w:num w:numId="5" w16cid:durableId="1573391199">
    <w:abstractNumId w:val="2"/>
  </w:num>
  <w:num w:numId="6" w16cid:durableId="36510324">
    <w:abstractNumId w:val="4"/>
  </w:num>
  <w:num w:numId="7" w16cid:durableId="577907248">
    <w:abstractNumId w:val="8"/>
  </w:num>
  <w:num w:numId="8" w16cid:durableId="1459184921">
    <w:abstractNumId w:val="10"/>
  </w:num>
  <w:num w:numId="9" w16cid:durableId="1762992720">
    <w:abstractNumId w:val="6"/>
  </w:num>
  <w:num w:numId="10" w16cid:durableId="1059784750">
    <w:abstractNumId w:val="1"/>
  </w:num>
  <w:num w:numId="11" w16cid:durableId="698701079">
    <w:abstractNumId w:val="19"/>
  </w:num>
  <w:num w:numId="12" w16cid:durableId="264777321">
    <w:abstractNumId w:val="5"/>
  </w:num>
  <w:num w:numId="13" w16cid:durableId="1974479436">
    <w:abstractNumId w:val="14"/>
  </w:num>
  <w:num w:numId="14" w16cid:durableId="308949646">
    <w:abstractNumId w:val="16"/>
  </w:num>
  <w:num w:numId="15" w16cid:durableId="1879782959">
    <w:abstractNumId w:val="7"/>
  </w:num>
  <w:num w:numId="16" w16cid:durableId="1398935">
    <w:abstractNumId w:val="0"/>
  </w:num>
  <w:num w:numId="17" w16cid:durableId="146210840">
    <w:abstractNumId w:val="9"/>
  </w:num>
  <w:num w:numId="18" w16cid:durableId="1270241433">
    <w:abstractNumId w:val="11"/>
  </w:num>
  <w:num w:numId="19" w16cid:durableId="1112940461">
    <w:abstractNumId w:val="17"/>
  </w:num>
  <w:num w:numId="20" w16cid:durableId="10601279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08"/>
  <w:autoHyphenation/>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23E4"/>
    <w:rsid w:val="00005A91"/>
    <w:rsid w:val="00006A55"/>
    <w:rsid w:val="00013E3F"/>
    <w:rsid w:val="00025347"/>
    <w:rsid w:val="00030F80"/>
    <w:rsid w:val="00032E69"/>
    <w:rsid w:val="00034ADB"/>
    <w:rsid w:val="00037A50"/>
    <w:rsid w:val="0005505D"/>
    <w:rsid w:val="0006657C"/>
    <w:rsid w:val="000665BC"/>
    <w:rsid w:val="00077590"/>
    <w:rsid w:val="00086623"/>
    <w:rsid w:val="000A0662"/>
    <w:rsid w:val="000A657E"/>
    <w:rsid w:val="000B3DE4"/>
    <w:rsid w:val="000C0655"/>
    <w:rsid w:val="000C1CC0"/>
    <w:rsid w:val="000C4806"/>
    <w:rsid w:val="000C5EF1"/>
    <w:rsid w:val="000F2458"/>
    <w:rsid w:val="000F3E41"/>
    <w:rsid w:val="00107CF6"/>
    <w:rsid w:val="001101C4"/>
    <w:rsid w:val="00112529"/>
    <w:rsid w:val="0013129A"/>
    <w:rsid w:val="001341CD"/>
    <w:rsid w:val="00154EFD"/>
    <w:rsid w:val="00155A98"/>
    <w:rsid w:val="00160A97"/>
    <w:rsid w:val="00172214"/>
    <w:rsid w:val="00191504"/>
    <w:rsid w:val="001924D5"/>
    <w:rsid w:val="001A5A15"/>
    <w:rsid w:val="001B3C40"/>
    <w:rsid w:val="001D5923"/>
    <w:rsid w:val="001E72D9"/>
    <w:rsid w:val="001F6E7A"/>
    <w:rsid w:val="001F739F"/>
    <w:rsid w:val="002003C7"/>
    <w:rsid w:val="00261742"/>
    <w:rsid w:val="00271018"/>
    <w:rsid w:val="0027634F"/>
    <w:rsid w:val="0027710C"/>
    <w:rsid w:val="00277DBD"/>
    <w:rsid w:val="00294ECC"/>
    <w:rsid w:val="002A0105"/>
    <w:rsid w:val="002A2473"/>
    <w:rsid w:val="002B0832"/>
    <w:rsid w:val="002E414F"/>
    <w:rsid w:val="002F1E97"/>
    <w:rsid w:val="002F7ABB"/>
    <w:rsid w:val="00300270"/>
    <w:rsid w:val="003267B1"/>
    <w:rsid w:val="003312DF"/>
    <w:rsid w:val="0033523F"/>
    <w:rsid w:val="00346C81"/>
    <w:rsid w:val="00347C43"/>
    <w:rsid w:val="0035287A"/>
    <w:rsid w:val="00353E69"/>
    <w:rsid w:val="00356B66"/>
    <w:rsid w:val="003574D1"/>
    <w:rsid w:val="00380EE1"/>
    <w:rsid w:val="00385627"/>
    <w:rsid w:val="00393CB4"/>
    <w:rsid w:val="003A3E60"/>
    <w:rsid w:val="003C40F5"/>
    <w:rsid w:val="003E0C97"/>
    <w:rsid w:val="003E25D1"/>
    <w:rsid w:val="003F434E"/>
    <w:rsid w:val="00400FC1"/>
    <w:rsid w:val="004205D7"/>
    <w:rsid w:val="00427BE7"/>
    <w:rsid w:val="00441DDB"/>
    <w:rsid w:val="00445AE5"/>
    <w:rsid w:val="00453829"/>
    <w:rsid w:val="00490507"/>
    <w:rsid w:val="00491C12"/>
    <w:rsid w:val="00494C12"/>
    <w:rsid w:val="00495874"/>
    <w:rsid w:val="004B4B4F"/>
    <w:rsid w:val="004D4E8A"/>
    <w:rsid w:val="004E3809"/>
    <w:rsid w:val="004E78C5"/>
    <w:rsid w:val="004F28AD"/>
    <w:rsid w:val="004F4C71"/>
    <w:rsid w:val="005166B5"/>
    <w:rsid w:val="00527C11"/>
    <w:rsid w:val="00534DCA"/>
    <w:rsid w:val="0053777D"/>
    <w:rsid w:val="00567946"/>
    <w:rsid w:val="005928F1"/>
    <w:rsid w:val="00594F94"/>
    <w:rsid w:val="005A396F"/>
    <w:rsid w:val="005C15BE"/>
    <w:rsid w:val="005E36D0"/>
    <w:rsid w:val="005E3903"/>
    <w:rsid w:val="005F7E8F"/>
    <w:rsid w:val="006025F7"/>
    <w:rsid w:val="00621725"/>
    <w:rsid w:val="006541D8"/>
    <w:rsid w:val="0066032A"/>
    <w:rsid w:val="006774CA"/>
    <w:rsid w:val="00692512"/>
    <w:rsid w:val="00693C16"/>
    <w:rsid w:val="006A67ED"/>
    <w:rsid w:val="006C23E4"/>
    <w:rsid w:val="006E3BA1"/>
    <w:rsid w:val="006F54C5"/>
    <w:rsid w:val="007133BB"/>
    <w:rsid w:val="0071341D"/>
    <w:rsid w:val="0073578D"/>
    <w:rsid w:val="00744712"/>
    <w:rsid w:val="00754F4F"/>
    <w:rsid w:val="00776A73"/>
    <w:rsid w:val="00785F86"/>
    <w:rsid w:val="00795C5F"/>
    <w:rsid w:val="007A6CEA"/>
    <w:rsid w:val="007B3F9E"/>
    <w:rsid w:val="007B458A"/>
    <w:rsid w:val="007D59FD"/>
    <w:rsid w:val="007E101B"/>
    <w:rsid w:val="007E645C"/>
    <w:rsid w:val="0080561C"/>
    <w:rsid w:val="0080641F"/>
    <w:rsid w:val="00807AAF"/>
    <w:rsid w:val="0082704B"/>
    <w:rsid w:val="00835ECC"/>
    <w:rsid w:val="00847E53"/>
    <w:rsid w:val="00867528"/>
    <w:rsid w:val="00871A8B"/>
    <w:rsid w:val="00874C36"/>
    <w:rsid w:val="00887F60"/>
    <w:rsid w:val="0089529A"/>
    <w:rsid w:val="008A0402"/>
    <w:rsid w:val="008A0B7F"/>
    <w:rsid w:val="008B1C85"/>
    <w:rsid w:val="008B4975"/>
    <w:rsid w:val="008B6693"/>
    <w:rsid w:val="008F4161"/>
    <w:rsid w:val="00902B8B"/>
    <w:rsid w:val="0090691A"/>
    <w:rsid w:val="009204B8"/>
    <w:rsid w:val="009258A8"/>
    <w:rsid w:val="00934417"/>
    <w:rsid w:val="0093514F"/>
    <w:rsid w:val="00946028"/>
    <w:rsid w:val="0095007B"/>
    <w:rsid w:val="0096341D"/>
    <w:rsid w:val="00964AF5"/>
    <w:rsid w:val="00980BDC"/>
    <w:rsid w:val="0098408C"/>
    <w:rsid w:val="009938D2"/>
    <w:rsid w:val="00993DA8"/>
    <w:rsid w:val="009E7808"/>
    <w:rsid w:val="009F5195"/>
    <w:rsid w:val="00A17384"/>
    <w:rsid w:val="00A23AFB"/>
    <w:rsid w:val="00A23F42"/>
    <w:rsid w:val="00A34E02"/>
    <w:rsid w:val="00A46DDF"/>
    <w:rsid w:val="00A512F3"/>
    <w:rsid w:val="00A5312F"/>
    <w:rsid w:val="00A53951"/>
    <w:rsid w:val="00A66A99"/>
    <w:rsid w:val="00A74984"/>
    <w:rsid w:val="00A76FEB"/>
    <w:rsid w:val="00A8458F"/>
    <w:rsid w:val="00A9487C"/>
    <w:rsid w:val="00AC2ECE"/>
    <w:rsid w:val="00AD5B37"/>
    <w:rsid w:val="00AE09DC"/>
    <w:rsid w:val="00AE21E2"/>
    <w:rsid w:val="00AF27B1"/>
    <w:rsid w:val="00B0663E"/>
    <w:rsid w:val="00B24250"/>
    <w:rsid w:val="00B27B70"/>
    <w:rsid w:val="00B33E1A"/>
    <w:rsid w:val="00B34288"/>
    <w:rsid w:val="00B445E1"/>
    <w:rsid w:val="00B45A5A"/>
    <w:rsid w:val="00B51BAA"/>
    <w:rsid w:val="00B66ADC"/>
    <w:rsid w:val="00B74EEF"/>
    <w:rsid w:val="00B80B14"/>
    <w:rsid w:val="00B868C6"/>
    <w:rsid w:val="00B9207C"/>
    <w:rsid w:val="00B9331F"/>
    <w:rsid w:val="00B95CF1"/>
    <w:rsid w:val="00BC6DC9"/>
    <w:rsid w:val="00BD299F"/>
    <w:rsid w:val="00BF10B8"/>
    <w:rsid w:val="00BF34C3"/>
    <w:rsid w:val="00C03467"/>
    <w:rsid w:val="00C237C5"/>
    <w:rsid w:val="00C312BF"/>
    <w:rsid w:val="00C501DF"/>
    <w:rsid w:val="00C614FA"/>
    <w:rsid w:val="00C662FB"/>
    <w:rsid w:val="00C96662"/>
    <w:rsid w:val="00CA0639"/>
    <w:rsid w:val="00CB5E5F"/>
    <w:rsid w:val="00CC468A"/>
    <w:rsid w:val="00CC67F5"/>
    <w:rsid w:val="00CD2247"/>
    <w:rsid w:val="00CE4499"/>
    <w:rsid w:val="00CF04D3"/>
    <w:rsid w:val="00CF7250"/>
    <w:rsid w:val="00D03FD5"/>
    <w:rsid w:val="00D218C4"/>
    <w:rsid w:val="00D36343"/>
    <w:rsid w:val="00D377D4"/>
    <w:rsid w:val="00D475A9"/>
    <w:rsid w:val="00D63327"/>
    <w:rsid w:val="00D64346"/>
    <w:rsid w:val="00D83ED7"/>
    <w:rsid w:val="00D84FB8"/>
    <w:rsid w:val="00D96781"/>
    <w:rsid w:val="00DC352C"/>
    <w:rsid w:val="00DC4372"/>
    <w:rsid w:val="00DD2F30"/>
    <w:rsid w:val="00DD58EB"/>
    <w:rsid w:val="00DD5A3F"/>
    <w:rsid w:val="00DE3C28"/>
    <w:rsid w:val="00DE4B22"/>
    <w:rsid w:val="00DF364B"/>
    <w:rsid w:val="00E10DBD"/>
    <w:rsid w:val="00E1374E"/>
    <w:rsid w:val="00E172A2"/>
    <w:rsid w:val="00E5488A"/>
    <w:rsid w:val="00E55830"/>
    <w:rsid w:val="00E6690B"/>
    <w:rsid w:val="00E8293F"/>
    <w:rsid w:val="00E82DD6"/>
    <w:rsid w:val="00E92B83"/>
    <w:rsid w:val="00E94F14"/>
    <w:rsid w:val="00E97479"/>
    <w:rsid w:val="00EA369A"/>
    <w:rsid w:val="00EA72F3"/>
    <w:rsid w:val="00EB34B4"/>
    <w:rsid w:val="00EC5EFD"/>
    <w:rsid w:val="00ED6DDD"/>
    <w:rsid w:val="00EE593B"/>
    <w:rsid w:val="00F01A93"/>
    <w:rsid w:val="00F3025C"/>
    <w:rsid w:val="00F4098D"/>
    <w:rsid w:val="00F4206F"/>
    <w:rsid w:val="00F51E7C"/>
    <w:rsid w:val="00F54CE9"/>
    <w:rsid w:val="00F6541C"/>
    <w:rsid w:val="00F74A0C"/>
    <w:rsid w:val="00F92A51"/>
    <w:rsid w:val="00F95AEA"/>
    <w:rsid w:val="00FA20B6"/>
    <w:rsid w:val="00FA3C71"/>
    <w:rsid w:val="00FB0687"/>
    <w:rsid w:val="00FC6F12"/>
    <w:rsid w:val="00FD10BB"/>
    <w:rsid w:val="00FD2624"/>
    <w:rsid w:val="00FD47BE"/>
    <w:rsid w:val="00FE1324"/>
    <w:rsid w:val="00FF5D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8DB5BF"/>
  <w15:docId w15:val="{89D17E17-C811-4BF7-AA50-0595F9A70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imes New Roman" w:hAnsi="Aptos" w:cs="Times New Roman"/>
        <w:kern w:val="3"/>
        <w:sz w:val="24"/>
        <w:szCs w:val="24"/>
        <w:lang w:val="pt-BR" w:eastAsia="pt-BR"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5347"/>
    <w:pPr>
      <w:suppressAutoHyphens/>
      <w:spacing w:after="171" w:line="264" w:lineRule="auto"/>
      <w:ind w:left="10" w:hanging="10"/>
    </w:pPr>
    <w:rPr>
      <w:rFonts w:ascii="Calibri" w:eastAsia="Calibri" w:hAnsi="Calibri" w:cs="Calibri"/>
      <w:color w:val="000000"/>
    </w:rPr>
  </w:style>
  <w:style w:type="paragraph" w:styleId="Heading1">
    <w:name w:val="heading 1"/>
    <w:next w:val="Normal"/>
    <w:uiPriority w:val="9"/>
    <w:qFormat/>
    <w:pPr>
      <w:keepNext/>
      <w:keepLines/>
      <w:suppressAutoHyphens/>
      <w:spacing w:after="0" w:line="240" w:lineRule="auto"/>
      <w:ind w:left="10" w:hanging="10"/>
      <w:outlineLvl w:val="0"/>
    </w:pPr>
    <w:rPr>
      <w:rFonts w:ascii="Calibri" w:eastAsia="Calibri" w:hAnsi="Calibri" w:cs="Calibri"/>
      <w:color w:val="0F4761"/>
      <w:sz w:val="32"/>
    </w:rPr>
  </w:style>
  <w:style w:type="paragraph" w:styleId="Heading2">
    <w:name w:val="heading 2"/>
    <w:basedOn w:val="Normal"/>
    <w:next w:val="Normal"/>
    <w:uiPriority w:val="9"/>
    <w:unhideWhenUsed/>
    <w:qFormat/>
    <w:pPr>
      <w:keepNext/>
      <w:keepLines/>
      <w:spacing w:before="40" w:after="0"/>
      <w:outlineLvl w:val="1"/>
    </w:pPr>
    <w:rPr>
      <w:rFonts w:ascii="Aptos Display" w:eastAsia="DengXian Light" w:hAnsi="Aptos Display" w:cs="Times New Roman"/>
      <w:color w:val="0F4761"/>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Aptos Display" w:eastAsia="DengXian Light" w:hAnsi="Aptos Display" w:cs="Times New Roman"/>
      <w:color w:val="0A2F40"/>
    </w:rPr>
  </w:style>
  <w:style w:type="paragraph" w:styleId="Heading5">
    <w:name w:val="heading 5"/>
    <w:basedOn w:val="Normal"/>
    <w:next w:val="Normal"/>
    <w:uiPriority w:val="9"/>
    <w:semiHidden/>
    <w:unhideWhenUsed/>
    <w:qFormat/>
    <w:pPr>
      <w:keepNext/>
      <w:keepLines/>
      <w:spacing w:before="40" w:after="0"/>
      <w:outlineLvl w:val="4"/>
    </w:pPr>
    <w:rPr>
      <w:rFonts w:ascii="Aptos Display" w:eastAsia="Times New Roman" w:hAnsi="Aptos Display" w:cs="Times New Roman"/>
      <w:color w:val="0F47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rPr>
      <w:rFonts w:ascii="Calibri" w:eastAsia="Calibri" w:hAnsi="Calibri" w:cs="Calibri"/>
      <w:color w:val="0F4761"/>
      <w:sz w:val="32"/>
    </w:rPr>
  </w:style>
  <w:style w:type="paragraph" w:styleId="TOC1">
    <w:name w:val="toc 1"/>
    <w:uiPriority w:val="39"/>
    <w:pPr>
      <w:suppressAutoHyphens/>
      <w:spacing w:after="124" w:line="240" w:lineRule="auto"/>
      <w:ind w:left="25" w:right="60" w:hanging="10"/>
    </w:pPr>
    <w:rPr>
      <w:rFonts w:ascii="Calibri" w:eastAsia="Calibri" w:hAnsi="Calibri" w:cs="Calibri"/>
      <w:color w:val="000000"/>
    </w:rPr>
  </w:style>
  <w:style w:type="paragraph" w:styleId="ListParagraph">
    <w:name w:val="List Paragraph"/>
    <w:basedOn w:val="Normal"/>
    <w:pPr>
      <w:ind w:left="720"/>
      <w:contextualSpacing/>
    </w:p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Calibri" w:eastAsia="Calibri" w:hAnsi="Calibri" w:cs="Calibri"/>
      <w:color w:val="000000"/>
    </w:rPr>
  </w:style>
  <w:style w:type="paragraph" w:styleId="NormalWeb">
    <w:name w:val="Normal (Web)"/>
    <w:basedOn w:val="Normal"/>
    <w:uiPriority w:val="99"/>
    <w:pPr>
      <w:suppressAutoHyphens w:val="0"/>
      <w:spacing w:before="100" w:after="100" w:line="240" w:lineRule="auto"/>
      <w:ind w:left="0" w:firstLine="0"/>
    </w:pPr>
    <w:rPr>
      <w:rFonts w:ascii="Times New Roman" w:eastAsia="Times New Roman" w:hAnsi="Times New Roman" w:cs="Times New Roman"/>
      <w:color w:val="auto"/>
      <w:kern w:val="0"/>
    </w:rPr>
  </w:style>
  <w:style w:type="character" w:styleId="Strong">
    <w:name w:val="Strong"/>
    <w:basedOn w:val="DefaultParagraphFont"/>
    <w:uiPriority w:val="22"/>
    <w:qFormat/>
    <w:rPr>
      <w:b/>
      <w:bCs/>
    </w:rPr>
  </w:style>
  <w:style w:type="character" w:customStyle="1" w:styleId="Heading5Char">
    <w:name w:val="Heading 5 Char"/>
    <w:basedOn w:val="DefaultParagraphFont"/>
    <w:rPr>
      <w:rFonts w:ascii="Aptos Display" w:eastAsia="Times New Roman" w:hAnsi="Aptos Display" w:cs="Times New Roman"/>
      <w:color w:val="0F4761"/>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2Char">
    <w:name w:val="Heading 2 Char"/>
    <w:basedOn w:val="DefaultParagraphFont"/>
    <w:rPr>
      <w:rFonts w:ascii="Aptos Display" w:eastAsia="DengXian Light" w:hAnsi="Aptos Display" w:cs="Times New Roman"/>
      <w:color w:val="0F4761"/>
      <w:sz w:val="26"/>
      <w:szCs w:val="26"/>
    </w:rPr>
  </w:style>
  <w:style w:type="character" w:customStyle="1" w:styleId="Heading3Char">
    <w:name w:val="Heading 3 Char"/>
    <w:basedOn w:val="DefaultParagraphFont"/>
    <w:rPr>
      <w:rFonts w:ascii="Aptos Display" w:eastAsia="DengXian Light" w:hAnsi="Aptos Display" w:cs="Times New Roman"/>
      <w:color w:val="0A2F40"/>
    </w:rPr>
  </w:style>
  <w:style w:type="paragraph" w:styleId="Title">
    <w:name w:val="Title"/>
    <w:basedOn w:val="Normal"/>
    <w:next w:val="Normal"/>
    <w:uiPriority w:val="10"/>
    <w:qFormat/>
    <w:pPr>
      <w:spacing w:after="0" w:line="240" w:lineRule="auto"/>
      <w:contextualSpacing/>
    </w:pPr>
    <w:rPr>
      <w:rFonts w:ascii="Aptos Display" w:eastAsia="Times New Roman" w:hAnsi="Aptos Display" w:cs="Times New Roman"/>
      <w:color w:val="auto"/>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pPr>
      <w:spacing w:after="160"/>
    </w:pPr>
    <w:rPr>
      <w:rFonts w:ascii="Aptos" w:eastAsia="Times New Roman" w:hAnsi="Aptos" w:cs="Arial"/>
      <w:color w:val="5A5A5A"/>
      <w:spacing w:val="15"/>
      <w:sz w:val="22"/>
      <w:szCs w:val="22"/>
    </w:rPr>
  </w:style>
  <w:style w:type="character" w:customStyle="1" w:styleId="SubtitleChar">
    <w:name w:val="Subtitle Char"/>
    <w:basedOn w:val="DefaultParagraphFont"/>
    <w:rPr>
      <w:rFonts w:ascii="Aptos" w:eastAsia="Times New Roman" w:hAnsi="Aptos" w:cs="Arial"/>
      <w:color w:val="5A5A5A"/>
      <w:spacing w:val="15"/>
      <w:sz w:val="22"/>
      <w:szCs w:val="22"/>
    </w:rPr>
  </w:style>
  <w:style w:type="paragraph" w:styleId="TOCHeading">
    <w:name w:val="TOC Heading"/>
    <w:basedOn w:val="Heading1"/>
    <w:next w:val="Normal"/>
    <w:uiPriority w:val="39"/>
    <w:qFormat/>
    <w:pPr>
      <w:suppressAutoHyphens w:val="0"/>
      <w:spacing w:before="240" w:line="254" w:lineRule="auto"/>
      <w:ind w:left="0" w:firstLine="0"/>
    </w:pPr>
    <w:rPr>
      <w:rFonts w:ascii="Aptos Display" w:eastAsia="Times New Roman" w:hAnsi="Aptos Display" w:cs="Times New Roman"/>
      <w:kern w:val="0"/>
      <w:szCs w:val="32"/>
    </w:rPr>
  </w:style>
  <w:style w:type="table" w:styleId="TableGrid">
    <w:name w:val="Table Grid"/>
    <w:basedOn w:val="TableNormal"/>
    <w:uiPriority w:val="39"/>
    <w:rsid w:val="00534D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00FC1"/>
    <w:pPr>
      <w:spacing w:after="100"/>
      <w:ind w:left="240"/>
    </w:pPr>
  </w:style>
  <w:style w:type="paragraph" w:styleId="Header">
    <w:name w:val="header"/>
    <w:basedOn w:val="Normal"/>
    <w:link w:val="HeaderChar"/>
    <w:uiPriority w:val="99"/>
    <w:unhideWhenUsed/>
    <w:rsid w:val="00EE5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93B"/>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siness.linkedin.com"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thebalancecareers.com/"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waitrose.co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quantifying-the-uk-data-skills-gap/quantifying-the-uk-data-skills-gap-full-repor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ns.gov.uk/releases/uklabourmarketdecember2023" TargetMode="External"/><Relationship Id="rId23" Type="http://schemas.openxmlformats.org/officeDocument/2006/relationships/fontTable" Target="fontTable.xml"/><Relationship Id="rId10" Type="http://schemas.openxmlformats.org/officeDocument/2006/relationships/hyperlink" Target="https://www2.deloitte.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ckinsey.com/"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4B118D-33CC-405A-814A-1087DD8DF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2781</Words>
  <Characters>15021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Larrisa Kellyn Silva Neves (2424528)</dc:creator>
  <cp:lastModifiedBy>Larrisa Kellyn Silva Neves (2424528)</cp:lastModifiedBy>
  <cp:revision>2</cp:revision>
  <cp:lastPrinted>2025-11-22T11:28:00Z</cp:lastPrinted>
  <dcterms:created xsi:type="dcterms:W3CDTF">2026-04-25T08:58:00Z</dcterms:created>
  <dcterms:modified xsi:type="dcterms:W3CDTF">2026-04-25T08:58:00Z</dcterms:modified>
</cp:coreProperties>
</file>