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71CF0" w14:textId="0930770C" w:rsidR="00DD6274" w:rsidRDefault="000F062F" w:rsidP="00DD6274">
      <w:pPr>
        <w:jc w:val="center"/>
        <w:rPr>
          <w:rFonts w:ascii="Arial" w:hAnsi="Arial" w:cs="Arial"/>
          <w:b/>
          <w:bCs/>
          <w:sz w:val="22"/>
          <w:szCs w:val="22"/>
        </w:rPr>
      </w:pPr>
      <w:r>
        <w:rPr>
          <w:noProof/>
        </w:rPr>
        <w:drawing>
          <wp:anchor distT="0" distB="0" distL="114300" distR="114300" simplePos="0" relativeHeight="251659264" behindDoc="0" locked="0" layoutInCell="1" allowOverlap="1" wp14:anchorId="2E1F7AE4" wp14:editId="51089EFB">
            <wp:simplePos x="0" y="0"/>
            <wp:positionH relativeFrom="margin">
              <wp:posOffset>-876300</wp:posOffset>
            </wp:positionH>
            <wp:positionV relativeFrom="paragraph">
              <wp:posOffset>152400</wp:posOffset>
            </wp:positionV>
            <wp:extent cx="3284220" cy="1920240"/>
            <wp:effectExtent l="0" t="0" r="0" b="3810"/>
            <wp:wrapSquare wrapText="bothSides"/>
            <wp:docPr id="2"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Hub: description, news and contact inf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84220" cy="1920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AABB01" w14:textId="6F9383B4" w:rsidR="00DD6274" w:rsidRDefault="00DD6274" w:rsidP="00DD6274">
      <w:pPr>
        <w:jc w:val="center"/>
        <w:rPr>
          <w:rFonts w:ascii="Arial" w:hAnsi="Arial" w:cs="Arial"/>
          <w:b/>
          <w:bCs/>
          <w:sz w:val="22"/>
          <w:szCs w:val="22"/>
        </w:rPr>
      </w:pPr>
    </w:p>
    <w:p w14:paraId="1CD1EE38" w14:textId="0310E890" w:rsidR="00DD6274" w:rsidRDefault="00DD6274" w:rsidP="00DD6274">
      <w:pPr>
        <w:jc w:val="center"/>
        <w:rPr>
          <w:rFonts w:ascii="Arial" w:hAnsi="Arial" w:cs="Arial"/>
          <w:b/>
          <w:bCs/>
          <w:sz w:val="22"/>
          <w:szCs w:val="22"/>
        </w:rPr>
      </w:pPr>
    </w:p>
    <w:p w14:paraId="45D47FEA" w14:textId="77777777" w:rsidR="00DD6274" w:rsidRDefault="00DD6274" w:rsidP="00DD6274">
      <w:pPr>
        <w:jc w:val="center"/>
        <w:rPr>
          <w:rFonts w:ascii="Arial" w:hAnsi="Arial" w:cs="Arial"/>
          <w:b/>
          <w:bCs/>
          <w:sz w:val="22"/>
          <w:szCs w:val="22"/>
        </w:rPr>
      </w:pPr>
    </w:p>
    <w:p w14:paraId="0E36F7A8" w14:textId="77777777" w:rsidR="00DD6274" w:rsidRDefault="00DD6274" w:rsidP="00DD6274">
      <w:pPr>
        <w:jc w:val="center"/>
        <w:rPr>
          <w:rFonts w:ascii="Arial" w:hAnsi="Arial" w:cs="Arial"/>
          <w:b/>
          <w:bCs/>
          <w:sz w:val="22"/>
          <w:szCs w:val="22"/>
        </w:rPr>
      </w:pPr>
    </w:p>
    <w:p w14:paraId="1C3E4C11" w14:textId="77777777" w:rsidR="00DD6274" w:rsidRDefault="00DD6274" w:rsidP="00DD6274">
      <w:pPr>
        <w:jc w:val="center"/>
        <w:rPr>
          <w:rFonts w:ascii="Arial" w:hAnsi="Arial" w:cs="Arial"/>
          <w:b/>
          <w:bCs/>
          <w:sz w:val="22"/>
          <w:szCs w:val="22"/>
        </w:rPr>
      </w:pPr>
    </w:p>
    <w:p w14:paraId="14768BAB" w14:textId="77777777" w:rsidR="00DD6274" w:rsidRDefault="00DD6274" w:rsidP="00DD6274">
      <w:pPr>
        <w:jc w:val="center"/>
        <w:rPr>
          <w:rFonts w:ascii="Arial" w:hAnsi="Arial" w:cs="Arial"/>
          <w:b/>
          <w:bCs/>
          <w:sz w:val="22"/>
          <w:szCs w:val="22"/>
        </w:rPr>
      </w:pPr>
    </w:p>
    <w:p w14:paraId="73140940" w14:textId="77777777" w:rsidR="00DD6274" w:rsidRDefault="00DD6274" w:rsidP="00DD6274">
      <w:pPr>
        <w:jc w:val="center"/>
        <w:rPr>
          <w:rFonts w:ascii="Arial" w:hAnsi="Arial" w:cs="Arial"/>
          <w:b/>
          <w:bCs/>
          <w:sz w:val="22"/>
          <w:szCs w:val="22"/>
        </w:rPr>
      </w:pPr>
    </w:p>
    <w:p w14:paraId="290BE0AA" w14:textId="77777777" w:rsidR="00DD6274" w:rsidRDefault="00DD6274" w:rsidP="00DD6274">
      <w:pPr>
        <w:jc w:val="center"/>
        <w:rPr>
          <w:rFonts w:ascii="Arial" w:hAnsi="Arial" w:cs="Arial"/>
          <w:b/>
          <w:bCs/>
          <w:sz w:val="22"/>
          <w:szCs w:val="22"/>
        </w:rPr>
      </w:pPr>
    </w:p>
    <w:p w14:paraId="4603B28A" w14:textId="77777777" w:rsidR="00DD6274" w:rsidRDefault="00DD6274" w:rsidP="00DD6274">
      <w:pPr>
        <w:jc w:val="center"/>
        <w:rPr>
          <w:rFonts w:ascii="Arial" w:hAnsi="Arial" w:cs="Arial"/>
          <w:b/>
          <w:bCs/>
          <w:sz w:val="22"/>
          <w:szCs w:val="22"/>
        </w:rPr>
      </w:pPr>
    </w:p>
    <w:p w14:paraId="72D78253" w14:textId="77777777" w:rsidR="00DD6274" w:rsidRDefault="00DD6274" w:rsidP="00DD6274">
      <w:pPr>
        <w:jc w:val="center"/>
        <w:rPr>
          <w:rFonts w:ascii="Arial" w:hAnsi="Arial" w:cs="Arial"/>
          <w:b/>
          <w:bCs/>
          <w:sz w:val="22"/>
          <w:szCs w:val="22"/>
        </w:rPr>
      </w:pPr>
    </w:p>
    <w:p w14:paraId="7A6FC189" w14:textId="77777777" w:rsidR="00DD6274" w:rsidRDefault="00DD6274" w:rsidP="00DD6274">
      <w:pPr>
        <w:jc w:val="center"/>
        <w:rPr>
          <w:rFonts w:ascii="Arial" w:hAnsi="Arial" w:cs="Arial"/>
          <w:b/>
          <w:bCs/>
          <w:sz w:val="22"/>
          <w:szCs w:val="22"/>
        </w:rPr>
      </w:pPr>
    </w:p>
    <w:p w14:paraId="7BC95FE1" w14:textId="50AF918D" w:rsidR="001F44A7" w:rsidRPr="00DD6274" w:rsidRDefault="006E0208" w:rsidP="00DD6274">
      <w:pPr>
        <w:jc w:val="center"/>
        <w:rPr>
          <w:rFonts w:ascii="Arial" w:hAnsi="Arial" w:cs="Arial"/>
          <w:b/>
          <w:bCs/>
          <w:sz w:val="28"/>
          <w:szCs w:val="28"/>
        </w:rPr>
      </w:pPr>
      <w:r w:rsidRPr="00DD6274">
        <w:rPr>
          <w:rFonts w:ascii="Arial" w:hAnsi="Arial" w:cs="Arial"/>
          <w:b/>
          <w:bCs/>
          <w:sz w:val="28"/>
          <w:szCs w:val="28"/>
        </w:rPr>
        <w:t>Asfia Akhtar</w:t>
      </w:r>
    </w:p>
    <w:p w14:paraId="031D74CA" w14:textId="321F3BA9" w:rsidR="006E0208" w:rsidRPr="00DD6274" w:rsidRDefault="006E0208" w:rsidP="00DD6274">
      <w:pPr>
        <w:jc w:val="center"/>
        <w:rPr>
          <w:rFonts w:ascii="Arial" w:hAnsi="Arial" w:cs="Arial"/>
          <w:b/>
          <w:bCs/>
          <w:sz w:val="28"/>
          <w:szCs w:val="28"/>
        </w:rPr>
      </w:pPr>
      <w:r w:rsidRPr="00DD6274">
        <w:rPr>
          <w:rFonts w:ascii="Arial" w:hAnsi="Arial" w:cs="Arial"/>
          <w:b/>
          <w:bCs/>
          <w:sz w:val="28"/>
          <w:szCs w:val="28"/>
        </w:rPr>
        <w:t>2432708</w:t>
      </w:r>
    </w:p>
    <w:p w14:paraId="4D541860" w14:textId="3BCD9875" w:rsidR="00F76745" w:rsidRPr="00DD6274" w:rsidRDefault="00F76745" w:rsidP="00DD6274">
      <w:pPr>
        <w:jc w:val="center"/>
        <w:rPr>
          <w:rFonts w:ascii="Arial" w:hAnsi="Arial" w:cs="Arial"/>
          <w:b/>
          <w:bCs/>
          <w:sz w:val="28"/>
          <w:szCs w:val="28"/>
        </w:rPr>
      </w:pPr>
      <w:r w:rsidRPr="00DD6274">
        <w:rPr>
          <w:rFonts w:ascii="Arial" w:hAnsi="Arial" w:cs="Arial"/>
          <w:b/>
          <w:bCs/>
          <w:sz w:val="28"/>
          <w:szCs w:val="28"/>
        </w:rPr>
        <w:t>BMHP5023</w:t>
      </w:r>
    </w:p>
    <w:p w14:paraId="1E11AB1C" w14:textId="6FD8F77C" w:rsidR="00F76745" w:rsidRPr="00DD6274" w:rsidRDefault="00DD6274" w:rsidP="00DD6274">
      <w:pPr>
        <w:jc w:val="center"/>
        <w:rPr>
          <w:rFonts w:ascii="Arial" w:hAnsi="Arial" w:cs="Arial"/>
          <w:b/>
          <w:bCs/>
          <w:sz w:val="28"/>
          <w:szCs w:val="28"/>
        </w:rPr>
      </w:pPr>
      <w:r w:rsidRPr="00DD6274">
        <w:rPr>
          <w:rFonts w:ascii="Arial" w:hAnsi="Arial" w:cs="Arial"/>
          <w:b/>
          <w:bCs/>
          <w:sz w:val="28"/>
          <w:szCs w:val="28"/>
        </w:rPr>
        <w:t>Case Study Report: Type 2 Diabetes</w:t>
      </w:r>
    </w:p>
    <w:p w14:paraId="71A4A73C" w14:textId="4D0F2870" w:rsidR="00D42919" w:rsidRDefault="00DD6274" w:rsidP="007D0F69">
      <w:pPr>
        <w:jc w:val="center"/>
        <w:rPr>
          <w:rFonts w:ascii="Arial" w:hAnsi="Arial" w:cs="Arial"/>
          <w:b/>
          <w:bCs/>
          <w:sz w:val="28"/>
          <w:szCs w:val="28"/>
        </w:rPr>
      </w:pPr>
      <w:r w:rsidRPr="00DD6274">
        <w:rPr>
          <w:rFonts w:ascii="Arial" w:hAnsi="Arial" w:cs="Arial"/>
          <w:b/>
          <w:bCs/>
          <w:sz w:val="28"/>
          <w:szCs w:val="28"/>
        </w:rPr>
        <w:t>Rizwan Na</w:t>
      </w:r>
      <w:r w:rsidR="007D0F69">
        <w:rPr>
          <w:rFonts w:ascii="Arial" w:hAnsi="Arial" w:cs="Arial"/>
          <w:b/>
          <w:bCs/>
          <w:sz w:val="28"/>
          <w:szCs w:val="28"/>
        </w:rPr>
        <w:t>dim</w:t>
      </w:r>
    </w:p>
    <w:p w14:paraId="70161E65" w14:textId="0B0A4C5C" w:rsidR="007D0F69" w:rsidRPr="007D0F69" w:rsidRDefault="007D0F69" w:rsidP="007D0F69">
      <w:pPr>
        <w:jc w:val="center"/>
        <w:rPr>
          <w:rFonts w:ascii="Arial" w:hAnsi="Arial" w:cs="Arial"/>
          <w:b/>
          <w:bCs/>
          <w:sz w:val="28"/>
          <w:szCs w:val="28"/>
        </w:rPr>
      </w:pPr>
      <w:r>
        <w:rPr>
          <w:rFonts w:ascii="Arial" w:hAnsi="Arial" w:cs="Arial"/>
          <w:b/>
          <w:bCs/>
          <w:sz w:val="28"/>
          <w:szCs w:val="28"/>
        </w:rPr>
        <w:t>27/06/2026</w:t>
      </w:r>
    </w:p>
    <w:p w14:paraId="16EC8852" w14:textId="77777777" w:rsidR="003A1D4F" w:rsidRPr="007D0F69" w:rsidRDefault="003A1D4F" w:rsidP="007D0F69">
      <w:pPr>
        <w:pStyle w:val="Heading1"/>
      </w:pPr>
    </w:p>
    <w:p w14:paraId="44F983C8" w14:textId="77777777" w:rsidR="003A1D4F" w:rsidRDefault="003A1D4F" w:rsidP="00C01C68">
      <w:pPr>
        <w:spacing w:line="360" w:lineRule="auto"/>
        <w:jc w:val="both"/>
        <w:rPr>
          <w:rFonts w:ascii="Arial" w:hAnsi="Arial" w:cs="Arial"/>
          <w:b/>
          <w:bCs/>
        </w:rPr>
      </w:pPr>
    </w:p>
    <w:p w14:paraId="7219A08B" w14:textId="77777777" w:rsidR="003A1D4F" w:rsidRDefault="003A1D4F" w:rsidP="00C01C68">
      <w:pPr>
        <w:spacing w:line="360" w:lineRule="auto"/>
        <w:jc w:val="both"/>
        <w:rPr>
          <w:rFonts w:ascii="Arial" w:hAnsi="Arial" w:cs="Arial"/>
          <w:b/>
          <w:bCs/>
        </w:rPr>
      </w:pPr>
    </w:p>
    <w:p w14:paraId="5C4DD29A" w14:textId="77777777" w:rsidR="003A1D4F" w:rsidRDefault="003A1D4F" w:rsidP="00C01C68">
      <w:pPr>
        <w:spacing w:line="360" w:lineRule="auto"/>
        <w:jc w:val="both"/>
        <w:rPr>
          <w:rFonts w:ascii="Arial" w:hAnsi="Arial" w:cs="Arial"/>
          <w:b/>
          <w:bCs/>
        </w:rPr>
      </w:pPr>
    </w:p>
    <w:p w14:paraId="69757593" w14:textId="77777777" w:rsidR="003A1D4F" w:rsidRDefault="003A1D4F" w:rsidP="00C01C68">
      <w:pPr>
        <w:spacing w:line="360" w:lineRule="auto"/>
        <w:jc w:val="both"/>
        <w:rPr>
          <w:rFonts w:ascii="Arial" w:hAnsi="Arial" w:cs="Arial"/>
          <w:b/>
          <w:bCs/>
        </w:rPr>
      </w:pPr>
    </w:p>
    <w:p w14:paraId="7750ED32" w14:textId="77777777" w:rsidR="003A1D4F" w:rsidRDefault="003A1D4F" w:rsidP="00C01C68">
      <w:pPr>
        <w:spacing w:line="360" w:lineRule="auto"/>
        <w:jc w:val="both"/>
        <w:rPr>
          <w:rFonts w:ascii="Arial" w:hAnsi="Arial" w:cs="Arial"/>
          <w:b/>
          <w:bCs/>
        </w:rPr>
      </w:pPr>
    </w:p>
    <w:p w14:paraId="3C64E73D" w14:textId="77777777" w:rsidR="003A1D4F" w:rsidRDefault="003A1D4F" w:rsidP="00C01C68">
      <w:pPr>
        <w:spacing w:line="360" w:lineRule="auto"/>
        <w:jc w:val="both"/>
        <w:rPr>
          <w:rFonts w:ascii="Arial" w:hAnsi="Arial" w:cs="Arial"/>
          <w:b/>
          <w:bCs/>
        </w:rPr>
      </w:pPr>
    </w:p>
    <w:p w14:paraId="77ECFD65" w14:textId="77777777" w:rsidR="003A1D4F" w:rsidRDefault="003A1D4F" w:rsidP="00C01C68">
      <w:pPr>
        <w:spacing w:line="360" w:lineRule="auto"/>
        <w:jc w:val="both"/>
        <w:rPr>
          <w:rFonts w:ascii="Arial" w:hAnsi="Arial" w:cs="Arial"/>
          <w:b/>
          <w:bCs/>
        </w:rPr>
      </w:pPr>
    </w:p>
    <w:p w14:paraId="01DC7E23" w14:textId="77777777" w:rsidR="003A1D4F" w:rsidRDefault="003A1D4F" w:rsidP="00C01C68">
      <w:pPr>
        <w:spacing w:line="360" w:lineRule="auto"/>
        <w:jc w:val="both"/>
        <w:rPr>
          <w:rFonts w:ascii="Arial" w:hAnsi="Arial" w:cs="Arial"/>
          <w:b/>
          <w:bCs/>
        </w:rPr>
      </w:pPr>
    </w:p>
    <w:p w14:paraId="594B7CC3" w14:textId="77777777" w:rsidR="003A1D4F" w:rsidRDefault="003A1D4F" w:rsidP="007D0F69">
      <w:pPr>
        <w:pStyle w:val="Heading1"/>
      </w:pPr>
    </w:p>
    <w:sdt>
      <w:sdtPr>
        <w:rPr>
          <w:rFonts w:asciiTheme="minorHAnsi" w:eastAsiaTheme="minorHAnsi" w:hAnsiTheme="minorHAnsi" w:cstheme="minorBidi"/>
          <w:color w:val="auto"/>
          <w:kern w:val="2"/>
          <w:sz w:val="24"/>
          <w:szCs w:val="24"/>
          <w:lang w:eastAsia="en-US"/>
          <w14:ligatures w14:val="standardContextual"/>
        </w:rPr>
        <w:id w:val="894162118"/>
        <w:docPartObj>
          <w:docPartGallery w:val="Table of Contents"/>
          <w:docPartUnique/>
        </w:docPartObj>
      </w:sdtPr>
      <w:sdtEndPr>
        <w:rPr>
          <w:b/>
          <w:bCs/>
        </w:rPr>
      </w:sdtEndPr>
      <w:sdtContent>
        <w:p w14:paraId="78F8E903" w14:textId="232341F4" w:rsidR="00D447E3" w:rsidRPr="0075522A" w:rsidRDefault="00D447E3">
          <w:pPr>
            <w:pStyle w:val="TOCHeading"/>
            <w:rPr>
              <w:b/>
              <w:bCs/>
            </w:rPr>
          </w:pPr>
          <w:r w:rsidRPr="0075522A">
            <w:rPr>
              <w:b/>
              <w:bCs/>
            </w:rPr>
            <w:t>Contents</w:t>
          </w:r>
        </w:p>
        <w:p w14:paraId="3FF4C635" w14:textId="27725922" w:rsidR="00632F1E" w:rsidRDefault="00D447E3">
          <w:pPr>
            <w:pStyle w:val="TOC1"/>
            <w:tabs>
              <w:tab w:val="right" w:leader="dot" w:pos="9016"/>
            </w:tabs>
            <w:rPr>
              <w:rFonts w:eastAsiaTheme="minorEastAsia"/>
              <w:noProof/>
              <w:lang w:eastAsia="en-GB"/>
            </w:rPr>
          </w:pPr>
          <w:r w:rsidRPr="0075522A">
            <w:rPr>
              <w:b/>
              <w:bCs/>
            </w:rPr>
            <w:fldChar w:fldCharType="begin"/>
          </w:r>
          <w:r w:rsidRPr="0075522A">
            <w:rPr>
              <w:b/>
              <w:bCs/>
            </w:rPr>
            <w:instrText xml:space="preserve"> TOC \o "1-3" \h \z \u </w:instrText>
          </w:r>
          <w:r w:rsidRPr="0075522A">
            <w:rPr>
              <w:b/>
              <w:bCs/>
            </w:rPr>
            <w:fldChar w:fldCharType="separate"/>
          </w:r>
          <w:hyperlink w:anchor="_Toc233494704" w:history="1">
            <w:r w:rsidR="00632F1E" w:rsidRPr="00295BDC">
              <w:rPr>
                <w:rStyle w:val="Hyperlink"/>
                <w:noProof/>
              </w:rPr>
              <w:t>Introduction</w:t>
            </w:r>
            <w:r w:rsidR="00632F1E">
              <w:rPr>
                <w:noProof/>
                <w:webHidden/>
              </w:rPr>
              <w:tab/>
            </w:r>
            <w:r w:rsidR="00632F1E">
              <w:rPr>
                <w:noProof/>
                <w:webHidden/>
              </w:rPr>
              <w:fldChar w:fldCharType="begin"/>
            </w:r>
            <w:r w:rsidR="00632F1E">
              <w:rPr>
                <w:noProof/>
                <w:webHidden/>
              </w:rPr>
              <w:instrText xml:space="preserve"> PAGEREF _Toc233494704 \h </w:instrText>
            </w:r>
            <w:r w:rsidR="00632F1E">
              <w:rPr>
                <w:noProof/>
                <w:webHidden/>
              </w:rPr>
            </w:r>
            <w:r w:rsidR="00632F1E">
              <w:rPr>
                <w:noProof/>
                <w:webHidden/>
              </w:rPr>
              <w:fldChar w:fldCharType="separate"/>
            </w:r>
            <w:r w:rsidR="00632F1E">
              <w:rPr>
                <w:noProof/>
                <w:webHidden/>
              </w:rPr>
              <w:t>3</w:t>
            </w:r>
            <w:r w:rsidR="00632F1E">
              <w:rPr>
                <w:noProof/>
                <w:webHidden/>
              </w:rPr>
              <w:fldChar w:fldCharType="end"/>
            </w:r>
          </w:hyperlink>
        </w:p>
        <w:p w14:paraId="2C64A83C" w14:textId="6172E8FA" w:rsidR="00632F1E" w:rsidRDefault="00632F1E">
          <w:pPr>
            <w:pStyle w:val="TOC1"/>
            <w:tabs>
              <w:tab w:val="right" w:leader="dot" w:pos="9016"/>
            </w:tabs>
            <w:rPr>
              <w:rFonts w:eastAsiaTheme="minorEastAsia"/>
              <w:noProof/>
              <w:lang w:eastAsia="en-GB"/>
            </w:rPr>
          </w:pPr>
          <w:hyperlink w:anchor="_Toc233494705" w:history="1">
            <w:r w:rsidRPr="00295BDC">
              <w:rPr>
                <w:rStyle w:val="Hyperlink"/>
                <w:noProof/>
              </w:rPr>
              <w:t>Section 1: Anatomy and Physiology</w:t>
            </w:r>
            <w:r>
              <w:rPr>
                <w:noProof/>
                <w:webHidden/>
              </w:rPr>
              <w:tab/>
            </w:r>
            <w:r>
              <w:rPr>
                <w:noProof/>
                <w:webHidden/>
              </w:rPr>
              <w:fldChar w:fldCharType="begin"/>
            </w:r>
            <w:r>
              <w:rPr>
                <w:noProof/>
                <w:webHidden/>
              </w:rPr>
              <w:instrText xml:space="preserve"> PAGEREF _Toc233494705 \h </w:instrText>
            </w:r>
            <w:r>
              <w:rPr>
                <w:noProof/>
                <w:webHidden/>
              </w:rPr>
            </w:r>
            <w:r>
              <w:rPr>
                <w:noProof/>
                <w:webHidden/>
              </w:rPr>
              <w:fldChar w:fldCharType="separate"/>
            </w:r>
            <w:r>
              <w:rPr>
                <w:noProof/>
                <w:webHidden/>
              </w:rPr>
              <w:t>3</w:t>
            </w:r>
            <w:r>
              <w:rPr>
                <w:noProof/>
                <w:webHidden/>
              </w:rPr>
              <w:fldChar w:fldCharType="end"/>
            </w:r>
          </w:hyperlink>
        </w:p>
        <w:p w14:paraId="2C96DC7E" w14:textId="6842B53B" w:rsidR="00632F1E" w:rsidRDefault="00632F1E">
          <w:pPr>
            <w:pStyle w:val="TOC1"/>
            <w:tabs>
              <w:tab w:val="right" w:leader="dot" w:pos="9016"/>
            </w:tabs>
            <w:rPr>
              <w:rFonts w:eastAsiaTheme="minorEastAsia"/>
              <w:noProof/>
              <w:lang w:eastAsia="en-GB"/>
            </w:rPr>
          </w:pPr>
          <w:hyperlink w:anchor="_Toc233494706" w:history="1">
            <w:r w:rsidRPr="00295BDC">
              <w:rPr>
                <w:rStyle w:val="Hyperlink"/>
                <w:noProof/>
              </w:rPr>
              <w:t>Section 2: Pathophysiology &amp; Impact</w:t>
            </w:r>
            <w:r>
              <w:rPr>
                <w:noProof/>
                <w:webHidden/>
              </w:rPr>
              <w:tab/>
            </w:r>
            <w:r>
              <w:rPr>
                <w:noProof/>
                <w:webHidden/>
              </w:rPr>
              <w:fldChar w:fldCharType="begin"/>
            </w:r>
            <w:r>
              <w:rPr>
                <w:noProof/>
                <w:webHidden/>
              </w:rPr>
              <w:instrText xml:space="preserve"> PAGEREF _Toc233494706 \h </w:instrText>
            </w:r>
            <w:r>
              <w:rPr>
                <w:noProof/>
                <w:webHidden/>
              </w:rPr>
            </w:r>
            <w:r>
              <w:rPr>
                <w:noProof/>
                <w:webHidden/>
              </w:rPr>
              <w:fldChar w:fldCharType="separate"/>
            </w:r>
            <w:r>
              <w:rPr>
                <w:noProof/>
                <w:webHidden/>
              </w:rPr>
              <w:t>5</w:t>
            </w:r>
            <w:r>
              <w:rPr>
                <w:noProof/>
                <w:webHidden/>
              </w:rPr>
              <w:fldChar w:fldCharType="end"/>
            </w:r>
          </w:hyperlink>
        </w:p>
        <w:p w14:paraId="32958752" w14:textId="566FBD5A" w:rsidR="00632F1E" w:rsidRDefault="00632F1E">
          <w:pPr>
            <w:pStyle w:val="TOC1"/>
            <w:tabs>
              <w:tab w:val="right" w:leader="dot" w:pos="9016"/>
            </w:tabs>
            <w:rPr>
              <w:rFonts w:eastAsiaTheme="minorEastAsia"/>
              <w:noProof/>
              <w:lang w:eastAsia="en-GB"/>
            </w:rPr>
          </w:pPr>
          <w:hyperlink w:anchor="_Toc233494707" w:history="1">
            <w:r w:rsidRPr="00295BDC">
              <w:rPr>
                <w:rStyle w:val="Hyperlink"/>
                <w:noProof/>
              </w:rPr>
              <w:t>Section 3: Monitoring and data use</w:t>
            </w:r>
            <w:r>
              <w:rPr>
                <w:noProof/>
                <w:webHidden/>
              </w:rPr>
              <w:tab/>
            </w:r>
            <w:r>
              <w:rPr>
                <w:noProof/>
                <w:webHidden/>
              </w:rPr>
              <w:fldChar w:fldCharType="begin"/>
            </w:r>
            <w:r>
              <w:rPr>
                <w:noProof/>
                <w:webHidden/>
              </w:rPr>
              <w:instrText xml:space="preserve"> PAGEREF _Toc233494707 \h </w:instrText>
            </w:r>
            <w:r>
              <w:rPr>
                <w:noProof/>
                <w:webHidden/>
              </w:rPr>
            </w:r>
            <w:r>
              <w:rPr>
                <w:noProof/>
                <w:webHidden/>
              </w:rPr>
              <w:fldChar w:fldCharType="separate"/>
            </w:r>
            <w:r>
              <w:rPr>
                <w:noProof/>
                <w:webHidden/>
              </w:rPr>
              <w:t>6</w:t>
            </w:r>
            <w:r>
              <w:rPr>
                <w:noProof/>
                <w:webHidden/>
              </w:rPr>
              <w:fldChar w:fldCharType="end"/>
            </w:r>
          </w:hyperlink>
        </w:p>
        <w:p w14:paraId="2D751B73" w14:textId="3DCBE4A5" w:rsidR="00632F1E" w:rsidRDefault="00632F1E">
          <w:pPr>
            <w:pStyle w:val="TOC1"/>
            <w:tabs>
              <w:tab w:val="right" w:leader="dot" w:pos="9016"/>
            </w:tabs>
            <w:rPr>
              <w:rFonts w:eastAsiaTheme="minorEastAsia"/>
              <w:noProof/>
              <w:lang w:eastAsia="en-GB"/>
            </w:rPr>
          </w:pPr>
          <w:hyperlink w:anchor="_Toc233494708" w:history="1">
            <w:r w:rsidRPr="00295BDC">
              <w:rPr>
                <w:rStyle w:val="Hyperlink"/>
                <w:noProof/>
              </w:rPr>
              <w:t>Section 4: Evidence-Based Lifestyle Recommendations</w:t>
            </w:r>
            <w:r>
              <w:rPr>
                <w:noProof/>
                <w:webHidden/>
              </w:rPr>
              <w:tab/>
            </w:r>
            <w:r>
              <w:rPr>
                <w:noProof/>
                <w:webHidden/>
              </w:rPr>
              <w:fldChar w:fldCharType="begin"/>
            </w:r>
            <w:r>
              <w:rPr>
                <w:noProof/>
                <w:webHidden/>
              </w:rPr>
              <w:instrText xml:space="preserve"> PAGEREF _Toc233494708 \h </w:instrText>
            </w:r>
            <w:r>
              <w:rPr>
                <w:noProof/>
                <w:webHidden/>
              </w:rPr>
            </w:r>
            <w:r>
              <w:rPr>
                <w:noProof/>
                <w:webHidden/>
              </w:rPr>
              <w:fldChar w:fldCharType="separate"/>
            </w:r>
            <w:r>
              <w:rPr>
                <w:noProof/>
                <w:webHidden/>
              </w:rPr>
              <w:t>7</w:t>
            </w:r>
            <w:r>
              <w:rPr>
                <w:noProof/>
                <w:webHidden/>
              </w:rPr>
              <w:fldChar w:fldCharType="end"/>
            </w:r>
          </w:hyperlink>
        </w:p>
        <w:p w14:paraId="00AAC946" w14:textId="3554E696" w:rsidR="00632F1E" w:rsidRDefault="00632F1E">
          <w:pPr>
            <w:pStyle w:val="TOC1"/>
            <w:tabs>
              <w:tab w:val="right" w:leader="dot" w:pos="9016"/>
            </w:tabs>
            <w:rPr>
              <w:rFonts w:eastAsiaTheme="minorEastAsia"/>
              <w:noProof/>
              <w:lang w:eastAsia="en-GB"/>
            </w:rPr>
          </w:pPr>
          <w:hyperlink w:anchor="_Toc233494709" w:history="1">
            <w:r w:rsidRPr="00295BDC">
              <w:rPr>
                <w:rStyle w:val="Hyperlink"/>
                <w:noProof/>
              </w:rPr>
              <w:t>Conclusion</w:t>
            </w:r>
            <w:r>
              <w:rPr>
                <w:noProof/>
                <w:webHidden/>
              </w:rPr>
              <w:tab/>
            </w:r>
            <w:r>
              <w:rPr>
                <w:noProof/>
                <w:webHidden/>
              </w:rPr>
              <w:fldChar w:fldCharType="begin"/>
            </w:r>
            <w:r>
              <w:rPr>
                <w:noProof/>
                <w:webHidden/>
              </w:rPr>
              <w:instrText xml:space="preserve"> PAGEREF _Toc233494709 \h </w:instrText>
            </w:r>
            <w:r>
              <w:rPr>
                <w:noProof/>
                <w:webHidden/>
              </w:rPr>
            </w:r>
            <w:r>
              <w:rPr>
                <w:noProof/>
                <w:webHidden/>
              </w:rPr>
              <w:fldChar w:fldCharType="separate"/>
            </w:r>
            <w:r>
              <w:rPr>
                <w:noProof/>
                <w:webHidden/>
              </w:rPr>
              <w:t>8</w:t>
            </w:r>
            <w:r>
              <w:rPr>
                <w:noProof/>
                <w:webHidden/>
              </w:rPr>
              <w:fldChar w:fldCharType="end"/>
            </w:r>
          </w:hyperlink>
        </w:p>
        <w:p w14:paraId="32F82246" w14:textId="5B62399F" w:rsidR="00632F1E" w:rsidRDefault="00632F1E">
          <w:pPr>
            <w:pStyle w:val="TOC1"/>
            <w:tabs>
              <w:tab w:val="right" w:leader="dot" w:pos="9016"/>
            </w:tabs>
            <w:rPr>
              <w:rFonts w:eastAsiaTheme="minorEastAsia"/>
              <w:noProof/>
              <w:lang w:eastAsia="en-GB"/>
            </w:rPr>
          </w:pPr>
          <w:hyperlink w:anchor="_Toc233494710" w:history="1">
            <w:r w:rsidRPr="00295BDC">
              <w:rPr>
                <w:rStyle w:val="Hyperlink"/>
                <w:noProof/>
              </w:rPr>
              <w:t>References</w:t>
            </w:r>
            <w:r>
              <w:rPr>
                <w:noProof/>
                <w:webHidden/>
              </w:rPr>
              <w:tab/>
            </w:r>
            <w:r>
              <w:rPr>
                <w:noProof/>
                <w:webHidden/>
              </w:rPr>
              <w:fldChar w:fldCharType="begin"/>
            </w:r>
            <w:r>
              <w:rPr>
                <w:noProof/>
                <w:webHidden/>
              </w:rPr>
              <w:instrText xml:space="preserve"> PAGEREF _Toc233494710 \h </w:instrText>
            </w:r>
            <w:r>
              <w:rPr>
                <w:noProof/>
                <w:webHidden/>
              </w:rPr>
            </w:r>
            <w:r>
              <w:rPr>
                <w:noProof/>
                <w:webHidden/>
              </w:rPr>
              <w:fldChar w:fldCharType="separate"/>
            </w:r>
            <w:r>
              <w:rPr>
                <w:noProof/>
                <w:webHidden/>
              </w:rPr>
              <w:t>10</w:t>
            </w:r>
            <w:r>
              <w:rPr>
                <w:noProof/>
                <w:webHidden/>
              </w:rPr>
              <w:fldChar w:fldCharType="end"/>
            </w:r>
          </w:hyperlink>
        </w:p>
        <w:p w14:paraId="0010074A" w14:textId="7447B8D6" w:rsidR="00D447E3" w:rsidRDefault="00D447E3">
          <w:r w:rsidRPr="0075522A">
            <w:rPr>
              <w:b/>
              <w:bCs/>
            </w:rPr>
            <w:fldChar w:fldCharType="end"/>
          </w:r>
        </w:p>
      </w:sdtContent>
    </w:sdt>
    <w:p w14:paraId="14614C11" w14:textId="77777777" w:rsidR="003A1D4F" w:rsidRDefault="003A1D4F" w:rsidP="00C01C68">
      <w:pPr>
        <w:spacing w:line="360" w:lineRule="auto"/>
        <w:jc w:val="both"/>
        <w:rPr>
          <w:rFonts w:ascii="Arial" w:hAnsi="Arial" w:cs="Arial"/>
          <w:b/>
          <w:bCs/>
        </w:rPr>
      </w:pPr>
    </w:p>
    <w:p w14:paraId="3F64867E" w14:textId="77777777" w:rsidR="003A1D4F" w:rsidRDefault="003A1D4F" w:rsidP="00C01C68">
      <w:pPr>
        <w:spacing w:line="360" w:lineRule="auto"/>
        <w:jc w:val="both"/>
        <w:rPr>
          <w:rFonts w:ascii="Arial" w:hAnsi="Arial" w:cs="Arial"/>
          <w:b/>
          <w:bCs/>
        </w:rPr>
      </w:pPr>
    </w:p>
    <w:p w14:paraId="2093915E" w14:textId="77777777" w:rsidR="003A1D4F" w:rsidRDefault="003A1D4F" w:rsidP="00C01C68">
      <w:pPr>
        <w:spacing w:line="360" w:lineRule="auto"/>
        <w:jc w:val="both"/>
        <w:rPr>
          <w:rFonts w:ascii="Arial" w:hAnsi="Arial" w:cs="Arial"/>
          <w:b/>
          <w:bCs/>
        </w:rPr>
      </w:pPr>
    </w:p>
    <w:p w14:paraId="247154D9" w14:textId="77777777" w:rsidR="003A1D4F" w:rsidRDefault="003A1D4F" w:rsidP="00C01C68">
      <w:pPr>
        <w:spacing w:line="360" w:lineRule="auto"/>
        <w:jc w:val="both"/>
        <w:rPr>
          <w:rFonts w:ascii="Arial" w:hAnsi="Arial" w:cs="Arial"/>
          <w:b/>
          <w:bCs/>
        </w:rPr>
      </w:pPr>
    </w:p>
    <w:p w14:paraId="28334D93" w14:textId="77777777" w:rsidR="003A1D4F" w:rsidRDefault="003A1D4F" w:rsidP="00C01C68">
      <w:pPr>
        <w:spacing w:line="360" w:lineRule="auto"/>
        <w:jc w:val="both"/>
        <w:rPr>
          <w:rFonts w:ascii="Arial" w:hAnsi="Arial" w:cs="Arial"/>
          <w:b/>
          <w:bCs/>
        </w:rPr>
      </w:pPr>
    </w:p>
    <w:p w14:paraId="05E99DFA" w14:textId="77777777" w:rsidR="003A1D4F" w:rsidRDefault="003A1D4F" w:rsidP="00C01C68">
      <w:pPr>
        <w:spacing w:line="360" w:lineRule="auto"/>
        <w:jc w:val="both"/>
        <w:rPr>
          <w:rFonts w:ascii="Arial" w:hAnsi="Arial" w:cs="Arial"/>
          <w:b/>
          <w:bCs/>
        </w:rPr>
      </w:pPr>
    </w:p>
    <w:p w14:paraId="2F6CB613" w14:textId="77777777" w:rsidR="003A1D4F" w:rsidRDefault="003A1D4F" w:rsidP="00C01C68">
      <w:pPr>
        <w:spacing w:line="360" w:lineRule="auto"/>
        <w:jc w:val="both"/>
        <w:rPr>
          <w:rFonts w:ascii="Arial" w:hAnsi="Arial" w:cs="Arial"/>
          <w:b/>
          <w:bCs/>
        </w:rPr>
      </w:pPr>
    </w:p>
    <w:p w14:paraId="0C106590" w14:textId="77777777" w:rsidR="003A1D4F" w:rsidRDefault="003A1D4F" w:rsidP="00C01C68">
      <w:pPr>
        <w:spacing w:line="360" w:lineRule="auto"/>
        <w:jc w:val="both"/>
        <w:rPr>
          <w:rFonts w:ascii="Arial" w:hAnsi="Arial" w:cs="Arial"/>
          <w:b/>
          <w:bCs/>
        </w:rPr>
      </w:pPr>
    </w:p>
    <w:p w14:paraId="7BB02E04" w14:textId="77777777" w:rsidR="003A1D4F" w:rsidRDefault="003A1D4F" w:rsidP="00C01C68">
      <w:pPr>
        <w:spacing w:line="360" w:lineRule="auto"/>
        <w:jc w:val="both"/>
        <w:rPr>
          <w:rFonts w:ascii="Arial" w:hAnsi="Arial" w:cs="Arial"/>
          <w:b/>
          <w:bCs/>
        </w:rPr>
      </w:pPr>
    </w:p>
    <w:p w14:paraId="75DA28FB" w14:textId="77777777" w:rsidR="003A1D4F" w:rsidRDefault="003A1D4F" w:rsidP="00C01C68">
      <w:pPr>
        <w:spacing w:line="360" w:lineRule="auto"/>
        <w:jc w:val="both"/>
        <w:rPr>
          <w:rFonts w:ascii="Arial" w:hAnsi="Arial" w:cs="Arial"/>
          <w:b/>
          <w:bCs/>
        </w:rPr>
      </w:pPr>
    </w:p>
    <w:p w14:paraId="6ED7C1B5" w14:textId="77777777" w:rsidR="003A1D4F" w:rsidRDefault="003A1D4F" w:rsidP="00C01C68">
      <w:pPr>
        <w:spacing w:line="360" w:lineRule="auto"/>
        <w:jc w:val="both"/>
        <w:rPr>
          <w:rFonts w:ascii="Arial" w:hAnsi="Arial" w:cs="Arial"/>
          <w:b/>
          <w:bCs/>
        </w:rPr>
      </w:pPr>
    </w:p>
    <w:p w14:paraId="3BE68479" w14:textId="77777777" w:rsidR="003A1D4F" w:rsidRDefault="003A1D4F" w:rsidP="00C01C68">
      <w:pPr>
        <w:spacing w:line="360" w:lineRule="auto"/>
        <w:jc w:val="both"/>
        <w:rPr>
          <w:rFonts w:ascii="Arial" w:hAnsi="Arial" w:cs="Arial"/>
          <w:b/>
          <w:bCs/>
        </w:rPr>
      </w:pPr>
    </w:p>
    <w:p w14:paraId="02E08D1F" w14:textId="77777777" w:rsidR="003A1D4F" w:rsidRDefault="003A1D4F" w:rsidP="00C01C68">
      <w:pPr>
        <w:spacing w:line="360" w:lineRule="auto"/>
        <w:jc w:val="both"/>
        <w:rPr>
          <w:rFonts w:ascii="Arial" w:hAnsi="Arial" w:cs="Arial"/>
          <w:b/>
          <w:bCs/>
        </w:rPr>
      </w:pPr>
    </w:p>
    <w:p w14:paraId="2A9F406A" w14:textId="77777777" w:rsidR="00D447E3" w:rsidRPr="00D447E3" w:rsidRDefault="00D447E3" w:rsidP="00D447E3"/>
    <w:p w14:paraId="7E873F81" w14:textId="04D6DBA0" w:rsidR="004C63BA" w:rsidRDefault="00076639" w:rsidP="00A6723E">
      <w:pPr>
        <w:pStyle w:val="Heading1"/>
        <w:jc w:val="both"/>
      </w:pPr>
      <w:bookmarkStart w:id="0" w:name="_Toc233494704"/>
      <w:r w:rsidRPr="00E11149">
        <w:lastRenderedPageBreak/>
        <w:t>Introduction</w:t>
      </w:r>
      <w:bookmarkEnd w:id="0"/>
    </w:p>
    <w:p w14:paraId="2DD42A41" w14:textId="77777777" w:rsidR="008918F8" w:rsidRPr="008918F8" w:rsidRDefault="008918F8" w:rsidP="00A6723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918F8">
        <w:rPr>
          <w:rFonts w:ascii="Arial" w:eastAsia="Times New Roman" w:hAnsi="Arial" w:cs="Arial"/>
          <w:kern w:val="0"/>
          <w:sz w:val="22"/>
          <w:szCs w:val="22"/>
          <w:lang w:eastAsia="en-GB"/>
          <w14:ligatures w14:val="none"/>
        </w:rPr>
        <w:t>Type 2 diabetes mellitus (T2DM) is a long-term metabolic disorder characterised by chronically raised blood glucose levels due to the body's reduced response to insulin and the gradual decline of pancreatic β-cell function, leading to insufficient insulin production (DeFronzo et al., 2015; National Institute for Health and Care Excellence (NICE), 2022; American Diabetes Association (ADA), 2024). In contrast to Type 1 diabetes, which develops following autoimmune destruction of pancreatic β-cells, T2DM arises through a combination of inherited susceptibility and modifiable lifestyle factors, making prevention and early intervention particularly important (ADA, 2024).</w:t>
      </w:r>
    </w:p>
    <w:p w14:paraId="3F65B88F" w14:textId="77777777" w:rsidR="008918F8" w:rsidRPr="008918F8" w:rsidRDefault="008918F8" w:rsidP="00A6723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918F8">
        <w:rPr>
          <w:rFonts w:ascii="Arial" w:eastAsia="Times New Roman" w:hAnsi="Arial" w:cs="Arial"/>
          <w:kern w:val="0"/>
          <w:sz w:val="22"/>
          <w:szCs w:val="22"/>
          <w:lang w:eastAsia="en-GB"/>
          <w14:ligatures w14:val="none"/>
        </w:rPr>
        <w:t>T2DM represents a substantial global health challenge and accounts for around 90% of all diabetes cases worldwide (International Diabetes Federation, 2025; Diabetes UK, 2024). The likelihood of developing the condition is increased by several risk factors, including obesity, sedentary behaviour, unhealthy dietary patterns, smoking, advancing age and a positive family history (NICE, 2022; NHS, 2023). Without appropriate management, prolonged hyperglycaemia can contribute to serious complications such as cardiovascular disease, chronic kidney disease, diabetic neuropathy and retinopathy, all of which can have a considerable impact on health and wellbeing (World Health Organization (WHO), 2023).</w:t>
      </w:r>
    </w:p>
    <w:p w14:paraId="3C662196" w14:textId="77777777" w:rsidR="008918F8" w:rsidRPr="008918F8" w:rsidRDefault="008918F8" w:rsidP="00A6723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918F8">
        <w:rPr>
          <w:rFonts w:ascii="Arial" w:eastAsia="Times New Roman" w:hAnsi="Arial" w:cs="Arial"/>
          <w:kern w:val="0"/>
          <w:sz w:val="22"/>
          <w:szCs w:val="22"/>
          <w:lang w:eastAsia="en-GB"/>
          <w14:ligatures w14:val="none"/>
        </w:rPr>
        <w:t>Within primary care, practice nurses play an important role in supporting people living with T2DM. Through patient education, routine assessment, blood glucose monitoring and the delivery of evidence-based lifestyle advice, they encourage self-management and help reduce the risk of diabetes-related complications (NICE, 2022; Diabetes UK, 2024).</w:t>
      </w:r>
    </w:p>
    <w:p w14:paraId="352356F4" w14:textId="77777777" w:rsidR="008918F8" w:rsidRPr="008918F8" w:rsidRDefault="008918F8" w:rsidP="00A6723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918F8">
        <w:rPr>
          <w:rFonts w:ascii="Arial" w:eastAsia="Times New Roman" w:hAnsi="Arial" w:cs="Arial"/>
          <w:kern w:val="0"/>
          <w:sz w:val="22"/>
          <w:szCs w:val="22"/>
          <w:lang w:eastAsia="en-GB"/>
          <w14:ligatures w14:val="none"/>
        </w:rPr>
        <w:t>This report explores the physiological processes involved in maintaining blood glucose homeostasis and cellular energy production before examining the pathophysiology of T2DM. It also considers the importance of blood glucose monitoring and evaluates evidence-based lifestyle interventions that practice nurses can use to improve glycaemic control and support long-term disease management.</w:t>
      </w:r>
    </w:p>
    <w:p w14:paraId="1F4CD6A5" w14:textId="50DCE0C1" w:rsidR="00C724A5" w:rsidRDefault="005825AE" w:rsidP="00A6723E">
      <w:pPr>
        <w:pStyle w:val="Heading1"/>
        <w:jc w:val="both"/>
      </w:pPr>
      <w:bookmarkStart w:id="1" w:name="_Toc233494705"/>
      <w:r w:rsidRPr="00E11149">
        <w:t xml:space="preserve">Section </w:t>
      </w:r>
      <w:r w:rsidR="006F5888" w:rsidRPr="00E11149">
        <w:t>1: Anatomy and Physiology</w:t>
      </w:r>
      <w:bookmarkEnd w:id="1"/>
    </w:p>
    <w:p w14:paraId="6533D6BE" w14:textId="7EC68F8B" w:rsidR="00F71242" w:rsidRPr="0086309D" w:rsidRDefault="00F71242" w:rsidP="00A6723E">
      <w:pPr>
        <w:pStyle w:val="isselectedend"/>
        <w:spacing w:line="360" w:lineRule="auto"/>
        <w:jc w:val="both"/>
        <w:rPr>
          <w:rFonts w:ascii="Arial" w:hAnsi="Arial" w:cs="Arial"/>
          <w:sz w:val="22"/>
          <w:szCs w:val="22"/>
        </w:rPr>
      </w:pPr>
      <w:r w:rsidRPr="0086309D">
        <w:rPr>
          <w:rFonts w:ascii="Arial" w:hAnsi="Arial" w:cs="Arial"/>
          <w:sz w:val="22"/>
          <w:szCs w:val="22"/>
        </w:rPr>
        <w:t xml:space="preserve">Blood glucose homeostasis </w:t>
      </w:r>
      <w:r w:rsidR="00616A75">
        <w:rPr>
          <w:rFonts w:ascii="Arial" w:hAnsi="Arial" w:cs="Arial"/>
          <w:sz w:val="22"/>
          <w:szCs w:val="22"/>
        </w:rPr>
        <w:t>refers to the body’s ability to keep blood glucose concentrations within narrow physiological limits, ensuring cells receive sufficient energy while a</w:t>
      </w:r>
      <w:r w:rsidR="0018661A">
        <w:rPr>
          <w:rFonts w:ascii="Arial" w:hAnsi="Arial" w:cs="Arial"/>
          <w:sz w:val="22"/>
          <w:szCs w:val="22"/>
        </w:rPr>
        <w:t>voiding harmful fluctuations in glucose levels</w:t>
      </w:r>
      <w:r w:rsidRPr="0086309D">
        <w:rPr>
          <w:rFonts w:ascii="Arial" w:hAnsi="Arial" w:cs="Arial"/>
          <w:sz w:val="22"/>
          <w:szCs w:val="22"/>
        </w:rPr>
        <w:t xml:space="preserve"> (Hall and Hall, 2021). This process is controlled primarily </w:t>
      </w:r>
      <w:r w:rsidRPr="0086309D">
        <w:rPr>
          <w:rFonts w:ascii="Arial" w:hAnsi="Arial" w:cs="Arial"/>
          <w:sz w:val="22"/>
          <w:szCs w:val="22"/>
        </w:rPr>
        <w:lastRenderedPageBreak/>
        <w:t>by the endocrine pancreas, where the islets of Langerhans contain β-cells that secrete insulin and α-cells that release glucagon (Tortora and Derrickson, 2021).</w:t>
      </w:r>
    </w:p>
    <w:p w14:paraId="10C22B3E" w14:textId="2ADADDF4" w:rsidR="00F71242" w:rsidRPr="00F71242" w:rsidRDefault="00F71242" w:rsidP="00A6723E">
      <w:pPr>
        <w:pStyle w:val="isselectedend"/>
        <w:spacing w:line="360" w:lineRule="auto"/>
        <w:jc w:val="both"/>
        <w:rPr>
          <w:rFonts w:ascii="Arial" w:hAnsi="Arial" w:cs="Arial"/>
          <w:sz w:val="22"/>
          <w:szCs w:val="22"/>
        </w:rPr>
      </w:pPr>
      <w:r w:rsidRPr="00F71242">
        <w:rPr>
          <w:rFonts w:ascii="Arial" w:hAnsi="Arial" w:cs="Arial"/>
          <w:sz w:val="22"/>
          <w:szCs w:val="22"/>
        </w:rPr>
        <w:t xml:space="preserve">Following carbohydrate digestion, glucose enters the bloodstream, stimulating pancreatic β-cells to release insulin. Insulin binds to receptors on skeletal muscle, adipose tissue and liver cells, allowing glucose to move from the bloodstream into cells for immediate energy production or storage as glycogen through glycogenesis. As blood glucose levels return to normal, insulin secretion decreases through negative feedback, maintaining metabolic balance (National Institute for Health and Care Excellence (NICE), 2022). In </w:t>
      </w:r>
      <w:r w:rsidR="00BC2873">
        <w:rPr>
          <w:rFonts w:ascii="Arial" w:hAnsi="Arial" w:cs="Arial"/>
          <w:sz w:val="22"/>
          <w:szCs w:val="22"/>
        </w:rPr>
        <w:t>people with T2DM</w:t>
      </w:r>
      <w:r w:rsidRPr="00F71242">
        <w:rPr>
          <w:rFonts w:ascii="Arial" w:hAnsi="Arial" w:cs="Arial"/>
          <w:sz w:val="22"/>
          <w:szCs w:val="22"/>
        </w:rPr>
        <w:t xml:space="preserve">, </w:t>
      </w:r>
      <w:r w:rsidR="00530567">
        <w:rPr>
          <w:rFonts w:ascii="Arial" w:hAnsi="Arial" w:cs="Arial"/>
          <w:sz w:val="22"/>
          <w:szCs w:val="22"/>
        </w:rPr>
        <w:t>body tissues become less responsive to insulin, limiting the movement of glucose from the bloodstream into cells (</w:t>
      </w:r>
      <w:r w:rsidRPr="00F71242">
        <w:rPr>
          <w:rFonts w:ascii="Arial" w:hAnsi="Arial" w:cs="Arial"/>
          <w:sz w:val="22"/>
          <w:szCs w:val="22"/>
        </w:rPr>
        <w:t>American Diabetes Association, 2024).</w:t>
      </w:r>
    </w:p>
    <w:p w14:paraId="04019270" w14:textId="77777777" w:rsidR="00F71242" w:rsidRPr="00F71242" w:rsidRDefault="00F71242" w:rsidP="00A6723E">
      <w:pPr>
        <w:pStyle w:val="isselectedend"/>
        <w:spacing w:line="360" w:lineRule="auto"/>
        <w:jc w:val="both"/>
        <w:rPr>
          <w:rFonts w:ascii="Arial" w:hAnsi="Arial" w:cs="Arial"/>
          <w:sz w:val="22"/>
          <w:szCs w:val="22"/>
        </w:rPr>
      </w:pPr>
      <w:r w:rsidRPr="00F71242">
        <w:rPr>
          <w:rFonts w:ascii="Arial" w:hAnsi="Arial" w:cs="Arial"/>
          <w:sz w:val="22"/>
          <w:szCs w:val="22"/>
        </w:rPr>
        <w:t>When blood glucose levels fall during fasting or prolonged exercise, pancreatic α-cells secrete glucagon. This hormone raises blood glucose by stimulating glycogenolysis, which breaks down stored glycogen, and gluconeogenesis, where glucose is produced from non-carbohydrate sources in the liver. These mechanisms ensure a continuous glucose supply, particularly for the brain, which relies heavily on glucose for energy (Hall and Hall, 2021).</w:t>
      </w:r>
    </w:p>
    <w:p w14:paraId="4B5B8CE8" w14:textId="77777777" w:rsidR="00F71242" w:rsidRPr="00F71242" w:rsidRDefault="00F71242" w:rsidP="00A6723E">
      <w:pPr>
        <w:pStyle w:val="isselectedend"/>
        <w:spacing w:line="360" w:lineRule="auto"/>
        <w:jc w:val="both"/>
        <w:rPr>
          <w:rFonts w:ascii="Arial" w:hAnsi="Arial" w:cs="Arial"/>
          <w:sz w:val="22"/>
          <w:szCs w:val="22"/>
        </w:rPr>
      </w:pPr>
      <w:r w:rsidRPr="00F71242">
        <w:rPr>
          <w:rFonts w:ascii="Arial" w:hAnsi="Arial" w:cs="Arial"/>
          <w:sz w:val="22"/>
          <w:szCs w:val="22"/>
        </w:rPr>
        <w:t>Cellular metabolism converts nutrients into energy required for normal body function. Glucose is the principal energy source, while oxygen is essential for aerobic respiration, allowing cells to generate adenosine triphosphate (ATP), the body's main energy molecule (Ross and Wilson, 2023). During glycolysis, glucose is converted into pyruvate within the cytoplasm, producing a small amount of ATP. In the presence of oxygen, pyruvate enters the mitochondria, where it forms acetyl coenzyme A before entering the Krebs cycle. The resulting electron carriers donate electrons to the electron transport chain, where oxygen acts as the final electron acceptor, producing most cellular ATP alongside carbon dioxide and water (Tortora and Derrickson, 2021).</w:t>
      </w:r>
    </w:p>
    <w:p w14:paraId="12397F4B" w14:textId="086B3913" w:rsidR="00F71242" w:rsidRPr="00F71242" w:rsidRDefault="00F71242" w:rsidP="00A6723E">
      <w:pPr>
        <w:pStyle w:val="NormalWeb"/>
        <w:spacing w:line="360" w:lineRule="auto"/>
        <w:jc w:val="both"/>
        <w:rPr>
          <w:rFonts w:ascii="Arial" w:hAnsi="Arial" w:cs="Arial"/>
          <w:sz w:val="22"/>
          <w:szCs w:val="22"/>
        </w:rPr>
      </w:pPr>
      <w:r w:rsidRPr="00F71242">
        <w:rPr>
          <w:rFonts w:ascii="Arial" w:hAnsi="Arial" w:cs="Arial"/>
          <w:sz w:val="22"/>
          <w:szCs w:val="22"/>
        </w:rPr>
        <w:t>ATP supplies energy for essential processes including active transport, muscle contraction, protein synthesis and tissue repair (Hall and Hall, 2021). In individuals with Type 2 diabetes,</w:t>
      </w:r>
      <w:r w:rsidR="00D644E7">
        <w:rPr>
          <w:rFonts w:ascii="Arial" w:hAnsi="Arial" w:cs="Arial"/>
          <w:sz w:val="22"/>
          <w:szCs w:val="22"/>
        </w:rPr>
        <w:t xml:space="preserve"> reduced insulin sensitivity restricts the entry of </w:t>
      </w:r>
      <w:r w:rsidR="001E4CC6">
        <w:rPr>
          <w:rFonts w:ascii="Arial" w:hAnsi="Arial" w:cs="Arial"/>
          <w:sz w:val="22"/>
          <w:szCs w:val="22"/>
        </w:rPr>
        <w:t xml:space="preserve">glucose into cells, making ATP generation less efficient even though blood glucose levels remain high. </w:t>
      </w:r>
      <w:r w:rsidRPr="00F71242">
        <w:rPr>
          <w:rFonts w:ascii="Arial" w:hAnsi="Arial" w:cs="Arial"/>
          <w:sz w:val="22"/>
          <w:szCs w:val="22"/>
        </w:rPr>
        <w:t>Maintaining effective blood glucose regulation is therefore essential to support normal cellular metabolism and reduce the risk of long-term complications associated with Type 2 diabetes (National Institute for Health and Care Excellence (NICE), 2022; American Diabetes Association, 2024).</w:t>
      </w:r>
    </w:p>
    <w:p w14:paraId="089253C2" w14:textId="5B309992" w:rsidR="003031C9" w:rsidRDefault="00790E42" w:rsidP="00A6723E">
      <w:pPr>
        <w:pStyle w:val="Heading1"/>
        <w:jc w:val="both"/>
      </w:pPr>
      <w:bookmarkStart w:id="2" w:name="_Toc233494706"/>
      <w:r w:rsidRPr="00E11149">
        <w:lastRenderedPageBreak/>
        <w:t>Section 2: Pathophysiology &amp; Impact</w:t>
      </w:r>
      <w:bookmarkEnd w:id="2"/>
    </w:p>
    <w:p w14:paraId="5E3E11BE" w14:textId="77777777" w:rsidR="008D0BA5" w:rsidRPr="008D0BA5" w:rsidRDefault="008D0BA5" w:rsidP="00A6723E">
      <w:pPr>
        <w:pStyle w:val="isselectedend"/>
        <w:spacing w:line="360" w:lineRule="auto"/>
        <w:jc w:val="both"/>
        <w:rPr>
          <w:rFonts w:ascii="Arial" w:hAnsi="Arial" w:cs="Arial"/>
          <w:sz w:val="22"/>
          <w:szCs w:val="22"/>
        </w:rPr>
      </w:pPr>
      <w:r w:rsidRPr="008D0BA5">
        <w:rPr>
          <w:rFonts w:ascii="Arial" w:hAnsi="Arial" w:cs="Arial"/>
          <w:sz w:val="22"/>
          <w:szCs w:val="22"/>
        </w:rPr>
        <w:t>Type 2 diabetes mellitus (T2DM) develops when the body's ability to regulate blood glucose gradually deteriorates because insulin is no longer used effectively by body tissues. After carbohydrates are digested, glucose is absorbed into the bloodstream, triggering the pancreas to release insulin. Under normal physiological conditions, insulin allows glucose to enter cells where, in the presence of oxygen, it undergoes aerobic respiration to produce adenosine triphosphate (ATP), the molecule that provides energy for cellular activities (Hall and Hall, 2021; NHS, 2023; Silverthorn, 2022). In T2DM, insulin resistance disrupts this process, limiting glucose uptake by cells and causing blood glucose concentrations to remain abnormally high (DeFronzo et al., 2015; American Diabetes Association, 2024).</w:t>
      </w:r>
    </w:p>
    <w:p w14:paraId="0E3B9C0A" w14:textId="4B7F8CBB" w:rsidR="008D0BA5" w:rsidRPr="008D0BA5" w:rsidRDefault="008D0BA5" w:rsidP="00A6723E">
      <w:pPr>
        <w:pStyle w:val="isselectedend"/>
        <w:spacing w:line="360" w:lineRule="auto"/>
        <w:jc w:val="both"/>
        <w:rPr>
          <w:rFonts w:ascii="Arial" w:hAnsi="Arial" w:cs="Arial"/>
          <w:sz w:val="22"/>
          <w:szCs w:val="22"/>
        </w:rPr>
      </w:pPr>
      <w:r w:rsidRPr="008D0BA5">
        <w:rPr>
          <w:rFonts w:ascii="Arial" w:hAnsi="Arial" w:cs="Arial"/>
          <w:sz w:val="22"/>
          <w:szCs w:val="22"/>
        </w:rPr>
        <w:t xml:space="preserve">Whereas Type 1 diabetes results from autoimmune destruction of pancreatic β-cells, T2DM is characterised by both insulin resistance and a gradual decline in β-cell function (DeFronzo et al., 2015; American Diabetes Association, 2024). During the early stages of the disease, the pancreas attempts to overcome insulin resistance by producing larger amounts of insulin. Over time, however, β-cells </w:t>
      </w:r>
      <w:r w:rsidR="00E72164">
        <w:rPr>
          <w:rFonts w:ascii="Arial" w:hAnsi="Arial" w:cs="Arial"/>
          <w:sz w:val="22"/>
          <w:szCs w:val="22"/>
        </w:rPr>
        <w:t>gradually lose t</w:t>
      </w:r>
      <w:r w:rsidR="00FC0981">
        <w:rPr>
          <w:rFonts w:ascii="Arial" w:hAnsi="Arial" w:cs="Arial"/>
          <w:sz w:val="22"/>
          <w:szCs w:val="22"/>
        </w:rPr>
        <w:t>heir capacity to produce sufficient insulin,</w:t>
      </w:r>
      <w:r w:rsidRPr="008D0BA5">
        <w:rPr>
          <w:rFonts w:ascii="Arial" w:hAnsi="Arial" w:cs="Arial"/>
          <w:sz w:val="22"/>
          <w:szCs w:val="22"/>
        </w:rPr>
        <w:t xml:space="preserve"> resulting in reduced insulin secretion and worsening hyperglycaemia (American Diabetes Association, 2024; Davies et al., 2022). As glucose continues to accumulate in the bloodstream rather than entering body cells, common symptoms develop, including excessive thirst (polydipsia), frequent urination (polyuria), fatigue, blurred vision and delayed wound healing (Diabetes UK, 2024).</w:t>
      </w:r>
    </w:p>
    <w:p w14:paraId="1FDDE255" w14:textId="77777777" w:rsidR="008D0BA5" w:rsidRPr="008D0BA5" w:rsidRDefault="008D0BA5" w:rsidP="00A6723E">
      <w:pPr>
        <w:pStyle w:val="isselectedend"/>
        <w:spacing w:line="360" w:lineRule="auto"/>
        <w:jc w:val="both"/>
        <w:rPr>
          <w:rFonts w:ascii="Arial" w:hAnsi="Arial" w:cs="Arial"/>
          <w:sz w:val="22"/>
          <w:szCs w:val="22"/>
        </w:rPr>
      </w:pPr>
      <w:r w:rsidRPr="008D0BA5">
        <w:rPr>
          <w:rFonts w:ascii="Arial" w:hAnsi="Arial" w:cs="Arial"/>
          <w:sz w:val="22"/>
          <w:szCs w:val="22"/>
        </w:rPr>
        <w:t>Persistently raised blood glucose levels can damage multiple body systems by promoting oxidative stress, chronic inflammation and injury to the vascular endothelium (Forbes and Cooper, 2013; Hall and Hall, 2021). This significantly increases the likelihood of developing long-term complications such as diabetic retinopathy, nephropathy, peripheral neuropathy and cardiovascular disease, which can adversely affect quality of life and increase healthcare needs (National Institute for Health and Care Excellence (NICE), 2022; World Health Organization (WHO), 2023). Achieving good glycaemic control is therefore essential to slow disease progression and minimise these complications.</w:t>
      </w:r>
    </w:p>
    <w:p w14:paraId="1E40A149" w14:textId="77777777" w:rsidR="008D0BA5" w:rsidRPr="008D0BA5" w:rsidRDefault="008D0BA5" w:rsidP="00A6723E">
      <w:pPr>
        <w:pStyle w:val="isselectedend"/>
        <w:spacing w:line="360" w:lineRule="auto"/>
        <w:jc w:val="both"/>
        <w:rPr>
          <w:rFonts w:ascii="Arial" w:hAnsi="Arial" w:cs="Arial"/>
          <w:sz w:val="22"/>
          <w:szCs w:val="22"/>
        </w:rPr>
      </w:pPr>
      <w:r w:rsidRPr="008D0BA5">
        <w:rPr>
          <w:rFonts w:ascii="Arial" w:hAnsi="Arial" w:cs="Arial"/>
          <w:sz w:val="22"/>
          <w:szCs w:val="22"/>
        </w:rPr>
        <w:t xml:space="preserve">Lifestyle behaviours have a considerable influence on both the development and progression of T2DM. Obesity, diets rich in refined carbohydrates, saturated fats and ultra-processed foods, physical inactivity and smoking all contribute to insulin resistance, making blood glucose regulation more difficult (Diabetes UK, 2024; NICE, 2022; Colberg et al., 2016). In contrast, maintaining a healthy body weight, following a balanced diet, participating in regular </w:t>
      </w:r>
      <w:r w:rsidRPr="008D0BA5">
        <w:rPr>
          <w:rFonts w:ascii="Arial" w:hAnsi="Arial" w:cs="Arial"/>
          <w:sz w:val="22"/>
          <w:szCs w:val="22"/>
        </w:rPr>
        <w:lastRenderedPageBreak/>
        <w:t>physical activity and avoiding tobacco use improve insulin sensitivity and enable glucose to be utilised more efficiently for ATP production (Evert et al., 2019; Colberg et al., 2016). These lifestyle measures also promote vascular health, improve glycaemic control and lower the risk of diabetes-related complications (NICE, 2022; Davies et al., 2022; Lean et al., 2018).</w:t>
      </w:r>
    </w:p>
    <w:p w14:paraId="30782F28" w14:textId="77777777" w:rsidR="008D0BA5" w:rsidRPr="008D0BA5" w:rsidRDefault="008D0BA5" w:rsidP="00A6723E">
      <w:pPr>
        <w:pStyle w:val="NormalWeb"/>
        <w:spacing w:line="360" w:lineRule="auto"/>
        <w:jc w:val="both"/>
        <w:rPr>
          <w:rFonts w:ascii="Arial" w:hAnsi="Arial" w:cs="Arial"/>
          <w:sz w:val="22"/>
          <w:szCs w:val="22"/>
        </w:rPr>
      </w:pPr>
      <w:r w:rsidRPr="008D0BA5">
        <w:rPr>
          <w:rFonts w:ascii="Arial" w:hAnsi="Arial" w:cs="Arial"/>
          <w:sz w:val="22"/>
          <w:szCs w:val="22"/>
        </w:rPr>
        <w:t>A sound understanding of the pathophysiological processes involved in T2DM enables practice nurses to provide effective education and encourage successful self-management. By supporting medication adherence, reinforcing healthy lifestyle choices and promoting regular blood glucose monitoring, practice nurses help individuals achieve better glycaemic control and reduce the likelihood of long-term complications. The role of blood glucose monitoring in diabetes management is explored in the following section (NICE, 2022; Diabetes UK, 2024).</w:t>
      </w:r>
    </w:p>
    <w:p w14:paraId="4B23E296" w14:textId="5D2A548C" w:rsidR="002E2A07" w:rsidRPr="00E11149" w:rsidRDefault="002E2A07" w:rsidP="00A6723E">
      <w:pPr>
        <w:pStyle w:val="Heading1"/>
        <w:jc w:val="both"/>
      </w:pPr>
      <w:bookmarkStart w:id="3" w:name="_Toc233494707"/>
      <w:r w:rsidRPr="00E11149">
        <w:t>Section 3: Monitoring and data use</w:t>
      </w:r>
      <w:bookmarkEnd w:id="3"/>
    </w:p>
    <w:p w14:paraId="7CA6F32C" w14:textId="73AC2083" w:rsidR="00890185" w:rsidRPr="00890185" w:rsidRDefault="00014151" w:rsidP="00A6723E">
      <w:pPr>
        <w:pStyle w:val="isselectedend"/>
        <w:spacing w:line="360" w:lineRule="auto"/>
        <w:jc w:val="both"/>
        <w:rPr>
          <w:rFonts w:ascii="Arial" w:hAnsi="Arial" w:cs="Arial"/>
          <w:sz w:val="22"/>
          <w:szCs w:val="22"/>
        </w:rPr>
      </w:pPr>
      <w:r>
        <w:rPr>
          <w:rFonts w:ascii="Arial" w:hAnsi="Arial" w:cs="Arial"/>
          <w:sz w:val="22"/>
          <w:szCs w:val="22"/>
        </w:rPr>
        <w:t>Regular blood testing helps individuals and healthcare professionals evaluate how well diabetes is managed</w:t>
      </w:r>
      <w:r w:rsidR="00890185" w:rsidRPr="00890185">
        <w:rPr>
          <w:rFonts w:ascii="Arial" w:hAnsi="Arial" w:cs="Arial"/>
          <w:sz w:val="22"/>
          <w:szCs w:val="22"/>
        </w:rPr>
        <w:t>. Blood glucose can be measured using either capillary finger-prick testing or continuous glucose monitoring (CGM) devices, which provide ongoing glucose readings throughout the day and night. Reviewing these results enables individuals to recognise patterns and understand how diet, physical activity, illness, stress and prescribed medication influence blood glucose levels (Diabetes UK, 2024).</w:t>
      </w:r>
    </w:p>
    <w:p w14:paraId="2BCBC6FD" w14:textId="77777777" w:rsidR="00890185" w:rsidRPr="00890185" w:rsidRDefault="00890185" w:rsidP="00A6723E">
      <w:pPr>
        <w:pStyle w:val="isselectedend"/>
        <w:spacing w:line="360" w:lineRule="auto"/>
        <w:jc w:val="both"/>
        <w:rPr>
          <w:rFonts w:ascii="Arial" w:hAnsi="Arial" w:cs="Arial"/>
          <w:sz w:val="22"/>
          <w:szCs w:val="22"/>
        </w:rPr>
      </w:pPr>
      <w:r w:rsidRPr="00890185">
        <w:rPr>
          <w:rFonts w:ascii="Arial" w:hAnsi="Arial" w:cs="Arial"/>
          <w:sz w:val="22"/>
          <w:szCs w:val="22"/>
        </w:rPr>
        <w:t>Routine monitoring also supports the early recognition of hyperglycaemia and hypoglycaemia, enabling prompt action before more serious complications develop. Responding appropriately through dietary modification, medication adjustment or seeking professional advice helps restore blood glucose to the target range and reduces the risk of both immediate and long-term complications, including diabetic retinopathy, nephropathy, neuropathy and cardiovascular disease (National Institute for Health and Care Excellence (NICE), 2022).</w:t>
      </w:r>
    </w:p>
    <w:p w14:paraId="439D8FE2" w14:textId="77777777" w:rsidR="00890185" w:rsidRPr="00890185" w:rsidRDefault="00890185" w:rsidP="00A6723E">
      <w:pPr>
        <w:pStyle w:val="isselectedend"/>
        <w:spacing w:line="360" w:lineRule="auto"/>
        <w:jc w:val="both"/>
        <w:rPr>
          <w:rFonts w:ascii="Arial" w:hAnsi="Arial" w:cs="Arial"/>
          <w:sz w:val="22"/>
          <w:szCs w:val="22"/>
        </w:rPr>
      </w:pPr>
      <w:r w:rsidRPr="00890185">
        <w:rPr>
          <w:rFonts w:ascii="Arial" w:hAnsi="Arial" w:cs="Arial"/>
          <w:sz w:val="22"/>
          <w:szCs w:val="22"/>
        </w:rPr>
        <w:t xml:space="preserve">Alongside day-to-day glucose monitoring, glycated haemoglobin (HbA1c) testing is used to evaluate average blood glucose control over the previous two to three months and provides an important measure of long-term diabetes management (American Diabetes Association, 2024). Healthcare professionals interpret HbA1c findings together with self-monitoring records to determine whether treatment goals are being achieved and to make informed decisions regarding medication, nutrition and physical activity. This personalised approach allows care plans to be adapted to the changing needs of </w:t>
      </w:r>
      <w:proofErr w:type="gramStart"/>
      <w:r w:rsidRPr="00890185">
        <w:rPr>
          <w:rFonts w:ascii="Arial" w:hAnsi="Arial" w:cs="Arial"/>
          <w:sz w:val="22"/>
          <w:szCs w:val="22"/>
        </w:rPr>
        <w:t>each individual</w:t>
      </w:r>
      <w:proofErr w:type="gramEnd"/>
      <w:r w:rsidRPr="00890185">
        <w:rPr>
          <w:rFonts w:ascii="Arial" w:hAnsi="Arial" w:cs="Arial"/>
          <w:sz w:val="22"/>
          <w:szCs w:val="22"/>
        </w:rPr>
        <w:t>, supporting more effective long-term management (NHS, 2023).</w:t>
      </w:r>
    </w:p>
    <w:p w14:paraId="0EA59EE1" w14:textId="77777777" w:rsidR="00890185" w:rsidRPr="00890185" w:rsidRDefault="00890185" w:rsidP="00A6723E">
      <w:pPr>
        <w:pStyle w:val="NormalWeb"/>
        <w:spacing w:line="360" w:lineRule="auto"/>
        <w:jc w:val="both"/>
        <w:rPr>
          <w:rFonts w:ascii="Arial" w:hAnsi="Arial" w:cs="Arial"/>
          <w:sz w:val="22"/>
          <w:szCs w:val="22"/>
        </w:rPr>
      </w:pPr>
      <w:r w:rsidRPr="00890185">
        <w:rPr>
          <w:rFonts w:ascii="Arial" w:hAnsi="Arial" w:cs="Arial"/>
          <w:sz w:val="22"/>
          <w:szCs w:val="22"/>
        </w:rPr>
        <w:lastRenderedPageBreak/>
        <w:t>Practice nurses play a key role in helping individuals use blood glucose monitoring equipment correctly, interpret their results and recognise when additional medical support is needed. Through patient education and the promotion of self-management, they encourage individuals to understand how lifestyle choices influence blood glucose control and empower them to make informed decisions about their health. This partnership between healthcare professionals and patients improves treatment adherence, supports better glycaemic control and reduces the likelihood of diabetes-related complications while enhancing overall quality of life (Diabetes UK, 2024; NICE, 2022).</w:t>
      </w:r>
    </w:p>
    <w:p w14:paraId="64D68AC8" w14:textId="3A369818" w:rsidR="0051509E" w:rsidRDefault="0051509E" w:rsidP="00A6723E">
      <w:pPr>
        <w:pStyle w:val="Heading1"/>
        <w:jc w:val="both"/>
      </w:pPr>
      <w:bookmarkStart w:id="4" w:name="_Toc233494708"/>
      <w:r w:rsidRPr="00E11149">
        <w:t>Section 4: Evidence-Based Lifestyle Recommendations</w:t>
      </w:r>
      <w:bookmarkEnd w:id="4"/>
    </w:p>
    <w:p w14:paraId="66471754" w14:textId="77777777" w:rsidR="00950A3F" w:rsidRPr="00950A3F" w:rsidRDefault="00950A3F" w:rsidP="00A6723E">
      <w:pPr>
        <w:pStyle w:val="isselectedend"/>
        <w:spacing w:line="360" w:lineRule="auto"/>
        <w:jc w:val="both"/>
        <w:rPr>
          <w:rFonts w:ascii="Arial" w:hAnsi="Arial" w:cs="Arial"/>
          <w:sz w:val="22"/>
          <w:szCs w:val="22"/>
        </w:rPr>
      </w:pPr>
      <w:r w:rsidRPr="00950A3F">
        <w:rPr>
          <w:rFonts w:ascii="Arial" w:hAnsi="Arial" w:cs="Arial"/>
          <w:sz w:val="22"/>
          <w:szCs w:val="22"/>
        </w:rPr>
        <w:t>Adopting healthy lifestyle behaviours plays a central role in both preventing and managing Type 2 diabetes mellitus (T2DM). Current evidence indicates that a combination of healthy eating, regular physical activity, weight management and smoking cessation can improve glycaemic control while reducing the risk of long-term diabetes-related complications (National Institute for Health and Care Excellence (NICE), 2022). By improving insulin sensitivity, these interventions support better blood glucose regulation and contribute to improved long-term health outcomes.</w:t>
      </w:r>
    </w:p>
    <w:p w14:paraId="5056D3BF" w14:textId="77777777" w:rsidR="00950A3F" w:rsidRPr="00950A3F" w:rsidRDefault="00950A3F" w:rsidP="00A6723E">
      <w:pPr>
        <w:pStyle w:val="isselectedend"/>
        <w:spacing w:line="360" w:lineRule="auto"/>
        <w:jc w:val="both"/>
        <w:rPr>
          <w:rFonts w:ascii="Arial" w:hAnsi="Arial" w:cs="Arial"/>
          <w:sz w:val="22"/>
          <w:szCs w:val="22"/>
        </w:rPr>
      </w:pPr>
      <w:r w:rsidRPr="00950A3F">
        <w:rPr>
          <w:rFonts w:ascii="Arial" w:hAnsi="Arial" w:cs="Arial"/>
          <w:sz w:val="22"/>
          <w:szCs w:val="22"/>
        </w:rPr>
        <w:t xml:space="preserve">Dietary management is a key element of diabetes care. Following a balanced eating pattern that includes whole grains, fruit, vegetables, lean sources of protein and unsaturated fats </w:t>
      </w:r>
      <w:proofErr w:type="gramStart"/>
      <w:r w:rsidRPr="00950A3F">
        <w:rPr>
          <w:rFonts w:ascii="Arial" w:hAnsi="Arial" w:cs="Arial"/>
          <w:sz w:val="22"/>
          <w:szCs w:val="22"/>
        </w:rPr>
        <w:t>helps</w:t>
      </w:r>
      <w:proofErr w:type="gramEnd"/>
      <w:r w:rsidRPr="00950A3F">
        <w:rPr>
          <w:rFonts w:ascii="Arial" w:hAnsi="Arial" w:cs="Arial"/>
          <w:sz w:val="22"/>
          <w:szCs w:val="22"/>
        </w:rPr>
        <w:t xml:space="preserve"> support healthy blood glucose levels and overall wellbeing. Limiting foods high in refined sugars, saturated fats and ultra-processed ingredients can reduce rapid increases in blood glucose after meals. Choosing lower glycaemic index foods, eating regular meals and maintaining appropriate portion sizes further promotes stable blood glucose concentrations throughout the day (Diabetes UK, 2024).</w:t>
      </w:r>
    </w:p>
    <w:p w14:paraId="2E06253F" w14:textId="77777777" w:rsidR="00950A3F" w:rsidRPr="00950A3F" w:rsidRDefault="00950A3F" w:rsidP="00A6723E">
      <w:pPr>
        <w:pStyle w:val="isselectedend"/>
        <w:spacing w:line="360" w:lineRule="auto"/>
        <w:jc w:val="both"/>
        <w:rPr>
          <w:rFonts w:ascii="Arial" w:hAnsi="Arial" w:cs="Arial"/>
          <w:sz w:val="22"/>
          <w:szCs w:val="22"/>
        </w:rPr>
      </w:pPr>
      <w:r w:rsidRPr="00950A3F">
        <w:rPr>
          <w:rFonts w:ascii="Arial" w:hAnsi="Arial" w:cs="Arial"/>
          <w:sz w:val="22"/>
          <w:szCs w:val="22"/>
        </w:rPr>
        <w:t>Regular exercise is another essential component of diabetes management. National guidance recommends that adults undertake at least 150 minutes of moderate-intensity physical activity each week alongside muscle-strengthening exercises on two or more days (NICE, 2022). Physical activity enhances insulin sensitivity by increasing glucose uptake into skeletal muscle cells, where glucose combines with oxygen during aerobic respiration to generate adenosine triphosphate (ATP), the body's primary source of cellular energy. Consequently, regular exercise helps lower blood glucose levels, reduce insulin resistance, support weight management and improve cardiovascular function.</w:t>
      </w:r>
    </w:p>
    <w:p w14:paraId="3CCFBA14" w14:textId="77777777" w:rsidR="00950A3F" w:rsidRPr="00950A3F" w:rsidRDefault="00950A3F" w:rsidP="00A6723E">
      <w:pPr>
        <w:pStyle w:val="isselectedend"/>
        <w:spacing w:line="360" w:lineRule="auto"/>
        <w:jc w:val="both"/>
        <w:rPr>
          <w:rFonts w:ascii="Arial" w:hAnsi="Arial" w:cs="Arial"/>
          <w:sz w:val="22"/>
          <w:szCs w:val="22"/>
        </w:rPr>
      </w:pPr>
      <w:r w:rsidRPr="00950A3F">
        <w:rPr>
          <w:rFonts w:ascii="Arial" w:hAnsi="Arial" w:cs="Arial"/>
          <w:sz w:val="22"/>
          <w:szCs w:val="22"/>
        </w:rPr>
        <w:lastRenderedPageBreak/>
        <w:t>Maintaining a healthy body weight is particularly important for individuals who are overweight or obese, as excess adipose tissue contributes to insulin resistance and makes blood glucose regulation more difficult. Research has demonstrated that even modest weight reduction can improve insulin sensitivity, enhance glycaemic control and delay the progression of T2DM (Diabetes UK, 2024; Lean et al., 2018). Smoking cessation is equally important because smoking increases insulin resistance, damages blood vessels and raises the likelihood of cardiovascular disease, stroke and chronic kidney disease. Support from services such as the NHS Stop Smoking Service can improve the chances of successfully quitting (NHS, 2023).</w:t>
      </w:r>
    </w:p>
    <w:p w14:paraId="08226317" w14:textId="2705D3B1" w:rsidR="00950A3F" w:rsidRPr="00950A3F" w:rsidRDefault="00950A3F" w:rsidP="00A6723E">
      <w:pPr>
        <w:pStyle w:val="NormalWeb"/>
        <w:spacing w:line="360" w:lineRule="auto"/>
        <w:jc w:val="both"/>
        <w:rPr>
          <w:rFonts w:ascii="Arial" w:hAnsi="Arial" w:cs="Arial"/>
          <w:sz w:val="22"/>
          <w:szCs w:val="22"/>
        </w:rPr>
      </w:pPr>
      <w:r w:rsidRPr="00950A3F">
        <w:rPr>
          <w:rFonts w:ascii="Arial" w:hAnsi="Arial" w:cs="Arial"/>
          <w:sz w:val="22"/>
          <w:szCs w:val="22"/>
        </w:rPr>
        <w:t xml:space="preserve">Effective diabetes management extends beyond lifestyle modification </w:t>
      </w:r>
      <w:proofErr w:type="gramStart"/>
      <w:r w:rsidR="00E215E1" w:rsidRPr="00950A3F">
        <w:rPr>
          <w:rFonts w:ascii="Arial" w:hAnsi="Arial" w:cs="Arial"/>
          <w:sz w:val="22"/>
          <w:szCs w:val="22"/>
        </w:rPr>
        <w:t>an</w:t>
      </w:r>
      <w:r w:rsidR="00E215E1">
        <w:rPr>
          <w:rFonts w:ascii="Arial" w:hAnsi="Arial" w:cs="Arial"/>
          <w:sz w:val="22"/>
          <w:szCs w:val="22"/>
        </w:rPr>
        <w:t>d also</w:t>
      </w:r>
      <w:proofErr w:type="gramEnd"/>
      <w:r w:rsidRPr="00950A3F">
        <w:rPr>
          <w:rFonts w:ascii="Arial" w:hAnsi="Arial" w:cs="Arial"/>
          <w:sz w:val="22"/>
          <w:szCs w:val="22"/>
        </w:rPr>
        <w:t xml:space="preserve"> requires regular clinical reviews, routine blood glucose monitoring and adherence to prescribed treatment. These measures allow healthcare professionals to assess glycaemic control, identify changes in the condition at an early stage and modify treatment when required. Practice nurses have a crucial role in educating individuals, encouraging sustainable lifestyle changes and promoting active participation in self-management. Through these evidence-based approaches, they help improve blood glucose regulation, </w:t>
      </w:r>
      <w:r w:rsidR="008904EA">
        <w:rPr>
          <w:rFonts w:ascii="Arial" w:hAnsi="Arial" w:cs="Arial"/>
          <w:sz w:val="22"/>
          <w:szCs w:val="22"/>
        </w:rPr>
        <w:t xml:space="preserve">lower the likelihood of diabetes related complications while supporting better long-term wellbeing </w:t>
      </w:r>
      <w:r w:rsidRPr="00950A3F">
        <w:rPr>
          <w:rFonts w:ascii="Arial" w:hAnsi="Arial" w:cs="Arial"/>
          <w:sz w:val="22"/>
          <w:szCs w:val="22"/>
        </w:rPr>
        <w:t>(NICE, 2022; Diabetes UK, 2024).</w:t>
      </w:r>
    </w:p>
    <w:p w14:paraId="44168AA6" w14:textId="3693F82F" w:rsidR="00FD3C4C" w:rsidRDefault="00FD3C4C" w:rsidP="00A6723E">
      <w:pPr>
        <w:pStyle w:val="Heading1"/>
        <w:jc w:val="both"/>
      </w:pPr>
      <w:bookmarkStart w:id="5" w:name="_Toc233494709"/>
      <w:r w:rsidRPr="00E11149">
        <w:t>Conclusion</w:t>
      </w:r>
      <w:bookmarkEnd w:id="5"/>
    </w:p>
    <w:p w14:paraId="23D0169D" w14:textId="3666B572" w:rsidR="001A21EA" w:rsidRPr="001A21EA" w:rsidRDefault="001A21EA" w:rsidP="00A6723E">
      <w:pPr>
        <w:pStyle w:val="isselectedend"/>
        <w:spacing w:line="360" w:lineRule="auto"/>
        <w:jc w:val="both"/>
        <w:rPr>
          <w:rFonts w:ascii="Arial" w:hAnsi="Arial" w:cs="Arial"/>
          <w:sz w:val="22"/>
          <w:szCs w:val="22"/>
        </w:rPr>
      </w:pPr>
      <w:r w:rsidRPr="001A21EA">
        <w:rPr>
          <w:rFonts w:ascii="Arial" w:hAnsi="Arial" w:cs="Arial"/>
          <w:sz w:val="22"/>
          <w:szCs w:val="22"/>
        </w:rPr>
        <w:t xml:space="preserve">In summary, Type 2 diabetes mellitus (T2DM) is a long-term metabolic disorder characterised by insulin resistance and the gradual deterioration of pancreatic β-cell function, leading to impaired regulation of blood glucose. Effective blood glucose homeostasis is essential for normal physiological function because </w:t>
      </w:r>
      <w:r w:rsidR="00E32CFE">
        <w:rPr>
          <w:rFonts w:ascii="Arial" w:hAnsi="Arial" w:cs="Arial"/>
          <w:sz w:val="22"/>
          <w:szCs w:val="22"/>
        </w:rPr>
        <w:t>cells utilise glucose in the presence of oxygen to generate ATP through aerobic respiration</w:t>
      </w:r>
      <w:r w:rsidRPr="001A21EA">
        <w:rPr>
          <w:rFonts w:ascii="Arial" w:hAnsi="Arial" w:cs="Arial"/>
          <w:sz w:val="22"/>
          <w:szCs w:val="22"/>
        </w:rPr>
        <w:t>, the energy that powers cellular processes. When blood glucose regulation is disrupted, persistent hyperglycaemia increases the risk of both microvascular and macrovascular complications, which can have a significant impact on health and quality of life.</w:t>
      </w:r>
    </w:p>
    <w:p w14:paraId="010038D1" w14:textId="4F17CC88" w:rsidR="001A21EA" w:rsidRPr="001A21EA" w:rsidRDefault="001A21EA" w:rsidP="00A6723E">
      <w:pPr>
        <w:pStyle w:val="isselectedend"/>
        <w:spacing w:line="360" w:lineRule="auto"/>
        <w:jc w:val="both"/>
        <w:rPr>
          <w:rFonts w:ascii="Arial" w:hAnsi="Arial" w:cs="Arial"/>
          <w:sz w:val="22"/>
          <w:szCs w:val="22"/>
        </w:rPr>
      </w:pPr>
      <w:r w:rsidRPr="001A21EA">
        <w:rPr>
          <w:rFonts w:ascii="Arial" w:hAnsi="Arial" w:cs="Arial"/>
          <w:sz w:val="22"/>
          <w:szCs w:val="22"/>
        </w:rPr>
        <w:t xml:space="preserve">Successful management of T2DM depends on regular blood glucose monitoring, including self-monitoring where appropriate and HbA1c assessment, to evaluate glycaemic control and guide clinical decision-making. Alongside monitoring, evidence-based lifestyle interventions such as </w:t>
      </w:r>
      <w:r w:rsidR="00F66B39">
        <w:rPr>
          <w:rFonts w:ascii="Arial" w:hAnsi="Arial" w:cs="Arial"/>
          <w:sz w:val="22"/>
          <w:szCs w:val="22"/>
        </w:rPr>
        <w:t xml:space="preserve">following </w:t>
      </w:r>
      <w:r w:rsidRPr="001A21EA">
        <w:rPr>
          <w:rFonts w:ascii="Arial" w:hAnsi="Arial" w:cs="Arial"/>
          <w:sz w:val="22"/>
          <w:szCs w:val="22"/>
        </w:rPr>
        <w:t xml:space="preserve">a </w:t>
      </w:r>
      <w:r w:rsidR="00457C1B">
        <w:rPr>
          <w:rFonts w:ascii="Arial" w:hAnsi="Arial" w:cs="Arial"/>
          <w:sz w:val="22"/>
          <w:szCs w:val="22"/>
        </w:rPr>
        <w:t>healthy eating pattern and taking part in routine physical exercise</w:t>
      </w:r>
      <w:r w:rsidRPr="001A21EA">
        <w:rPr>
          <w:rFonts w:ascii="Arial" w:hAnsi="Arial" w:cs="Arial"/>
          <w:sz w:val="22"/>
          <w:szCs w:val="22"/>
        </w:rPr>
        <w:t xml:space="preserve">, achieving a healthy body weight and stopping smoking </w:t>
      </w:r>
      <w:r w:rsidR="00B32ACA">
        <w:rPr>
          <w:rFonts w:ascii="Arial" w:hAnsi="Arial" w:cs="Arial"/>
          <w:sz w:val="22"/>
          <w:szCs w:val="22"/>
        </w:rPr>
        <w:t xml:space="preserve">enhance insulin action , help regulate blood glucose levels and </w:t>
      </w:r>
      <w:r w:rsidR="00715767">
        <w:rPr>
          <w:rFonts w:ascii="Arial" w:hAnsi="Arial" w:cs="Arial"/>
          <w:sz w:val="22"/>
          <w:szCs w:val="22"/>
        </w:rPr>
        <w:t>minimise</w:t>
      </w:r>
      <w:r w:rsidR="00B32ACA">
        <w:rPr>
          <w:rFonts w:ascii="Arial" w:hAnsi="Arial" w:cs="Arial"/>
          <w:sz w:val="22"/>
          <w:szCs w:val="22"/>
        </w:rPr>
        <w:t xml:space="preserve"> future diabetes related complications</w:t>
      </w:r>
      <w:r w:rsidR="00715767">
        <w:rPr>
          <w:rFonts w:ascii="Arial" w:hAnsi="Arial" w:cs="Arial"/>
          <w:sz w:val="22"/>
          <w:szCs w:val="22"/>
        </w:rPr>
        <w:t xml:space="preserve"> </w:t>
      </w:r>
      <w:r w:rsidRPr="001A21EA">
        <w:rPr>
          <w:rFonts w:ascii="Arial" w:hAnsi="Arial" w:cs="Arial"/>
          <w:sz w:val="22"/>
          <w:szCs w:val="22"/>
        </w:rPr>
        <w:t>(National Institute for Health and Care Excellence (NICE), 2022; Diabetes UK, 2024).</w:t>
      </w:r>
    </w:p>
    <w:p w14:paraId="00904AC0" w14:textId="77777777" w:rsidR="001A21EA" w:rsidRPr="001A21EA" w:rsidRDefault="001A21EA" w:rsidP="00A6723E">
      <w:pPr>
        <w:pStyle w:val="NormalWeb"/>
        <w:spacing w:line="360" w:lineRule="auto"/>
        <w:jc w:val="both"/>
        <w:rPr>
          <w:rFonts w:ascii="Arial" w:hAnsi="Arial" w:cs="Arial"/>
          <w:sz w:val="22"/>
          <w:szCs w:val="22"/>
        </w:rPr>
      </w:pPr>
      <w:r w:rsidRPr="001A21EA">
        <w:rPr>
          <w:rFonts w:ascii="Arial" w:hAnsi="Arial" w:cs="Arial"/>
          <w:sz w:val="22"/>
          <w:szCs w:val="22"/>
        </w:rPr>
        <w:lastRenderedPageBreak/>
        <w:t>Practice nurses are central to supporting individuals with T2DM through education, ongoing assessment and the promotion of effective self-management. By encouraging informed decision-making, reinforcing healthy lifestyle behaviours and supporting adherence to treatment, they help individuals achieve improved glycaemic control, minimise disease progression and enhance long-term health and wellbeing.</w:t>
      </w:r>
    </w:p>
    <w:p w14:paraId="2062DC98" w14:textId="77777777" w:rsidR="001A21EA" w:rsidRPr="001A21EA" w:rsidRDefault="001A21EA" w:rsidP="00A6723E">
      <w:pPr>
        <w:jc w:val="both"/>
      </w:pPr>
    </w:p>
    <w:p w14:paraId="044D0C06" w14:textId="77777777" w:rsidR="00B17630" w:rsidRDefault="00B17630" w:rsidP="00A6723E">
      <w:pPr>
        <w:spacing w:line="360" w:lineRule="auto"/>
        <w:jc w:val="both"/>
        <w:rPr>
          <w:rFonts w:ascii="Arial" w:hAnsi="Arial" w:cs="Arial"/>
          <w:b/>
          <w:bCs/>
          <w:sz w:val="22"/>
          <w:szCs w:val="22"/>
        </w:rPr>
      </w:pPr>
    </w:p>
    <w:p w14:paraId="27DF79F5" w14:textId="77777777" w:rsidR="00B17630" w:rsidRDefault="00B17630" w:rsidP="00A6723E">
      <w:pPr>
        <w:spacing w:line="360" w:lineRule="auto"/>
        <w:jc w:val="both"/>
        <w:rPr>
          <w:rFonts w:ascii="Arial" w:hAnsi="Arial" w:cs="Arial"/>
          <w:b/>
          <w:bCs/>
          <w:sz w:val="22"/>
          <w:szCs w:val="22"/>
        </w:rPr>
      </w:pPr>
    </w:p>
    <w:p w14:paraId="117B7894" w14:textId="77777777" w:rsidR="00B11147" w:rsidRDefault="00B11147" w:rsidP="00A6723E">
      <w:pPr>
        <w:pStyle w:val="Heading1"/>
        <w:jc w:val="both"/>
      </w:pPr>
    </w:p>
    <w:p w14:paraId="11180A03" w14:textId="77777777" w:rsidR="00B11147" w:rsidRDefault="00B11147" w:rsidP="00A6723E">
      <w:pPr>
        <w:pStyle w:val="Heading1"/>
        <w:jc w:val="both"/>
      </w:pPr>
    </w:p>
    <w:p w14:paraId="0655F741" w14:textId="77777777" w:rsidR="00B11147" w:rsidRDefault="00B11147" w:rsidP="00A6723E">
      <w:pPr>
        <w:pStyle w:val="Heading1"/>
        <w:jc w:val="both"/>
      </w:pPr>
    </w:p>
    <w:p w14:paraId="7FCBEC0D" w14:textId="77777777" w:rsidR="00B11147" w:rsidRDefault="00B11147" w:rsidP="00A6723E">
      <w:pPr>
        <w:pStyle w:val="Heading1"/>
        <w:jc w:val="both"/>
      </w:pPr>
    </w:p>
    <w:p w14:paraId="1FC2ED32" w14:textId="77777777" w:rsidR="00B11147" w:rsidRDefault="00B11147" w:rsidP="00A6723E">
      <w:pPr>
        <w:pStyle w:val="Heading1"/>
        <w:jc w:val="both"/>
      </w:pPr>
    </w:p>
    <w:p w14:paraId="1DC05C00" w14:textId="77777777" w:rsidR="00B11147" w:rsidRDefault="00B11147" w:rsidP="00A6723E">
      <w:pPr>
        <w:pStyle w:val="Heading1"/>
        <w:jc w:val="both"/>
      </w:pPr>
    </w:p>
    <w:p w14:paraId="0382E706" w14:textId="77777777" w:rsidR="00B11147" w:rsidRDefault="00B11147" w:rsidP="00A6723E">
      <w:pPr>
        <w:pStyle w:val="Heading1"/>
        <w:jc w:val="both"/>
      </w:pPr>
    </w:p>
    <w:p w14:paraId="5EA8C5C3" w14:textId="77777777" w:rsidR="00B11147" w:rsidRPr="00B11147" w:rsidRDefault="00B11147" w:rsidP="00B11147"/>
    <w:p w14:paraId="78FF785A" w14:textId="77777777" w:rsidR="004C6C97" w:rsidRDefault="004C6C97" w:rsidP="00A6723E">
      <w:pPr>
        <w:pStyle w:val="Heading1"/>
        <w:jc w:val="both"/>
      </w:pPr>
      <w:bookmarkStart w:id="6" w:name="_Toc233494710"/>
    </w:p>
    <w:p w14:paraId="6B61D56B" w14:textId="77777777" w:rsidR="00C363A8" w:rsidRPr="00C363A8" w:rsidRDefault="00C363A8" w:rsidP="00C363A8"/>
    <w:p w14:paraId="7CE29171" w14:textId="355AD739" w:rsidR="007E0632" w:rsidRPr="00E11149" w:rsidRDefault="007E0632" w:rsidP="00A6723E">
      <w:pPr>
        <w:pStyle w:val="Heading1"/>
        <w:jc w:val="both"/>
      </w:pPr>
      <w:r w:rsidRPr="00E11149">
        <w:lastRenderedPageBreak/>
        <w:t>References</w:t>
      </w:r>
      <w:bookmarkEnd w:id="6"/>
    </w:p>
    <w:p w14:paraId="0FF0D904" w14:textId="523A2E53"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American Diabetes Association (2024) </w:t>
      </w:r>
      <w:r w:rsidRPr="00C01C68">
        <w:rPr>
          <w:rStyle w:val="Emphasis"/>
          <w:rFonts w:ascii="Arial" w:hAnsi="Arial" w:cs="Arial"/>
          <w:sz w:val="22"/>
          <w:szCs w:val="22"/>
        </w:rPr>
        <w:t>Standards of Care in Diabetes—2024</w:t>
      </w:r>
      <w:r w:rsidRPr="00C01C68">
        <w:rPr>
          <w:rFonts w:ascii="Arial" w:hAnsi="Arial" w:cs="Arial"/>
          <w:sz w:val="22"/>
          <w:szCs w:val="22"/>
        </w:rPr>
        <w:t xml:space="preserve">. </w:t>
      </w:r>
      <w:r w:rsidRPr="00C01C68">
        <w:rPr>
          <w:rStyle w:val="Emphasis"/>
          <w:rFonts w:ascii="Arial" w:hAnsi="Arial" w:cs="Arial"/>
          <w:sz w:val="22"/>
          <w:szCs w:val="22"/>
        </w:rPr>
        <w:t>Diabetes Care</w:t>
      </w:r>
      <w:r w:rsidRPr="00C01C68">
        <w:rPr>
          <w:rFonts w:ascii="Arial" w:hAnsi="Arial" w:cs="Arial"/>
          <w:sz w:val="22"/>
          <w:szCs w:val="22"/>
        </w:rPr>
        <w:t xml:space="preserve">, 47(Supplement 1), pp. S1–S321. Available at: </w:t>
      </w:r>
      <w:hyperlink r:id="rId9" w:history="1">
        <w:r w:rsidRPr="00C01C68">
          <w:rPr>
            <w:rStyle w:val="Hyperlink"/>
            <w:rFonts w:ascii="Arial" w:hAnsi="Arial" w:cs="Arial"/>
            <w:sz w:val="22"/>
            <w:szCs w:val="22"/>
          </w:rPr>
          <w:t>https://diabetesjournals.org/care/issue/47/Supplement_1</w:t>
        </w:r>
      </w:hyperlink>
      <w:r w:rsidRPr="00C01C68">
        <w:rPr>
          <w:rFonts w:ascii="Arial" w:hAnsi="Arial" w:cs="Arial"/>
          <w:sz w:val="22"/>
          <w:szCs w:val="22"/>
        </w:rPr>
        <w:t xml:space="preserve"> (Accessed: 2</w:t>
      </w:r>
      <w:r w:rsidR="002732A8">
        <w:rPr>
          <w:rFonts w:ascii="Arial" w:hAnsi="Arial" w:cs="Arial"/>
          <w:sz w:val="22"/>
          <w:szCs w:val="22"/>
        </w:rPr>
        <w:t>0</w:t>
      </w:r>
      <w:r w:rsidRPr="00C01C68">
        <w:rPr>
          <w:rFonts w:ascii="Arial" w:hAnsi="Arial" w:cs="Arial"/>
          <w:sz w:val="22"/>
          <w:szCs w:val="22"/>
        </w:rPr>
        <w:t xml:space="preserve"> June 2026).</w:t>
      </w:r>
    </w:p>
    <w:p w14:paraId="25C2339D" w14:textId="0D0FC017"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Beck, R.W., Riddlesworth, T., Ruedy, K., Ahmann, A., </w:t>
      </w:r>
      <w:proofErr w:type="spellStart"/>
      <w:r w:rsidRPr="00C01C68">
        <w:rPr>
          <w:rFonts w:ascii="Arial" w:hAnsi="Arial" w:cs="Arial"/>
          <w:sz w:val="22"/>
          <w:szCs w:val="22"/>
        </w:rPr>
        <w:t>Bergenstal</w:t>
      </w:r>
      <w:proofErr w:type="spellEnd"/>
      <w:r w:rsidRPr="00C01C68">
        <w:rPr>
          <w:rFonts w:ascii="Arial" w:hAnsi="Arial" w:cs="Arial"/>
          <w:sz w:val="22"/>
          <w:szCs w:val="22"/>
        </w:rPr>
        <w:t xml:space="preserve">, R., Haller, S., Kruger, D., McGill, J.B., Polonsky, W., Price, D. and Aronoff, S. (2017) 'Continuous glucose monitoring versus usual care in patients with type 2 diabetes receiving multiple daily insulin injections: A randomized trial', </w:t>
      </w:r>
      <w:r w:rsidRPr="00C01C68">
        <w:rPr>
          <w:rStyle w:val="Emphasis"/>
          <w:rFonts w:ascii="Arial" w:hAnsi="Arial" w:cs="Arial"/>
          <w:sz w:val="22"/>
          <w:szCs w:val="22"/>
        </w:rPr>
        <w:t>Annals of Internal Medicine</w:t>
      </w:r>
      <w:r w:rsidRPr="00C01C68">
        <w:rPr>
          <w:rFonts w:ascii="Arial" w:hAnsi="Arial" w:cs="Arial"/>
          <w:sz w:val="22"/>
          <w:szCs w:val="22"/>
        </w:rPr>
        <w:t xml:space="preserve">, 167(6), pp. 365–374. Available at: </w:t>
      </w:r>
      <w:hyperlink r:id="rId10" w:history="1">
        <w:r w:rsidRPr="00C01C68">
          <w:rPr>
            <w:rStyle w:val="Hyperlink"/>
            <w:rFonts w:ascii="Arial" w:hAnsi="Arial" w:cs="Arial"/>
            <w:sz w:val="22"/>
            <w:szCs w:val="22"/>
          </w:rPr>
          <w:t>https://doi.org/10.7326/M16-2855</w:t>
        </w:r>
      </w:hyperlink>
      <w:r w:rsidRPr="00C01C68">
        <w:rPr>
          <w:rFonts w:ascii="Arial" w:hAnsi="Arial" w:cs="Arial"/>
          <w:sz w:val="22"/>
          <w:szCs w:val="22"/>
        </w:rPr>
        <w:t xml:space="preserve"> (Accessed: 2</w:t>
      </w:r>
      <w:r w:rsidR="002732A8">
        <w:rPr>
          <w:rFonts w:ascii="Arial" w:hAnsi="Arial" w:cs="Arial"/>
          <w:sz w:val="22"/>
          <w:szCs w:val="22"/>
        </w:rPr>
        <w:t>0</w:t>
      </w:r>
      <w:r w:rsidRPr="00C01C68">
        <w:rPr>
          <w:rFonts w:ascii="Arial" w:hAnsi="Arial" w:cs="Arial"/>
          <w:sz w:val="22"/>
          <w:szCs w:val="22"/>
        </w:rPr>
        <w:t xml:space="preserve"> June 2026).</w:t>
      </w:r>
    </w:p>
    <w:p w14:paraId="2642DA9D" w14:textId="1BA6F77E"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Colberg, S.R., Sigal, R.J., Yardley, J.E., Riddell, M.C., Dunstan, D.W., Dempsey, P.C., Horton, E.S., Castorino, K. and Tate, D.F. (2016) 'Physical activity/exercise and diabetes: A position statement of the American Diabetes Association', </w:t>
      </w:r>
      <w:r w:rsidRPr="00C01C68">
        <w:rPr>
          <w:rStyle w:val="Emphasis"/>
          <w:rFonts w:ascii="Arial" w:hAnsi="Arial" w:cs="Arial"/>
          <w:sz w:val="22"/>
          <w:szCs w:val="22"/>
        </w:rPr>
        <w:t>Diabetes Care</w:t>
      </w:r>
      <w:r w:rsidRPr="00C01C68">
        <w:rPr>
          <w:rFonts w:ascii="Arial" w:hAnsi="Arial" w:cs="Arial"/>
          <w:sz w:val="22"/>
          <w:szCs w:val="22"/>
        </w:rPr>
        <w:t xml:space="preserve">, 39(11), pp. 2065–2079. Available at: </w:t>
      </w:r>
      <w:hyperlink r:id="rId11" w:history="1">
        <w:r w:rsidRPr="00C01C68">
          <w:rPr>
            <w:rStyle w:val="Hyperlink"/>
            <w:rFonts w:ascii="Arial" w:hAnsi="Arial" w:cs="Arial"/>
            <w:sz w:val="22"/>
            <w:szCs w:val="22"/>
          </w:rPr>
          <w:t>https://doi.org/10.2337/dc16-1728</w:t>
        </w:r>
      </w:hyperlink>
      <w:r w:rsidRPr="00C01C68">
        <w:rPr>
          <w:rFonts w:ascii="Arial" w:hAnsi="Arial" w:cs="Arial"/>
          <w:sz w:val="22"/>
          <w:szCs w:val="22"/>
        </w:rPr>
        <w:t xml:space="preserve"> (Accessed: </w:t>
      </w:r>
      <w:r w:rsidR="002732A8">
        <w:rPr>
          <w:rFonts w:ascii="Arial" w:hAnsi="Arial" w:cs="Arial"/>
          <w:sz w:val="22"/>
          <w:szCs w:val="22"/>
        </w:rPr>
        <w:t>18</w:t>
      </w:r>
      <w:r w:rsidRPr="00C01C68">
        <w:rPr>
          <w:rFonts w:ascii="Arial" w:hAnsi="Arial" w:cs="Arial"/>
          <w:sz w:val="22"/>
          <w:szCs w:val="22"/>
        </w:rPr>
        <w:t xml:space="preserve"> June 2026).</w:t>
      </w:r>
    </w:p>
    <w:p w14:paraId="6DC984EF" w14:textId="5A5BD722"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Davies, M.J., </w:t>
      </w:r>
      <w:proofErr w:type="spellStart"/>
      <w:r w:rsidRPr="00C01C68">
        <w:rPr>
          <w:rFonts w:ascii="Arial" w:hAnsi="Arial" w:cs="Arial"/>
          <w:sz w:val="22"/>
          <w:szCs w:val="22"/>
        </w:rPr>
        <w:t>Aroda</w:t>
      </w:r>
      <w:proofErr w:type="spellEnd"/>
      <w:r w:rsidRPr="00C01C68">
        <w:rPr>
          <w:rFonts w:ascii="Arial" w:hAnsi="Arial" w:cs="Arial"/>
          <w:sz w:val="22"/>
          <w:szCs w:val="22"/>
        </w:rPr>
        <w:t xml:space="preserve">, V.R., Collins, B.S., Gabbay, R.A., Green, J., </w:t>
      </w:r>
      <w:proofErr w:type="spellStart"/>
      <w:r w:rsidRPr="00C01C68">
        <w:rPr>
          <w:rFonts w:ascii="Arial" w:hAnsi="Arial" w:cs="Arial"/>
          <w:sz w:val="22"/>
          <w:szCs w:val="22"/>
        </w:rPr>
        <w:t>Maruthur</w:t>
      </w:r>
      <w:proofErr w:type="spellEnd"/>
      <w:r w:rsidRPr="00C01C68">
        <w:rPr>
          <w:rFonts w:ascii="Arial" w:hAnsi="Arial" w:cs="Arial"/>
          <w:sz w:val="22"/>
          <w:szCs w:val="22"/>
        </w:rPr>
        <w:t xml:space="preserve">, N.M., Rosas, S.E., Del Prato, S., Mathieu, C., Mingrone, G., Rossing, P., </w:t>
      </w:r>
      <w:proofErr w:type="spellStart"/>
      <w:r w:rsidRPr="00C01C68">
        <w:rPr>
          <w:rFonts w:ascii="Arial" w:hAnsi="Arial" w:cs="Arial"/>
          <w:sz w:val="22"/>
          <w:szCs w:val="22"/>
        </w:rPr>
        <w:t>Tsapas</w:t>
      </w:r>
      <w:proofErr w:type="spellEnd"/>
      <w:r w:rsidRPr="00C01C68">
        <w:rPr>
          <w:rFonts w:ascii="Arial" w:hAnsi="Arial" w:cs="Arial"/>
          <w:sz w:val="22"/>
          <w:szCs w:val="22"/>
        </w:rPr>
        <w:t xml:space="preserve">, A., Buse, J.B. and others (2022) 'Management of hyperglycaemia in type 2 diabetes, 2022. A consensus report by the American Diabetes Association (ADA) and the European Association for the Study of Diabetes (EASD)', </w:t>
      </w:r>
      <w:proofErr w:type="spellStart"/>
      <w:r w:rsidRPr="00C01C68">
        <w:rPr>
          <w:rStyle w:val="Emphasis"/>
          <w:rFonts w:ascii="Arial" w:hAnsi="Arial" w:cs="Arial"/>
          <w:sz w:val="22"/>
          <w:szCs w:val="22"/>
        </w:rPr>
        <w:t>Diabetologia</w:t>
      </w:r>
      <w:proofErr w:type="spellEnd"/>
      <w:r w:rsidRPr="00C01C68">
        <w:rPr>
          <w:rFonts w:ascii="Arial" w:hAnsi="Arial" w:cs="Arial"/>
          <w:sz w:val="22"/>
          <w:szCs w:val="22"/>
        </w:rPr>
        <w:t xml:space="preserve">, 65(12), pp. 1925–1966. Available at: </w:t>
      </w:r>
      <w:hyperlink r:id="rId12" w:history="1">
        <w:r w:rsidRPr="00C01C68">
          <w:rPr>
            <w:rStyle w:val="Hyperlink"/>
            <w:rFonts w:ascii="Arial" w:hAnsi="Arial" w:cs="Arial"/>
            <w:sz w:val="22"/>
            <w:szCs w:val="22"/>
          </w:rPr>
          <w:t>https://doi.org/10.1007/s00125-022-05787-2</w:t>
        </w:r>
      </w:hyperlink>
      <w:r w:rsidRPr="00C01C68">
        <w:rPr>
          <w:rFonts w:ascii="Arial" w:hAnsi="Arial" w:cs="Arial"/>
          <w:sz w:val="22"/>
          <w:szCs w:val="22"/>
        </w:rPr>
        <w:t xml:space="preserve"> (Accessed: </w:t>
      </w:r>
      <w:r w:rsidR="002732A8">
        <w:rPr>
          <w:rFonts w:ascii="Arial" w:hAnsi="Arial" w:cs="Arial"/>
          <w:sz w:val="22"/>
          <w:szCs w:val="22"/>
        </w:rPr>
        <w:t>17</w:t>
      </w:r>
      <w:r w:rsidRPr="00C01C68">
        <w:rPr>
          <w:rFonts w:ascii="Arial" w:hAnsi="Arial" w:cs="Arial"/>
          <w:sz w:val="22"/>
          <w:szCs w:val="22"/>
        </w:rPr>
        <w:t xml:space="preserve"> June 2026).</w:t>
      </w:r>
    </w:p>
    <w:p w14:paraId="66FDC519" w14:textId="471077CC"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DeFronzo, R.A., </w:t>
      </w:r>
      <w:proofErr w:type="spellStart"/>
      <w:r w:rsidRPr="00C01C68">
        <w:rPr>
          <w:rFonts w:ascii="Arial" w:hAnsi="Arial" w:cs="Arial"/>
          <w:sz w:val="22"/>
          <w:szCs w:val="22"/>
        </w:rPr>
        <w:t>Ferrannini</w:t>
      </w:r>
      <w:proofErr w:type="spellEnd"/>
      <w:r w:rsidRPr="00C01C68">
        <w:rPr>
          <w:rFonts w:ascii="Arial" w:hAnsi="Arial" w:cs="Arial"/>
          <w:sz w:val="22"/>
          <w:szCs w:val="22"/>
        </w:rPr>
        <w:t xml:space="preserve">, E., Groop, L., Henry, R.R., Herman, W.H., Holst, J.J., Hu, F.B., Kahn, C.R., Raz, I., Shulman, G.I., Simonson, D.C., Testa, M.A. and Weiss, R. (2015) </w:t>
      </w:r>
      <w:r w:rsidRPr="00C01C68">
        <w:rPr>
          <w:rStyle w:val="Emphasis"/>
          <w:rFonts w:ascii="Arial" w:hAnsi="Arial" w:cs="Arial"/>
          <w:sz w:val="22"/>
          <w:szCs w:val="22"/>
        </w:rPr>
        <w:t>Type 2 diabetes mellitus</w:t>
      </w:r>
      <w:r w:rsidRPr="00C01C68">
        <w:rPr>
          <w:rFonts w:ascii="Arial" w:hAnsi="Arial" w:cs="Arial"/>
          <w:sz w:val="22"/>
          <w:szCs w:val="22"/>
        </w:rPr>
        <w:t xml:space="preserve">. </w:t>
      </w:r>
      <w:r w:rsidRPr="00C01C68">
        <w:rPr>
          <w:rStyle w:val="Emphasis"/>
          <w:rFonts w:ascii="Arial" w:hAnsi="Arial" w:cs="Arial"/>
          <w:sz w:val="22"/>
          <w:szCs w:val="22"/>
        </w:rPr>
        <w:t>Nature Reviews Disease Primers</w:t>
      </w:r>
      <w:r w:rsidRPr="00C01C68">
        <w:rPr>
          <w:rFonts w:ascii="Arial" w:hAnsi="Arial" w:cs="Arial"/>
          <w:sz w:val="22"/>
          <w:szCs w:val="22"/>
        </w:rPr>
        <w:t xml:space="preserve">, 1, Article 15019. Available at: </w:t>
      </w:r>
      <w:hyperlink r:id="rId13" w:history="1">
        <w:r w:rsidRPr="00C01C68">
          <w:rPr>
            <w:rStyle w:val="Hyperlink"/>
            <w:rFonts w:ascii="Arial" w:hAnsi="Arial" w:cs="Arial"/>
            <w:sz w:val="22"/>
            <w:szCs w:val="22"/>
          </w:rPr>
          <w:t>https://www.nature.com/articles/nrdp201519</w:t>
        </w:r>
      </w:hyperlink>
      <w:r w:rsidRPr="00C01C68">
        <w:rPr>
          <w:rFonts w:ascii="Arial" w:hAnsi="Arial" w:cs="Arial"/>
          <w:sz w:val="22"/>
          <w:szCs w:val="22"/>
        </w:rPr>
        <w:t xml:space="preserve"> (Accessed: 2</w:t>
      </w:r>
      <w:r w:rsidR="002732A8">
        <w:rPr>
          <w:rFonts w:ascii="Arial" w:hAnsi="Arial" w:cs="Arial"/>
          <w:sz w:val="22"/>
          <w:szCs w:val="22"/>
        </w:rPr>
        <w:t>0</w:t>
      </w:r>
      <w:r w:rsidRPr="00C01C68">
        <w:rPr>
          <w:rFonts w:ascii="Arial" w:hAnsi="Arial" w:cs="Arial"/>
          <w:sz w:val="22"/>
          <w:szCs w:val="22"/>
        </w:rPr>
        <w:t xml:space="preserve"> June 2026).</w:t>
      </w:r>
    </w:p>
    <w:p w14:paraId="307F4F16" w14:textId="219D667F"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Diabetes UK (2024) </w:t>
      </w:r>
      <w:r w:rsidRPr="00C01C68">
        <w:rPr>
          <w:rStyle w:val="Emphasis"/>
          <w:rFonts w:ascii="Arial" w:hAnsi="Arial" w:cs="Arial"/>
          <w:sz w:val="22"/>
          <w:szCs w:val="22"/>
        </w:rPr>
        <w:t>Diabetes statistics</w:t>
      </w:r>
      <w:r w:rsidRPr="00C01C68">
        <w:rPr>
          <w:rFonts w:ascii="Arial" w:hAnsi="Arial" w:cs="Arial"/>
          <w:sz w:val="22"/>
          <w:szCs w:val="22"/>
        </w:rPr>
        <w:t xml:space="preserve">. Available at: </w:t>
      </w:r>
      <w:hyperlink r:id="rId14" w:history="1">
        <w:r w:rsidRPr="00C01C68">
          <w:rPr>
            <w:rStyle w:val="Hyperlink"/>
            <w:rFonts w:ascii="Arial" w:hAnsi="Arial" w:cs="Arial"/>
            <w:sz w:val="22"/>
            <w:szCs w:val="22"/>
          </w:rPr>
          <w:t>https://www.diabetes.org.uk/about-us/about-the-charity/our-strategy/statistics</w:t>
        </w:r>
      </w:hyperlink>
      <w:r w:rsidRPr="00C01C68">
        <w:rPr>
          <w:rFonts w:ascii="Arial" w:hAnsi="Arial" w:cs="Arial"/>
          <w:sz w:val="22"/>
          <w:szCs w:val="22"/>
        </w:rPr>
        <w:t xml:space="preserve"> (Accessed: </w:t>
      </w:r>
      <w:r w:rsidR="002732A8">
        <w:rPr>
          <w:rFonts w:ascii="Arial" w:hAnsi="Arial" w:cs="Arial"/>
          <w:sz w:val="22"/>
          <w:szCs w:val="22"/>
        </w:rPr>
        <w:t>19</w:t>
      </w:r>
      <w:r w:rsidRPr="00C01C68">
        <w:rPr>
          <w:rFonts w:ascii="Arial" w:hAnsi="Arial" w:cs="Arial"/>
          <w:sz w:val="22"/>
          <w:szCs w:val="22"/>
        </w:rPr>
        <w:t xml:space="preserve"> June 2026).</w:t>
      </w:r>
    </w:p>
    <w:p w14:paraId="1F09D443" w14:textId="219F727D"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Diabetes UK (2024) </w:t>
      </w:r>
      <w:r w:rsidRPr="00C01C68">
        <w:rPr>
          <w:rStyle w:val="Emphasis"/>
          <w:rFonts w:ascii="Arial" w:hAnsi="Arial" w:cs="Arial"/>
          <w:sz w:val="22"/>
          <w:szCs w:val="22"/>
        </w:rPr>
        <w:t>Type 2 diabetes</w:t>
      </w:r>
      <w:r w:rsidRPr="00C01C68">
        <w:rPr>
          <w:rFonts w:ascii="Arial" w:hAnsi="Arial" w:cs="Arial"/>
          <w:sz w:val="22"/>
          <w:szCs w:val="22"/>
        </w:rPr>
        <w:t xml:space="preserve">. Available at: </w:t>
      </w:r>
      <w:hyperlink r:id="rId15" w:history="1">
        <w:r w:rsidRPr="00C01C68">
          <w:rPr>
            <w:rStyle w:val="Hyperlink"/>
            <w:rFonts w:ascii="Arial" w:hAnsi="Arial" w:cs="Arial"/>
            <w:sz w:val="22"/>
            <w:szCs w:val="22"/>
          </w:rPr>
          <w:t>https://www.diabetes.org.uk/about-diabetes/type-2-diabetes</w:t>
        </w:r>
      </w:hyperlink>
      <w:r w:rsidRPr="00C01C68">
        <w:rPr>
          <w:rFonts w:ascii="Arial" w:hAnsi="Arial" w:cs="Arial"/>
          <w:sz w:val="22"/>
          <w:szCs w:val="22"/>
        </w:rPr>
        <w:t xml:space="preserve"> (Accessed: </w:t>
      </w:r>
      <w:r w:rsidR="002732A8">
        <w:rPr>
          <w:rFonts w:ascii="Arial" w:hAnsi="Arial" w:cs="Arial"/>
          <w:sz w:val="22"/>
          <w:szCs w:val="22"/>
        </w:rPr>
        <w:t>19</w:t>
      </w:r>
      <w:r w:rsidRPr="00C01C68">
        <w:rPr>
          <w:rFonts w:ascii="Arial" w:hAnsi="Arial" w:cs="Arial"/>
          <w:sz w:val="22"/>
          <w:szCs w:val="22"/>
        </w:rPr>
        <w:t xml:space="preserve"> June 2026).</w:t>
      </w:r>
    </w:p>
    <w:p w14:paraId="5720DCF0" w14:textId="6001E30B"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Evert, A.B., Dennison, M., Gardner, C.D., Garvey, W.T., Lau, K.H.K., MacLeod, J., Mitri, J., Pereira, R.F., Rawlings, K., Robinson, S., Saslow, L., Uelmen, S., Urbanski, P.B. and Yancy, W.S. (2019) 'Nutrition therapy for adults with diabetes or prediabetes: A consensus report', </w:t>
      </w:r>
      <w:r w:rsidRPr="00C01C68">
        <w:rPr>
          <w:rStyle w:val="Emphasis"/>
          <w:rFonts w:ascii="Arial" w:hAnsi="Arial" w:cs="Arial"/>
          <w:sz w:val="22"/>
          <w:szCs w:val="22"/>
        </w:rPr>
        <w:lastRenderedPageBreak/>
        <w:t>Diabetes Care</w:t>
      </w:r>
      <w:r w:rsidRPr="00C01C68">
        <w:rPr>
          <w:rFonts w:ascii="Arial" w:hAnsi="Arial" w:cs="Arial"/>
          <w:sz w:val="22"/>
          <w:szCs w:val="22"/>
        </w:rPr>
        <w:t xml:space="preserve">, 42(5), pp. 731–754. Available at: </w:t>
      </w:r>
      <w:hyperlink r:id="rId16" w:history="1">
        <w:r w:rsidRPr="00C01C68">
          <w:rPr>
            <w:rStyle w:val="Hyperlink"/>
            <w:rFonts w:ascii="Arial" w:hAnsi="Arial" w:cs="Arial"/>
            <w:sz w:val="22"/>
            <w:szCs w:val="22"/>
          </w:rPr>
          <w:t>https://doi.org/10.2337/dci19-0014</w:t>
        </w:r>
      </w:hyperlink>
      <w:r w:rsidRPr="00C01C68">
        <w:rPr>
          <w:rFonts w:ascii="Arial" w:hAnsi="Arial" w:cs="Arial"/>
          <w:sz w:val="22"/>
          <w:szCs w:val="22"/>
        </w:rPr>
        <w:t xml:space="preserve"> (Accessed: </w:t>
      </w:r>
      <w:r w:rsidR="002732A8">
        <w:rPr>
          <w:rFonts w:ascii="Arial" w:hAnsi="Arial" w:cs="Arial"/>
          <w:sz w:val="22"/>
          <w:szCs w:val="22"/>
        </w:rPr>
        <w:t>19</w:t>
      </w:r>
      <w:r w:rsidRPr="00C01C68">
        <w:rPr>
          <w:rFonts w:ascii="Arial" w:hAnsi="Arial" w:cs="Arial"/>
          <w:sz w:val="22"/>
          <w:szCs w:val="22"/>
        </w:rPr>
        <w:t xml:space="preserve"> June 2026).</w:t>
      </w:r>
    </w:p>
    <w:p w14:paraId="22C8D1C9" w14:textId="29DD6269"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Forbes, J.M. and Cooper, M.E. (2013) 'Mechanisms of diabetic complications', </w:t>
      </w:r>
      <w:r w:rsidRPr="00C01C68">
        <w:rPr>
          <w:rStyle w:val="Emphasis"/>
          <w:rFonts w:ascii="Arial" w:hAnsi="Arial" w:cs="Arial"/>
          <w:sz w:val="22"/>
          <w:szCs w:val="22"/>
        </w:rPr>
        <w:t>Physiological Reviews</w:t>
      </w:r>
      <w:r w:rsidRPr="00C01C68">
        <w:rPr>
          <w:rFonts w:ascii="Arial" w:hAnsi="Arial" w:cs="Arial"/>
          <w:sz w:val="22"/>
          <w:szCs w:val="22"/>
        </w:rPr>
        <w:t xml:space="preserve">, 93(1), pp. 137–188. Available at: </w:t>
      </w:r>
      <w:hyperlink r:id="rId17" w:history="1">
        <w:r w:rsidRPr="00C01C68">
          <w:rPr>
            <w:rStyle w:val="Hyperlink"/>
            <w:rFonts w:ascii="Arial" w:hAnsi="Arial" w:cs="Arial"/>
            <w:sz w:val="22"/>
            <w:szCs w:val="22"/>
          </w:rPr>
          <w:t>https://doi.org/10.1152/physrev.00045.2011</w:t>
        </w:r>
      </w:hyperlink>
      <w:r w:rsidRPr="00C01C68">
        <w:rPr>
          <w:rFonts w:ascii="Arial" w:hAnsi="Arial" w:cs="Arial"/>
          <w:sz w:val="22"/>
          <w:szCs w:val="22"/>
        </w:rPr>
        <w:t xml:space="preserve"> (Accessed: </w:t>
      </w:r>
      <w:r w:rsidR="002732A8">
        <w:rPr>
          <w:rFonts w:ascii="Arial" w:hAnsi="Arial" w:cs="Arial"/>
          <w:sz w:val="22"/>
          <w:szCs w:val="22"/>
        </w:rPr>
        <w:t>16</w:t>
      </w:r>
      <w:r w:rsidRPr="00C01C68">
        <w:rPr>
          <w:rFonts w:ascii="Arial" w:hAnsi="Arial" w:cs="Arial"/>
          <w:sz w:val="22"/>
          <w:szCs w:val="22"/>
        </w:rPr>
        <w:t xml:space="preserve"> June 2026).</w:t>
      </w:r>
    </w:p>
    <w:p w14:paraId="0D24C365" w14:textId="77777777"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Hall, J.E. and Hall, M.E. (2021) </w:t>
      </w:r>
      <w:r w:rsidRPr="00C01C68">
        <w:rPr>
          <w:rStyle w:val="Emphasis"/>
          <w:rFonts w:ascii="Arial" w:hAnsi="Arial" w:cs="Arial"/>
          <w:sz w:val="22"/>
          <w:szCs w:val="22"/>
        </w:rPr>
        <w:t>Guyton and Hall Textbook of Medical Physiology</w:t>
      </w:r>
      <w:r w:rsidRPr="00C01C68">
        <w:rPr>
          <w:rFonts w:ascii="Arial" w:hAnsi="Arial" w:cs="Arial"/>
          <w:sz w:val="22"/>
          <w:szCs w:val="22"/>
        </w:rPr>
        <w:t xml:space="preserve">. 14th </w:t>
      </w:r>
      <w:proofErr w:type="spellStart"/>
      <w:r w:rsidRPr="00C01C68">
        <w:rPr>
          <w:rFonts w:ascii="Arial" w:hAnsi="Arial" w:cs="Arial"/>
          <w:sz w:val="22"/>
          <w:szCs w:val="22"/>
        </w:rPr>
        <w:t>edn</w:t>
      </w:r>
      <w:proofErr w:type="spellEnd"/>
      <w:r w:rsidRPr="00C01C68">
        <w:rPr>
          <w:rFonts w:ascii="Arial" w:hAnsi="Arial" w:cs="Arial"/>
          <w:sz w:val="22"/>
          <w:szCs w:val="22"/>
        </w:rPr>
        <w:t>. Philadelphia: Elsevier.</w:t>
      </w:r>
    </w:p>
    <w:p w14:paraId="5668B615" w14:textId="20DBC85A"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International Diabetes Federation (2025) </w:t>
      </w:r>
      <w:r w:rsidRPr="00C01C68">
        <w:rPr>
          <w:rStyle w:val="Emphasis"/>
          <w:rFonts w:ascii="Arial" w:hAnsi="Arial" w:cs="Arial"/>
          <w:sz w:val="22"/>
          <w:szCs w:val="22"/>
        </w:rPr>
        <w:t>IDF Diabetes Atlas</w:t>
      </w:r>
      <w:r w:rsidRPr="00C01C68">
        <w:rPr>
          <w:rFonts w:ascii="Arial" w:hAnsi="Arial" w:cs="Arial"/>
          <w:sz w:val="22"/>
          <w:szCs w:val="22"/>
        </w:rPr>
        <w:t xml:space="preserve">. 11th </w:t>
      </w:r>
      <w:proofErr w:type="spellStart"/>
      <w:r w:rsidRPr="00C01C68">
        <w:rPr>
          <w:rFonts w:ascii="Arial" w:hAnsi="Arial" w:cs="Arial"/>
          <w:sz w:val="22"/>
          <w:szCs w:val="22"/>
        </w:rPr>
        <w:t>edn</w:t>
      </w:r>
      <w:proofErr w:type="spellEnd"/>
      <w:r w:rsidRPr="00C01C68">
        <w:rPr>
          <w:rFonts w:ascii="Arial" w:hAnsi="Arial" w:cs="Arial"/>
          <w:sz w:val="22"/>
          <w:szCs w:val="22"/>
        </w:rPr>
        <w:t xml:space="preserve">. Brussels: International Diabetes Federation. Available at: </w:t>
      </w:r>
      <w:hyperlink r:id="rId18" w:history="1">
        <w:r w:rsidRPr="00C01C68">
          <w:rPr>
            <w:rStyle w:val="Hyperlink"/>
            <w:rFonts w:ascii="Arial" w:hAnsi="Arial" w:cs="Arial"/>
            <w:sz w:val="22"/>
            <w:szCs w:val="22"/>
          </w:rPr>
          <w:t>https://diabetesatlas.org/</w:t>
        </w:r>
      </w:hyperlink>
      <w:r w:rsidRPr="00C01C68">
        <w:rPr>
          <w:rFonts w:ascii="Arial" w:hAnsi="Arial" w:cs="Arial"/>
          <w:sz w:val="22"/>
          <w:szCs w:val="22"/>
        </w:rPr>
        <w:t xml:space="preserve"> (Accessed: 2</w:t>
      </w:r>
      <w:r w:rsidR="002732A8">
        <w:rPr>
          <w:rFonts w:ascii="Arial" w:hAnsi="Arial" w:cs="Arial"/>
          <w:sz w:val="22"/>
          <w:szCs w:val="22"/>
        </w:rPr>
        <w:t>0</w:t>
      </w:r>
      <w:r w:rsidRPr="00C01C68">
        <w:rPr>
          <w:rFonts w:ascii="Arial" w:hAnsi="Arial" w:cs="Arial"/>
          <w:sz w:val="22"/>
          <w:szCs w:val="22"/>
        </w:rPr>
        <w:t xml:space="preserve"> June 2026).</w:t>
      </w:r>
    </w:p>
    <w:p w14:paraId="0A1E2CE8" w14:textId="15B0AE17"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Lean, M.E.J., Leslie, W.S., Barnes, A.C., Brosnahan, N., Thom, G., McCombie, L., Peters, C., </w:t>
      </w:r>
      <w:proofErr w:type="spellStart"/>
      <w:r w:rsidRPr="00C01C68">
        <w:rPr>
          <w:rFonts w:ascii="Arial" w:hAnsi="Arial" w:cs="Arial"/>
          <w:sz w:val="22"/>
          <w:szCs w:val="22"/>
        </w:rPr>
        <w:t>Zhyzhneuskaya</w:t>
      </w:r>
      <w:proofErr w:type="spellEnd"/>
      <w:r w:rsidRPr="00C01C68">
        <w:rPr>
          <w:rFonts w:ascii="Arial" w:hAnsi="Arial" w:cs="Arial"/>
          <w:sz w:val="22"/>
          <w:szCs w:val="22"/>
        </w:rPr>
        <w:t>, S., Al-</w:t>
      </w:r>
      <w:proofErr w:type="spellStart"/>
      <w:r w:rsidRPr="00C01C68">
        <w:rPr>
          <w:rFonts w:ascii="Arial" w:hAnsi="Arial" w:cs="Arial"/>
          <w:sz w:val="22"/>
          <w:szCs w:val="22"/>
        </w:rPr>
        <w:t>Mrabeh</w:t>
      </w:r>
      <w:proofErr w:type="spellEnd"/>
      <w:r w:rsidRPr="00C01C68">
        <w:rPr>
          <w:rFonts w:ascii="Arial" w:hAnsi="Arial" w:cs="Arial"/>
          <w:sz w:val="22"/>
          <w:szCs w:val="22"/>
        </w:rPr>
        <w:t>, A., Hollingsworth, K.G., Rodrigues, A.M., Rehackova, L., Adamson, A.J., Sniehotta, F.F., Mathers, J.C., Ross, H.M., McIlvenna, Y., Stefanetti, R., Trenell, M., Welsh, P., Kean, S., Ford, I., McConnachie, A., Sattar, N. and Taylor, R. (2018) 'Primary care-led weight management for remission of type 2 diabetes (</w:t>
      </w:r>
      <w:proofErr w:type="spellStart"/>
      <w:r w:rsidRPr="00C01C68">
        <w:rPr>
          <w:rFonts w:ascii="Arial" w:hAnsi="Arial" w:cs="Arial"/>
          <w:sz w:val="22"/>
          <w:szCs w:val="22"/>
        </w:rPr>
        <w:t>DiRECT</w:t>
      </w:r>
      <w:proofErr w:type="spellEnd"/>
      <w:r w:rsidRPr="00C01C68">
        <w:rPr>
          <w:rFonts w:ascii="Arial" w:hAnsi="Arial" w:cs="Arial"/>
          <w:sz w:val="22"/>
          <w:szCs w:val="22"/>
        </w:rPr>
        <w:t xml:space="preserve">): An open-label, cluster-randomised trial', </w:t>
      </w:r>
      <w:r w:rsidRPr="00C01C68">
        <w:rPr>
          <w:rStyle w:val="Emphasis"/>
          <w:rFonts w:ascii="Arial" w:hAnsi="Arial" w:cs="Arial"/>
          <w:sz w:val="22"/>
          <w:szCs w:val="22"/>
        </w:rPr>
        <w:t>The Lancet</w:t>
      </w:r>
      <w:r w:rsidRPr="00C01C68">
        <w:rPr>
          <w:rFonts w:ascii="Arial" w:hAnsi="Arial" w:cs="Arial"/>
          <w:sz w:val="22"/>
          <w:szCs w:val="22"/>
        </w:rPr>
        <w:t xml:space="preserve">, 391(10120), pp. 541–551. Available at: </w:t>
      </w:r>
      <w:hyperlink r:id="rId19" w:history="1">
        <w:r w:rsidRPr="00C01C68">
          <w:rPr>
            <w:rStyle w:val="Hyperlink"/>
            <w:rFonts w:ascii="Arial" w:hAnsi="Arial" w:cs="Arial"/>
            <w:sz w:val="22"/>
            <w:szCs w:val="22"/>
          </w:rPr>
          <w:t>https://doi.org/10.1016/S0140-6736(17)33102-1</w:t>
        </w:r>
      </w:hyperlink>
      <w:r w:rsidRPr="00C01C68">
        <w:rPr>
          <w:rFonts w:ascii="Arial" w:hAnsi="Arial" w:cs="Arial"/>
          <w:sz w:val="22"/>
          <w:szCs w:val="22"/>
        </w:rPr>
        <w:t xml:space="preserve"> (Accessed: </w:t>
      </w:r>
      <w:r w:rsidR="002732A8">
        <w:rPr>
          <w:rFonts w:ascii="Arial" w:hAnsi="Arial" w:cs="Arial"/>
          <w:sz w:val="22"/>
          <w:szCs w:val="22"/>
        </w:rPr>
        <w:t>17</w:t>
      </w:r>
      <w:r w:rsidRPr="00C01C68">
        <w:rPr>
          <w:rFonts w:ascii="Arial" w:hAnsi="Arial" w:cs="Arial"/>
          <w:sz w:val="22"/>
          <w:szCs w:val="22"/>
        </w:rPr>
        <w:t xml:space="preserve"> June 2026).</w:t>
      </w:r>
    </w:p>
    <w:p w14:paraId="42AD7BA0" w14:textId="3BFFFABC"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National Institute for Health and Care Excellence (NICE) (2022) </w:t>
      </w:r>
      <w:r w:rsidRPr="00C01C68">
        <w:rPr>
          <w:rStyle w:val="Emphasis"/>
          <w:rFonts w:ascii="Arial" w:hAnsi="Arial" w:cs="Arial"/>
          <w:sz w:val="22"/>
          <w:szCs w:val="22"/>
        </w:rPr>
        <w:t>Type 2 diabetes in adults: management (NG28)</w:t>
      </w:r>
      <w:r w:rsidRPr="00C01C68">
        <w:rPr>
          <w:rFonts w:ascii="Arial" w:hAnsi="Arial" w:cs="Arial"/>
          <w:sz w:val="22"/>
          <w:szCs w:val="22"/>
        </w:rPr>
        <w:t xml:space="preserve">. Available at: </w:t>
      </w:r>
      <w:hyperlink r:id="rId20" w:history="1">
        <w:r w:rsidRPr="00C01C68">
          <w:rPr>
            <w:rStyle w:val="Hyperlink"/>
            <w:rFonts w:ascii="Arial" w:hAnsi="Arial" w:cs="Arial"/>
            <w:sz w:val="22"/>
            <w:szCs w:val="22"/>
          </w:rPr>
          <w:t>https://www.nice.org.uk/guidance/ng28</w:t>
        </w:r>
      </w:hyperlink>
      <w:r w:rsidRPr="00C01C68">
        <w:rPr>
          <w:rFonts w:ascii="Arial" w:hAnsi="Arial" w:cs="Arial"/>
          <w:sz w:val="22"/>
          <w:szCs w:val="22"/>
        </w:rPr>
        <w:t xml:space="preserve"> (Accessed: </w:t>
      </w:r>
      <w:r w:rsidR="002732A8">
        <w:rPr>
          <w:rFonts w:ascii="Arial" w:hAnsi="Arial" w:cs="Arial"/>
          <w:sz w:val="22"/>
          <w:szCs w:val="22"/>
        </w:rPr>
        <w:t>17</w:t>
      </w:r>
      <w:r w:rsidRPr="00C01C68">
        <w:rPr>
          <w:rFonts w:ascii="Arial" w:hAnsi="Arial" w:cs="Arial"/>
          <w:sz w:val="22"/>
          <w:szCs w:val="22"/>
        </w:rPr>
        <w:t xml:space="preserve"> June 2026).</w:t>
      </w:r>
    </w:p>
    <w:p w14:paraId="146C7D92" w14:textId="2A45AC99"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NHS (2023) </w:t>
      </w:r>
      <w:r w:rsidRPr="00C01C68">
        <w:rPr>
          <w:rStyle w:val="Emphasis"/>
          <w:rFonts w:ascii="Arial" w:hAnsi="Arial" w:cs="Arial"/>
          <w:sz w:val="22"/>
          <w:szCs w:val="22"/>
        </w:rPr>
        <w:t>Type 2 diabetes</w:t>
      </w:r>
      <w:r w:rsidRPr="00C01C68">
        <w:rPr>
          <w:rFonts w:ascii="Arial" w:hAnsi="Arial" w:cs="Arial"/>
          <w:sz w:val="22"/>
          <w:szCs w:val="22"/>
        </w:rPr>
        <w:t xml:space="preserve">. Available at: </w:t>
      </w:r>
      <w:hyperlink r:id="rId21" w:history="1">
        <w:r w:rsidRPr="00C01C68">
          <w:rPr>
            <w:rStyle w:val="Hyperlink"/>
            <w:rFonts w:ascii="Arial" w:hAnsi="Arial" w:cs="Arial"/>
            <w:sz w:val="22"/>
            <w:szCs w:val="22"/>
          </w:rPr>
          <w:t>https://www.nhs.uk/conditions/type-2-diabetes/</w:t>
        </w:r>
      </w:hyperlink>
      <w:r w:rsidRPr="00C01C68">
        <w:rPr>
          <w:rFonts w:ascii="Arial" w:hAnsi="Arial" w:cs="Arial"/>
          <w:sz w:val="22"/>
          <w:szCs w:val="22"/>
        </w:rPr>
        <w:t xml:space="preserve"> (Accessed: 2</w:t>
      </w:r>
      <w:r w:rsidR="002732A8">
        <w:rPr>
          <w:rFonts w:ascii="Arial" w:hAnsi="Arial" w:cs="Arial"/>
          <w:sz w:val="22"/>
          <w:szCs w:val="22"/>
        </w:rPr>
        <w:t>0</w:t>
      </w:r>
      <w:r w:rsidRPr="00C01C68">
        <w:rPr>
          <w:rFonts w:ascii="Arial" w:hAnsi="Arial" w:cs="Arial"/>
          <w:sz w:val="22"/>
          <w:szCs w:val="22"/>
        </w:rPr>
        <w:t xml:space="preserve"> June 2026).</w:t>
      </w:r>
    </w:p>
    <w:p w14:paraId="211A18B7" w14:textId="77777777"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Ross, J. and Wilson, A. (2023) </w:t>
      </w:r>
      <w:r w:rsidRPr="00C01C68">
        <w:rPr>
          <w:rStyle w:val="Emphasis"/>
          <w:rFonts w:ascii="Arial" w:hAnsi="Arial" w:cs="Arial"/>
          <w:sz w:val="22"/>
          <w:szCs w:val="22"/>
        </w:rPr>
        <w:t>Ross &amp; Wilson Anatomy and Physiology in Health and Illness</w:t>
      </w:r>
      <w:r w:rsidRPr="00C01C68">
        <w:rPr>
          <w:rFonts w:ascii="Arial" w:hAnsi="Arial" w:cs="Arial"/>
          <w:sz w:val="22"/>
          <w:szCs w:val="22"/>
        </w:rPr>
        <w:t xml:space="preserve">. 14th </w:t>
      </w:r>
      <w:proofErr w:type="spellStart"/>
      <w:r w:rsidRPr="00C01C68">
        <w:rPr>
          <w:rFonts w:ascii="Arial" w:hAnsi="Arial" w:cs="Arial"/>
          <w:sz w:val="22"/>
          <w:szCs w:val="22"/>
        </w:rPr>
        <w:t>edn</w:t>
      </w:r>
      <w:proofErr w:type="spellEnd"/>
      <w:r w:rsidRPr="00C01C68">
        <w:rPr>
          <w:rFonts w:ascii="Arial" w:hAnsi="Arial" w:cs="Arial"/>
          <w:sz w:val="22"/>
          <w:szCs w:val="22"/>
        </w:rPr>
        <w:t>. Edinburgh: Elsevier.</w:t>
      </w:r>
    </w:p>
    <w:p w14:paraId="0132F3AF" w14:textId="77777777"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Silverthorn, D.U. (2022) </w:t>
      </w:r>
      <w:r w:rsidRPr="00C01C68">
        <w:rPr>
          <w:rStyle w:val="Emphasis"/>
          <w:rFonts w:ascii="Arial" w:hAnsi="Arial" w:cs="Arial"/>
          <w:sz w:val="22"/>
          <w:szCs w:val="22"/>
        </w:rPr>
        <w:t>Human Physiology: An Integrated Approach</w:t>
      </w:r>
      <w:r w:rsidRPr="00C01C68">
        <w:rPr>
          <w:rFonts w:ascii="Arial" w:hAnsi="Arial" w:cs="Arial"/>
          <w:sz w:val="22"/>
          <w:szCs w:val="22"/>
        </w:rPr>
        <w:t xml:space="preserve">. 9th </w:t>
      </w:r>
      <w:proofErr w:type="spellStart"/>
      <w:r w:rsidRPr="00C01C68">
        <w:rPr>
          <w:rFonts w:ascii="Arial" w:hAnsi="Arial" w:cs="Arial"/>
          <w:sz w:val="22"/>
          <w:szCs w:val="22"/>
        </w:rPr>
        <w:t>edn</w:t>
      </w:r>
      <w:proofErr w:type="spellEnd"/>
      <w:r w:rsidRPr="00C01C68">
        <w:rPr>
          <w:rFonts w:ascii="Arial" w:hAnsi="Arial" w:cs="Arial"/>
          <w:sz w:val="22"/>
          <w:szCs w:val="22"/>
        </w:rPr>
        <w:t>. Harlow: Pearson.</w:t>
      </w:r>
    </w:p>
    <w:p w14:paraId="1ABB33D4" w14:textId="77777777" w:rsidR="004A1625" w:rsidRPr="00C01C68" w:rsidRDefault="004A1625" w:rsidP="00A6723E">
      <w:pPr>
        <w:pStyle w:val="isselectedend"/>
        <w:spacing w:line="360" w:lineRule="auto"/>
        <w:jc w:val="both"/>
        <w:rPr>
          <w:rFonts w:ascii="Arial" w:hAnsi="Arial" w:cs="Arial"/>
          <w:sz w:val="22"/>
          <w:szCs w:val="22"/>
        </w:rPr>
      </w:pPr>
      <w:r w:rsidRPr="00C01C68">
        <w:rPr>
          <w:rFonts w:ascii="Arial" w:hAnsi="Arial" w:cs="Arial"/>
          <w:sz w:val="22"/>
          <w:szCs w:val="22"/>
        </w:rPr>
        <w:t xml:space="preserve">Tortora, G.J. and Derrickson, B. (2021) </w:t>
      </w:r>
      <w:r w:rsidRPr="00C01C68">
        <w:rPr>
          <w:rStyle w:val="Emphasis"/>
          <w:rFonts w:ascii="Arial" w:hAnsi="Arial" w:cs="Arial"/>
          <w:sz w:val="22"/>
          <w:szCs w:val="22"/>
        </w:rPr>
        <w:t>Principles of Anatomy and Physiology</w:t>
      </w:r>
      <w:r w:rsidRPr="00C01C68">
        <w:rPr>
          <w:rFonts w:ascii="Arial" w:hAnsi="Arial" w:cs="Arial"/>
          <w:sz w:val="22"/>
          <w:szCs w:val="22"/>
        </w:rPr>
        <w:t xml:space="preserve">. 16th </w:t>
      </w:r>
      <w:proofErr w:type="spellStart"/>
      <w:r w:rsidRPr="00C01C68">
        <w:rPr>
          <w:rFonts w:ascii="Arial" w:hAnsi="Arial" w:cs="Arial"/>
          <w:sz w:val="22"/>
          <w:szCs w:val="22"/>
        </w:rPr>
        <w:t>edn</w:t>
      </w:r>
      <w:proofErr w:type="spellEnd"/>
      <w:r w:rsidRPr="00C01C68">
        <w:rPr>
          <w:rFonts w:ascii="Arial" w:hAnsi="Arial" w:cs="Arial"/>
          <w:sz w:val="22"/>
          <w:szCs w:val="22"/>
        </w:rPr>
        <w:t>. Hoboken: Wiley.</w:t>
      </w:r>
    </w:p>
    <w:p w14:paraId="469C94EF" w14:textId="0773686B" w:rsidR="00B3488D" w:rsidRPr="002732A8" w:rsidRDefault="004A1625" w:rsidP="00A6723E">
      <w:pPr>
        <w:pStyle w:val="NormalWeb"/>
        <w:spacing w:line="360" w:lineRule="auto"/>
        <w:jc w:val="both"/>
        <w:rPr>
          <w:rFonts w:ascii="Arial" w:hAnsi="Arial" w:cs="Arial"/>
          <w:sz w:val="22"/>
          <w:szCs w:val="22"/>
        </w:rPr>
      </w:pPr>
      <w:r w:rsidRPr="00C01C68">
        <w:rPr>
          <w:rFonts w:ascii="Arial" w:hAnsi="Arial" w:cs="Arial"/>
          <w:sz w:val="22"/>
          <w:szCs w:val="22"/>
        </w:rPr>
        <w:t xml:space="preserve">World Health Organization (2023) </w:t>
      </w:r>
      <w:r w:rsidRPr="00C01C68">
        <w:rPr>
          <w:rStyle w:val="Emphasis"/>
          <w:rFonts w:ascii="Arial" w:hAnsi="Arial" w:cs="Arial"/>
          <w:sz w:val="22"/>
          <w:szCs w:val="22"/>
        </w:rPr>
        <w:t>Diabetes</w:t>
      </w:r>
      <w:r w:rsidRPr="00C01C68">
        <w:rPr>
          <w:rFonts w:ascii="Arial" w:hAnsi="Arial" w:cs="Arial"/>
          <w:sz w:val="22"/>
          <w:szCs w:val="22"/>
        </w:rPr>
        <w:t xml:space="preserve">. Available at: </w:t>
      </w:r>
      <w:hyperlink r:id="rId22" w:history="1">
        <w:r w:rsidRPr="00C01C68">
          <w:rPr>
            <w:rStyle w:val="Hyperlink"/>
            <w:rFonts w:ascii="Arial" w:hAnsi="Arial" w:cs="Arial"/>
            <w:sz w:val="22"/>
            <w:szCs w:val="22"/>
          </w:rPr>
          <w:t>https://www.who.int/news-room/fact-sheets/detail/diabetes</w:t>
        </w:r>
      </w:hyperlink>
      <w:r w:rsidRPr="00C01C68">
        <w:rPr>
          <w:rFonts w:ascii="Arial" w:hAnsi="Arial" w:cs="Arial"/>
          <w:sz w:val="22"/>
          <w:szCs w:val="22"/>
        </w:rPr>
        <w:t xml:space="preserve"> (Accessed: 2</w:t>
      </w:r>
      <w:r w:rsidR="002732A8">
        <w:rPr>
          <w:rFonts w:ascii="Arial" w:hAnsi="Arial" w:cs="Arial"/>
          <w:sz w:val="22"/>
          <w:szCs w:val="22"/>
        </w:rPr>
        <w:t>0</w:t>
      </w:r>
      <w:r w:rsidRPr="00C01C68">
        <w:rPr>
          <w:rFonts w:ascii="Arial" w:hAnsi="Arial" w:cs="Arial"/>
          <w:sz w:val="22"/>
          <w:szCs w:val="22"/>
        </w:rPr>
        <w:t xml:space="preserve"> June 2026).</w:t>
      </w:r>
    </w:p>
    <w:sectPr w:rsidR="00B3488D" w:rsidRPr="002732A8">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F5EC8" w14:textId="77777777" w:rsidR="00A32000" w:rsidRDefault="00A32000" w:rsidP="00BD767C">
      <w:pPr>
        <w:spacing w:after="0" w:line="240" w:lineRule="auto"/>
      </w:pPr>
      <w:r>
        <w:separator/>
      </w:r>
    </w:p>
  </w:endnote>
  <w:endnote w:type="continuationSeparator" w:id="0">
    <w:p w14:paraId="4752B9B7" w14:textId="77777777" w:rsidR="00A32000" w:rsidRDefault="00A32000" w:rsidP="00BD7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4158659"/>
      <w:docPartObj>
        <w:docPartGallery w:val="Page Numbers (Bottom of Page)"/>
        <w:docPartUnique/>
      </w:docPartObj>
    </w:sdtPr>
    <w:sdtEndPr/>
    <w:sdtContent>
      <w:p w14:paraId="4331D30D" w14:textId="0C3DAD37" w:rsidR="00BD767C" w:rsidRDefault="00BD767C">
        <w:pPr>
          <w:pStyle w:val="Footer"/>
          <w:jc w:val="right"/>
        </w:pPr>
        <w:r>
          <w:fldChar w:fldCharType="begin"/>
        </w:r>
        <w:r>
          <w:instrText>PAGE   \* MERGEFORMAT</w:instrText>
        </w:r>
        <w:r>
          <w:fldChar w:fldCharType="separate"/>
        </w:r>
        <w:r>
          <w:t>2</w:t>
        </w:r>
        <w:r>
          <w:fldChar w:fldCharType="end"/>
        </w:r>
      </w:p>
    </w:sdtContent>
  </w:sdt>
  <w:p w14:paraId="2705DB12" w14:textId="77777777" w:rsidR="00BD767C" w:rsidRDefault="00BD76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27D1B0" w14:textId="77777777" w:rsidR="00A32000" w:rsidRDefault="00A32000" w:rsidP="00BD767C">
      <w:pPr>
        <w:spacing w:after="0" w:line="240" w:lineRule="auto"/>
      </w:pPr>
      <w:r>
        <w:separator/>
      </w:r>
    </w:p>
  </w:footnote>
  <w:footnote w:type="continuationSeparator" w:id="0">
    <w:p w14:paraId="432E8073" w14:textId="77777777" w:rsidR="00A32000" w:rsidRDefault="00A32000" w:rsidP="00BD76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6A035E"/>
    <w:multiLevelType w:val="multilevel"/>
    <w:tmpl w:val="5F4E8BA0"/>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8248514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3BA"/>
    <w:rsid w:val="00014151"/>
    <w:rsid w:val="00017123"/>
    <w:rsid w:val="000746D5"/>
    <w:rsid w:val="00075E40"/>
    <w:rsid w:val="00076639"/>
    <w:rsid w:val="000A1BC6"/>
    <w:rsid w:val="000C0162"/>
    <w:rsid w:val="000F062F"/>
    <w:rsid w:val="0018661A"/>
    <w:rsid w:val="001A21EA"/>
    <w:rsid w:val="001E4CC6"/>
    <w:rsid w:val="001F44A7"/>
    <w:rsid w:val="00211FEE"/>
    <w:rsid w:val="0021730A"/>
    <w:rsid w:val="00217792"/>
    <w:rsid w:val="00254B03"/>
    <w:rsid w:val="002732A8"/>
    <w:rsid w:val="002765D1"/>
    <w:rsid w:val="0028027F"/>
    <w:rsid w:val="00284A7B"/>
    <w:rsid w:val="002919BF"/>
    <w:rsid w:val="002B053C"/>
    <w:rsid w:val="002E2A07"/>
    <w:rsid w:val="00300360"/>
    <w:rsid w:val="003031C9"/>
    <w:rsid w:val="00340EB9"/>
    <w:rsid w:val="003A1D4F"/>
    <w:rsid w:val="003A5A58"/>
    <w:rsid w:val="003D3633"/>
    <w:rsid w:val="003F6A73"/>
    <w:rsid w:val="004072B2"/>
    <w:rsid w:val="00420516"/>
    <w:rsid w:val="004365CA"/>
    <w:rsid w:val="00457C1B"/>
    <w:rsid w:val="00484515"/>
    <w:rsid w:val="00487675"/>
    <w:rsid w:val="004916F6"/>
    <w:rsid w:val="004A1625"/>
    <w:rsid w:val="004B157E"/>
    <w:rsid w:val="004C63BA"/>
    <w:rsid w:val="004C6C97"/>
    <w:rsid w:val="0051509E"/>
    <w:rsid w:val="00515E36"/>
    <w:rsid w:val="0052711A"/>
    <w:rsid w:val="00527A31"/>
    <w:rsid w:val="00530567"/>
    <w:rsid w:val="00531E96"/>
    <w:rsid w:val="005468E4"/>
    <w:rsid w:val="005825AE"/>
    <w:rsid w:val="00591C26"/>
    <w:rsid w:val="005F425F"/>
    <w:rsid w:val="00616A75"/>
    <w:rsid w:val="00632F1E"/>
    <w:rsid w:val="00647A97"/>
    <w:rsid w:val="0065684B"/>
    <w:rsid w:val="00684C91"/>
    <w:rsid w:val="006A083F"/>
    <w:rsid w:val="006A4F24"/>
    <w:rsid w:val="006D3AC8"/>
    <w:rsid w:val="006E0208"/>
    <w:rsid w:val="006E64CC"/>
    <w:rsid w:val="006F5888"/>
    <w:rsid w:val="00704129"/>
    <w:rsid w:val="00715767"/>
    <w:rsid w:val="0072152B"/>
    <w:rsid w:val="0072416E"/>
    <w:rsid w:val="0075522A"/>
    <w:rsid w:val="00790E42"/>
    <w:rsid w:val="007D0F69"/>
    <w:rsid w:val="007E0632"/>
    <w:rsid w:val="007F34BB"/>
    <w:rsid w:val="00837996"/>
    <w:rsid w:val="0084598C"/>
    <w:rsid w:val="0085487A"/>
    <w:rsid w:val="00856171"/>
    <w:rsid w:val="0086309D"/>
    <w:rsid w:val="00890185"/>
    <w:rsid w:val="008904EA"/>
    <w:rsid w:val="008918F8"/>
    <w:rsid w:val="008D0BA5"/>
    <w:rsid w:val="00910714"/>
    <w:rsid w:val="00950A3F"/>
    <w:rsid w:val="00986FB7"/>
    <w:rsid w:val="009A35D1"/>
    <w:rsid w:val="00A01EE5"/>
    <w:rsid w:val="00A32000"/>
    <w:rsid w:val="00A6723E"/>
    <w:rsid w:val="00A71B78"/>
    <w:rsid w:val="00A77826"/>
    <w:rsid w:val="00A90843"/>
    <w:rsid w:val="00AE2641"/>
    <w:rsid w:val="00AF3DA8"/>
    <w:rsid w:val="00B11147"/>
    <w:rsid w:val="00B134BD"/>
    <w:rsid w:val="00B17630"/>
    <w:rsid w:val="00B32ACA"/>
    <w:rsid w:val="00B3488D"/>
    <w:rsid w:val="00B857D6"/>
    <w:rsid w:val="00B93B75"/>
    <w:rsid w:val="00BC2873"/>
    <w:rsid w:val="00BD3A41"/>
    <w:rsid w:val="00BD767C"/>
    <w:rsid w:val="00BF057F"/>
    <w:rsid w:val="00BF18BC"/>
    <w:rsid w:val="00C01C68"/>
    <w:rsid w:val="00C06FCB"/>
    <w:rsid w:val="00C227C0"/>
    <w:rsid w:val="00C363A8"/>
    <w:rsid w:val="00C724A5"/>
    <w:rsid w:val="00CB0801"/>
    <w:rsid w:val="00CF76FD"/>
    <w:rsid w:val="00D42919"/>
    <w:rsid w:val="00D447E3"/>
    <w:rsid w:val="00D63C09"/>
    <w:rsid w:val="00D644E7"/>
    <w:rsid w:val="00D67F36"/>
    <w:rsid w:val="00DD6274"/>
    <w:rsid w:val="00E11149"/>
    <w:rsid w:val="00E215E1"/>
    <w:rsid w:val="00E32CFE"/>
    <w:rsid w:val="00E33BDB"/>
    <w:rsid w:val="00E36211"/>
    <w:rsid w:val="00E625FD"/>
    <w:rsid w:val="00E72164"/>
    <w:rsid w:val="00E81ED5"/>
    <w:rsid w:val="00EE5667"/>
    <w:rsid w:val="00F10F51"/>
    <w:rsid w:val="00F630EC"/>
    <w:rsid w:val="00F66B39"/>
    <w:rsid w:val="00F71242"/>
    <w:rsid w:val="00F76085"/>
    <w:rsid w:val="00F76745"/>
    <w:rsid w:val="00FC0981"/>
    <w:rsid w:val="00FD3C4C"/>
    <w:rsid w:val="00FF41E7"/>
    <w:rsid w:val="00FF4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ABE7B"/>
  <w15:chartTrackingRefBased/>
  <w15:docId w15:val="{DF082F85-0DB7-483A-A155-E5E078518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3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63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63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63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63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63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63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63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63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3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C63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63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63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63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63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63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63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63BA"/>
    <w:rPr>
      <w:rFonts w:eastAsiaTheme="majorEastAsia" w:cstheme="majorBidi"/>
      <w:color w:val="272727" w:themeColor="text1" w:themeTint="D8"/>
    </w:rPr>
  </w:style>
  <w:style w:type="paragraph" w:styleId="Title">
    <w:name w:val="Title"/>
    <w:basedOn w:val="Normal"/>
    <w:next w:val="Normal"/>
    <w:link w:val="TitleChar"/>
    <w:uiPriority w:val="10"/>
    <w:qFormat/>
    <w:rsid w:val="004C63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63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63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63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63BA"/>
    <w:pPr>
      <w:spacing w:before="160"/>
      <w:jc w:val="center"/>
    </w:pPr>
    <w:rPr>
      <w:i/>
      <w:iCs/>
      <w:color w:val="404040" w:themeColor="text1" w:themeTint="BF"/>
    </w:rPr>
  </w:style>
  <w:style w:type="character" w:customStyle="1" w:styleId="QuoteChar">
    <w:name w:val="Quote Char"/>
    <w:basedOn w:val="DefaultParagraphFont"/>
    <w:link w:val="Quote"/>
    <w:uiPriority w:val="29"/>
    <w:rsid w:val="004C63BA"/>
    <w:rPr>
      <w:i/>
      <w:iCs/>
      <w:color w:val="404040" w:themeColor="text1" w:themeTint="BF"/>
    </w:rPr>
  </w:style>
  <w:style w:type="paragraph" w:styleId="ListParagraph">
    <w:name w:val="List Paragraph"/>
    <w:basedOn w:val="Normal"/>
    <w:uiPriority w:val="34"/>
    <w:qFormat/>
    <w:rsid w:val="004C63BA"/>
    <w:pPr>
      <w:ind w:left="720"/>
      <w:contextualSpacing/>
    </w:pPr>
  </w:style>
  <w:style w:type="character" w:styleId="IntenseEmphasis">
    <w:name w:val="Intense Emphasis"/>
    <w:basedOn w:val="DefaultParagraphFont"/>
    <w:uiPriority w:val="21"/>
    <w:qFormat/>
    <w:rsid w:val="004C63BA"/>
    <w:rPr>
      <w:i/>
      <w:iCs/>
      <w:color w:val="0F4761" w:themeColor="accent1" w:themeShade="BF"/>
    </w:rPr>
  </w:style>
  <w:style w:type="paragraph" w:styleId="IntenseQuote">
    <w:name w:val="Intense Quote"/>
    <w:basedOn w:val="Normal"/>
    <w:next w:val="Normal"/>
    <w:link w:val="IntenseQuoteChar"/>
    <w:uiPriority w:val="30"/>
    <w:qFormat/>
    <w:rsid w:val="004C63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63BA"/>
    <w:rPr>
      <w:i/>
      <w:iCs/>
      <w:color w:val="0F4761" w:themeColor="accent1" w:themeShade="BF"/>
    </w:rPr>
  </w:style>
  <w:style w:type="character" w:styleId="IntenseReference">
    <w:name w:val="Intense Reference"/>
    <w:basedOn w:val="DefaultParagraphFont"/>
    <w:uiPriority w:val="32"/>
    <w:qFormat/>
    <w:rsid w:val="004C63BA"/>
    <w:rPr>
      <w:b/>
      <w:bCs/>
      <w:smallCaps/>
      <w:color w:val="0F4761" w:themeColor="accent1" w:themeShade="BF"/>
      <w:spacing w:val="5"/>
    </w:rPr>
  </w:style>
  <w:style w:type="paragraph" w:customStyle="1" w:styleId="isselectedend">
    <w:name w:val="isselectedend"/>
    <w:basedOn w:val="Normal"/>
    <w:rsid w:val="00FF41E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FF41E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B3488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3488D"/>
    <w:rPr>
      <w:i/>
      <w:iCs/>
    </w:rPr>
  </w:style>
  <w:style w:type="character" w:styleId="Hyperlink">
    <w:name w:val="Hyperlink"/>
    <w:basedOn w:val="DefaultParagraphFont"/>
    <w:uiPriority w:val="99"/>
    <w:unhideWhenUsed/>
    <w:rsid w:val="00B3488D"/>
    <w:rPr>
      <w:color w:val="0000FF"/>
      <w:u w:val="single"/>
    </w:rPr>
  </w:style>
  <w:style w:type="paragraph" w:styleId="NoSpacing">
    <w:name w:val="No Spacing"/>
    <w:uiPriority w:val="1"/>
    <w:qFormat/>
    <w:rsid w:val="00340EB9"/>
    <w:pPr>
      <w:spacing w:after="0" w:line="240" w:lineRule="auto"/>
    </w:pPr>
  </w:style>
  <w:style w:type="character" w:styleId="Strong">
    <w:name w:val="Strong"/>
    <w:basedOn w:val="DefaultParagraphFont"/>
    <w:uiPriority w:val="22"/>
    <w:qFormat/>
    <w:rsid w:val="00D67F36"/>
    <w:rPr>
      <w:b/>
      <w:bCs/>
    </w:rPr>
  </w:style>
  <w:style w:type="character" w:styleId="FollowedHyperlink">
    <w:name w:val="FollowedHyperlink"/>
    <w:basedOn w:val="DefaultParagraphFont"/>
    <w:uiPriority w:val="99"/>
    <w:semiHidden/>
    <w:unhideWhenUsed/>
    <w:rsid w:val="00D67F36"/>
    <w:rPr>
      <w:color w:val="96607D" w:themeColor="followedHyperlink"/>
      <w:u w:val="single"/>
    </w:rPr>
  </w:style>
  <w:style w:type="paragraph" w:styleId="Header">
    <w:name w:val="header"/>
    <w:basedOn w:val="Normal"/>
    <w:link w:val="HeaderChar"/>
    <w:uiPriority w:val="99"/>
    <w:unhideWhenUsed/>
    <w:rsid w:val="00BD76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67C"/>
  </w:style>
  <w:style w:type="paragraph" w:styleId="Footer">
    <w:name w:val="footer"/>
    <w:basedOn w:val="Normal"/>
    <w:link w:val="FooterChar"/>
    <w:uiPriority w:val="99"/>
    <w:unhideWhenUsed/>
    <w:rsid w:val="00BD76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67C"/>
  </w:style>
  <w:style w:type="paragraph" w:styleId="TOCHeading">
    <w:name w:val="TOC Heading"/>
    <w:basedOn w:val="Heading1"/>
    <w:next w:val="Normal"/>
    <w:uiPriority w:val="39"/>
    <w:unhideWhenUsed/>
    <w:qFormat/>
    <w:rsid w:val="000C016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447E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ature.com/articles/nrdp201519" TargetMode="External"/><Relationship Id="rId18" Type="http://schemas.openxmlformats.org/officeDocument/2006/relationships/hyperlink" Target="https://diabetesatlas.org/" TargetMode="External"/><Relationship Id="rId3" Type="http://schemas.openxmlformats.org/officeDocument/2006/relationships/styles" Target="styles.xml"/><Relationship Id="rId21" Type="http://schemas.openxmlformats.org/officeDocument/2006/relationships/hyperlink" Target="https://www.nhs.uk/conditions/type-2-diabetes/" TargetMode="External"/><Relationship Id="rId7" Type="http://schemas.openxmlformats.org/officeDocument/2006/relationships/endnotes" Target="endnotes.xml"/><Relationship Id="rId12" Type="http://schemas.openxmlformats.org/officeDocument/2006/relationships/hyperlink" Target="https://doi.org/10.1007/s00125-022-05787-2" TargetMode="External"/><Relationship Id="rId17" Type="http://schemas.openxmlformats.org/officeDocument/2006/relationships/hyperlink" Target="https://doi.org/10.1152/physrev.00045.2011"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2337/dci19-0014" TargetMode="External"/><Relationship Id="rId20" Type="http://schemas.openxmlformats.org/officeDocument/2006/relationships/hyperlink" Target="https://www.nice.org.uk/guidance/ng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37/dc16-172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diabetes.org.uk/about-diabetes/type-2-diabetes" TargetMode="External"/><Relationship Id="rId23" Type="http://schemas.openxmlformats.org/officeDocument/2006/relationships/footer" Target="footer1.xml"/><Relationship Id="rId10" Type="http://schemas.openxmlformats.org/officeDocument/2006/relationships/hyperlink" Target="https://doi.org/10.7326/M16-2855" TargetMode="External"/><Relationship Id="rId19" Type="http://schemas.openxmlformats.org/officeDocument/2006/relationships/hyperlink" Target="https://doi.org/10.1016/S0140-6736(17)33102-1" TargetMode="External"/><Relationship Id="rId4" Type="http://schemas.openxmlformats.org/officeDocument/2006/relationships/settings" Target="settings.xml"/><Relationship Id="rId9" Type="http://schemas.openxmlformats.org/officeDocument/2006/relationships/hyperlink" Target="https://diabetesjournals.org/care/issue/47/Supplement_1" TargetMode="External"/><Relationship Id="rId14" Type="http://schemas.openxmlformats.org/officeDocument/2006/relationships/hyperlink" Target="https://www.diabetes.org.uk/about-us/about-the-charity/our-strategy/statistics" TargetMode="External"/><Relationship Id="rId22"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47E7A3-BD1B-4198-85C9-CD4F360FA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1361</TotalTime>
  <Pages>11</Pages>
  <Words>3335</Words>
  <Characters>19010</Characters>
  <Application>Microsoft Office Word</Application>
  <DocSecurity>0</DocSecurity>
  <Lines>158</Lines>
  <Paragraphs>44</Paragraphs>
  <ScaleCrop>false</ScaleCrop>
  <Company/>
  <LinksUpToDate>false</LinksUpToDate>
  <CharactersWithSpaces>22301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asfia akhtar</dc:creator>
  <cp:keywords/>
  <dc:description/>
  <cp:lastModifiedBy>asfia akhtar</cp:lastModifiedBy>
  <cp:revision>53</cp:revision>
  <dcterms:created xsi:type="dcterms:W3CDTF">2026-06-26T23:29:00Z</dcterms:created>
  <dcterms:modified xsi:type="dcterms:W3CDTF">2026-06-27T22:37:00Z</dcterms:modified>
</cp:coreProperties>
</file>