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202765" w14:textId="77777777" w:rsidR="00F730B4" w:rsidRDefault="00F730B4" w:rsidP="00F730B4">
      <w:pPr>
        <w:spacing w:after="0" w:line="36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</w:p>
    <w:p w14:paraId="5BCE4648" w14:textId="77777777" w:rsidR="00F730B4" w:rsidRDefault="00F730B4" w:rsidP="00F730B4">
      <w:pPr>
        <w:spacing w:after="0" w:line="36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</w:p>
    <w:p w14:paraId="0EE5E692" w14:textId="77777777" w:rsidR="00F730B4" w:rsidRDefault="00F730B4" w:rsidP="00F730B4">
      <w:pPr>
        <w:spacing w:after="0" w:line="36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</w:p>
    <w:p w14:paraId="03484021" w14:textId="77777777" w:rsidR="00F730B4" w:rsidRDefault="00F730B4" w:rsidP="00F730B4">
      <w:pPr>
        <w:spacing w:after="0" w:line="36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</w:p>
    <w:p w14:paraId="3C613C7D" w14:textId="77777777" w:rsidR="00F730B4" w:rsidRDefault="00F730B4" w:rsidP="00F730B4">
      <w:pPr>
        <w:spacing w:after="0" w:line="36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</w:p>
    <w:p w14:paraId="1E7C84B3" w14:textId="77777777" w:rsidR="00F730B4" w:rsidRDefault="00F730B4" w:rsidP="00F730B4">
      <w:pPr>
        <w:spacing w:after="0" w:line="36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</w:p>
    <w:p w14:paraId="308EAD6A" w14:textId="77777777" w:rsidR="00F730B4" w:rsidRDefault="00F730B4" w:rsidP="00F730B4">
      <w:pPr>
        <w:spacing w:after="0" w:line="36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</w:p>
    <w:p w14:paraId="056AA588" w14:textId="6C9F8BC1" w:rsidR="00F730B4" w:rsidRDefault="00F730B4" w:rsidP="00F730B4">
      <w:pPr>
        <w:spacing w:after="0" w:line="360" w:lineRule="auto"/>
        <w:ind w:left="2160" w:hanging="27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Religious Change and Resilience: The Case Study of Amarna</w:t>
      </w:r>
    </w:p>
    <w:p w14:paraId="675D043B" w14:textId="77777777" w:rsidR="00F730B4" w:rsidRDefault="00F730B4" w:rsidP="00F730B4">
      <w:pPr>
        <w:spacing w:after="0" w:line="360" w:lineRule="auto"/>
        <w:ind w:left="2250" w:firstLine="720"/>
        <w:rPr>
          <w:rFonts w:ascii="Times New Roman" w:hAnsi="Times New Roman" w:cs="Times New Roman"/>
          <w:sz w:val="24"/>
          <w:szCs w:val="24"/>
        </w:rPr>
      </w:pPr>
    </w:p>
    <w:p w14:paraId="7678439E" w14:textId="77777777" w:rsidR="00F730B4" w:rsidRPr="00206700" w:rsidRDefault="00F730B4" w:rsidP="00F730B4">
      <w:pPr>
        <w:spacing w:after="0" w:line="360" w:lineRule="auto"/>
        <w:ind w:left="4320"/>
        <w:rPr>
          <w:rFonts w:ascii="Times New Roman" w:hAnsi="Times New Roman" w:cs="Times New Roman"/>
          <w:b/>
          <w:bCs/>
          <w:sz w:val="24"/>
          <w:szCs w:val="24"/>
        </w:rPr>
      </w:pPr>
      <w:r w:rsidRPr="00206700">
        <w:rPr>
          <w:rFonts w:ascii="Times New Roman" w:hAnsi="Times New Roman" w:cs="Times New Roman"/>
          <w:b/>
          <w:bCs/>
          <w:sz w:val="24"/>
          <w:szCs w:val="24"/>
        </w:rPr>
        <w:t>Abstract</w:t>
      </w:r>
    </w:p>
    <w:p w14:paraId="7EC6EBB9" w14:textId="77777777" w:rsidR="00F730B4" w:rsidRDefault="00F730B4" w:rsidP="00F730B4">
      <w:pPr>
        <w:spacing w:after="0" w:line="36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</w:p>
    <w:p w14:paraId="304E04A1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C146809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5E7E90C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CE47203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2F6B249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D226228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B1C3E84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59751AE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9254047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51FA2E2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69B88FB1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686D601A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Kevin Hahn</w:t>
      </w:r>
    </w:p>
    <w:p w14:paraId="470CA760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February 22, 2024</w:t>
      </w:r>
    </w:p>
    <w:p w14:paraId="7A66A26E" w14:textId="77777777" w:rsidR="00F730B4" w:rsidRDefault="00F730B4" w:rsidP="00FA48BF">
      <w:pPr>
        <w:spacing w:after="0" w:line="360" w:lineRule="auto"/>
        <w:ind w:firstLine="720"/>
        <w:rPr>
          <w:rFonts w:ascii="Arial" w:hAnsi="Arial" w:cs="Arial"/>
          <w:sz w:val="28"/>
          <w:szCs w:val="28"/>
        </w:rPr>
      </w:pPr>
    </w:p>
    <w:p w14:paraId="3A822E62" w14:textId="77777777" w:rsidR="00F730B4" w:rsidRDefault="00F730B4" w:rsidP="00FA48BF">
      <w:pPr>
        <w:spacing w:after="0" w:line="360" w:lineRule="auto"/>
        <w:ind w:firstLine="720"/>
        <w:rPr>
          <w:rFonts w:ascii="Arial" w:hAnsi="Arial" w:cs="Arial"/>
          <w:sz w:val="28"/>
          <w:szCs w:val="28"/>
        </w:rPr>
      </w:pPr>
    </w:p>
    <w:p w14:paraId="67339425" w14:textId="77777777" w:rsidR="00F730B4" w:rsidRDefault="00F730B4" w:rsidP="00FA48BF">
      <w:pPr>
        <w:spacing w:after="0" w:line="360" w:lineRule="auto"/>
        <w:ind w:firstLine="720"/>
        <w:rPr>
          <w:rFonts w:ascii="Arial" w:hAnsi="Arial" w:cs="Arial"/>
          <w:sz w:val="28"/>
          <w:szCs w:val="28"/>
        </w:rPr>
      </w:pPr>
    </w:p>
    <w:p w14:paraId="3727F70F" w14:textId="77777777" w:rsidR="00F730B4" w:rsidRDefault="00F730B4" w:rsidP="00FA48BF">
      <w:pPr>
        <w:spacing w:after="0" w:line="360" w:lineRule="auto"/>
        <w:ind w:firstLine="720"/>
        <w:rPr>
          <w:rFonts w:ascii="Arial" w:hAnsi="Arial" w:cs="Arial"/>
          <w:sz w:val="28"/>
          <w:szCs w:val="28"/>
        </w:rPr>
      </w:pPr>
    </w:p>
    <w:p w14:paraId="41F27B80" w14:textId="77777777" w:rsidR="00F730B4" w:rsidRDefault="00F730B4" w:rsidP="00FA48BF">
      <w:pPr>
        <w:spacing w:after="0" w:line="360" w:lineRule="auto"/>
        <w:ind w:firstLine="720"/>
        <w:rPr>
          <w:rFonts w:ascii="Arial" w:hAnsi="Arial" w:cs="Arial"/>
          <w:sz w:val="28"/>
          <w:szCs w:val="28"/>
        </w:rPr>
      </w:pPr>
    </w:p>
    <w:p w14:paraId="00CAF67B" w14:textId="77777777" w:rsidR="00F730B4" w:rsidRDefault="00F730B4" w:rsidP="00F730B4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1D4424A5" w14:textId="25966BBE" w:rsidR="00FA48BF" w:rsidRPr="00F730B4" w:rsidRDefault="00FA48BF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730B4">
        <w:rPr>
          <w:rFonts w:ascii="Times New Roman" w:hAnsi="Times New Roman" w:cs="Times New Roman"/>
          <w:sz w:val="24"/>
          <w:szCs w:val="24"/>
        </w:rPr>
        <w:lastRenderedPageBreak/>
        <w:t xml:space="preserve">In 1350 B.C.E., during the golden age of the 18th Dynasty, when Akhenaten became </w:t>
      </w:r>
      <w:r w:rsidR="000447BA">
        <w:rPr>
          <w:rFonts w:ascii="Times New Roman" w:hAnsi="Times New Roman" w:cs="Times New Roman"/>
          <w:sz w:val="24"/>
          <w:szCs w:val="24"/>
        </w:rPr>
        <w:t>pharaoh</w:t>
      </w:r>
      <w:r w:rsidRPr="00F730B4">
        <w:rPr>
          <w:rFonts w:ascii="Times New Roman" w:hAnsi="Times New Roman" w:cs="Times New Roman"/>
          <w:sz w:val="24"/>
          <w:szCs w:val="24"/>
        </w:rPr>
        <w:t>, Egypt was the world’s superpower</w:t>
      </w:r>
      <w:r w:rsidR="00F92DFC">
        <w:rPr>
          <w:rFonts w:ascii="Times New Roman" w:hAnsi="Times New Roman" w:cs="Times New Roman"/>
          <w:sz w:val="24"/>
          <w:szCs w:val="24"/>
        </w:rPr>
        <w:t>. It was</w:t>
      </w:r>
      <w:r w:rsidRPr="00F730B4">
        <w:rPr>
          <w:rFonts w:ascii="Times New Roman" w:hAnsi="Times New Roman" w:cs="Times New Roman"/>
          <w:sz w:val="24"/>
          <w:szCs w:val="24"/>
        </w:rPr>
        <w:t xml:space="preserve"> a rich, stable country with strong foreign allies and vassal states who paid tribute, and the Egyptian people </w:t>
      </w:r>
      <w:r w:rsidR="00F92DFC">
        <w:rPr>
          <w:rFonts w:ascii="Times New Roman" w:hAnsi="Times New Roman" w:cs="Times New Roman"/>
          <w:sz w:val="24"/>
          <w:szCs w:val="24"/>
        </w:rPr>
        <w:t>prospered and were content</w:t>
      </w:r>
      <w:r w:rsidRPr="00F730B4">
        <w:rPr>
          <w:rFonts w:ascii="Times New Roman" w:hAnsi="Times New Roman" w:cs="Times New Roman"/>
          <w:sz w:val="24"/>
          <w:szCs w:val="24"/>
        </w:rPr>
        <w:t xml:space="preserve"> with their religious orthodoxy and much-loved and powerful state god Amun. However, during his short 17-year reign, Akhenaten attempted to lead a religious revolution. Egypt fell from its superpower status to a much-weakened country because of enemy threats on its northern borders and the loss of critical vassal states. Pharaoh Akhenaten and his religious revolution were blamed for Egypt’s decline.    </w:t>
      </w:r>
    </w:p>
    <w:p w14:paraId="5A3E9CC4" w14:textId="02BA9648" w:rsidR="00FA48BF" w:rsidRPr="00F730B4" w:rsidRDefault="00FA48BF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730B4">
        <w:rPr>
          <w:rFonts w:ascii="Times New Roman" w:hAnsi="Times New Roman" w:cs="Times New Roman"/>
          <w:sz w:val="24"/>
          <w:szCs w:val="24"/>
        </w:rPr>
        <w:t>During the 1</w:t>
      </w:r>
      <w:r w:rsidR="00890667">
        <w:rPr>
          <w:rFonts w:ascii="Times New Roman" w:hAnsi="Times New Roman" w:cs="Times New Roman"/>
          <w:sz w:val="24"/>
          <w:szCs w:val="24"/>
        </w:rPr>
        <w:t>8</w:t>
      </w:r>
      <w:r w:rsidRPr="00F730B4">
        <w:rPr>
          <w:rFonts w:ascii="Times New Roman" w:hAnsi="Times New Roman" w:cs="Times New Roman"/>
          <w:sz w:val="24"/>
          <w:szCs w:val="24"/>
        </w:rPr>
        <w:t>th and 1</w:t>
      </w:r>
      <w:r w:rsidR="00890667">
        <w:rPr>
          <w:rFonts w:ascii="Times New Roman" w:hAnsi="Times New Roman" w:cs="Times New Roman"/>
          <w:sz w:val="24"/>
          <w:szCs w:val="24"/>
        </w:rPr>
        <w:t>9</w:t>
      </w:r>
      <w:r w:rsidRPr="00F730B4">
        <w:rPr>
          <w:rFonts w:ascii="Times New Roman" w:hAnsi="Times New Roman" w:cs="Times New Roman"/>
          <w:sz w:val="24"/>
          <w:szCs w:val="24"/>
        </w:rPr>
        <w:t xml:space="preserve">th centuries, Egyptologists who saw the world through a biased monotheistic perspective described Akhenaten as an idealistic, visionary thinker who courageously attempted to lead Egypt from an antiquated polytheistic religion to a progressive monotheistic one but failed because Egypt was not ready for a world with one god. I </w:t>
      </w:r>
      <w:r w:rsidR="00890667">
        <w:rPr>
          <w:rFonts w:ascii="Times New Roman" w:hAnsi="Times New Roman" w:cs="Times New Roman"/>
          <w:sz w:val="24"/>
          <w:szCs w:val="24"/>
        </w:rPr>
        <w:t>disagree</w:t>
      </w:r>
      <w:r w:rsidRPr="00F730B4">
        <w:rPr>
          <w:rFonts w:ascii="Times New Roman" w:hAnsi="Times New Roman" w:cs="Times New Roman"/>
          <w:sz w:val="24"/>
          <w:szCs w:val="24"/>
        </w:rPr>
        <w:t xml:space="preserve"> with their monotheistic viewpoint and will articulate why Pharaoh Akhenaten failed to revolutionize Egypt’s thousand-year-old orthodox religion using primary and secondary sources. Primary sources include archaeological artifacts such as inscriptions on stelae, royal and private tombs, statues, reliefs, and ritual objects.  </w:t>
      </w:r>
    </w:p>
    <w:p w14:paraId="2F10E857" w14:textId="2D5FED6B" w:rsidR="00FA48BF" w:rsidRPr="00F730B4" w:rsidRDefault="00FA48BF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730B4">
        <w:rPr>
          <w:rFonts w:ascii="Times New Roman" w:hAnsi="Times New Roman" w:cs="Times New Roman"/>
          <w:sz w:val="24"/>
          <w:szCs w:val="24"/>
        </w:rPr>
        <w:t xml:space="preserve">Pharaoh Akhenaten’s religious revolution failed for primarily two reasons. Firstly, the Egyptian people were unable and unwilling to embrace Akhenaten’s new theology because his theology did not align with </w:t>
      </w:r>
      <w:r w:rsidR="00890667">
        <w:rPr>
          <w:rFonts w:ascii="Times New Roman" w:hAnsi="Times New Roman" w:cs="Times New Roman"/>
          <w:sz w:val="24"/>
          <w:szCs w:val="24"/>
        </w:rPr>
        <w:t>Egypt’s</w:t>
      </w:r>
      <w:r w:rsidRPr="00F730B4">
        <w:rPr>
          <w:rFonts w:ascii="Times New Roman" w:hAnsi="Times New Roman" w:cs="Times New Roman"/>
          <w:sz w:val="24"/>
          <w:szCs w:val="24"/>
        </w:rPr>
        <w:t xml:space="preserve"> already ingrained and well-established religious apparatus of beliefs, rituals, and myths that met the</w:t>
      </w:r>
      <w:r w:rsidR="00890667">
        <w:rPr>
          <w:rFonts w:ascii="Times New Roman" w:hAnsi="Times New Roman" w:cs="Times New Roman"/>
          <w:sz w:val="24"/>
          <w:szCs w:val="24"/>
        </w:rPr>
        <w:t xml:space="preserve"> Egyptian’s</w:t>
      </w:r>
      <w:r w:rsidRPr="00F730B4">
        <w:rPr>
          <w:rFonts w:ascii="Times New Roman" w:hAnsi="Times New Roman" w:cs="Times New Roman"/>
          <w:sz w:val="24"/>
          <w:szCs w:val="24"/>
        </w:rPr>
        <w:t xml:space="preserve"> needs. The Egyptian people had two imperative needs: the ability to communicate directly with their chosen Egyptian god(s) and moral guidelines that gave them the ability to control their afterlife consequences.</w:t>
      </w:r>
    </w:p>
    <w:p w14:paraId="36AE22FA" w14:textId="24C18E5E" w:rsidR="00FA48BF" w:rsidRPr="00F730B4" w:rsidRDefault="00FA48BF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730B4">
        <w:rPr>
          <w:rFonts w:ascii="Times New Roman" w:hAnsi="Times New Roman" w:cs="Times New Roman"/>
          <w:sz w:val="24"/>
          <w:szCs w:val="24"/>
        </w:rPr>
        <w:t xml:space="preserve">Akhenaten’s new theology eliminated these two imperative religious needs by only allowing indirect communication with the new state-sanctioned sun god, Aten, through the pharaoh himself. Therefore, the </w:t>
      </w:r>
      <w:r w:rsidR="00890667">
        <w:rPr>
          <w:rFonts w:ascii="Times New Roman" w:hAnsi="Times New Roman" w:cs="Times New Roman"/>
          <w:sz w:val="24"/>
          <w:szCs w:val="24"/>
        </w:rPr>
        <w:t>Egyptians</w:t>
      </w:r>
      <w:r w:rsidRPr="00F730B4">
        <w:rPr>
          <w:rFonts w:ascii="Times New Roman" w:hAnsi="Times New Roman" w:cs="Times New Roman"/>
          <w:sz w:val="24"/>
          <w:szCs w:val="24"/>
        </w:rPr>
        <w:t xml:space="preserve"> could no longer communicate and give offerings directly to their chosen god (s)</w:t>
      </w:r>
      <w:r w:rsidR="00890667">
        <w:rPr>
          <w:rFonts w:ascii="Times New Roman" w:hAnsi="Times New Roman" w:cs="Times New Roman"/>
          <w:sz w:val="24"/>
          <w:szCs w:val="24"/>
        </w:rPr>
        <w:t>. They</w:t>
      </w:r>
      <w:r w:rsidRPr="00F730B4">
        <w:rPr>
          <w:rFonts w:ascii="Times New Roman" w:hAnsi="Times New Roman" w:cs="Times New Roman"/>
          <w:sz w:val="24"/>
          <w:szCs w:val="24"/>
        </w:rPr>
        <w:t xml:space="preserve"> could not control </w:t>
      </w:r>
      <w:r w:rsidR="00890667">
        <w:rPr>
          <w:rFonts w:ascii="Times New Roman" w:hAnsi="Times New Roman" w:cs="Times New Roman"/>
          <w:sz w:val="24"/>
          <w:szCs w:val="24"/>
        </w:rPr>
        <w:t>their</w:t>
      </w:r>
      <w:r w:rsidRPr="00F730B4">
        <w:rPr>
          <w:rFonts w:ascii="Times New Roman" w:hAnsi="Times New Roman" w:cs="Times New Roman"/>
          <w:sz w:val="24"/>
          <w:szCs w:val="24"/>
        </w:rPr>
        <w:t xml:space="preserve"> afterlife consequences </w:t>
      </w:r>
      <w:r w:rsidR="00890667">
        <w:rPr>
          <w:rFonts w:ascii="Times New Roman" w:hAnsi="Times New Roman" w:cs="Times New Roman"/>
          <w:sz w:val="24"/>
          <w:szCs w:val="24"/>
        </w:rPr>
        <w:t xml:space="preserve">of their own free will by following religious and </w:t>
      </w:r>
      <w:r w:rsidRPr="00F730B4">
        <w:rPr>
          <w:rFonts w:ascii="Times New Roman" w:hAnsi="Times New Roman" w:cs="Times New Roman"/>
          <w:sz w:val="24"/>
          <w:szCs w:val="24"/>
        </w:rPr>
        <w:t>moral guidelines. Instead, the pharaoh determined their life-after-death situation. The Egyptians were dissatisfied with the new theology because they could no longer directly relate with their chosen god(s), whom they depended upon for consolation and morality.</w:t>
      </w:r>
    </w:p>
    <w:p w14:paraId="29E7506B" w14:textId="1FDB615D" w:rsidR="00F730B4" w:rsidRPr="00F730B4" w:rsidRDefault="00FA48BF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730B4">
        <w:rPr>
          <w:rFonts w:ascii="Times New Roman" w:hAnsi="Times New Roman" w:cs="Times New Roman"/>
          <w:sz w:val="24"/>
          <w:szCs w:val="24"/>
        </w:rPr>
        <w:lastRenderedPageBreak/>
        <w:t>Given that the Egyptian people were unable and unwilling to embrace Akhenaten’s new radical theology, the all-powerful Phar</w:t>
      </w:r>
      <w:r w:rsidR="007858F2">
        <w:rPr>
          <w:rFonts w:ascii="Times New Roman" w:hAnsi="Times New Roman" w:cs="Times New Roman"/>
          <w:sz w:val="24"/>
          <w:szCs w:val="24"/>
        </w:rPr>
        <w:t>a</w:t>
      </w:r>
      <w:r w:rsidRPr="00F730B4">
        <w:rPr>
          <w:rFonts w:ascii="Times New Roman" w:hAnsi="Times New Roman" w:cs="Times New Roman"/>
          <w:sz w:val="24"/>
          <w:szCs w:val="24"/>
        </w:rPr>
        <w:t xml:space="preserve">oh Akhenaten could have forced the Egyptian people to adopt his theology. However, it would be impossible to completely replace the current ingrained, entrenched, and well-established Egyptian theology </w:t>
      </w:r>
      <w:r w:rsidR="007858F2">
        <w:rPr>
          <w:rFonts w:ascii="Times New Roman" w:hAnsi="Times New Roman" w:cs="Times New Roman"/>
          <w:sz w:val="24"/>
          <w:szCs w:val="24"/>
        </w:rPr>
        <w:t>quickly with a radically different theology</w:t>
      </w:r>
      <w:r w:rsidRPr="00F730B4">
        <w:rPr>
          <w:rFonts w:ascii="Times New Roman" w:hAnsi="Times New Roman" w:cs="Times New Roman"/>
          <w:sz w:val="24"/>
          <w:szCs w:val="24"/>
        </w:rPr>
        <w:t>, leading to the second reason for the failure of Akhenaten’s religious revolution. Akhenaten and his family members/successors died early</w:t>
      </w:r>
      <w:r w:rsidR="007858F2">
        <w:rPr>
          <w:rFonts w:ascii="Times New Roman" w:hAnsi="Times New Roman" w:cs="Times New Roman"/>
          <w:sz w:val="24"/>
          <w:szCs w:val="24"/>
        </w:rPr>
        <w:t xml:space="preserve"> and/or did not support his new theology</w:t>
      </w:r>
      <w:r w:rsidRPr="00F730B4">
        <w:rPr>
          <w:rFonts w:ascii="Times New Roman" w:hAnsi="Times New Roman" w:cs="Times New Roman"/>
          <w:sz w:val="24"/>
          <w:szCs w:val="24"/>
        </w:rPr>
        <w:t>, and he failed to develop a strong successor/disciple who could impose the pharaonic power necessary to move his radical religious ideology forward. Akhenaten’s successors, Smenkhkare and Tutankhamun, were young</w:t>
      </w:r>
      <w:r w:rsidR="007858F2">
        <w:rPr>
          <w:rFonts w:ascii="Times New Roman" w:hAnsi="Times New Roman" w:cs="Times New Roman"/>
          <w:sz w:val="24"/>
          <w:szCs w:val="24"/>
        </w:rPr>
        <w:t>,</w:t>
      </w:r>
      <w:r w:rsidRPr="00F730B4">
        <w:rPr>
          <w:rFonts w:ascii="Times New Roman" w:hAnsi="Times New Roman" w:cs="Times New Roman"/>
          <w:sz w:val="24"/>
          <w:szCs w:val="24"/>
        </w:rPr>
        <w:t xml:space="preserve"> weak leaders. Not only did they die early, but </w:t>
      </w:r>
      <w:r w:rsidR="007858F2">
        <w:rPr>
          <w:rFonts w:ascii="Times New Roman" w:hAnsi="Times New Roman" w:cs="Times New Roman"/>
          <w:sz w:val="24"/>
          <w:szCs w:val="24"/>
        </w:rPr>
        <w:t>they were un</w:t>
      </w:r>
      <w:r w:rsidRPr="00F730B4">
        <w:rPr>
          <w:rFonts w:ascii="Times New Roman" w:hAnsi="Times New Roman" w:cs="Times New Roman"/>
          <w:sz w:val="24"/>
          <w:szCs w:val="24"/>
        </w:rPr>
        <w:t xml:space="preserve">interested in moving Akhenaten’s religious movement forward. Therefore, Akhenaten’s religious </w:t>
      </w:r>
      <w:r w:rsidR="00F730B4" w:rsidRPr="00F730B4">
        <w:rPr>
          <w:rFonts w:ascii="Times New Roman" w:hAnsi="Times New Roman" w:cs="Times New Roman"/>
          <w:sz w:val="24"/>
          <w:szCs w:val="24"/>
        </w:rPr>
        <w:t>revolution died when he did, after 17 years of reign.</w:t>
      </w:r>
    </w:p>
    <w:p w14:paraId="3EC8AA5A" w14:textId="2A04F4A9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2568FBB7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18846058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673D301E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1139F2BB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5EE8D770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32231732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62F25717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5E9B3CE7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3250CC55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1C5987CB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769FC3BC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5731861E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04F9FF74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287CC2E6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20142652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03C16A2F" w14:textId="77777777" w:rsidR="00F730B4" w:rsidRDefault="00F730B4" w:rsidP="00F730B4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30A3954C" w14:textId="77777777" w:rsidR="00F730B4" w:rsidRDefault="00F730B4" w:rsidP="00F730B4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</w:rPr>
      </w:pPr>
    </w:p>
    <w:p w14:paraId="2D0DE66D" w14:textId="5A1B8EE0" w:rsidR="00F730B4" w:rsidRDefault="00F730B4" w:rsidP="00F730B4">
      <w:pPr>
        <w:spacing w:after="0" w:line="36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Indicative Bibliography</w:t>
      </w:r>
    </w:p>
    <w:p w14:paraId="094D9ECB" w14:textId="77777777" w:rsidR="00F730B4" w:rsidRDefault="00F730B4" w:rsidP="00F730B4">
      <w:pPr>
        <w:spacing w:after="0" w:line="36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33098427" w14:textId="77777777" w:rsidR="00F730B4" w:rsidRDefault="00F730B4" w:rsidP="00F730B4">
      <w:pPr>
        <w:spacing w:after="0" w:line="360" w:lineRule="auto"/>
        <w:ind w:left="1080" w:hanging="10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Dodson, A. 2018. </w:t>
      </w:r>
      <w:r w:rsidRPr="007B0FEF">
        <w:rPr>
          <w:rFonts w:ascii="Times New Roman" w:hAnsi="Times New Roman" w:cs="Times New Roman"/>
          <w:i/>
          <w:iCs/>
          <w:sz w:val="24"/>
          <w:szCs w:val="24"/>
        </w:rPr>
        <w:t>Amarna Sunset: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Nefertiti, Tutankhamun, Ay, Horemheb, and the Egyptian</w:t>
      </w:r>
    </w:p>
    <w:p w14:paraId="0F1FA590" w14:textId="77777777" w:rsidR="00F730B4" w:rsidRDefault="00F730B4" w:rsidP="00F730B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 Counter-reformation.</w:t>
      </w:r>
      <w:r>
        <w:rPr>
          <w:rFonts w:ascii="Times New Roman" w:hAnsi="Times New Roman" w:cs="Times New Roman"/>
          <w:sz w:val="24"/>
          <w:szCs w:val="24"/>
        </w:rPr>
        <w:t xml:space="preserve"> Cairo: The American University in Cairo Press.</w:t>
      </w:r>
    </w:p>
    <w:p w14:paraId="40888B6B" w14:textId="77777777" w:rsidR="00F730B4" w:rsidRDefault="00F730B4" w:rsidP="00F730B4">
      <w:pPr>
        <w:spacing w:after="0" w:line="360" w:lineRule="auto"/>
        <w:ind w:left="1080" w:hanging="10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Hoffmeier, J. 2015. </w:t>
      </w:r>
      <w:r w:rsidRPr="00E515CD">
        <w:rPr>
          <w:rFonts w:ascii="Times New Roman" w:hAnsi="Times New Roman" w:cs="Times New Roman"/>
          <w:i/>
          <w:iCs/>
          <w:sz w:val="24"/>
          <w:szCs w:val="24"/>
        </w:rPr>
        <w:t>Akhenaten &amp; the Origins of Monotheism.</w:t>
      </w:r>
    </w:p>
    <w:p w14:paraId="51595D83" w14:textId="77777777" w:rsidR="00F730B4" w:rsidRDefault="00F730B4" w:rsidP="00F730B4">
      <w:pPr>
        <w:spacing w:after="0" w:line="360" w:lineRule="auto"/>
        <w:ind w:left="1080" w:hanging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Oxford: Oxford University Press.</w:t>
      </w:r>
    </w:p>
    <w:p w14:paraId="01D19842" w14:textId="77777777" w:rsidR="00F730B4" w:rsidRDefault="00F730B4" w:rsidP="00F730B4">
      <w:pPr>
        <w:spacing w:after="0" w:line="360" w:lineRule="auto"/>
        <w:ind w:left="1080" w:hanging="10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Kemp</w:t>
      </w:r>
      <w:r w:rsidRPr="004433ED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B</w:t>
      </w:r>
      <w:r w:rsidRPr="004433ED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2012</w:t>
      </w:r>
      <w:r w:rsidRPr="004433ED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i/>
          <w:iCs/>
          <w:sz w:val="24"/>
          <w:szCs w:val="24"/>
        </w:rPr>
        <w:t>The City of Akhenaten and Nefertiti Amarna and Its People.</w:t>
      </w:r>
    </w:p>
    <w:p w14:paraId="60CACC87" w14:textId="77777777" w:rsidR="00F730B4" w:rsidRPr="00DA69C5" w:rsidRDefault="00F730B4" w:rsidP="00F730B4">
      <w:pPr>
        <w:spacing w:after="0" w:line="360" w:lineRule="auto"/>
        <w:ind w:left="1080" w:hanging="360"/>
        <w:rPr>
          <w:rFonts w:ascii="Times New Roman" w:hAnsi="Times New Roman" w:cs="Times New Roman"/>
          <w:sz w:val="24"/>
          <w:szCs w:val="24"/>
        </w:rPr>
      </w:pPr>
      <w:r w:rsidRPr="004433E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London</w:t>
      </w:r>
      <w:r w:rsidRPr="004433ED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 xml:space="preserve"> Thames &amp; Hudson.</w:t>
      </w:r>
    </w:p>
    <w:p w14:paraId="5F154BDB" w14:textId="77777777" w:rsidR="00F730B4" w:rsidRPr="004433ED" w:rsidRDefault="00F730B4" w:rsidP="00F730B4">
      <w:pPr>
        <w:spacing w:after="0" w:line="360" w:lineRule="auto"/>
        <w:ind w:left="1080" w:hanging="10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Montserrat</w:t>
      </w:r>
      <w:r w:rsidRPr="004433ED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D</w:t>
      </w:r>
      <w:r w:rsidRPr="004433ED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2000</w:t>
      </w:r>
      <w:r w:rsidRPr="004433ED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i/>
          <w:iCs/>
          <w:sz w:val="24"/>
          <w:szCs w:val="24"/>
        </w:rPr>
        <w:t>Akhenaten: History, Fantasy, and Ancient Egypt</w:t>
      </w:r>
      <w:r w:rsidRPr="004433E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F0C0838" w14:textId="77777777" w:rsidR="00F730B4" w:rsidRDefault="00F730B4" w:rsidP="00F730B4">
      <w:pPr>
        <w:spacing w:after="0" w:line="360" w:lineRule="auto"/>
        <w:ind w:left="1080" w:hanging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New York: Routledge</w:t>
      </w:r>
      <w:r w:rsidRPr="004433ED">
        <w:rPr>
          <w:rFonts w:ascii="Times New Roman" w:hAnsi="Times New Roman" w:cs="Times New Roman"/>
          <w:sz w:val="24"/>
          <w:szCs w:val="24"/>
        </w:rPr>
        <w:t>.</w:t>
      </w:r>
    </w:p>
    <w:p w14:paraId="0878D9A1" w14:textId="77777777" w:rsidR="00F730B4" w:rsidRPr="000D2016" w:rsidRDefault="00F730B4" w:rsidP="00F730B4">
      <w:pPr>
        <w:spacing w:after="0" w:line="360" w:lineRule="auto"/>
        <w:ind w:left="1080" w:hanging="10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Murnane, W. 1995. </w:t>
      </w:r>
      <w:r w:rsidRPr="000D2016">
        <w:rPr>
          <w:rFonts w:ascii="Times New Roman" w:hAnsi="Times New Roman" w:cs="Times New Roman"/>
          <w:i/>
          <w:iCs/>
          <w:sz w:val="24"/>
          <w:szCs w:val="24"/>
        </w:rPr>
        <w:t>Texts from the Amarna Period in Egypt.</w:t>
      </w:r>
    </w:p>
    <w:p w14:paraId="1F41BA93" w14:textId="77777777" w:rsidR="00F730B4" w:rsidRPr="002C792A" w:rsidRDefault="00F730B4" w:rsidP="00F730B4">
      <w:pPr>
        <w:spacing w:after="0" w:line="360" w:lineRule="auto"/>
        <w:ind w:left="1080" w:hanging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Atlanta: Scholars Press.</w:t>
      </w:r>
    </w:p>
    <w:p w14:paraId="4B3F304B" w14:textId="77777777" w:rsidR="00F730B4" w:rsidRDefault="00F730B4" w:rsidP="00F730B4">
      <w:pPr>
        <w:spacing w:after="0" w:line="360" w:lineRule="auto"/>
        <w:ind w:left="1080" w:hanging="10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Ridley, R. 2019. </w:t>
      </w:r>
      <w:r w:rsidRPr="007B0FEF">
        <w:rPr>
          <w:rFonts w:ascii="Times New Roman" w:hAnsi="Times New Roman" w:cs="Times New Roman"/>
          <w:i/>
          <w:iCs/>
          <w:sz w:val="24"/>
          <w:szCs w:val="24"/>
        </w:rPr>
        <w:t xml:space="preserve">Akhenaten: A Historian’s View. </w:t>
      </w:r>
    </w:p>
    <w:p w14:paraId="522C8AD5" w14:textId="77777777" w:rsidR="00F730B4" w:rsidRDefault="00F730B4" w:rsidP="00F730B4">
      <w:pPr>
        <w:spacing w:after="0" w:line="360" w:lineRule="auto"/>
        <w:ind w:left="1080" w:hanging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Cairo: The American University in Cairo Press.</w:t>
      </w:r>
    </w:p>
    <w:p w14:paraId="1D192014" w14:textId="77777777" w:rsidR="00F730B4" w:rsidRPr="000D2016" w:rsidRDefault="00F730B4" w:rsidP="00F730B4">
      <w:pPr>
        <w:spacing w:after="0" w:line="360" w:lineRule="auto"/>
        <w:ind w:left="1080" w:hanging="10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Stevens, A. 2006. </w:t>
      </w:r>
      <w:r w:rsidRPr="000D2016">
        <w:rPr>
          <w:rFonts w:ascii="Times New Roman" w:hAnsi="Times New Roman" w:cs="Times New Roman"/>
          <w:i/>
          <w:iCs/>
          <w:sz w:val="24"/>
          <w:szCs w:val="24"/>
        </w:rPr>
        <w:t>Private Religion at Armana: The Material Evidence.</w:t>
      </w:r>
    </w:p>
    <w:p w14:paraId="67F05523" w14:textId="77777777" w:rsidR="00F730B4" w:rsidRPr="007B0FEF" w:rsidRDefault="00F730B4" w:rsidP="00F730B4">
      <w:pPr>
        <w:spacing w:after="0" w:line="360" w:lineRule="auto"/>
        <w:ind w:left="1080" w:hanging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Oxford: </w:t>
      </w:r>
      <w:proofErr w:type="spellStart"/>
      <w:r>
        <w:rPr>
          <w:rFonts w:ascii="Times New Roman" w:hAnsi="Times New Roman" w:cs="Times New Roman"/>
          <w:sz w:val="24"/>
          <w:szCs w:val="24"/>
        </w:rPr>
        <w:t>Archaeopress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E9EB92B" w14:textId="77777777" w:rsidR="00F730B4" w:rsidRDefault="00F730B4" w:rsidP="00F730B4">
      <w:pPr>
        <w:spacing w:after="0" w:line="360" w:lineRule="auto"/>
        <w:ind w:left="1080" w:hanging="10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Teeter, E. 2011. </w:t>
      </w:r>
      <w:r w:rsidRPr="002C792A">
        <w:rPr>
          <w:rFonts w:ascii="Times New Roman" w:hAnsi="Times New Roman" w:cs="Times New Roman"/>
          <w:i/>
          <w:iCs/>
          <w:sz w:val="24"/>
          <w:szCs w:val="24"/>
        </w:rPr>
        <w:t>Religion and Ritual in Ancient Egypt.</w:t>
      </w:r>
    </w:p>
    <w:p w14:paraId="6A328242" w14:textId="74724796" w:rsidR="00F730B4" w:rsidRDefault="00F730B4" w:rsidP="00F730B4">
      <w:pPr>
        <w:spacing w:after="0" w:line="360" w:lineRule="auto"/>
        <w:ind w:left="1080" w:hanging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Cambridge: Cambridge University Press.</w:t>
      </w:r>
    </w:p>
    <w:p w14:paraId="2EBBFD70" w14:textId="77777777" w:rsidR="00F730B4" w:rsidRDefault="00F730B4" w:rsidP="00F730B4">
      <w:pPr>
        <w:spacing w:after="0" w:line="360" w:lineRule="auto"/>
        <w:ind w:left="1080" w:hanging="10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Watterson, B. 1999. </w:t>
      </w:r>
      <w:r w:rsidRPr="002C792A">
        <w:rPr>
          <w:rFonts w:ascii="Times New Roman" w:hAnsi="Times New Roman" w:cs="Times New Roman"/>
          <w:i/>
          <w:iCs/>
          <w:sz w:val="24"/>
          <w:szCs w:val="24"/>
        </w:rPr>
        <w:t>Amarna: Ancient Egypt’s Age of Revolution.</w:t>
      </w:r>
    </w:p>
    <w:p w14:paraId="7CF674E5" w14:textId="5F313702" w:rsidR="00F730B4" w:rsidRDefault="00F730B4" w:rsidP="00F730B4">
      <w:pPr>
        <w:spacing w:after="0" w:line="360" w:lineRule="auto"/>
        <w:ind w:left="1080" w:hanging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Stroud: Tempus Publishing Ltd.</w:t>
      </w:r>
    </w:p>
    <w:p w14:paraId="5031573D" w14:textId="77777777" w:rsidR="00F730B4" w:rsidRPr="00DA69C5" w:rsidRDefault="00F730B4" w:rsidP="00F730B4">
      <w:pPr>
        <w:spacing w:after="0" w:line="360" w:lineRule="auto"/>
        <w:ind w:left="1080" w:hanging="1080"/>
        <w:rPr>
          <w:rFonts w:ascii="Times New Roman" w:hAnsi="Times New Roman" w:cs="Times New Roman"/>
          <w:sz w:val="24"/>
          <w:szCs w:val="24"/>
        </w:rPr>
      </w:pPr>
    </w:p>
    <w:p w14:paraId="0FECA9C9" w14:textId="77777777" w:rsidR="00F730B4" w:rsidRPr="00374EB7" w:rsidRDefault="00F730B4" w:rsidP="00F730B4">
      <w:pPr>
        <w:spacing w:after="0" w:line="360" w:lineRule="auto"/>
        <w:ind w:left="-450" w:firstLine="1170"/>
        <w:rPr>
          <w:rFonts w:ascii="Times New Roman" w:hAnsi="Times New Roman" w:cs="Times New Roman"/>
          <w:sz w:val="24"/>
          <w:szCs w:val="24"/>
        </w:rPr>
      </w:pPr>
    </w:p>
    <w:sectPr w:rsidR="00F730B4" w:rsidRPr="00374EB7" w:rsidSect="00CF26A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48BF"/>
    <w:rsid w:val="000447BA"/>
    <w:rsid w:val="00100D77"/>
    <w:rsid w:val="007835F9"/>
    <w:rsid w:val="007858F2"/>
    <w:rsid w:val="00890667"/>
    <w:rsid w:val="00CF26AD"/>
    <w:rsid w:val="00D23924"/>
    <w:rsid w:val="00F730B4"/>
    <w:rsid w:val="00F92DFC"/>
    <w:rsid w:val="00FA4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4BCFEC"/>
  <w15:chartTrackingRefBased/>
  <w15:docId w15:val="{080DCAD4-5AB1-4F39-9643-EE46CB9EF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649</Words>
  <Characters>3882</Characters>
  <Application>Microsoft Office Word</Application>
  <DocSecurity>0</DocSecurity>
  <Lines>110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</dc:creator>
  <cp:keywords/>
  <dc:description/>
  <cp:lastModifiedBy>Kevin Hahn</cp:lastModifiedBy>
  <cp:revision>2</cp:revision>
  <cp:lastPrinted>2024-02-22T17:51:00Z</cp:lastPrinted>
  <dcterms:created xsi:type="dcterms:W3CDTF">2024-02-22T21:00:00Z</dcterms:created>
  <dcterms:modified xsi:type="dcterms:W3CDTF">2024-02-22T21:00:00Z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181d6591-9993-4f6a-9632-e614f40c77a0</vt:lpwstr>
  </property>
</Properties>
</file>