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imes New Roman" w:hAnsi="Arial" w:cs="Arial"/>
          <w:color w:val="000000" w:themeColor="text1"/>
          <w:szCs w:val="24"/>
          <w:lang w:val="en-GB" w:eastAsia="en-GB"/>
        </w:rPr>
        <w:id w:val="-1294973787"/>
        <w:docPartObj>
          <w:docPartGallery w:val="Cover Pages"/>
          <w:docPartUnique/>
        </w:docPartObj>
      </w:sdtPr>
      <w:sdtEndPr>
        <w:rPr>
          <w:rFonts w:asciiTheme="minorHAnsi" w:eastAsiaTheme="minorHAnsi" w:hAnsiTheme="minorHAnsi" w:cstheme="minorBidi"/>
          <w:i/>
          <w:color w:val="auto"/>
          <w:sz w:val="24"/>
          <w:lang w:eastAsia="en-US"/>
        </w:rPr>
      </w:sdtEndPr>
      <w:sdtContent>
        <w:p w14:paraId="5B2BCBB3" w14:textId="7DB024A5" w:rsidR="00BF3042" w:rsidRPr="00901E26" w:rsidRDefault="00BF3042" w:rsidP="00901E26">
          <w:pPr>
            <w:pStyle w:val="NoSpacing"/>
            <w:spacing w:before="1540" w:after="240" w:line="360" w:lineRule="auto"/>
            <w:jc w:val="center"/>
            <w:rPr>
              <w:rFonts w:ascii="Arial" w:hAnsi="Arial" w:cs="Arial"/>
              <w:color w:val="000000" w:themeColor="text1"/>
            </w:rPr>
          </w:pPr>
          <w:r w:rsidRPr="00901E26">
            <w:rPr>
              <w:rFonts w:ascii="Arial" w:hAnsi="Arial" w:cs="Arial"/>
              <w:noProof/>
              <w:color w:val="000000" w:themeColor="text1"/>
            </w:rPr>
            <w:drawing>
              <wp:anchor distT="0" distB="0" distL="114300" distR="114300" simplePos="0" relativeHeight="251661312" behindDoc="1" locked="0" layoutInCell="1" allowOverlap="1" wp14:anchorId="6140C615" wp14:editId="0ABA2808">
                <wp:simplePos x="0" y="0"/>
                <wp:positionH relativeFrom="margin">
                  <wp:posOffset>698929</wp:posOffset>
                </wp:positionH>
                <wp:positionV relativeFrom="paragraph">
                  <wp:posOffset>223</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2C551E07" w14:textId="419B2733" w:rsidR="00A8429E" w:rsidRPr="00901E26" w:rsidRDefault="00A8429E" w:rsidP="00901E26">
          <w:pPr>
            <w:pStyle w:val="NoSpacing"/>
            <w:spacing w:before="1540" w:after="240" w:line="360" w:lineRule="auto"/>
            <w:rPr>
              <w:rFonts w:ascii="Arial" w:hAnsi="Arial" w:cs="Arial"/>
              <w:color w:val="000000" w:themeColor="text1"/>
            </w:rPr>
          </w:pPr>
        </w:p>
        <w:sdt>
          <w:sdtPr>
            <w:rPr>
              <w:rFonts w:ascii="Arial" w:hAnsi="Arial" w:cs="Arial"/>
              <w:color w:val="000000" w:themeColor="text1"/>
              <w:kern w:val="2"/>
              <w:sz w:val="48"/>
              <w:szCs w:val="48"/>
              <w:lang w:val="en-GB"/>
              <w14:ligatures w14:val="standardContextual"/>
            </w:rPr>
            <w:alias w:val="Title"/>
            <w:tag w:val=""/>
            <w:id w:val="1735040861"/>
            <w:placeholder>
              <w:docPart w:val="52BE798C6FA64A449DDDB191C5CDAE75"/>
            </w:placeholder>
            <w:dataBinding w:prefixMappings="xmlns:ns0='http://purl.org/dc/elements/1.1/' xmlns:ns1='http://schemas.openxmlformats.org/package/2006/metadata/core-properties' " w:xpath="/ns1:coreProperties[1]/ns0:title[1]" w:storeItemID="{6C3C8BC8-F283-45AE-878A-BAB7291924A1}"/>
            <w:text/>
          </w:sdtPr>
          <w:sdtEndPr/>
          <w:sdtContent>
            <w:p w14:paraId="586DACE9" w14:textId="53316A25" w:rsidR="00A8429E" w:rsidRPr="005A439E" w:rsidRDefault="00BF3042" w:rsidP="00901E26">
              <w:pPr>
                <w:pStyle w:val="NoSpacing"/>
                <w:pBdr>
                  <w:top w:val="single" w:sz="6" w:space="6" w:color="4472C4" w:themeColor="accent1"/>
                  <w:bottom w:val="single" w:sz="6" w:space="6" w:color="4472C4" w:themeColor="accent1"/>
                </w:pBdr>
                <w:spacing w:after="240" w:line="360" w:lineRule="auto"/>
                <w:jc w:val="center"/>
                <w:rPr>
                  <w:rFonts w:ascii="Arial" w:eastAsiaTheme="majorEastAsia" w:hAnsi="Arial" w:cs="Arial"/>
                  <w:caps/>
                  <w:color w:val="000000" w:themeColor="text1"/>
                  <w:sz w:val="48"/>
                  <w:szCs w:val="48"/>
                </w:rPr>
              </w:pPr>
              <w:r w:rsidRPr="005A439E">
                <w:rPr>
                  <w:rFonts w:ascii="Arial" w:hAnsi="Arial" w:cs="Arial"/>
                  <w:color w:val="000000" w:themeColor="text1"/>
                  <w:kern w:val="2"/>
                  <w:sz w:val="48"/>
                  <w:szCs w:val="48"/>
                  <w:lang w:val="en-GB"/>
                  <w14:ligatures w14:val="standardContextual"/>
                </w:rPr>
                <w:t>Institute of Inner-City Learning Birmingham Campus BSc (Hons) Health and Social Care</w:t>
              </w:r>
            </w:p>
          </w:sdtContent>
        </w:sdt>
        <w:p w14:paraId="4F86A5BD" w14:textId="065D0157" w:rsidR="00A8429E" w:rsidRPr="00901E26" w:rsidRDefault="00A8429E" w:rsidP="00901E26">
          <w:pPr>
            <w:pStyle w:val="NoSpacing"/>
            <w:spacing w:before="480" w:line="360" w:lineRule="auto"/>
            <w:jc w:val="center"/>
            <w:rPr>
              <w:rFonts w:ascii="Arial" w:hAnsi="Arial" w:cs="Arial"/>
              <w:color w:val="000000" w:themeColor="text1"/>
            </w:rPr>
          </w:pPr>
        </w:p>
        <w:p w14:paraId="44C7550A" w14:textId="77777777" w:rsidR="00A8429E" w:rsidRPr="00901E26" w:rsidRDefault="00A8429E" w:rsidP="00901E26">
          <w:pPr>
            <w:spacing w:line="360" w:lineRule="auto"/>
            <w:rPr>
              <w:rFonts w:cs="Arial"/>
              <w:color w:val="000000" w:themeColor="text1"/>
              <w:szCs w:val="22"/>
            </w:rPr>
          </w:pPr>
        </w:p>
        <w:p w14:paraId="22DFC763" w14:textId="77777777" w:rsidR="00A8429E" w:rsidRPr="00901E26" w:rsidRDefault="00A8429E" w:rsidP="00901E26">
          <w:pPr>
            <w:spacing w:line="360" w:lineRule="auto"/>
            <w:rPr>
              <w:rFonts w:cs="Arial"/>
              <w:color w:val="000000" w:themeColor="text1"/>
              <w:szCs w:val="22"/>
            </w:rPr>
          </w:pPr>
          <w:r w:rsidRPr="00901E26">
            <w:rPr>
              <w:rFonts w:cs="Arial"/>
              <w:color w:val="000000" w:themeColor="text1"/>
              <w:szCs w:val="22"/>
            </w:rPr>
            <w:br w:type="page"/>
          </w:r>
        </w:p>
        <w:p w14:paraId="1C7FB2EA" w14:textId="77777777" w:rsidR="00BF3042" w:rsidRPr="00901E26" w:rsidRDefault="00BF3042" w:rsidP="00901E26">
          <w:pPr>
            <w:pStyle w:val="Heading1"/>
            <w:spacing w:line="360" w:lineRule="auto"/>
            <w:rPr>
              <w:rFonts w:cs="Arial"/>
              <w:color w:val="000000" w:themeColor="text1"/>
              <w:szCs w:val="22"/>
            </w:rPr>
          </w:pPr>
          <w:bookmarkStart w:id="0" w:name="_Toc214840431"/>
          <w:r w:rsidRPr="00901E26">
            <w:rPr>
              <w:rFonts w:cs="Arial"/>
              <w:color w:val="000000" w:themeColor="text1"/>
              <w:szCs w:val="22"/>
            </w:rPr>
            <w:lastRenderedPageBreak/>
            <w:t>Disclaimer</w:t>
          </w:r>
          <w:bookmarkEnd w:id="0"/>
        </w:p>
        <w:p w14:paraId="69FF86C2" w14:textId="00017B25" w:rsidR="00BF3042" w:rsidRPr="00901E26" w:rsidRDefault="00BF3042" w:rsidP="00901E26">
          <w:pPr>
            <w:spacing w:before="62" w:line="360" w:lineRule="auto"/>
            <w:ind w:right="96"/>
            <w:rPr>
              <w:rFonts w:cs="Arial"/>
              <w:color w:val="000000" w:themeColor="text1"/>
              <w:szCs w:val="22"/>
            </w:rPr>
          </w:pPr>
          <w:r w:rsidRPr="00901E26">
            <w:rPr>
              <w:rFonts w:cs="Arial"/>
              <w:color w:val="000000" w:themeColor="text1"/>
              <w:szCs w:val="22"/>
            </w:rPr>
            <w:t>This document was correct at the time of publication. The Module Coordinator reserves the right to modify any statement,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0AE1B2D2" w14:textId="77777777" w:rsidR="00BF3042" w:rsidRPr="00901E26" w:rsidRDefault="00BF3042" w:rsidP="00901E26">
          <w:pPr>
            <w:spacing w:line="360" w:lineRule="auto"/>
            <w:rPr>
              <w:rFonts w:cs="Arial"/>
              <w:b/>
              <w:color w:val="000000" w:themeColor="text1"/>
              <w:szCs w:val="22"/>
            </w:rPr>
          </w:pPr>
        </w:p>
        <w:p w14:paraId="0F95DCD0" w14:textId="77777777" w:rsidR="00BF3042" w:rsidRPr="00901E26" w:rsidRDefault="00BF3042" w:rsidP="00901E26">
          <w:pPr>
            <w:spacing w:line="360" w:lineRule="auto"/>
            <w:rPr>
              <w:rFonts w:cs="Arial"/>
              <w:b/>
              <w:color w:val="000000" w:themeColor="text1"/>
              <w:szCs w:val="22"/>
            </w:rPr>
          </w:pPr>
          <w:r w:rsidRPr="00901E26">
            <w:rPr>
              <w:rFonts w:cs="Arial"/>
              <w:b/>
              <w:color w:val="000000" w:themeColor="text1"/>
              <w:szCs w:val="22"/>
            </w:rPr>
            <w:t>DECLARATION</w:t>
          </w:r>
        </w:p>
        <w:p w14:paraId="0344C5B9"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This work has not previously been accepted in substance for any degree and is not being concurrently submitted in candidature for any degree</w:t>
          </w:r>
        </w:p>
        <w:p w14:paraId="0061F97E" w14:textId="1FE22222"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49ACFB7E" w14:textId="0F93E25A"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0C38DB66" w14:textId="77777777" w:rsidR="00BF3042" w:rsidRPr="00901E26" w:rsidRDefault="00BF3042" w:rsidP="00901E26">
          <w:pPr>
            <w:spacing w:line="360" w:lineRule="auto"/>
            <w:rPr>
              <w:rFonts w:cs="Arial"/>
              <w:bCs/>
              <w:color w:val="000000" w:themeColor="text1"/>
              <w:kern w:val="32"/>
              <w:szCs w:val="22"/>
            </w:rPr>
          </w:pPr>
          <w:r w:rsidRPr="00901E26">
            <w:rPr>
              <w:rFonts w:cs="Arial"/>
              <w:b/>
              <w:color w:val="000000" w:themeColor="text1"/>
              <w:szCs w:val="22"/>
            </w:rPr>
            <w:t xml:space="preserve">STATEMENT 1 </w:t>
          </w:r>
        </w:p>
        <w:p w14:paraId="7C459E56"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This dissertation is being submitted in partial fulfilment of the requirements for the degree of BSc.</w:t>
          </w:r>
        </w:p>
        <w:p w14:paraId="0B9E7DA2"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5A466CB1"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3578B806" w14:textId="77777777" w:rsidR="00BF3042" w:rsidRPr="00901E26" w:rsidRDefault="00BF3042" w:rsidP="00901E26">
          <w:pPr>
            <w:spacing w:line="360" w:lineRule="auto"/>
            <w:rPr>
              <w:rFonts w:cs="Arial"/>
              <w:color w:val="000000" w:themeColor="text1"/>
              <w:szCs w:val="22"/>
            </w:rPr>
          </w:pPr>
          <w:r w:rsidRPr="00901E26">
            <w:rPr>
              <w:rFonts w:cs="Arial"/>
              <w:b/>
              <w:color w:val="000000" w:themeColor="text1"/>
              <w:szCs w:val="22"/>
            </w:rPr>
            <w:t>STATEMENT 2</w:t>
          </w:r>
        </w:p>
        <w:p w14:paraId="7338843C"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This dissertation is the result of my own independent work/investigation, except where otherwise stated. Other sources are acknowledged by footnotes giving explicit references.  A bibliography is appended.</w:t>
          </w:r>
        </w:p>
        <w:p w14:paraId="5AC4AF05"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467B4229"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6E7E25E8" w14:textId="77777777" w:rsidR="00BF3042" w:rsidRPr="00901E26" w:rsidRDefault="00BF3042" w:rsidP="00901E26">
          <w:pPr>
            <w:spacing w:line="360" w:lineRule="auto"/>
            <w:rPr>
              <w:rFonts w:cs="Arial"/>
              <w:color w:val="000000" w:themeColor="text1"/>
              <w:szCs w:val="22"/>
            </w:rPr>
          </w:pPr>
          <w:r w:rsidRPr="00901E26">
            <w:rPr>
              <w:rFonts w:cs="Arial"/>
              <w:b/>
              <w:color w:val="000000" w:themeColor="text1"/>
              <w:szCs w:val="22"/>
            </w:rPr>
            <w:t>STATEMENT 3</w:t>
          </w:r>
        </w:p>
        <w:p w14:paraId="78812825"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I hereby give consent for my dissertation, if accepted, to be available for photocopying and for interlibrary loan, and for the title and summary to be made available to outside organisations.</w:t>
          </w:r>
        </w:p>
        <w:p w14:paraId="01A5F597"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56CB5B66"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2AE9ACB1" w14:textId="77777777" w:rsidR="00BF3042" w:rsidRPr="00901E26" w:rsidRDefault="00BF3042" w:rsidP="00901E26">
          <w:pPr>
            <w:spacing w:line="360" w:lineRule="auto"/>
            <w:rPr>
              <w:rFonts w:cs="Arial"/>
              <w:b/>
              <w:color w:val="000000" w:themeColor="text1"/>
              <w:szCs w:val="22"/>
            </w:rPr>
          </w:pPr>
          <w:r w:rsidRPr="00901E26">
            <w:rPr>
              <w:rFonts w:cs="Arial"/>
              <w:b/>
              <w:color w:val="000000" w:themeColor="text1"/>
              <w:szCs w:val="22"/>
            </w:rPr>
            <w:t>STATEMENT 4</w:t>
          </w:r>
        </w:p>
        <w:p w14:paraId="6192D758"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I hereby give consent for my dissertation, if accepted, to be available on the university’s IT system to those who have consent to use the system.</w:t>
          </w:r>
        </w:p>
        <w:p w14:paraId="527E4513"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Signed…FAWAZ YASLAM………</w:t>
          </w:r>
        </w:p>
        <w:p w14:paraId="512CDA38" w14:textId="77777777" w:rsidR="00BF3042" w:rsidRPr="00901E26" w:rsidRDefault="00BF3042" w:rsidP="00901E26">
          <w:pPr>
            <w:spacing w:line="360" w:lineRule="auto"/>
            <w:rPr>
              <w:rFonts w:cs="Arial"/>
              <w:color w:val="000000" w:themeColor="text1"/>
              <w:szCs w:val="22"/>
            </w:rPr>
          </w:pPr>
          <w:r w:rsidRPr="00901E26">
            <w:rPr>
              <w:rFonts w:cs="Arial"/>
              <w:color w:val="000000" w:themeColor="text1"/>
              <w:szCs w:val="22"/>
            </w:rPr>
            <w:t>Date…17/11/2025…………………</w:t>
          </w:r>
        </w:p>
        <w:p w14:paraId="489F9B53" w14:textId="77777777" w:rsidR="00BF3042" w:rsidRPr="00901E26" w:rsidRDefault="00BF3042" w:rsidP="00901E26">
          <w:pPr>
            <w:spacing w:line="360" w:lineRule="auto"/>
            <w:rPr>
              <w:rFonts w:cs="Arial"/>
              <w:color w:val="000000" w:themeColor="text1"/>
              <w:szCs w:val="22"/>
            </w:rPr>
          </w:pPr>
        </w:p>
        <w:p w14:paraId="3702F5F0" w14:textId="2F47A0DC" w:rsidR="00BF3042" w:rsidRDefault="00BF3042" w:rsidP="00901E26">
          <w:pPr>
            <w:pStyle w:val="p1"/>
            <w:spacing w:line="360" w:lineRule="auto"/>
            <w:jc w:val="center"/>
            <w:rPr>
              <w:rFonts w:ascii="Arial" w:hAnsi="Arial" w:cs="Arial"/>
              <w:color w:val="000000" w:themeColor="text1"/>
              <w:sz w:val="22"/>
              <w:szCs w:val="22"/>
            </w:rPr>
          </w:pPr>
        </w:p>
        <w:p w14:paraId="69F2EBD7" w14:textId="274E81BB" w:rsidR="00143557" w:rsidRDefault="00143557" w:rsidP="00901E26">
          <w:pPr>
            <w:pStyle w:val="p1"/>
            <w:spacing w:line="360" w:lineRule="auto"/>
            <w:jc w:val="center"/>
            <w:rPr>
              <w:rFonts w:ascii="Arial" w:hAnsi="Arial" w:cs="Arial"/>
              <w:color w:val="000000" w:themeColor="text1"/>
              <w:sz w:val="22"/>
              <w:szCs w:val="22"/>
            </w:rPr>
          </w:pPr>
        </w:p>
        <w:p w14:paraId="09D3A89F" w14:textId="17F88C65" w:rsidR="00143557" w:rsidRDefault="00143557" w:rsidP="00901E26">
          <w:pPr>
            <w:pStyle w:val="p1"/>
            <w:spacing w:line="360" w:lineRule="auto"/>
            <w:jc w:val="center"/>
            <w:rPr>
              <w:rFonts w:ascii="Arial" w:hAnsi="Arial" w:cs="Arial"/>
              <w:color w:val="000000" w:themeColor="text1"/>
              <w:sz w:val="22"/>
              <w:szCs w:val="22"/>
            </w:rPr>
          </w:pPr>
        </w:p>
        <w:p w14:paraId="352EADBF" w14:textId="5ACC54EC" w:rsidR="00143557" w:rsidRDefault="00143557" w:rsidP="00901E26">
          <w:pPr>
            <w:pStyle w:val="p1"/>
            <w:spacing w:line="360" w:lineRule="auto"/>
            <w:jc w:val="center"/>
            <w:rPr>
              <w:rFonts w:ascii="Arial" w:hAnsi="Arial" w:cs="Arial"/>
              <w:color w:val="000000" w:themeColor="text1"/>
              <w:sz w:val="22"/>
              <w:szCs w:val="22"/>
            </w:rPr>
          </w:pPr>
        </w:p>
        <w:p w14:paraId="6BE2C816" w14:textId="7622D279" w:rsidR="00143557" w:rsidRDefault="00143557" w:rsidP="00901E26">
          <w:pPr>
            <w:pStyle w:val="p1"/>
            <w:spacing w:line="360" w:lineRule="auto"/>
            <w:jc w:val="center"/>
            <w:rPr>
              <w:rFonts w:ascii="Arial" w:hAnsi="Arial" w:cs="Arial"/>
              <w:color w:val="000000" w:themeColor="text1"/>
              <w:sz w:val="22"/>
              <w:szCs w:val="22"/>
            </w:rPr>
          </w:pPr>
        </w:p>
        <w:p w14:paraId="30F16E1C" w14:textId="3919EF48" w:rsidR="00143557" w:rsidRDefault="00143557" w:rsidP="00901E26">
          <w:pPr>
            <w:pStyle w:val="p1"/>
            <w:spacing w:line="360" w:lineRule="auto"/>
            <w:jc w:val="center"/>
            <w:rPr>
              <w:rFonts w:ascii="Arial" w:hAnsi="Arial" w:cs="Arial"/>
              <w:color w:val="000000" w:themeColor="text1"/>
              <w:sz w:val="22"/>
              <w:szCs w:val="22"/>
            </w:rPr>
          </w:pPr>
        </w:p>
        <w:p w14:paraId="32FD5F18" w14:textId="3D35EF90" w:rsidR="00143557" w:rsidRDefault="00143557" w:rsidP="00901E26">
          <w:pPr>
            <w:pStyle w:val="p1"/>
            <w:spacing w:line="360" w:lineRule="auto"/>
            <w:jc w:val="center"/>
            <w:rPr>
              <w:rFonts w:ascii="Arial" w:hAnsi="Arial" w:cs="Arial"/>
              <w:color w:val="000000" w:themeColor="text1"/>
              <w:sz w:val="22"/>
              <w:szCs w:val="22"/>
            </w:rPr>
          </w:pPr>
        </w:p>
        <w:p w14:paraId="59344AF7" w14:textId="77777777" w:rsidR="00143557" w:rsidRPr="00901E26" w:rsidRDefault="00143557" w:rsidP="00901E26">
          <w:pPr>
            <w:pStyle w:val="p1"/>
            <w:spacing w:line="360" w:lineRule="auto"/>
            <w:jc w:val="center"/>
            <w:rPr>
              <w:rFonts w:ascii="Arial" w:hAnsi="Arial" w:cs="Arial"/>
              <w:color w:val="000000" w:themeColor="text1"/>
              <w:sz w:val="22"/>
              <w:szCs w:val="22"/>
            </w:rPr>
          </w:pPr>
        </w:p>
        <w:p w14:paraId="62E40C2A" w14:textId="77777777" w:rsidR="00BF3042" w:rsidRPr="00901E26" w:rsidRDefault="00BF3042" w:rsidP="00901E26">
          <w:pPr>
            <w:pStyle w:val="p1"/>
            <w:spacing w:line="360" w:lineRule="auto"/>
            <w:jc w:val="center"/>
            <w:rPr>
              <w:rFonts w:ascii="Arial" w:hAnsi="Arial" w:cs="Arial"/>
              <w:color w:val="000000" w:themeColor="text1"/>
              <w:sz w:val="22"/>
              <w:szCs w:val="22"/>
            </w:rPr>
          </w:pPr>
        </w:p>
        <w:p w14:paraId="603BD6B5" w14:textId="229E7354" w:rsidR="00BF3042" w:rsidRPr="008515C6" w:rsidRDefault="00BF3042" w:rsidP="00901E26">
          <w:pPr>
            <w:pStyle w:val="p1"/>
            <w:spacing w:line="360" w:lineRule="auto"/>
            <w:jc w:val="center"/>
            <w:rPr>
              <w:rFonts w:ascii="Arial" w:hAnsi="Arial" w:cs="Arial"/>
              <w:b/>
              <w:bCs/>
              <w:color w:val="000000" w:themeColor="text1"/>
              <w:sz w:val="28"/>
              <w:szCs w:val="28"/>
            </w:rPr>
          </w:pPr>
          <w:r w:rsidRPr="008515C6">
            <w:rPr>
              <w:rFonts w:ascii="Arial" w:hAnsi="Arial" w:cs="Arial"/>
              <w:b/>
              <w:bCs/>
              <w:color w:val="000000" w:themeColor="text1"/>
              <w:sz w:val="28"/>
              <w:szCs w:val="28"/>
            </w:rPr>
            <w:t>Substance Misuse in England: Exploring the Link Between Low Income Status and Untreated Mental Health Disorders</w:t>
          </w:r>
        </w:p>
        <w:p w14:paraId="33BB2EBD" w14:textId="2EFCDE9B" w:rsidR="00BF3042" w:rsidRPr="00901E26" w:rsidRDefault="00BF3042" w:rsidP="00901E26">
          <w:pPr>
            <w:pStyle w:val="p1"/>
            <w:spacing w:line="360" w:lineRule="auto"/>
            <w:jc w:val="center"/>
            <w:rPr>
              <w:rFonts w:ascii="Arial" w:hAnsi="Arial" w:cs="Arial"/>
              <w:color w:val="000000" w:themeColor="text1"/>
              <w:sz w:val="22"/>
              <w:szCs w:val="22"/>
            </w:rPr>
          </w:pPr>
        </w:p>
        <w:p w14:paraId="35F4A0E6" w14:textId="462CD5E6" w:rsidR="00BF3042" w:rsidRDefault="00BF3042" w:rsidP="00901E26">
          <w:pPr>
            <w:pStyle w:val="p1"/>
            <w:spacing w:line="360" w:lineRule="auto"/>
            <w:jc w:val="center"/>
            <w:rPr>
              <w:rFonts w:ascii="Arial" w:hAnsi="Arial" w:cs="Arial"/>
              <w:color w:val="000000" w:themeColor="text1"/>
              <w:sz w:val="22"/>
              <w:szCs w:val="22"/>
            </w:rPr>
          </w:pPr>
        </w:p>
        <w:p w14:paraId="4116AF2C" w14:textId="1E4B03ED" w:rsidR="00143557" w:rsidRDefault="00143557" w:rsidP="00901E26">
          <w:pPr>
            <w:pStyle w:val="p1"/>
            <w:spacing w:line="360" w:lineRule="auto"/>
            <w:jc w:val="center"/>
            <w:rPr>
              <w:rFonts w:ascii="Arial" w:hAnsi="Arial" w:cs="Arial"/>
              <w:color w:val="000000" w:themeColor="text1"/>
              <w:sz w:val="22"/>
              <w:szCs w:val="22"/>
            </w:rPr>
          </w:pPr>
        </w:p>
        <w:p w14:paraId="3EE265E0" w14:textId="77777777" w:rsidR="00143557" w:rsidRPr="00901E26" w:rsidRDefault="00143557" w:rsidP="00901E26">
          <w:pPr>
            <w:pStyle w:val="p1"/>
            <w:spacing w:line="360" w:lineRule="auto"/>
            <w:jc w:val="center"/>
            <w:rPr>
              <w:rFonts w:ascii="Arial" w:hAnsi="Arial" w:cs="Arial"/>
              <w:color w:val="000000" w:themeColor="text1"/>
              <w:sz w:val="22"/>
              <w:szCs w:val="22"/>
            </w:rPr>
          </w:pPr>
        </w:p>
        <w:p w14:paraId="1E6C4AB3"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eastAsia="Arial Unicode MS" w:cs="Arial"/>
              <w:b/>
              <w:color w:val="000000" w:themeColor="text1"/>
              <w:szCs w:val="22"/>
            </w:rPr>
          </w:pPr>
        </w:p>
        <w:p w14:paraId="6623FF33" w14:textId="520A0E5E" w:rsidR="00BF3042" w:rsidRPr="00901E26" w:rsidRDefault="00BF3042" w:rsidP="001435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b/>
              <w:color w:val="000000" w:themeColor="text1"/>
              <w:szCs w:val="22"/>
            </w:rPr>
          </w:pPr>
          <w:r w:rsidRPr="00901E26">
            <w:rPr>
              <w:rFonts w:eastAsia="Arial Unicode MS" w:cs="Arial"/>
              <w:b/>
              <w:color w:val="000000" w:themeColor="text1"/>
              <w:szCs w:val="22"/>
            </w:rPr>
            <w:t>FAWAZ ABDALA YASLAM – 2113070</w:t>
          </w:r>
        </w:p>
        <w:p w14:paraId="3F6AE1A5"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b/>
              <w:i/>
              <w:color w:val="000000" w:themeColor="text1"/>
              <w:szCs w:val="22"/>
            </w:rPr>
          </w:pPr>
        </w:p>
        <w:p w14:paraId="5915FC68" w14:textId="3B810822" w:rsidR="008515C6" w:rsidRDefault="008515C6"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6021DED6" w14:textId="0E6E9375" w:rsidR="008515C6" w:rsidRDefault="008515C6"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431BAF91" w14:textId="77777777" w:rsidR="008515C6" w:rsidRPr="00901E26" w:rsidRDefault="008515C6"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51E37011" w14:textId="77777777" w:rsidR="00BF3042" w:rsidRPr="00901E26"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color w:val="000000" w:themeColor="text1"/>
              <w:szCs w:val="22"/>
            </w:rPr>
          </w:pPr>
        </w:p>
        <w:p w14:paraId="1D4F1831" w14:textId="77777777" w:rsidR="00BF3042" w:rsidRPr="00143557" w:rsidRDefault="00BF3042" w:rsidP="00901E26">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jc w:val="center"/>
            <w:rPr>
              <w:rFonts w:eastAsia="Arial Unicode MS" w:cs="Arial"/>
              <w:b/>
              <w:bCs/>
              <w:color w:val="000000" w:themeColor="text1"/>
              <w:sz w:val="18"/>
              <w:szCs w:val="18"/>
            </w:rPr>
          </w:pPr>
          <w:r w:rsidRPr="00143557">
            <w:rPr>
              <w:rFonts w:eastAsia="Arial Unicode MS" w:cs="Arial"/>
              <w:b/>
              <w:bCs/>
              <w:color w:val="000000" w:themeColor="text1"/>
              <w:sz w:val="18"/>
              <w:szCs w:val="18"/>
            </w:rPr>
            <w:t>Dissertation submitted as part of the requirements for the award BSc (Hons) Health and Social Care</w:t>
          </w:r>
        </w:p>
        <w:p w14:paraId="7E5FC55F" w14:textId="77777777" w:rsidR="00BF3042" w:rsidRPr="00901E26" w:rsidRDefault="00BF3042" w:rsidP="00901E26">
          <w:pPr>
            <w:spacing w:line="360" w:lineRule="auto"/>
            <w:rPr>
              <w:rFonts w:cs="Arial"/>
              <w:color w:val="000000" w:themeColor="text1"/>
              <w:szCs w:val="22"/>
            </w:rPr>
          </w:pPr>
        </w:p>
        <w:p w14:paraId="1B38230B" w14:textId="3366A16D" w:rsidR="00A8429E" w:rsidRPr="00901E26" w:rsidRDefault="00A8429E" w:rsidP="00901E26">
          <w:pPr>
            <w:spacing w:line="360" w:lineRule="auto"/>
            <w:rPr>
              <w:rFonts w:cs="Arial"/>
              <w:color w:val="000000" w:themeColor="text1"/>
              <w:szCs w:val="22"/>
            </w:rPr>
          </w:pPr>
        </w:p>
        <w:p w14:paraId="034B9091" w14:textId="04F5C679" w:rsidR="00BF3042" w:rsidRPr="00901E26" w:rsidRDefault="00BF3042" w:rsidP="00901E26">
          <w:pPr>
            <w:spacing w:line="360" w:lineRule="auto"/>
            <w:rPr>
              <w:rFonts w:cs="Arial"/>
              <w:color w:val="000000" w:themeColor="text1"/>
              <w:szCs w:val="22"/>
            </w:rPr>
          </w:pPr>
        </w:p>
        <w:p w14:paraId="63CBC17C" w14:textId="1ACAA55B" w:rsidR="00BF3042" w:rsidRPr="00901E26" w:rsidRDefault="00BF3042" w:rsidP="00901E26">
          <w:pPr>
            <w:spacing w:line="360" w:lineRule="auto"/>
            <w:rPr>
              <w:rFonts w:cs="Arial"/>
              <w:color w:val="000000" w:themeColor="text1"/>
              <w:szCs w:val="22"/>
            </w:rPr>
          </w:pPr>
        </w:p>
        <w:p w14:paraId="6B364D27" w14:textId="1D3ABABF" w:rsidR="00BF3042" w:rsidRPr="00901E26" w:rsidRDefault="00BF3042" w:rsidP="00901E26">
          <w:pPr>
            <w:spacing w:line="360" w:lineRule="auto"/>
            <w:rPr>
              <w:rFonts w:cs="Arial"/>
              <w:color w:val="000000" w:themeColor="text1"/>
              <w:szCs w:val="22"/>
            </w:rPr>
          </w:pPr>
        </w:p>
        <w:p w14:paraId="711AE250" w14:textId="2F69085B" w:rsidR="00BF3042" w:rsidRPr="00901E26" w:rsidRDefault="00BF3042" w:rsidP="00901E26">
          <w:pPr>
            <w:spacing w:line="360" w:lineRule="auto"/>
            <w:rPr>
              <w:rFonts w:cs="Arial"/>
              <w:color w:val="000000" w:themeColor="text1"/>
              <w:szCs w:val="22"/>
            </w:rPr>
          </w:pPr>
        </w:p>
        <w:p w14:paraId="6B72571C" w14:textId="1C84B506" w:rsidR="00BF3042" w:rsidRPr="00901E26" w:rsidRDefault="00BF3042" w:rsidP="00901E26">
          <w:pPr>
            <w:spacing w:line="360" w:lineRule="auto"/>
            <w:rPr>
              <w:rFonts w:cs="Arial"/>
              <w:color w:val="000000" w:themeColor="text1"/>
              <w:szCs w:val="22"/>
            </w:rPr>
          </w:pPr>
        </w:p>
        <w:p w14:paraId="2A2177BB" w14:textId="60FAFE86" w:rsidR="00BF3042" w:rsidRPr="00901E26" w:rsidRDefault="00BF3042" w:rsidP="00901E26">
          <w:pPr>
            <w:spacing w:line="360" w:lineRule="auto"/>
            <w:rPr>
              <w:rFonts w:cs="Arial"/>
              <w:color w:val="000000" w:themeColor="text1"/>
              <w:szCs w:val="22"/>
            </w:rPr>
          </w:pPr>
        </w:p>
        <w:p w14:paraId="1803405C" w14:textId="4FC8CF8E" w:rsidR="00BF3042" w:rsidRPr="00901E26" w:rsidRDefault="00BF3042" w:rsidP="00901E26">
          <w:pPr>
            <w:spacing w:line="360" w:lineRule="auto"/>
            <w:rPr>
              <w:rFonts w:cs="Arial"/>
              <w:color w:val="000000" w:themeColor="text1"/>
              <w:szCs w:val="22"/>
            </w:rPr>
          </w:pPr>
        </w:p>
        <w:p w14:paraId="3477035C" w14:textId="025F5D39" w:rsidR="00BF3042" w:rsidRPr="00901E26" w:rsidRDefault="00BF3042" w:rsidP="00901E26">
          <w:pPr>
            <w:spacing w:line="360" w:lineRule="auto"/>
            <w:rPr>
              <w:rFonts w:cs="Arial"/>
              <w:color w:val="000000" w:themeColor="text1"/>
              <w:szCs w:val="22"/>
            </w:rPr>
          </w:pPr>
        </w:p>
        <w:p w14:paraId="1F8804DD" w14:textId="402F4BC2" w:rsidR="00BF3042" w:rsidRPr="00901E26" w:rsidRDefault="00BF3042" w:rsidP="00901E26">
          <w:pPr>
            <w:spacing w:line="360" w:lineRule="auto"/>
            <w:rPr>
              <w:rFonts w:cs="Arial"/>
              <w:color w:val="000000" w:themeColor="text1"/>
              <w:szCs w:val="22"/>
            </w:rPr>
          </w:pPr>
        </w:p>
        <w:p w14:paraId="717A282A" w14:textId="7663D987" w:rsidR="00BF3042" w:rsidRPr="00901E26" w:rsidRDefault="00BF3042" w:rsidP="00901E26">
          <w:pPr>
            <w:spacing w:line="360" w:lineRule="auto"/>
            <w:rPr>
              <w:rFonts w:cs="Arial"/>
              <w:color w:val="000000" w:themeColor="text1"/>
              <w:szCs w:val="22"/>
            </w:rPr>
          </w:pPr>
        </w:p>
        <w:p w14:paraId="6F9CFD10" w14:textId="74A533BD" w:rsidR="00BF3042" w:rsidRPr="00901E26" w:rsidRDefault="00BF3042" w:rsidP="00901E26">
          <w:pPr>
            <w:spacing w:line="360" w:lineRule="auto"/>
            <w:rPr>
              <w:rFonts w:cs="Arial"/>
              <w:color w:val="000000" w:themeColor="text1"/>
              <w:szCs w:val="22"/>
            </w:rPr>
          </w:pPr>
        </w:p>
        <w:p w14:paraId="00BECD47" w14:textId="32D5DAC3" w:rsidR="00BF3042" w:rsidRPr="00901E26" w:rsidRDefault="00BF3042" w:rsidP="00901E26">
          <w:pPr>
            <w:spacing w:line="360" w:lineRule="auto"/>
            <w:rPr>
              <w:rFonts w:cs="Arial"/>
              <w:color w:val="000000" w:themeColor="text1"/>
              <w:szCs w:val="22"/>
            </w:rPr>
          </w:pPr>
        </w:p>
        <w:p w14:paraId="513626A2" w14:textId="2574F83F" w:rsidR="00BF3042" w:rsidRPr="00901E26" w:rsidRDefault="00BF3042" w:rsidP="00901E26">
          <w:pPr>
            <w:spacing w:line="360" w:lineRule="auto"/>
            <w:rPr>
              <w:rFonts w:cs="Arial"/>
              <w:color w:val="000000" w:themeColor="text1"/>
              <w:szCs w:val="22"/>
            </w:rPr>
          </w:pPr>
        </w:p>
        <w:p w14:paraId="13644D86" w14:textId="09FECFD8" w:rsidR="00BF3042" w:rsidRPr="00901E26" w:rsidRDefault="00BF3042" w:rsidP="00901E26">
          <w:pPr>
            <w:spacing w:line="360" w:lineRule="auto"/>
            <w:rPr>
              <w:rFonts w:cs="Arial"/>
              <w:color w:val="000000" w:themeColor="text1"/>
              <w:szCs w:val="22"/>
            </w:rPr>
          </w:pPr>
        </w:p>
        <w:p w14:paraId="0F7853DC" w14:textId="1635CFDA" w:rsidR="00BF3042" w:rsidRPr="00901E26" w:rsidRDefault="00BF3042" w:rsidP="00901E26">
          <w:pPr>
            <w:spacing w:line="360" w:lineRule="auto"/>
            <w:rPr>
              <w:rFonts w:cs="Arial"/>
              <w:color w:val="000000" w:themeColor="text1"/>
              <w:szCs w:val="22"/>
            </w:rPr>
          </w:pPr>
        </w:p>
        <w:p w14:paraId="2973A920" w14:textId="552BFCAD" w:rsidR="00BF3042" w:rsidRPr="00901E26" w:rsidRDefault="00BF3042" w:rsidP="00901E26">
          <w:pPr>
            <w:spacing w:line="360" w:lineRule="auto"/>
            <w:rPr>
              <w:rFonts w:cs="Arial"/>
              <w:color w:val="000000" w:themeColor="text1"/>
              <w:szCs w:val="22"/>
            </w:rPr>
          </w:pPr>
        </w:p>
        <w:p w14:paraId="138960B4" w14:textId="1591FC80" w:rsidR="00BF3042" w:rsidRDefault="00BF3042" w:rsidP="00901E26">
          <w:pPr>
            <w:spacing w:line="360" w:lineRule="auto"/>
            <w:rPr>
              <w:rFonts w:cs="Arial"/>
              <w:color w:val="000000" w:themeColor="text1"/>
              <w:szCs w:val="22"/>
            </w:rPr>
          </w:pPr>
        </w:p>
        <w:p w14:paraId="706BCC86" w14:textId="77777777" w:rsidR="005A439E" w:rsidRPr="00901E26" w:rsidRDefault="005A439E" w:rsidP="00901E26">
          <w:pPr>
            <w:spacing w:line="360" w:lineRule="auto"/>
            <w:rPr>
              <w:rFonts w:cs="Arial"/>
              <w:color w:val="000000" w:themeColor="text1"/>
              <w:szCs w:val="22"/>
            </w:rPr>
          </w:pPr>
        </w:p>
        <w:p w14:paraId="3690479F" w14:textId="58DBCA8A" w:rsidR="00BF3042" w:rsidRPr="00901E26" w:rsidRDefault="00BF3042" w:rsidP="00901E26">
          <w:pPr>
            <w:pStyle w:val="Heading1"/>
            <w:spacing w:line="360" w:lineRule="auto"/>
            <w:rPr>
              <w:rFonts w:eastAsia="Arial Unicode MS" w:cs="Arial"/>
              <w:color w:val="000000" w:themeColor="text1"/>
              <w:szCs w:val="22"/>
            </w:rPr>
          </w:pPr>
          <w:bookmarkStart w:id="1" w:name="_Toc214840432"/>
          <w:r w:rsidRPr="00901E26">
            <w:rPr>
              <w:rFonts w:eastAsia="Arial Unicode MS" w:cs="Arial"/>
              <w:color w:val="000000" w:themeColor="text1"/>
              <w:szCs w:val="22"/>
            </w:rPr>
            <w:t>ACKNOWLEDGEMENTS</w:t>
          </w:r>
          <w:bookmarkEnd w:id="1"/>
          <w:r w:rsidRPr="00901E26">
            <w:rPr>
              <w:rFonts w:eastAsia="Arial Unicode MS" w:cs="Arial"/>
              <w:color w:val="000000" w:themeColor="text1"/>
              <w:szCs w:val="22"/>
            </w:rPr>
            <w:t xml:space="preserve"> </w:t>
          </w:r>
        </w:p>
        <w:p w14:paraId="6EA40A64" w14:textId="77777777" w:rsidR="00143557" w:rsidRPr="00143557" w:rsidRDefault="00143557" w:rsidP="00143557">
          <w:pPr>
            <w:spacing w:before="100" w:beforeAutospacing="1" w:after="100" w:afterAutospacing="1" w:line="360" w:lineRule="auto"/>
            <w:rPr>
              <w:rFonts w:cs="Arial"/>
              <w:color w:val="000000"/>
              <w:szCs w:val="22"/>
            </w:rPr>
          </w:pPr>
          <w:r w:rsidRPr="00143557">
            <w:rPr>
              <w:rFonts w:cs="Arial"/>
              <w:color w:val="000000"/>
              <w:szCs w:val="22"/>
            </w:rPr>
            <w:t>I want to take a moment to sincerely thank everyone who has been part of this journey with me. First and foremost, to my supervisor: thank you for your guidance, patience, and encouragement. Your thoughtful feedback and support helped me navigate the challenges of this research, and your belief in my abilities kept me going even when I doubted myself. I truly could not have done this without you.</w:t>
          </w:r>
        </w:p>
        <w:p w14:paraId="262FA0EE" w14:textId="77777777" w:rsidR="00143557" w:rsidRPr="00143557" w:rsidRDefault="00143557" w:rsidP="00143557">
          <w:pPr>
            <w:spacing w:before="100" w:beforeAutospacing="1" w:after="100" w:afterAutospacing="1" w:line="360" w:lineRule="auto"/>
            <w:rPr>
              <w:rFonts w:cs="Arial"/>
              <w:color w:val="000000"/>
              <w:szCs w:val="22"/>
            </w:rPr>
          </w:pPr>
          <w:r w:rsidRPr="00143557">
            <w:rPr>
              <w:rFonts w:cs="Arial"/>
              <w:color w:val="000000"/>
              <w:szCs w:val="22"/>
            </w:rPr>
            <w:t>To my classmates and friends, thank you for sharing this journey with me. Our conversations, laughter, and collaborative efforts not only enriched this work but also made the experience far more meaningful and enjoyable. Your ideas, insights, and encouragement reminded me that I was never working in isolation.</w:t>
          </w:r>
        </w:p>
        <w:p w14:paraId="0C3D9505" w14:textId="77777777" w:rsidR="00143557" w:rsidRPr="00143557" w:rsidRDefault="00143557" w:rsidP="00143557">
          <w:pPr>
            <w:spacing w:before="100" w:beforeAutospacing="1" w:after="100" w:afterAutospacing="1" w:line="360" w:lineRule="auto"/>
            <w:rPr>
              <w:rFonts w:cs="Arial"/>
              <w:color w:val="000000"/>
              <w:szCs w:val="22"/>
            </w:rPr>
          </w:pPr>
          <w:r w:rsidRPr="00143557">
            <w:rPr>
              <w:rFonts w:cs="Arial"/>
              <w:color w:val="000000"/>
              <w:szCs w:val="22"/>
            </w:rPr>
            <w:t>Finally, to everyone who has offered advice, support, or simply a listening ear along the way: your presence has made all the difference. This dissertation is as much yours as it is mine. I am deeply grateful for the people who walked alongside me, and I will carry that gratitude with me well beyond this project.</w:t>
          </w:r>
        </w:p>
        <w:p w14:paraId="5469C374" w14:textId="4CDD17CA" w:rsidR="00BF3042" w:rsidRPr="00901E26" w:rsidRDefault="00A8429E"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r w:rsidRPr="00143557">
            <w:rPr>
              <w:rFonts w:cs="Arial"/>
              <w:color w:val="000000" w:themeColor="text1"/>
              <w:szCs w:val="22"/>
            </w:rPr>
            <w:br w:type="page"/>
          </w:r>
        </w:p>
        <w:p w14:paraId="1CD3805C" w14:textId="77777777" w:rsidR="00BF3042" w:rsidRPr="00901E26" w:rsidRDefault="00BF3042" w:rsidP="00901E26">
          <w:pPr>
            <w:pStyle w:val="Heading1"/>
            <w:spacing w:line="360" w:lineRule="auto"/>
            <w:rPr>
              <w:rFonts w:cs="Arial"/>
              <w:color w:val="000000" w:themeColor="text1"/>
              <w:szCs w:val="22"/>
            </w:rPr>
          </w:pPr>
          <w:bookmarkStart w:id="2" w:name="_Toc214840433"/>
          <w:r w:rsidRPr="00901E26">
            <w:rPr>
              <w:rStyle w:val="Strong"/>
              <w:rFonts w:cs="Arial"/>
              <w:b/>
              <w:bCs/>
              <w:color w:val="000000" w:themeColor="text1"/>
              <w:szCs w:val="22"/>
            </w:rPr>
            <w:lastRenderedPageBreak/>
            <w:t>Abstract</w:t>
          </w:r>
          <w:bookmarkEnd w:id="2"/>
          <w:r w:rsidRPr="00901E26">
            <w:rPr>
              <w:rStyle w:val="Strong"/>
              <w:rFonts w:cs="Arial"/>
              <w:b/>
              <w:bCs/>
              <w:color w:val="000000" w:themeColor="text1"/>
              <w:szCs w:val="22"/>
            </w:rPr>
            <w:t xml:space="preserve"> </w:t>
          </w:r>
        </w:p>
        <w:p w14:paraId="66EE8F8E" w14:textId="77777777" w:rsidR="00143557" w:rsidRPr="00143557" w:rsidRDefault="00143557" w:rsidP="00143557">
          <w:pPr>
            <w:spacing w:before="100" w:beforeAutospacing="1" w:after="100" w:afterAutospacing="1" w:line="360" w:lineRule="auto"/>
            <w:rPr>
              <w:rFonts w:cs="Arial"/>
              <w:color w:val="000000"/>
              <w:szCs w:val="22"/>
            </w:rPr>
          </w:pPr>
          <w:r w:rsidRPr="00143557">
            <w:rPr>
              <w:rFonts w:cs="Arial"/>
              <w:color w:val="000000"/>
              <w:szCs w:val="22"/>
            </w:rPr>
            <w:t xml:space="preserve">This dissertation examines the complex relationship between low-income status, substance misuse, and untreated mental health disorders in England. People from </w:t>
          </w:r>
          <w:proofErr w:type="gramStart"/>
          <w:r w:rsidRPr="00143557">
            <w:rPr>
              <w:rFonts w:cs="Arial"/>
              <w:color w:val="000000"/>
              <w:szCs w:val="22"/>
            </w:rPr>
            <w:t>economically disadvantaged</w:t>
          </w:r>
          <w:proofErr w:type="gramEnd"/>
          <w:r w:rsidRPr="00143557">
            <w:rPr>
              <w:rFonts w:cs="Arial"/>
              <w:color w:val="000000"/>
              <w:szCs w:val="22"/>
            </w:rPr>
            <w:t xml:space="preserve"> backgrounds often face higher rates of substance misuse, which is frequently compounded by conditions such as anxiety, depression, and trauma. These overlapping challenges contribute to persistent cycles of social and health inequality.</w:t>
          </w:r>
        </w:p>
        <w:p w14:paraId="69062D4D" w14:textId="77777777" w:rsidR="00143557" w:rsidRPr="00143557" w:rsidRDefault="00143557" w:rsidP="00143557">
          <w:pPr>
            <w:spacing w:before="100" w:beforeAutospacing="1" w:after="100" w:afterAutospacing="1" w:line="360" w:lineRule="auto"/>
            <w:rPr>
              <w:rFonts w:cs="Arial"/>
              <w:color w:val="000000"/>
              <w:szCs w:val="22"/>
            </w:rPr>
          </w:pPr>
          <w:r w:rsidRPr="00143557">
            <w:rPr>
              <w:rFonts w:cs="Arial"/>
              <w:color w:val="000000"/>
              <w:szCs w:val="22"/>
            </w:rPr>
            <w:t>The study uses a systematic review and thematic analysis of academic literature, national datasets, and grey reports to explore how socioeconomic disadvantage and limited access to healthcare influence patterns of substance misuse. Data are drawn from sources including PubMed, Scopus, Web of Science, as well as publications from NHS Digital, Public Health England, and the Office for National Statistics.</w:t>
          </w:r>
        </w:p>
        <w:p w14:paraId="2D04C056" w14:textId="77777777" w:rsidR="00143557" w:rsidRPr="00143557" w:rsidRDefault="00143557" w:rsidP="00143557">
          <w:pPr>
            <w:spacing w:before="100" w:beforeAutospacing="1" w:after="100" w:afterAutospacing="1" w:line="360" w:lineRule="auto"/>
            <w:rPr>
              <w:rFonts w:cs="Arial"/>
              <w:color w:val="000000"/>
              <w:szCs w:val="22"/>
            </w:rPr>
          </w:pPr>
          <w:r w:rsidRPr="00143557">
            <w:rPr>
              <w:rFonts w:cs="Arial"/>
              <w:color w:val="000000"/>
              <w:szCs w:val="22"/>
            </w:rPr>
            <w:t>Through thematic analysis following Braun and Clarke’s (2006) framework, the research identifies recurring patterns related to socioeconomic disadvantage, mental health, and barriers to treatment. The findings are expected to show how economic hardship and untreated mental illness intersect to increase the risk of substance misuse, while also highlighting gaps in treatment accessibility. This study aims to inform public health strategies and policy interventions, contributing to more equitable outcomes in mental health and substance misuse for low-income populations in England.</w:t>
          </w:r>
        </w:p>
        <w:p w14:paraId="3CEBB068" w14:textId="77777777" w:rsidR="00BF3042" w:rsidRPr="00901E26" w:rsidRDefault="00BF3042" w:rsidP="00901E26">
          <w:pPr>
            <w:spacing w:line="360" w:lineRule="auto"/>
            <w:rPr>
              <w:rFonts w:cs="Arial"/>
              <w:b/>
              <w:bCs/>
              <w:color w:val="000000" w:themeColor="text1"/>
              <w:szCs w:val="22"/>
            </w:rPr>
          </w:pPr>
        </w:p>
        <w:p w14:paraId="38DB5DAC" w14:textId="77777777" w:rsidR="00BF3042" w:rsidRPr="00901E26" w:rsidRDefault="00BF3042" w:rsidP="00901E26">
          <w:pPr>
            <w:spacing w:line="360" w:lineRule="auto"/>
            <w:rPr>
              <w:rFonts w:cs="Arial"/>
              <w:b/>
              <w:bCs/>
              <w:color w:val="000000" w:themeColor="text1"/>
              <w:szCs w:val="22"/>
            </w:rPr>
          </w:pPr>
        </w:p>
        <w:p w14:paraId="52A56BCC" w14:textId="77777777" w:rsidR="00BF3042" w:rsidRPr="00901E26" w:rsidRDefault="00BF3042" w:rsidP="00901E26">
          <w:pPr>
            <w:spacing w:line="360" w:lineRule="auto"/>
            <w:rPr>
              <w:rFonts w:cs="Arial"/>
              <w:b/>
              <w:bCs/>
              <w:color w:val="000000" w:themeColor="text1"/>
              <w:szCs w:val="22"/>
            </w:rPr>
          </w:pPr>
        </w:p>
        <w:p w14:paraId="2F25428F" w14:textId="77777777" w:rsidR="00BF3042" w:rsidRPr="00901E26" w:rsidRDefault="00BF3042" w:rsidP="00901E26">
          <w:pPr>
            <w:spacing w:line="360" w:lineRule="auto"/>
            <w:rPr>
              <w:rFonts w:cs="Arial"/>
              <w:b/>
              <w:bCs/>
              <w:color w:val="000000" w:themeColor="text1"/>
              <w:szCs w:val="22"/>
            </w:rPr>
          </w:pPr>
        </w:p>
        <w:p w14:paraId="43772C6F" w14:textId="77777777" w:rsidR="00BF3042" w:rsidRPr="00901E26" w:rsidRDefault="00BF3042" w:rsidP="00901E26">
          <w:pPr>
            <w:spacing w:line="360" w:lineRule="auto"/>
            <w:rPr>
              <w:rFonts w:cs="Arial"/>
              <w:b/>
              <w:bCs/>
              <w:color w:val="000000" w:themeColor="text1"/>
              <w:szCs w:val="22"/>
            </w:rPr>
          </w:pPr>
        </w:p>
        <w:p w14:paraId="4AB77B71" w14:textId="7C077D48"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465E2E30" w14:textId="261ECB2B"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06650166" w14:textId="6BF3522F"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70A4D4C0" w14:textId="7E82B75E"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77C18775" w14:textId="56768C83"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1CF964EB" w14:textId="26A1515B"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15BADC90" w14:textId="3CAC453F"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37E95FEC" w14:textId="0F11B901" w:rsidR="00BF3042" w:rsidRPr="00901E26" w:rsidRDefault="00BF3042" w:rsidP="00901E2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p w14:paraId="36DCE2A3" w14:textId="77777777" w:rsidR="00F31AEC" w:rsidRDefault="00F31AEC" w:rsidP="00F31AEC">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cs="Arial"/>
              <w:color w:val="000000" w:themeColor="text1"/>
              <w:szCs w:val="22"/>
            </w:rPr>
          </w:pPr>
        </w:p>
        <w:sdt>
          <w:sdtPr>
            <w:rPr>
              <w:rFonts w:ascii="Arial" w:eastAsia="Times New Roman" w:hAnsi="Arial" w:cs="Times New Roman"/>
              <w:b w:val="0"/>
              <w:bCs w:val="0"/>
              <w:color w:val="auto"/>
              <w:sz w:val="22"/>
              <w:szCs w:val="24"/>
              <w:lang w:val="en-GB" w:eastAsia="en-GB"/>
            </w:rPr>
            <w:id w:val="435883659"/>
            <w:docPartObj>
              <w:docPartGallery w:val="Table of Contents"/>
              <w:docPartUnique/>
            </w:docPartObj>
          </w:sdtPr>
          <w:sdtEndPr>
            <w:rPr>
              <w:noProof/>
            </w:rPr>
          </w:sdtEndPr>
          <w:sdtContent>
            <w:p w14:paraId="52EF658C" w14:textId="7159617D" w:rsidR="00F31AEC" w:rsidRDefault="00F31AEC">
              <w:pPr>
                <w:pStyle w:val="TOCHeading"/>
              </w:pPr>
              <w:r>
                <w:t>Table of Contents</w:t>
              </w:r>
            </w:p>
            <w:p w14:paraId="793BBB55" w14:textId="76E70DB2" w:rsidR="00DF009B" w:rsidRDefault="00F31AEC">
              <w:pPr>
                <w:pStyle w:val="TOC1"/>
                <w:tabs>
                  <w:tab w:val="right" w:leader="dot" w:pos="9016"/>
                </w:tabs>
                <w:rPr>
                  <w:rFonts w:eastAsiaTheme="minorEastAsia" w:cstheme="minorBidi"/>
                  <w:b w:val="0"/>
                  <w:bCs w:val="0"/>
                  <w:caps w:val="0"/>
                  <w:noProof/>
                  <w:sz w:val="24"/>
                  <w:szCs w:val="24"/>
                </w:rPr>
              </w:pPr>
              <w:r>
                <w:rPr>
                  <w:b w:val="0"/>
                  <w:bCs w:val="0"/>
                </w:rPr>
                <w:fldChar w:fldCharType="begin"/>
              </w:r>
              <w:r>
                <w:instrText xml:space="preserve"> TOC \o "1-3" \h \z \u </w:instrText>
              </w:r>
              <w:r>
                <w:rPr>
                  <w:b w:val="0"/>
                  <w:bCs w:val="0"/>
                </w:rPr>
                <w:fldChar w:fldCharType="separate"/>
              </w:r>
              <w:hyperlink w:anchor="_Toc214840431" w:history="1">
                <w:r w:rsidR="00DF009B" w:rsidRPr="002C3D53">
                  <w:rPr>
                    <w:rStyle w:val="Hyperlink"/>
                    <w:rFonts w:eastAsiaTheme="majorEastAsia" w:cs="Arial"/>
                    <w:noProof/>
                  </w:rPr>
                  <w:t>Disclaimer</w:t>
                </w:r>
                <w:r w:rsidR="00DF009B">
                  <w:rPr>
                    <w:noProof/>
                    <w:webHidden/>
                  </w:rPr>
                  <w:tab/>
                </w:r>
                <w:r w:rsidR="00DF009B">
                  <w:rPr>
                    <w:noProof/>
                    <w:webHidden/>
                  </w:rPr>
                  <w:fldChar w:fldCharType="begin"/>
                </w:r>
                <w:r w:rsidR="00DF009B">
                  <w:rPr>
                    <w:noProof/>
                    <w:webHidden/>
                  </w:rPr>
                  <w:instrText xml:space="preserve"> PAGEREF _Toc214840431 \h </w:instrText>
                </w:r>
                <w:r w:rsidR="00DF009B">
                  <w:rPr>
                    <w:noProof/>
                    <w:webHidden/>
                  </w:rPr>
                </w:r>
                <w:r w:rsidR="00DF009B">
                  <w:rPr>
                    <w:noProof/>
                    <w:webHidden/>
                  </w:rPr>
                  <w:fldChar w:fldCharType="separate"/>
                </w:r>
                <w:r w:rsidR="00DF009B">
                  <w:rPr>
                    <w:noProof/>
                    <w:webHidden/>
                  </w:rPr>
                  <w:t>1</w:t>
                </w:r>
                <w:r w:rsidR="00DF009B">
                  <w:rPr>
                    <w:noProof/>
                    <w:webHidden/>
                  </w:rPr>
                  <w:fldChar w:fldCharType="end"/>
                </w:r>
              </w:hyperlink>
            </w:p>
            <w:p w14:paraId="038EA2A5" w14:textId="7784963A" w:rsidR="00DF009B" w:rsidRDefault="001357CA">
              <w:pPr>
                <w:pStyle w:val="TOC1"/>
                <w:tabs>
                  <w:tab w:val="right" w:leader="dot" w:pos="9016"/>
                </w:tabs>
                <w:rPr>
                  <w:rFonts w:eastAsiaTheme="minorEastAsia" w:cstheme="minorBidi"/>
                  <w:b w:val="0"/>
                  <w:bCs w:val="0"/>
                  <w:caps w:val="0"/>
                  <w:noProof/>
                  <w:sz w:val="24"/>
                  <w:szCs w:val="24"/>
                </w:rPr>
              </w:pPr>
              <w:hyperlink w:anchor="_Toc214840432" w:history="1">
                <w:r w:rsidR="00DF009B" w:rsidRPr="002C3D53">
                  <w:rPr>
                    <w:rStyle w:val="Hyperlink"/>
                    <w:rFonts w:eastAsia="Arial Unicode MS" w:cs="Arial"/>
                    <w:noProof/>
                  </w:rPr>
                  <w:t>ACKNOWLEDGEMENTS</w:t>
                </w:r>
                <w:r w:rsidR="00DF009B">
                  <w:rPr>
                    <w:noProof/>
                    <w:webHidden/>
                  </w:rPr>
                  <w:tab/>
                </w:r>
                <w:r w:rsidR="00DF009B">
                  <w:rPr>
                    <w:noProof/>
                    <w:webHidden/>
                  </w:rPr>
                  <w:fldChar w:fldCharType="begin"/>
                </w:r>
                <w:r w:rsidR="00DF009B">
                  <w:rPr>
                    <w:noProof/>
                    <w:webHidden/>
                  </w:rPr>
                  <w:instrText xml:space="preserve"> PAGEREF _Toc214840432 \h </w:instrText>
                </w:r>
                <w:r w:rsidR="00DF009B">
                  <w:rPr>
                    <w:noProof/>
                    <w:webHidden/>
                  </w:rPr>
                </w:r>
                <w:r w:rsidR="00DF009B">
                  <w:rPr>
                    <w:noProof/>
                    <w:webHidden/>
                  </w:rPr>
                  <w:fldChar w:fldCharType="separate"/>
                </w:r>
                <w:r w:rsidR="00DF009B">
                  <w:rPr>
                    <w:noProof/>
                    <w:webHidden/>
                  </w:rPr>
                  <w:t>3</w:t>
                </w:r>
                <w:r w:rsidR="00DF009B">
                  <w:rPr>
                    <w:noProof/>
                    <w:webHidden/>
                  </w:rPr>
                  <w:fldChar w:fldCharType="end"/>
                </w:r>
              </w:hyperlink>
            </w:p>
            <w:p w14:paraId="120243AD" w14:textId="72501AC4" w:rsidR="00DF009B" w:rsidRDefault="001357CA">
              <w:pPr>
                <w:pStyle w:val="TOC1"/>
                <w:tabs>
                  <w:tab w:val="right" w:leader="dot" w:pos="9016"/>
                </w:tabs>
                <w:rPr>
                  <w:rFonts w:eastAsiaTheme="minorEastAsia" w:cstheme="minorBidi"/>
                  <w:b w:val="0"/>
                  <w:bCs w:val="0"/>
                  <w:caps w:val="0"/>
                  <w:noProof/>
                  <w:sz w:val="24"/>
                  <w:szCs w:val="24"/>
                </w:rPr>
              </w:pPr>
              <w:hyperlink w:anchor="_Toc214840433" w:history="1">
                <w:r w:rsidR="00DF009B" w:rsidRPr="002C3D53">
                  <w:rPr>
                    <w:rStyle w:val="Hyperlink"/>
                    <w:rFonts w:eastAsiaTheme="majorEastAsia" w:cs="Arial"/>
                    <w:noProof/>
                  </w:rPr>
                  <w:t>Abstract</w:t>
                </w:r>
                <w:r w:rsidR="00DF009B">
                  <w:rPr>
                    <w:noProof/>
                    <w:webHidden/>
                  </w:rPr>
                  <w:tab/>
                </w:r>
                <w:r w:rsidR="00DF009B">
                  <w:rPr>
                    <w:noProof/>
                    <w:webHidden/>
                  </w:rPr>
                  <w:fldChar w:fldCharType="begin"/>
                </w:r>
                <w:r w:rsidR="00DF009B">
                  <w:rPr>
                    <w:noProof/>
                    <w:webHidden/>
                  </w:rPr>
                  <w:instrText xml:space="preserve"> PAGEREF _Toc214840433 \h </w:instrText>
                </w:r>
                <w:r w:rsidR="00DF009B">
                  <w:rPr>
                    <w:noProof/>
                    <w:webHidden/>
                  </w:rPr>
                </w:r>
                <w:r w:rsidR="00DF009B">
                  <w:rPr>
                    <w:noProof/>
                    <w:webHidden/>
                  </w:rPr>
                  <w:fldChar w:fldCharType="separate"/>
                </w:r>
                <w:r w:rsidR="00DF009B">
                  <w:rPr>
                    <w:noProof/>
                    <w:webHidden/>
                  </w:rPr>
                  <w:t>4</w:t>
                </w:r>
                <w:r w:rsidR="00DF009B">
                  <w:rPr>
                    <w:noProof/>
                    <w:webHidden/>
                  </w:rPr>
                  <w:fldChar w:fldCharType="end"/>
                </w:r>
              </w:hyperlink>
            </w:p>
            <w:p w14:paraId="7BEAEC02" w14:textId="6DDBB329" w:rsidR="00DF009B" w:rsidRDefault="001357CA">
              <w:pPr>
                <w:pStyle w:val="TOC1"/>
                <w:tabs>
                  <w:tab w:val="right" w:leader="dot" w:pos="9016"/>
                </w:tabs>
                <w:rPr>
                  <w:rFonts w:eastAsiaTheme="minorEastAsia" w:cstheme="minorBidi"/>
                  <w:b w:val="0"/>
                  <w:bCs w:val="0"/>
                  <w:caps w:val="0"/>
                  <w:noProof/>
                  <w:sz w:val="24"/>
                  <w:szCs w:val="24"/>
                </w:rPr>
              </w:pPr>
              <w:hyperlink w:anchor="_Toc214840434" w:history="1">
                <w:r w:rsidR="00DF009B" w:rsidRPr="002C3D53">
                  <w:rPr>
                    <w:rStyle w:val="Hyperlink"/>
                    <w:rFonts w:eastAsiaTheme="majorEastAsia"/>
                    <w:noProof/>
                  </w:rPr>
                  <w:t>CHAPTER 1: INTRODUCTION</w:t>
                </w:r>
                <w:r w:rsidR="00DF009B">
                  <w:rPr>
                    <w:noProof/>
                    <w:webHidden/>
                  </w:rPr>
                  <w:tab/>
                </w:r>
                <w:r w:rsidR="00DF009B">
                  <w:rPr>
                    <w:noProof/>
                    <w:webHidden/>
                  </w:rPr>
                  <w:fldChar w:fldCharType="begin"/>
                </w:r>
                <w:r w:rsidR="00DF009B">
                  <w:rPr>
                    <w:noProof/>
                    <w:webHidden/>
                  </w:rPr>
                  <w:instrText xml:space="preserve"> PAGEREF _Toc214840434 \h </w:instrText>
                </w:r>
                <w:r w:rsidR="00DF009B">
                  <w:rPr>
                    <w:noProof/>
                    <w:webHidden/>
                  </w:rPr>
                </w:r>
                <w:r w:rsidR="00DF009B">
                  <w:rPr>
                    <w:noProof/>
                    <w:webHidden/>
                  </w:rPr>
                  <w:fldChar w:fldCharType="separate"/>
                </w:r>
                <w:r w:rsidR="00DF009B">
                  <w:rPr>
                    <w:noProof/>
                    <w:webHidden/>
                  </w:rPr>
                  <w:t>7</w:t>
                </w:r>
                <w:r w:rsidR="00DF009B">
                  <w:rPr>
                    <w:noProof/>
                    <w:webHidden/>
                  </w:rPr>
                  <w:fldChar w:fldCharType="end"/>
                </w:r>
              </w:hyperlink>
            </w:p>
            <w:p w14:paraId="7E6CF059" w14:textId="3542F9DC" w:rsidR="00DF009B" w:rsidRDefault="001357CA">
              <w:pPr>
                <w:pStyle w:val="TOC2"/>
                <w:tabs>
                  <w:tab w:val="right" w:leader="dot" w:pos="9016"/>
                </w:tabs>
                <w:rPr>
                  <w:rFonts w:eastAsiaTheme="minorEastAsia" w:cstheme="minorBidi"/>
                  <w:smallCaps w:val="0"/>
                  <w:noProof/>
                  <w:sz w:val="24"/>
                  <w:szCs w:val="24"/>
                </w:rPr>
              </w:pPr>
              <w:hyperlink w:anchor="_Toc214840435" w:history="1">
                <w:r w:rsidR="00DF009B" w:rsidRPr="002C3D53">
                  <w:rPr>
                    <w:rStyle w:val="Hyperlink"/>
                    <w:rFonts w:eastAsiaTheme="majorEastAsia"/>
                    <w:noProof/>
                  </w:rPr>
                  <w:t>1.1 What is this research about?</w:t>
                </w:r>
                <w:r w:rsidR="00DF009B">
                  <w:rPr>
                    <w:noProof/>
                    <w:webHidden/>
                  </w:rPr>
                  <w:tab/>
                </w:r>
                <w:r w:rsidR="00DF009B">
                  <w:rPr>
                    <w:noProof/>
                    <w:webHidden/>
                  </w:rPr>
                  <w:fldChar w:fldCharType="begin"/>
                </w:r>
                <w:r w:rsidR="00DF009B">
                  <w:rPr>
                    <w:noProof/>
                    <w:webHidden/>
                  </w:rPr>
                  <w:instrText xml:space="preserve"> PAGEREF _Toc214840435 \h </w:instrText>
                </w:r>
                <w:r w:rsidR="00DF009B">
                  <w:rPr>
                    <w:noProof/>
                    <w:webHidden/>
                  </w:rPr>
                </w:r>
                <w:r w:rsidR="00DF009B">
                  <w:rPr>
                    <w:noProof/>
                    <w:webHidden/>
                  </w:rPr>
                  <w:fldChar w:fldCharType="separate"/>
                </w:r>
                <w:r w:rsidR="00DF009B">
                  <w:rPr>
                    <w:noProof/>
                    <w:webHidden/>
                  </w:rPr>
                  <w:t>7</w:t>
                </w:r>
                <w:r w:rsidR="00DF009B">
                  <w:rPr>
                    <w:noProof/>
                    <w:webHidden/>
                  </w:rPr>
                  <w:fldChar w:fldCharType="end"/>
                </w:r>
              </w:hyperlink>
            </w:p>
            <w:p w14:paraId="344D8EA1" w14:textId="56A8F11B" w:rsidR="00DF009B" w:rsidRDefault="001357CA">
              <w:pPr>
                <w:pStyle w:val="TOC2"/>
                <w:tabs>
                  <w:tab w:val="right" w:leader="dot" w:pos="9016"/>
                </w:tabs>
                <w:rPr>
                  <w:rFonts w:eastAsiaTheme="minorEastAsia" w:cstheme="minorBidi"/>
                  <w:smallCaps w:val="0"/>
                  <w:noProof/>
                  <w:sz w:val="24"/>
                  <w:szCs w:val="24"/>
                </w:rPr>
              </w:pPr>
              <w:hyperlink w:anchor="_Toc214840436" w:history="1">
                <w:r w:rsidR="00DF009B" w:rsidRPr="002C3D53">
                  <w:rPr>
                    <w:rStyle w:val="Hyperlink"/>
                    <w:rFonts w:eastAsiaTheme="majorEastAsia"/>
                    <w:noProof/>
                  </w:rPr>
                  <w:t>1.2 Why is this research important?</w:t>
                </w:r>
                <w:r w:rsidR="00DF009B">
                  <w:rPr>
                    <w:noProof/>
                    <w:webHidden/>
                  </w:rPr>
                  <w:tab/>
                </w:r>
                <w:r w:rsidR="00DF009B">
                  <w:rPr>
                    <w:noProof/>
                    <w:webHidden/>
                  </w:rPr>
                  <w:fldChar w:fldCharType="begin"/>
                </w:r>
                <w:r w:rsidR="00DF009B">
                  <w:rPr>
                    <w:noProof/>
                    <w:webHidden/>
                  </w:rPr>
                  <w:instrText xml:space="preserve"> PAGEREF _Toc214840436 \h </w:instrText>
                </w:r>
                <w:r w:rsidR="00DF009B">
                  <w:rPr>
                    <w:noProof/>
                    <w:webHidden/>
                  </w:rPr>
                </w:r>
                <w:r w:rsidR="00DF009B">
                  <w:rPr>
                    <w:noProof/>
                    <w:webHidden/>
                  </w:rPr>
                  <w:fldChar w:fldCharType="separate"/>
                </w:r>
                <w:r w:rsidR="00DF009B">
                  <w:rPr>
                    <w:noProof/>
                    <w:webHidden/>
                  </w:rPr>
                  <w:t>7</w:t>
                </w:r>
                <w:r w:rsidR="00DF009B">
                  <w:rPr>
                    <w:noProof/>
                    <w:webHidden/>
                  </w:rPr>
                  <w:fldChar w:fldCharType="end"/>
                </w:r>
              </w:hyperlink>
            </w:p>
            <w:p w14:paraId="1E65798D" w14:textId="140BE931" w:rsidR="00DF009B" w:rsidRDefault="001357CA">
              <w:pPr>
                <w:pStyle w:val="TOC2"/>
                <w:tabs>
                  <w:tab w:val="right" w:leader="dot" w:pos="9016"/>
                </w:tabs>
                <w:rPr>
                  <w:rFonts w:eastAsiaTheme="minorEastAsia" w:cstheme="minorBidi"/>
                  <w:smallCaps w:val="0"/>
                  <w:noProof/>
                  <w:sz w:val="24"/>
                  <w:szCs w:val="24"/>
                </w:rPr>
              </w:pPr>
              <w:hyperlink w:anchor="_Toc214840437" w:history="1">
                <w:r w:rsidR="00DF009B" w:rsidRPr="002C3D53">
                  <w:rPr>
                    <w:rStyle w:val="Hyperlink"/>
                    <w:rFonts w:eastAsiaTheme="majorEastAsia"/>
                    <w:noProof/>
                  </w:rPr>
                  <w:t>1.3 How will the study approach this issue?</w:t>
                </w:r>
                <w:r w:rsidR="00DF009B">
                  <w:rPr>
                    <w:noProof/>
                    <w:webHidden/>
                  </w:rPr>
                  <w:tab/>
                </w:r>
                <w:r w:rsidR="00DF009B">
                  <w:rPr>
                    <w:noProof/>
                    <w:webHidden/>
                  </w:rPr>
                  <w:fldChar w:fldCharType="begin"/>
                </w:r>
                <w:r w:rsidR="00DF009B">
                  <w:rPr>
                    <w:noProof/>
                    <w:webHidden/>
                  </w:rPr>
                  <w:instrText xml:space="preserve"> PAGEREF _Toc214840437 \h </w:instrText>
                </w:r>
                <w:r w:rsidR="00DF009B">
                  <w:rPr>
                    <w:noProof/>
                    <w:webHidden/>
                  </w:rPr>
                </w:r>
                <w:r w:rsidR="00DF009B">
                  <w:rPr>
                    <w:noProof/>
                    <w:webHidden/>
                  </w:rPr>
                  <w:fldChar w:fldCharType="separate"/>
                </w:r>
                <w:r w:rsidR="00DF009B">
                  <w:rPr>
                    <w:noProof/>
                    <w:webHidden/>
                  </w:rPr>
                  <w:t>8</w:t>
                </w:r>
                <w:r w:rsidR="00DF009B">
                  <w:rPr>
                    <w:noProof/>
                    <w:webHidden/>
                  </w:rPr>
                  <w:fldChar w:fldCharType="end"/>
                </w:r>
              </w:hyperlink>
            </w:p>
            <w:p w14:paraId="35F4DF81" w14:textId="5C760F73" w:rsidR="00DF009B" w:rsidRDefault="001357CA">
              <w:pPr>
                <w:pStyle w:val="TOC2"/>
                <w:tabs>
                  <w:tab w:val="right" w:leader="dot" w:pos="9016"/>
                </w:tabs>
                <w:rPr>
                  <w:rFonts w:eastAsiaTheme="minorEastAsia" w:cstheme="minorBidi"/>
                  <w:smallCaps w:val="0"/>
                  <w:noProof/>
                  <w:sz w:val="24"/>
                  <w:szCs w:val="24"/>
                </w:rPr>
              </w:pPr>
              <w:hyperlink w:anchor="_Toc214840438" w:history="1">
                <w:r w:rsidR="00DF009B" w:rsidRPr="002C3D53">
                  <w:rPr>
                    <w:rStyle w:val="Hyperlink"/>
                    <w:rFonts w:eastAsiaTheme="majorEastAsia"/>
                    <w:noProof/>
                  </w:rPr>
                  <w:t>Key Term Definitions &amp; Acronyms</w:t>
                </w:r>
                <w:r w:rsidR="00DF009B">
                  <w:rPr>
                    <w:noProof/>
                    <w:webHidden/>
                  </w:rPr>
                  <w:tab/>
                </w:r>
                <w:r w:rsidR="00DF009B">
                  <w:rPr>
                    <w:noProof/>
                    <w:webHidden/>
                  </w:rPr>
                  <w:fldChar w:fldCharType="begin"/>
                </w:r>
                <w:r w:rsidR="00DF009B">
                  <w:rPr>
                    <w:noProof/>
                    <w:webHidden/>
                  </w:rPr>
                  <w:instrText xml:space="preserve"> PAGEREF _Toc214840438 \h </w:instrText>
                </w:r>
                <w:r w:rsidR="00DF009B">
                  <w:rPr>
                    <w:noProof/>
                    <w:webHidden/>
                  </w:rPr>
                </w:r>
                <w:r w:rsidR="00DF009B">
                  <w:rPr>
                    <w:noProof/>
                    <w:webHidden/>
                  </w:rPr>
                  <w:fldChar w:fldCharType="separate"/>
                </w:r>
                <w:r w:rsidR="00DF009B">
                  <w:rPr>
                    <w:noProof/>
                    <w:webHidden/>
                  </w:rPr>
                  <w:t>8</w:t>
                </w:r>
                <w:r w:rsidR="00DF009B">
                  <w:rPr>
                    <w:noProof/>
                    <w:webHidden/>
                  </w:rPr>
                  <w:fldChar w:fldCharType="end"/>
                </w:r>
              </w:hyperlink>
            </w:p>
            <w:p w14:paraId="0E2F2412" w14:textId="475C2165" w:rsidR="00DF009B" w:rsidRDefault="001357CA">
              <w:pPr>
                <w:pStyle w:val="TOC1"/>
                <w:tabs>
                  <w:tab w:val="right" w:leader="dot" w:pos="9016"/>
                </w:tabs>
                <w:rPr>
                  <w:rFonts w:eastAsiaTheme="minorEastAsia" w:cstheme="minorBidi"/>
                  <w:b w:val="0"/>
                  <w:bCs w:val="0"/>
                  <w:caps w:val="0"/>
                  <w:noProof/>
                  <w:sz w:val="24"/>
                  <w:szCs w:val="24"/>
                </w:rPr>
              </w:pPr>
              <w:hyperlink w:anchor="_Toc214840439" w:history="1">
                <w:r w:rsidR="00DF009B" w:rsidRPr="002C3D53">
                  <w:rPr>
                    <w:rStyle w:val="Hyperlink"/>
                    <w:rFonts w:eastAsiaTheme="majorEastAsia"/>
                    <w:noProof/>
                  </w:rPr>
                  <w:t>1.4 Background &amp; Current Context</w:t>
                </w:r>
                <w:r w:rsidR="00DF009B">
                  <w:rPr>
                    <w:noProof/>
                    <w:webHidden/>
                  </w:rPr>
                  <w:tab/>
                </w:r>
                <w:r w:rsidR="00DF009B">
                  <w:rPr>
                    <w:noProof/>
                    <w:webHidden/>
                  </w:rPr>
                  <w:fldChar w:fldCharType="begin"/>
                </w:r>
                <w:r w:rsidR="00DF009B">
                  <w:rPr>
                    <w:noProof/>
                    <w:webHidden/>
                  </w:rPr>
                  <w:instrText xml:space="preserve"> PAGEREF _Toc214840439 \h </w:instrText>
                </w:r>
                <w:r w:rsidR="00DF009B">
                  <w:rPr>
                    <w:noProof/>
                    <w:webHidden/>
                  </w:rPr>
                </w:r>
                <w:r w:rsidR="00DF009B">
                  <w:rPr>
                    <w:noProof/>
                    <w:webHidden/>
                  </w:rPr>
                  <w:fldChar w:fldCharType="separate"/>
                </w:r>
                <w:r w:rsidR="00DF009B">
                  <w:rPr>
                    <w:noProof/>
                    <w:webHidden/>
                  </w:rPr>
                  <w:t>9</w:t>
                </w:r>
                <w:r w:rsidR="00DF009B">
                  <w:rPr>
                    <w:noProof/>
                    <w:webHidden/>
                  </w:rPr>
                  <w:fldChar w:fldCharType="end"/>
                </w:r>
              </w:hyperlink>
            </w:p>
            <w:p w14:paraId="41876F9A" w14:textId="410C6083" w:rsidR="00DF009B" w:rsidRDefault="001357CA">
              <w:pPr>
                <w:pStyle w:val="TOC1"/>
                <w:tabs>
                  <w:tab w:val="right" w:leader="dot" w:pos="9016"/>
                </w:tabs>
                <w:rPr>
                  <w:rFonts w:eastAsiaTheme="minorEastAsia" w:cstheme="minorBidi"/>
                  <w:b w:val="0"/>
                  <w:bCs w:val="0"/>
                  <w:caps w:val="0"/>
                  <w:noProof/>
                  <w:sz w:val="24"/>
                  <w:szCs w:val="24"/>
                </w:rPr>
              </w:pPr>
              <w:hyperlink w:anchor="_Toc214840440" w:history="1">
                <w:r w:rsidR="00DF009B" w:rsidRPr="002C3D53">
                  <w:rPr>
                    <w:rStyle w:val="Hyperlink"/>
                    <w:rFonts w:eastAsiaTheme="majorEastAsia"/>
                    <w:noProof/>
                  </w:rPr>
                  <w:t>1.5 Rationale for Research / Problem Statement</w:t>
                </w:r>
                <w:r w:rsidR="00DF009B">
                  <w:rPr>
                    <w:noProof/>
                    <w:webHidden/>
                  </w:rPr>
                  <w:tab/>
                </w:r>
                <w:r w:rsidR="00DF009B">
                  <w:rPr>
                    <w:noProof/>
                    <w:webHidden/>
                  </w:rPr>
                  <w:fldChar w:fldCharType="begin"/>
                </w:r>
                <w:r w:rsidR="00DF009B">
                  <w:rPr>
                    <w:noProof/>
                    <w:webHidden/>
                  </w:rPr>
                  <w:instrText xml:space="preserve"> PAGEREF _Toc214840440 \h </w:instrText>
                </w:r>
                <w:r w:rsidR="00DF009B">
                  <w:rPr>
                    <w:noProof/>
                    <w:webHidden/>
                  </w:rPr>
                </w:r>
                <w:r w:rsidR="00DF009B">
                  <w:rPr>
                    <w:noProof/>
                    <w:webHidden/>
                  </w:rPr>
                  <w:fldChar w:fldCharType="separate"/>
                </w:r>
                <w:r w:rsidR="00DF009B">
                  <w:rPr>
                    <w:noProof/>
                    <w:webHidden/>
                  </w:rPr>
                  <w:t>10</w:t>
                </w:r>
                <w:r w:rsidR="00DF009B">
                  <w:rPr>
                    <w:noProof/>
                    <w:webHidden/>
                  </w:rPr>
                  <w:fldChar w:fldCharType="end"/>
                </w:r>
              </w:hyperlink>
            </w:p>
            <w:p w14:paraId="03D12F1B" w14:textId="57F8C454" w:rsidR="00DF009B" w:rsidRDefault="001357CA">
              <w:pPr>
                <w:pStyle w:val="TOC1"/>
                <w:tabs>
                  <w:tab w:val="right" w:leader="dot" w:pos="9016"/>
                </w:tabs>
                <w:rPr>
                  <w:rFonts w:eastAsiaTheme="minorEastAsia" w:cstheme="minorBidi"/>
                  <w:b w:val="0"/>
                  <w:bCs w:val="0"/>
                  <w:caps w:val="0"/>
                  <w:noProof/>
                  <w:sz w:val="24"/>
                  <w:szCs w:val="24"/>
                </w:rPr>
              </w:pPr>
              <w:hyperlink w:anchor="_Toc214840441" w:history="1">
                <w:r w:rsidR="00DF009B" w:rsidRPr="002C3D53">
                  <w:rPr>
                    <w:rStyle w:val="Hyperlink"/>
                    <w:rFonts w:eastAsiaTheme="majorEastAsia"/>
                    <w:noProof/>
                  </w:rPr>
                  <w:t>1.6 Aim &amp; Objectives</w:t>
                </w:r>
                <w:r w:rsidR="00DF009B">
                  <w:rPr>
                    <w:noProof/>
                    <w:webHidden/>
                  </w:rPr>
                  <w:tab/>
                </w:r>
                <w:r w:rsidR="00DF009B">
                  <w:rPr>
                    <w:noProof/>
                    <w:webHidden/>
                  </w:rPr>
                  <w:fldChar w:fldCharType="begin"/>
                </w:r>
                <w:r w:rsidR="00DF009B">
                  <w:rPr>
                    <w:noProof/>
                    <w:webHidden/>
                  </w:rPr>
                  <w:instrText xml:space="preserve"> PAGEREF _Toc214840441 \h </w:instrText>
                </w:r>
                <w:r w:rsidR="00DF009B">
                  <w:rPr>
                    <w:noProof/>
                    <w:webHidden/>
                  </w:rPr>
                </w:r>
                <w:r w:rsidR="00DF009B">
                  <w:rPr>
                    <w:noProof/>
                    <w:webHidden/>
                  </w:rPr>
                  <w:fldChar w:fldCharType="separate"/>
                </w:r>
                <w:r w:rsidR="00DF009B">
                  <w:rPr>
                    <w:noProof/>
                    <w:webHidden/>
                  </w:rPr>
                  <w:t>11</w:t>
                </w:r>
                <w:r w:rsidR="00DF009B">
                  <w:rPr>
                    <w:noProof/>
                    <w:webHidden/>
                  </w:rPr>
                  <w:fldChar w:fldCharType="end"/>
                </w:r>
              </w:hyperlink>
            </w:p>
            <w:p w14:paraId="0B08CF37" w14:textId="0230B47F" w:rsidR="00DF009B" w:rsidRDefault="001357CA">
              <w:pPr>
                <w:pStyle w:val="TOC2"/>
                <w:tabs>
                  <w:tab w:val="right" w:leader="dot" w:pos="9016"/>
                </w:tabs>
                <w:rPr>
                  <w:rFonts w:eastAsiaTheme="minorEastAsia" w:cstheme="minorBidi"/>
                  <w:smallCaps w:val="0"/>
                  <w:noProof/>
                  <w:sz w:val="24"/>
                  <w:szCs w:val="24"/>
                </w:rPr>
              </w:pPr>
              <w:hyperlink w:anchor="_Toc214840442" w:history="1">
                <w:r w:rsidR="00DF009B" w:rsidRPr="002C3D53">
                  <w:rPr>
                    <w:rStyle w:val="Hyperlink"/>
                    <w:rFonts w:eastAsiaTheme="majorEastAsia"/>
                    <w:noProof/>
                  </w:rPr>
                  <w:t>Aim</w:t>
                </w:r>
                <w:r w:rsidR="00DF009B">
                  <w:rPr>
                    <w:noProof/>
                    <w:webHidden/>
                  </w:rPr>
                  <w:tab/>
                </w:r>
                <w:r w:rsidR="00DF009B">
                  <w:rPr>
                    <w:noProof/>
                    <w:webHidden/>
                  </w:rPr>
                  <w:fldChar w:fldCharType="begin"/>
                </w:r>
                <w:r w:rsidR="00DF009B">
                  <w:rPr>
                    <w:noProof/>
                    <w:webHidden/>
                  </w:rPr>
                  <w:instrText xml:space="preserve"> PAGEREF _Toc214840442 \h </w:instrText>
                </w:r>
                <w:r w:rsidR="00DF009B">
                  <w:rPr>
                    <w:noProof/>
                    <w:webHidden/>
                  </w:rPr>
                </w:r>
                <w:r w:rsidR="00DF009B">
                  <w:rPr>
                    <w:noProof/>
                    <w:webHidden/>
                  </w:rPr>
                  <w:fldChar w:fldCharType="separate"/>
                </w:r>
                <w:r w:rsidR="00DF009B">
                  <w:rPr>
                    <w:noProof/>
                    <w:webHidden/>
                  </w:rPr>
                  <w:t>11</w:t>
                </w:r>
                <w:r w:rsidR="00DF009B">
                  <w:rPr>
                    <w:noProof/>
                    <w:webHidden/>
                  </w:rPr>
                  <w:fldChar w:fldCharType="end"/>
                </w:r>
              </w:hyperlink>
            </w:p>
            <w:p w14:paraId="6C02317E" w14:textId="09821FEE" w:rsidR="00DF009B" w:rsidRDefault="001357CA">
              <w:pPr>
                <w:pStyle w:val="TOC2"/>
                <w:tabs>
                  <w:tab w:val="right" w:leader="dot" w:pos="9016"/>
                </w:tabs>
                <w:rPr>
                  <w:rFonts w:eastAsiaTheme="minorEastAsia" w:cstheme="minorBidi"/>
                  <w:smallCaps w:val="0"/>
                  <w:noProof/>
                  <w:sz w:val="24"/>
                  <w:szCs w:val="24"/>
                </w:rPr>
              </w:pPr>
              <w:hyperlink w:anchor="_Toc214840443" w:history="1">
                <w:r w:rsidR="00DF009B" w:rsidRPr="002C3D53">
                  <w:rPr>
                    <w:rStyle w:val="Hyperlink"/>
                    <w:rFonts w:eastAsiaTheme="majorEastAsia"/>
                    <w:noProof/>
                  </w:rPr>
                  <w:t>Objectives:</w:t>
                </w:r>
                <w:r w:rsidR="00DF009B">
                  <w:rPr>
                    <w:noProof/>
                    <w:webHidden/>
                  </w:rPr>
                  <w:tab/>
                </w:r>
                <w:r w:rsidR="00DF009B">
                  <w:rPr>
                    <w:noProof/>
                    <w:webHidden/>
                  </w:rPr>
                  <w:fldChar w:fldCharType="begin"/>
                </w:r>
                <w:r w:rsidR="00DF009B">
                  <w:rPr>
                    <w:noProof/>
                    <w:webHidden/>
                  </w:rPr>
                  <w:instrText xml:space="preserve"> PAGEREF _Toc214840443 \h </w:instrText>
                </w:r>
                <w:r w:rsidR="00DF009B">
                  <w:rPr>
                    <w:noProof/>
                    <w:webHidden/>
                  </w:rPr>
                </w:r>
                <w:r w:rsidR="00DF009B">
                  <w:rPr>
                    <w:noProof/>
                    <w:webHidden/>
                  </w:rPr>
                  <w:fldChar w:fldCharType="separate"/>
                </w:r>
                <w:r w:rsidR="00DF009B">
                  <w:rPr>
                    <w:noProof/>
                    <w:webHidden/>
                  </w:rPr>
                  <w:t>11</w:t>
                </w:r>
                <w:r w:rsidR="00DF009B">
                  <w:rPr>
                    <w:noProof/>
                    <w:webHidden/>
                  </w:rPr>
                  <w:fldChar w:fldCharType="end"/>
                </w:r>
              </w:hyperlink>
            </w:p>
            <w:p w14:paraId="2B3197AD" w14:textId="04690566" w:rsidR="00DF009B" w:rsidRDefault="001357CA">
              <w:pPr>
                <w:pStyle w:val="TOC1"/>
                <w:tabs>
                  <w:tab w:val="right" w:leader="dot" w:pos="9016"/>
                </w:tabs>
                <w:rPr>
                  <w:rFonts w:eastAsiaTheme="minorEastAsia" w:cstheme="minorBidi"/>
                  <w:b w:val="0"/>
                  <w:bCs w:val="0"/>
                  <w:caps w:val="0"/>
                  <w:noProof/>
                  <w:sz w:val="24"/>
                  <w:szCs w:val="24"/>
                </w:rPr>
              </w:pPr>
              <w:hyperlink w:anchor="_Toc214840444" w:history="1">
                <w:r w:rsidR="00DF009B" w:rsidRPr="002C3D53">
                  <w:rPr>
                    <w:rStyle w:val="Hyperlink"/>
                    <w:rFonts w:eastAsiaTheme="majorEastAsia"/>
                    <w:noProof/>
                  </w:rPr>
                  <w:t>1.7 Conclusion</w:t>
                </w:r>
                <w:r w:rsidR="00DF009B">
                  <w:rPr>
                    <w:noProof/>
                    <w:webHidden/>
                  </w:rPr>
                  <w:tab/>
                </w:r>
                <w:r w:rsidR="00DF009B">
                  <w:rPr>
                    <w:noProof/>
                    <w:webHidden/>
                  </w:rPr>
                  <w:fldChar w:fldCharType="begin"/>
                </w:r>
                <w:r w:rsidR="00DF009B">
                  <w:rPr>
                    <w:noProof/>
                    <w:webHidden/>
                  </w:rPr>
                  <w:instrText xml:space="preserve"> PAGEREF _Toc214840444 \h </w:instrText>
                </w:r>
                <w:r w:rsidR="00DF009B">
                  <w:rPr>
                    <w:noProof/>
                    <w:webHidden/>
                  </w:rPr>
                </w:r>
                <w:r w:rsidR="00DF009B">
                  <w:rPr>
                    <w:noProof/>
                    <w:webHidden/>
                  </w:rPr>
                  <w:fldChar w:fldCharType="separate"/>
                </w:r>
                <w:r w:rsidR="00DF009B">
                  <w:rPr>
                    <w:noProof/>
                    <w:webHidden/>
                  </w:rPr>
                  <w:t>11</w:t>
                </w:r>
                <w:r w:rsidR="00DF009B">
                  <w:rPr>
                    <w:noProof/>
                    <w:webHidden/>
                  </w:rPr>
                  <w:fldChar w:fldCharType="end"/>
                </w:r>
              </w:hyperlink>
            </w:p>
            <w:p w14:paraId="289486B7" w14:textId="2D2B648F" w:rsidR="00DF009B" w:rsidRDefault="001357CA">
              <w:pPr>
                <w:pStyle w:val="TOC1"/>
                <w:tabs>
                  <w:tab w:val="right" w:leader="dot" w:pos="9016"/>
                </w:tabs>
                <w:rPr>
                  <w:rFonts w:eastAsiaTheme="minorEastAsia" w:cstheme="minorBidi"/>
                  <w:b w:val="0"/>
                  <w:bCs w:val="0"/>
                  <w:caps w:val="0"/>
                  <w:noProof/>
                  <w:sz w:val="24"/>
                  <w:szCs w:val="24"/>
                </w:rPr>
              </w:pPr>
              <w:hyperlink w:anchor="_Toc214840445" w:history="1">
                <w:r w:rsidR="00DF009B" w:rsidRPr="002C3D53">
                  <w:rPr>
                    <w:rStyle w:val="Hyperlink"/>
                    <w:rFonts w:eastAsiaTheme="majorEastAsia"/>
                    <w:noProof/>
                  </w:rPr>
                  <w:t>CHAPTER 2: BACKGROUND</w:t>
                </w:r>
                <w:r w:rsidR="00DF009B">
                  <w:rPr>
                    <w:noProof/>
                    <w:webHidden/>
                  </w:rPr>
                  <w:tab/>
                </w:r>
                <w:r w:rsidR="00DF009B">
                  <w:rPr>
                    <w:noProof/>
                    <w:webHidden/>
                  </w:rPr>
                  <w:fldChar w:fldCharType="begin"/>
                </w:r>
                <w:r w:rsidR="00DF009B">
                  <w:rPr>
                    <w:noProof/>
                    <w:webHidden/>
                  </w:rPr>
                  <w:instrText xml:space="preserve"> PAGEREF _Toc214840445 \h </w:instrText>
                </w:r>
                <w:r w:rsidR="00DF009B">
                  <w:rPr>
                    <w:noProof/>
                    <w:webHidden/>
                  </w:rPr>
                </w:r>
                <w:r w:rsidR="00DF009B">
                  <w:rPr>
                    <w:noProof/>
                    <w:webHidden/>
                  </w:rPr>
                  <w:fldChar w:fldCharType="separate"/>
                </w:r>
                <w:r w:rsidR="00DF009B">
                  <w:rPr>
                    <w:noProof/>
                    <w:webHidden/>
                  </w:rPr>
                  <w:t>12</w:t>
                </w:r>
                <w:r w:rsidR="00DF009B">
                  <w:rPr>
                    <w:noProof/>
                    <w:webHidden/>
                  </w:rPr>
                  <w:fldChar w:fldCharType="end"/>
                </w:r>
              </w:hyperlink>
            </w:p>
            <w:p w14:paraId="6500DD2A" w14:textId="23EEFC76" w:rsidR="00DF009B" w:rsidRDefault="001357CA">
              <w:pPr>
                <w:pStyle w:val="TOC2"/>
                <w:tabs>
                  <w:tab w:val="right" w:leader="dot" w:pos="9016"/>
                </w:tabs>
                <w:rPr>
                  <w:rFonts w:eastAsiaTheme="minorEastAsia" w:cstheme="minorBidi"/>
                  <w:smallCaps w:val="0"/>
                  <w:noProof/>
                  <w:sz w:val="24"/>
                  <w:szCs w:val="24"/>
                </w:rPr>
              </w:pPr>
              <w:hyperlink w:anchor="_Toc214840446" w:history="1">
                <w:r w:rsidR="00DF009B" w:rsidRPr="002C3D53">
                  <w:rPr>
                    <w:rStyle w:val="Hyperlink"/>
                    <w:rFonts w:eastAsiaTheme="majorEastAsia"/>
                    <w:noProof/>
                  </w:rPr>
                  <w:t>2.1 Introduction</w:t>
                </w:r>
                <w:r w:rsidR="00DF009B">
                  <w:rPr>
                    <w:noProof/>
                    <w:webHidden/>
                  </w:rPr>
                  <w:tab/>
                </w:r>
                <w:r w:rsidR="00DF009B">
                  <w:rPr>
                    <w:noProof/>
                    <w:webHidden/>
                  </w:rPr>
                  <w:fldChar w:fldCharType="begin"/>
                </w:r>
                <w:r w:rsidR="00DF009B">
                  <w:rPr>
                    <w:noProof/>
                    <w:webHidden/>
                  </w:rPr>
                  <w:instrText xml:space="preserve"> PAGEREF _Toc214840446 \h </w:instrText>
                </w:r>
                <w:r w:rsidR="00DF009B">
                  <w:rPr>
                    <w:noProof/>
                    <w:webHidden/>
                  </w:rPr>
                </w:r>
                <w:r w:rsidR="00DF009B">
                  <w:rPr>
                    <w:noProof/>
                    <w:webHidden/>
                  </w:rPr>
                  <w:fldChar w:fldCharType="separate"/>
                </w:r>
                <w:r w:rsidR="00DF009B">
                  <w:rPr>
                    <w:noProof/>
                    <w:webHidden/>
                  </w:rPr>
                  <w:t>12</w:t>
                </w:r>
                <w:r w:rsidR="00DF009B">
                  <w:rPr>
                    <w:noProof/>
                    <w:webHidden/>
                  </w:rPr>
                  <w:fldChar w:fldCharType="end"/>
                </w:r>
              </w:hyperlink>
            </w:p>
            <w:p w14:paraId="6D31876C" w14:textId="03FEDFDA" w:rsidR="00DF009B" w:rsidRDefault="001357CA">
              <w:pPr>
                <w:pStyle w:val="TOC2"/>
                <w:tabs>
                  <w:tab w:val="right" w:leader="dot" w:pos="9016"/>
                </w:tabs>
                <w:rPr>
                  <w:rFonts w:eastAsiaTheme="minorEastAsia" w:cstheme="minorBidi"/>
                  <w:smallCaps w:val="0"/>
                  <w:noProof/>
                  <w:sz w:val="24"/>
                  <w:szCs w:val="24"/>
                </w:rPr>
              </w:pPr>
              <w:hyperlink w:anchor="_Toc214840447" w:history="1">
                <w:r w:rsidR="00DF009B" w:rsidRPr="002C3D53">
                  <w:rPr>
                    <w:rStyle w:val="Hyperlink"/>
                    <w:rFonts w:eastAsiaTheme="majorEastAsia"/>
                    <w:noProof/>
                  </w:rPr>
                  <w:t>2.2 Historical Background</w:t>
                </w:r>
                <w:r w:rsidR="00DF009B">
                  <w:rPr>
                    <w:noProof/>
                    <w:webHidden/>
                  </w:rPr>
                  <w:tab/>
                </w:r>
                <w:r w:rsidR="00DF009B">
                  <w:rPr>
                    <w:noProof/>
                    <w:webHidden/>
                  </w:rPr>
                  <w:fldChar w:fldCharType="begin"/>
                </w:r>
                <w:r w:rsidR="00DF009B">
                  <w:rPr>
                    <w:noProof/>
                    <w:webHidden/>
                  </w:rPr>
                  <w:instrText xml:space="preserve"> PAGEREF _Toc214840447 \h </w:instrText>
                </w:r>
                <w:r w:rsidR="00DF009B">
                  <w:rPr>
                    <w:noProof/>
                    <w:webHidden/>
                  </w:rPr>
                </w:r>
                <w:r w:rsidR="00DF009B">
                  <w:rPr>
                    <w:noProof/>
                    <w:webHidden/>
                  </w:rPr>
                  <w:fldChar w:fldCharType="separate"/>
                </w:r>
                <w:r w:rsidR="00DF009B">
                  <w:rPr>
                    <w:noProof/>
                    <w:webHidden/>
                  </w:rPr>
                  <w:t>12</w:t>
                </w:r>
                <w:r w:rsidR="00DF009B">
                  <w:rPr>
                    <w:noProof/>
                    <w:webHidden/>
                  </w:rPr>
                  <w:fldChar w:fldCharType="end"/>
                </w:r>
              </w:hyperlink>
            </w:p>
            <w:p w14:paraId="20251B0B" w14:textId="4F716DBA" w:rsidR="00DF009B" w:rsidRDefault="001357CA">
              <w:pPr>
                <w:pStyle w:val="TOC2"/>
                <w:tabs>
                  <w:tab w:val="right" w:leader="dot" w:pos="9016"/>
                </w:tabs>
                <w:rPr>
                  <w:rFonts w:eastAsiaTheme="minorEastAsia" w:cstheme="minorBidi"/>
                  <w:smallCaps w:val="0"/>
                  <w:noProof/>
                  <w:sz w:val="24"/>
                  <w:szCs w:val="24"/>
                </w:rPr>
              </w:pPr>
              <w:hyperlink w:anchor="_Toc214840448" w:history="1">
                <w:r w:rsidR="00DF009B" w:rsidRPr="002C3D53">
                  <w:rPr>
                    <w:rStyle w:val="Hyperlink"/>
                    <w:rFonts w:eastAsiaTheme="majorEastAsia" w:cs="Arial"/>
                    <w:noProof/>
                  </w:rPr>
                  <w:t>2.3 Theoretical Background</w:t>
                </w:r>
                <w:r w:rsidR="00DF009B">
                  <w:rPr>
                    <w:noProof/>
                    <w:webHidden/>
                  </w:rPr>
                  <w:tab/>
                </w:r>
                <w:r w:rsidR="00DF009B">
                  <w:rPr>
                    <w:noProof/>
                    <w:webHidden/>
                  </w:rPr>
                  <w:fldChar w:fldCharType="begin"/>
                </w:r>
                <w:r w:rsidR="00DF009B">
                  <w:rPr>
                    <w:noProof/>
                    <w:webHidden/>
                  </w:rPr>
                  <w:instrText xml:space="preserve"> PAGEREF _Toc214840448 \h </w:instrText>
                </w:r>
                <w:r w:rsidR="00DF009B">
                  <w:rPr>
                    <w:noProof/>
                    <w:webHidden/>
                  </w:rPr>
                </w:r>
                <w:r w:rsidR="00DF009B">
                  <w:rPr>
                    <w:noProof/>
                    <w:webHidden/>
                  </w:rPr>
                  <w:fldChar w:fldCharType="separate"/>
                </w:r>
                <w:r w:rsidR="00DF009B">
                  <w:rPr>
                    <w:noProof/>
                    <w:webHidden/>
                  </w:rPr>
                  <w:t>13</w:t>
                </w:r>
                <w:r w:rsidR="00DF009B">
                  <w:rPr>
                    <w:noProof/>
                    <w:webHidden/>
                  </w:rPr>
                  <w:fldChar w:fldCharType="end"/>
                </w:r>
              </w:hyperlink>
            </w:p>
            <w:p w14:paraId="4A8B428C" w14:textId="3A4773F5" w:rsidR="00DF009B" w:rsidRDefault="001357CA">
              <w:pPr>
                <w:pStyle w:val="TOC1"/>
                <w:tabs>
                  <w:tab w:val="right" w:leader="dot" w:pos="9016"/>
                </w:tabs>
                <w:rPr>
                  <w:rFonts w:eastAsiaTheme="minorEastAsia" w:cstheme="minorBidi"/>
                  <w:b w:val="0"/>
                  <w:bCs w:val="0"/>
                  <w:caps w:val="0"/>
                  <w:noProof/>
                  <w:sz w:val="24"/>
                  <w:szCs w:val="24"/>
                </w:rPr>
              </w:pPr>
              <w:hyperlink w:anchor="_Toc214840449" w:history="1">
                <w:r w:rsidR="00DF009B" w:rsidRPr="002C3D53">
                  <w:rPr>
                    <w:rStyle w:val="Hyperlink"/>
                    <w:rFonts w:eastAsiaTheme="majorEastAsia"/>
                    <w:noProof/>
                  </w:rPr>
                  <w:t>2.4 International Context</w:t>
                </w:r>
                <w:r w:rsidR="00DF009B">
                  <w:rPr>
                    <w:noProof/>
                    <w:webHidden/>
                  </w:rPr>
                  <w:tab/>
                </w:r>
                <w:r w:rsidR="00DF009B">
                  <w:rPr>
                    <w:noProof/>
                    <w:webHidden/>
                  </w:rPr>
                  <w:fldChar w:fldCharType="begin"/>
                </w:r>
                <w:r w:rsidR="00DF009B">
                  <w:rPr>
                    <w:noProof/>
                    <w:webHidden/>
                  </w:rPr>
                  <w:instrText xml:space="preserve"> PAGEREF _Toc214840449 \h </w:instrText>
                </w:r>
                <w:r w:rsidR="00DF009B">
                  <w:rPr>
                    <w:noProof/>
                    <w:webHidden/>
                  </w:rPr>
                </w:r>
                <w:r w:rsidR="00DF009B">
                  <w:rPr>
                    <w:noProof/>
                    <w:webHidden/>
                  </w:rPr>
                  <w:fldChar w:fldCharType="separate"/>
                </w:r>
                <w:r w:rsidR="00DF009B">
                  <w:rPr>
                    <w:noProof/>
                    <w:webHidden/>
                  </w:rPr>
                  <w:t>15</w:t>
                </w:r>
                <w:r w:rsidR="00DF009B">
                  <w:rPr>
                    <w:noProof/>
                    <w:webHidden/>
                  </w:rPr>
                  <w:fldChar w:fldCharType="end"/>
                </w:r>
              </w:hyperlink>
            </w:p>
            <w:p w14:paraId="5B84CE9F" w14:textId="1837E514" w:rsidR="00DF009B" w:rsidRDefault="001357CA">
              <w:pPr>
                <w:pStyle w:val="TOC2"/>
                <w:tabs>
                  <w:tab w:val="right" w:leader="dot" w:pos="9016"/>
                </w:tabs>
                <w:rPr>
                  <w:rFonts w:eastAsiaTheme="minorEastAsia" w:cstheme="minorBidi"/>
                  <w:smallCaps w:val="0"/>
                  <w:noProof/>
                  <w:sz w:val="24"/>
                  <w:szCs w:val="24"/>
                </w:rPr>
              </w:pPr>
              <w:hyperlink w:anchor="_Toc214840450" w:history="1">
                <w:r w:rsidR="00DF009B" w:rsidRPr="002C3D53">
                  <w:rPr>
                    <w:rStyle w:val="Hyperlink"/>
                    <w:rFonts w:eastAsiaTheme="majorEastAsia"/>
                    <w:noProof/>
                  </w:rPr>
                  <w:t>Global Policy Perspectives</w:t>
                </w:r>
                <w:r w:rsidR="00DF009B">
                  <w:rPr>
                    <w:noProof/>
                    <w:webHidden/>
                  </w:rPr>
                  <w:tab/>
                </w:r>
                <w:r w:rsidR="00DF009B">
                  <w:rPr>
                    <w:noProof/>
                    <w:webHidden/>
                  </w:rPr>
                  <w:fldChar w:fldCharType="begin"/>
                </w:r>
                <w:r w:rsidR="00DF009B">
                  <w:rPr>
                    <w:noProof/>
                    <w:webHidden/>
                  </w:rPr>
                  <w:instrText xml:space="preserve"> PAGEREF _Toc214840450 \h </w:instrText>
                </w:r>
                <w:r w:rsidR="00DF009B">
                  <w:rPr>
                    <w:noProof/>
                    <w:webHidden/>
                  </w:rPr>
                </w:r>
                <w:r w:rsidR="00DF009B">
                  <w:rPr>
                    <w:noProof/>
                    <w:webHidden/>
                  </w:rPr>
                  <w:fldChar w:fldCharType="separate"/>
                </w:r>
                <w:r w:rsidR="00DF009B">
                  <w:rPr>
                    <w:noProof/>
                    <w:webHidden/>
                  </w:rPr>
                  <w:t>15</w:t>
                </w:r>
                <w:r w:rsidR="00DF009B">
                  <w:rPr>
                    <w:noProof/>
                    <w:webHidden/>
                  </w:rPr>
                  <w:fldChar w:fldCharType="end"/>
                </w:r>
              </w:hyperlink>
            </w:p>
            <w:p w14:paraId="10F79AD5" w14:textId="5E548B68" w:rsidR="00DF009B" w:rsidRDefault="001357CA">
              <w:pPr>
                <w:pStyle w:val="TOC2"/>
                <w:tabs>
                  <w:tab w:val="right" w:leader="dot" w:pos="9016"/>
                </w:tabs>
                <w:rPr>
                  <w:rFonts w:eastAsiaTheme="minorEastAsia" w:cstheme="minorBidi"/>
                  <w:smallCaps w:val="0"/>
                  <w:noProof/>
                  <w:sz w:val="24"/>
                  <w:szCs w:val="24"/>
                </w:rPr>
              </w:pPr>
              <w:hyperlink w:anchor="_Toc214840451" w:history="1">
                <w:r w:rsidR="00DF009B" w:rsidRPr="002C3D53">
                  <w:rPr>
                    <w:rStyle w:val="Hyperlink"/>
                    <w:rFonts w:eastAsiaTheme="majorEastAsia"/>
                    <w:noProof/>
                  </w:rPr>
                  <w:t>Comparative Analysis</w:t>
                </w:r>
                <w:r w:rsidR="00DF009B">
                  <w:rPr>
                    <w:noProof/>
                    <w:webHidden/>
                  </w:rPr>
                  <w:tab/>
                </w:r>
                <w:r w:rsidR="00DF009B">
                  <w:rPr>
                    <w:noProof/>
                    <w:webHidden/>
                  </w:rPr>
                  <w:fldChar w:fldCharType="begin"/>
                </w:r>
                <w:r w:rsidR="00DF009B">
                  <w:rPr>
                    <w:noProof/>
                    <w:webHidden/>
                  </w:rPr>
                  <w:instrText xml:space="preserve"> PAGEREF _Toc214840451 \h </w:instrText>
                </w:r>
                <w:r w:rsidR="00DF009B">
                  <w:rPr>
                    <w:noProof/>
                    <w:webHidden/>
                  </w:rPr>
                </w:r>
                <w:r w:rsidR="00DF009B">
                  <w:rPr>
                    <w:noProof/>
                    <w:webHidden/>
                  </w:rPr>
                  <w:fldChar w:fldCharType="separate"/>
                </w:r>
                <w:r w:rsidR="00DF009B">
                  <w:rPr>
                    <w:noProof/>
                    <w:webHidden/>
                  </w:rPr>
                  <w:t>15</w:t>
                </w:r>
                <w:r w:rsidR="00DF009B">
                  <w:rPr>
                    <w:noProof/>
                    <w:webHidden/>
                  </w:rPr>
                  <w:fldChar w:fldCharType="end"/>
                </w:r>
              </w:hyperlink>
            </w:p>
            <w:p w14:paraId="05FB9488" w14:textId="2D6C656E" w:rsidR="00DF009B" w:rsidRDefault="001357CA">
              <w:pPr>
                <w:pStyle w:val="TOC1"/>
                <w:tabs>
                  <w:tab w:val="right" w:leader="dot" w:pos="9016"/>
                </w:tabs>
                <w:rPr>
                  <w:rFonts w:eastAsiaTheme="minorEastAsia" w:cstheme="minorBidi"/>
                  <w:b w:val="0"/>
                  <w:bCs w:val="0"/>
                  <w:caps w:val="0"/>
                  <w:noProof/>
                  <w:sz w:val="24"/>
                  <w:szCs w:val="24"/>
                </w:rPr>
              </w:pPr>
              <w:hyperlink w:anchor="_Toc214840452" w:history="1">
                <w:r w:rsidR="00DF009B" w:rsidRPr="002C3D53">
                  <w:rPr>
                    <w:rStyle w:val="Hyperlink"/>
                    <w:rFonts w:eastAsiaTheme="majorEastAsia"/>
                    <w:noProof/>
                  </w:rPr>
                  <w:t>2.5 National and Local UK Context</w:t>
                </w:r>
                <w:r w:rsidR="00DF009B">
                  <w:rPr>
                    <w:noProof/>
                    <w:webHidden/>
                  </w:rPr>
                  <w:tab/>
                </w:r>
                <w:r w:rsidR="00DF009B">
                  <w:rPr>
                    <w:noProof/>
                    <w:webHidden/>
                  </w:rPr>
                  <w:fldChar w:fldCharType="begin"/>
                </w:r>
                <w:r w:rsidR="00DF009B">
                  <w:rPr>
                    <w:noProof/>
                    <w:webHidden/>
                  </w:rPr>
                  <w:instrText xml:space="preserve"> PAGEREF _Toc214840452 \h </w:instrText>
                </w:r>
                <w:r w:rsidR="00DF009B">
                  <w:rPr>
                    <w:noProof/>
                    <w:webHidden/>
                  </w:rPr>
                </w:r>
                <w:r w:rsidR="00DF009B">
                  <w:rPr>
                    <w:noProof/>
                    <w:webHidden/>
                  </w:rPr>
                  <w:fldChar w:fldCharType="separate"/>
                </w:r>
                <w:r w:rsidR="00DF009B">
                  <w:rPr>
                    <w:noProof/>
                    <w:webHidden/>
                  </w:rPr>
                  <w:t>16</w:t>
                </w:r>
                <w:r w:rsidR="00DF009B">
                  <w:rPr>
                    <w:noProof/>
                    <w:webHidden/>
                  </w:rPr>
                  <w:fldChar w:fldCharType="end"/>
                </w:r>
              </w:hyperlink>
            </w:p>
            <w:p w14:paraId="1F7DCCE5" w14:textId="2D9D86AF" w:rsidR="00DF009B" w:rsidRDefault="001357CA">
              <w:pPr>
                <w:pStyle w:val="TOC2"/>
                <w:tabs>
                  <w:tab w:val="right" w:leader="dot" w:pos="9016"/>
                </w:tabs>
                <w:rPr>
                  <w:rFonts w:eastAsiaTheme="minorEastAsia" w:cstheme="minorBidi"/>
                  <w:smallCaps w:val="0"/>
                  <w:noProof/>
                  <w:sz w:val="24"/>
                  <w:szCs w:val="24"/>
                </w:rPr>
              </w:pPr>
              <w:hyperlink w:anchor="_Toc214840453" w:history="1">
                <w:r w:rsidR="00DF009B" w:rsidRPr="002C3D53">
                  <w:rPr>
                    <w:rStyle w:val="Hyperlink"/>
                    <w:rFonts w:eastAsiaTheme="majorEastAsia"/>
                    <w:noProof/>
                  </w:rPr>
                  <w:t>Policy and Legislation</w:t>
                </w:r>
                <w:r w:rsidR="00DF009B">
                  <w:rPr>
                    <w:noProof/>
                    <w:webHidden/>
                  </w:rPr>
                  <w:tab/>
                </w:r>
                <w:r w:rsidR="00DF009B">
                  <w:rPr>
                    <w:noProof/>
                    <w:webHidden/>
                  </w:rPr>
                  <w:fldChar w:fldCharType="begin"/>
                </w:r>
                <w:r w:rsidR="00DF009B">
                  <w:rPr>
                    <w:noProof/>
                    <w:webHidden/>
                  </w:rPr>
                  <w:instrText xml:space="preserve"> PAGEREF _Toc214840453 \h </w:instrText>
                </w:r>
                <w:r w:rsidR="00DF009B">
                  <w:rPr>
                    <w:noProof/>
                    <w:webHidden/>
                  </w:rPr>
                </w:r>
                <w:r w:rsidR="00DF009B">
                  <w:rPr>
                    <w:noProof/>
                    <w:webHidden/>
                  </w:rPr>
                  <w:fldChar w:fldCharType="separate"/>
                </w:r>
                <w:r w:rsidR="00DF009B">
                  <w:rPr>
                    <w:noProof/>
                    <w:webHidden/>
                  </w:rPr>
                  <w:t>16</w:t>
                </w:r>
                <w:r w:rsidR="00DF009B">
                  <w:rPr>
                    <w:noProof/>
                    <w:webHidden/>
                  </w:rPr>
                  <w:fldChar w:fldCharType="end"/>
                </w:r>
              </w:hyperlink>
            </w:p>
            <w:p w14:paraId="382A3C77" w14:textId="3F6CF06E" w:rsidR="00DF009B" w:rsidRDefault="001357CA">
              <w:pPr>
                <w:pStyle w:val="TOC2"/>
                <w:tabs>
                  <w:tab w:val="right" w:leader="dot" w:pos="9016"/>
                </w:tabs>
                <w:rPr>
                  <w:rFonts w:eastAsiaTheme="minorEastAsia" w:cstheme="minorBidi"/>
                  <w:smallCaps w:val="0"/>
                  <w:noProof/>
                  <w:sz w:val="24"/>
                  <w:szCs w:val="24"/>
                </w:rPr>
              </w:pPr>
              <w:hyperlink w:anchor="_Toc214840454" w:history="1">
                <w:r w:rsidR="00DF009B" w:rsidRPr="002C3D53">
                  <w:rPr>
                    <w:rStyle w:val="Hyperlink"/>
                    <w:rFonts w:eastAsiaTheme="majorEastAsia"/>
                    <w:noProof/>
                  </w:rPr>
                  <w:t>Local and Regional Variations</w:t>
                </w:r>
                <w:r w:rsidR="00DF009B">
                  <w:rPr>
                    <w:noProof/>
                    <w:webHidden/>
                  </w:rPr>
                  <w:tab/>
                </w:r>
                <w:r w:rsidR="00DF009B">
                  <w:rPr>
                    <w:noProof/>
                    <w:webHidden/>
                  </w:rPr>
                  <w:fldChar w:fldCharType="begin"/>
                </w:r>
                <w:r w:rsidR="00DF009B">
                  <w:rPr>
                    <w:noProof/>
                    <w:webHidden/>
                  </w:rPr>
                  <w:instrText xml:space="preserve"> PAGEREF _Toc214840454 \h </w:instrText>
                </w:r>
                <w:r w:rsidR="00DF009B">
                  <w:rPr>
                    <w:noProof/>
                    <w:webHidden/>
                  </w:rPr>
                </w:r>
                <w:r w:rsidR="00DF009B">
                  <w:rPr>
                    <w:noProof/>
                    <w:webHidden/>
                  </w:rPr>
                  <w:fldChar w:fldCharType="separate"/>
                </w:r>
                <w:r w:rsidR="00DF009B">
                  <w:rPr>
                    <w:noProof/>
                    <w:webHidden/>
                  </w:rPr>
                  <w:t>16</w:t>
                </w:r>
                <w:r w:rsidR="00DF009B">
                  <w:rPr>
                    <w:noProof/>
                    <w:webHidden/>
                  </w:rPr>
                  <w:fldChar w:fldCharType="end"/>
                </w:r>
              </w:hyperlink>
            </w:p>
            <w:p w14:paraId="475E81D0" w14:textId="731C2638" w:rsidR="00DF009B" w:rsidRDefault="001357CA">
              <w:pPr>
                <w:pStyle w:val="TOC1"/>
                <w:tabs>
                  <w:tab w:val="right" w:leader="dot" w:pos="9016"/>
                </w:tabs>
                <w:rPr>
                  <w:rFonts w:eastAsiaTheme="minorEastAsia" w:cstheme="minorBidi"/>
                  <w:b w:val="0"/>
                  <w:bCs w:val="0"/>
                  <w:caps w:val="0"/>
                  <w:noProof/>
                  <w:sz w:val="24"/>
                  <w:szCs w:val="24"/>
                </w:rPr>
              </w:pPr>
              <w:hyperlink w:anchor="_Toc214840455" w:history="1">
                <w:r w:rsidR="00DF009B" w:rsidRPr="002C3D53">
                  <w:rPr>
                    <w:rStyle w:val="Hyperlink"/>
                    <w:rFonts w:eastAsiaTheme="majorEastAsia"/>
                    <w:noProof/>
                  </w:rPr>
                  <w:t>2.6 Conclusion</w:t>
                </w:r>
                <w:r w:rsidR="00DF009B">
                  <w:rPr>
                    <w:noProof/>
                    <w:webHidden/>
                  </w:rPr>
                  <w:tab/>
                </w:r>
                <w:r w:rsidR="00DF009B">
                  <w:rPr>
                    <w:noProof/>
                    <w:webHidden/>
                  </w:rPr>
                  <w:fldChar w:fldCharType="begin"/>
                </w:r>
                <w:r w:rsidR="00DF009B">
                  <w:rPr>
                    <w:noProof/>
                    <w:webHidden/>
                  </w:rPr>
                  <w:instrText xml:space="preserve"> PAGEREF _Toc214840455 \h </w:instrText>
                </w:r>
                <w:r w:rsidR="00DF009B">
                  <w:rPr>
                    <w:noProof/>
                    <w:webHidden/>
                  </w:rPr>
                </w:r>
                <w:r w:rsidR="00DF009B">
                  <w:rPr>
                    <w:noProof/>
                    <w:webHidden/>
                  </w:rPr>
                  <w:fldChar w:fldCharType="separate"/>
                </w:r>
                <w:r w:rsidR="00DF009B">
                  <w:rPr>
                    <w:noProof/>
                    <w:webHidden/>
                  </w:rPr>
                  <w:t>17</w:t>
                </w:r>
                <w:r w:rsidR="00DF009B">
                  <w:rPr>
                    <w:noProof/>
                    <w:webHidden/>
                  </w:rPr>
                  <w:fldChar w:fldCharType="end"/>
                </w:r>
              </w:hyperlink>
            </w:p>
            <w:p w14:paraId="0FA6E793" w14:textId="7C529BAA" w:rsidR="00DF009B" w:rsidRDefault="001357CA">
              <w:pPr>
                <w:pStyle w:val="TOC1"/>
                <w:tabs>
                  <w:tab w:val="right" w:leader="dot" w:pos="9016"/>
                </w:tabs>
                <w:rPr>
                  <w:rFonts w:eastAsiaTheme="minorEastAsia" w:cstheme="minorBidi"/>
                  <w:b w:val="0"/>
                  <w:bCs w:val="0"/>
                  <w:caps w:val="0"/>
                  <w:noProof/>
                  <w:sz w:val="24"/>
                  <w:szCs w:val="24"/>
                </w:rPr>
              </w:pPr>
              <w:hyperlink w:anchor="_Toc214840456" w:history="1">
                <w:r w:rsidR="00DF009B" w:rsidRPr="002C3D53">
                  <w:rPr>
                    <w:rStyle w:val="Hyperlink"/>
                    <w:rFonts w:eastAsiaTheme="majorEastAsia"/>
                    <w:noProof/>
                  </w:rPr>
                  <w:t>Chapter 3: Methods</w:t>
                </w:r>
                <w:r w:rsidR="00DF009B">
                  <w:rPr>
                    <w:noProof/>
                    <w:webHidden/>
                  </w:rPr>
                  <w:tab/>
                </w:r>
                <w:r w:rsidR="00DF009B">
                  <w:rPr>
                    <w:noProof/>
                    <w:webHidden/>
                  </w:rPr>
                  <w:fldChar w:fldCharType="begin"/>
                </w:r>
                <w:r w:rsidR="00DF009B">
                  <w:rPr>
                    <w:noProof/>
                    <w:webHidden/>
                  </w:rPr>
                  <w:instrText xml:space="preserve"> PAGEREF _Toc214840456 \h </w:instrText>
                </w:r>
                <w:r w:rsidR="00DF009B">
                  <w:rPr>
                    <w:noProof/>
                    <w:webHidden/>
                  </w:rPr>
                </w:r>
                <w:r w:rsidR="00DF009B">
                  <w:rPr>
                    <w:noProof/>
                    <w:webHidden/>
                  </w:rPr>
                  <w:fldChar w:fldCharType="separate"/>
                </w:r>
                <w:r w:rsidR="00DF009B">
                  <w:rPr>
                    <w:noProof/>
                    <w:webHidden/>
                  </w:rPr>
                  <w:t>18</w:t>
                </w:r>
                <w:r w:rsidR="00DF009B">
                  <w:rPr>
                    <w:noProof/>
                    <w:webHidden/>
                  </w:rPr>
                  <w:fldChar w:fldCharType="end"/>
                </w:r>
              </w:hyperlink>
            </w:p>
            <w:p w14:paraId="110EB22B" w14:textId="7C9B9EE3" w:rsidR="00DF009B" w:rsidRDefault="001357CA">
              <w:pPr>
                <w:pStyle w:val="TOC2"/>
                <w:tabs>
                  <w:tab w:val="right" w:leader="dot" w:pos="9016"/>
                </w:tabs>
                <w:rPr>
                  <w:rFonts w:eastAsiaTheme="minorEastAsia" w:cstheme="minorBidi"/>
                  <w:smallCaps w:val="0"/>
                  <w:noProof/>
                  <w:sz w:val="24"/>
                  <w:szCs w:val="24"/>
                </w:rPr>
              </w:pPr>
              <w:hyperlink w:anchor="_Toc214840457" w:history="1">
                <w:r w:rsidR="00DF009B" w:rsidRPr="002C3D53">
                  <w:rPr>
                    <w:rStyle w:val="Hyperlink"/>
                    <w:rFonts w:eastAsiaTheme="majorEastAsia"/>
                    <w:noProof/>
                  </w:rPr>
                  <w:t>3.1 Introduction</w:t>
                </w:r>
                <w:r w:rsidR="00DF009B">
                  <w:rPr>
                    <w:noProof/>
                    <w:webHidden/>
                  </w:rPr>
                  <w:tab/>
                </w:r>
                <w:r w:rsidR="00DF009B">
                  <w:rPr>
                    <w:noProof/>
                    <w:webHidden/>
                  </w:rPr>
                  <w:fldChar w:fldCharType="begin"/>
                </w:r>
                <w:r w:rsidR="00DF009B">
                  <w:rPr>
                    <w:noProof/>
                    <w:webHidden/>
                  </w:rPr>
                  <w:instrText xml:space="preserve"> PAGEREF _Toc214840457 \h </w:instrText>
                </w:r>
                <w:r w:rsidR="00DF009B">
                  <w:rPr>
                    <w:noProof/>
                    <w:webHidden/>
                  </w:rPr>
                </w:r>
                <w:r w:rsidR="00DF009B">
                  <w:rPr>
                    <w:noProof/>
                    <w:webHidden/>
                  </w:rPr>
                  <w:fldChar w:fldCharType="separate"/>
                </w:r>
                <w:r w:rsidR="00DF009B">
                  <w:rPr>
                    <w:noProof/>
                    <w:webHidden/>
                  </w:rPr>
                  <w:t>18</w:t>
                </w:r>
                <w:r w:rsidR="00DF009B">
                  <w:rPr>
                    <w:noProof/>
                    <w:webHidden/>
                  </w:rPr>
                  <w:fldChar w:fldCharType="end"/>
                </w:r>
              </w:hyperlink>
            </w:p>
            <w:p w14:paraId="7BD5E533" w14:textId="5C6FBFF2" w:rsidR="00DF009B" w:rsidRDefault="001357CA">
              <w:pPr>
                <w:pStyle w:val="TOC2"/>
                <w:tabs>
                  <w:tab w:val="right" w:leader="dot" w:pos="9016"/>
                </w:tabs>
                <w:rPr>
                  <w:rFonts w:eastAsiaTheme="minorEastAsia" w:cstheme="minorBidi"/>
                  <w:smallCaps w:val="0"/>
                  <w:noProof/>
                  <w:sz w:val="24"/>
                  <w:szCs w:val="24"/>
                </w:rPr>
              </w:pPr>
              <w:hyperlink w:anchor="_Toc214840458" w:history="1">
                <w:r w:rsidR="00DF009B" w:rsidRPr="002C3D53">
                  <w:rPr>
                    <w:rStyle w:val="Hyperlink"/>
                    <w:rFonts w:eastAsiaTheme="majorEastAsia"/>
                    <w:noProof/>
                  </w:rPr>
                  <w:t>3.2 Search Strategy</w:t>
                </w:r>
                <w:r w:rsidR="00DF009B">
                  <w:rPr>
                    <w:noProof/>
                    <w:webHidden/>
                  </w:rPr>
                  <w:tab/>
                </w:r>
                <w:r w:rsidR="00DF009B">
                  <w:rPr>
                    <w:noProof/>
                    <w:webHidden/>
                  </w:rPr>
                  <w:fldChar w:fldCharType="begin"/>
                </w:r>
                <w:r w:rsidR="00DF009B">
                  <w:rPr>
                    <w:noProof/>
                    <w:webHidden/>
                  </w:rPr>
                  <w:instrText xml:space="preserve"> PAGEREF _Toc214840458 \h </w:instrText>
                </w:r>
                <w:r w:rsidR="00DF009B">
                  <w:rPr>
                    <w:noProof/>
                    <w:webHidden/>
                  </w:rPr>
                </w:r>
                <w:r w:rsidR="00DF009B">
                  <w:rPr>
                    <w:noProof/>
                    <w:webHidden/>
                  </w:rPr>
                  <w:fldChar w:fldCharType="separate"/>
                </w:r>
                <w:r w:rsidR="00DF009B">
                  <w:rPr>
                    <w:noProof/>
                    <w:webHidden/>
                  </w:rPr>
                  <w:t>18</w:t>
                </w:r>
                <w:r w:rsidR="00DF009B">
                  <w:rPr>
                    <w:noProof/>
                    <w:webHidden/>
                  </w:rPr>
                  <w:fldChar w:fldCharType="end"/>
                </w:r>
              </w:hyperlink>
            </w:p>
            <w:p w14:paraId="57C6BD9A" w14:textId="273C5492" w:rsidR="00DF009B" w:rsidRDefault="001357CA">
              <w:pPr>
                <w:pStyle w:val="TOC2"/>
                <w:tabs>
                  <w:tab w:val="right" w:leader="dot" w:pos="9016"/>
                </w:tabs>
                <w:rPr>
                  <w:rFonts w:eastAsiaTheme="minorEastAsia" w:cstheme="minorBidi"/>
                  <w:smallCaps w:val="0"/>
                  <w:noProof/>
                  <w:sz w:val="24"/>
                  <w:szCs w:val="24"/>
                </w:rPr>
              </w:pPr>
              <w:hyperlink w:anchor="_Toc214840459" w:history="1">
                <w:r w:rsidR="00DF009B" w:rsidRPr="002C3D53">
                  <w:rPr>
                    <w:rStyle w:val="Hyperlink"/>
                    <w:rFonts w:eastAsiaTheme="majorEastAsia"/>
                    <w:noProof/>
                  </w:rPr>
                  <w:t>3.3 Searching for Information</w:t>
                </w:r>
                <w:r w:rsidR="00DF009B">
                  <w:rPr>
                    <w:noProof/>
                    <w:webHidden/>
                  </w:rPr>
                  <w:tab/>
                </w:r>
                <w:r w:rsidR="00DF009B">
                  <w:rPr>
                    <w:noProof/>
                    <w:webHidden/>
                  </w:rPr>
                  <w:fldChar w:fldCharType="begin"/>
                </w:r>
                <w:r w:rsidR="00DF009B">
                  <w:rPr>
                    <w:noProof/>
                    <w:webHidden/>
                  </w:rPr>
                  <w:instrText xml:space="preserve"> PAGEREF _Toc214840459 \h </w:instrText>
                </w:r>
                <w:r w:rsidR="00DF009B">
                  <w:rPr>
                    <w:noProof/>
                    <w:webHidden/>
                  </w:rPr>
                </w:r>
                <w:r w:rsidR="00DF009B">
                  <w:rPr>
                    <w:noProof/>
                    <w:webHidden/>
                  </w:rPr>
                  <w:fldChar w:fldCharType="separate"/>
                </w:r>
                <w:r w:rsidR="00DF009B">
                  <w:rPr>
                    <w:noProof/>
                    <w:webHidden/>
                  </w:rPr>
                  <w:t>19</w:t>
                </w:r>
                <w:r w:rsidR="00DF009B">
                  <w:rPr>
                    <w:noProof/>
                    <w:webHidden/>
                  </w:rPr>
                  <w:fldChar w:fldCharType="end"/>
                </w:r>
              </w:hyperlink>
            </w:p>
            <w:p w14:paraId="7E64A252" w14:textId="717AE617" w:rsidR="00DF009B" w:rsidRDefault="001357CA">
              <w:pPr>
                <w:pStyle w:val="TOC2"/>
                <w:tabs>
                  <w:tab w:val="right" w:leader="dot" w:pos="9016"/>
                </w:tabs>
                <w:rPr>
                  <w:rFonts w:eastAsiaTheme="minorEastAsia" w:cstheme="minorBidi"/>
                  <w:smallCaps w:val="0"/>
                  <w:noProof/>
                  <w:sz w:val="24"/>
                  <w:szCs w:val="24"/>
                </w:rPr>
              </w:pPr>
              <w:hyperlink w:anchor="_Toc214840460" w:history="1">
                <w:r w:rsidR="00DF009B" w:rsidRPr="002C3D53">
                  <w:rPr>
                    <w:rStyle w:val="Hyperlink"/>
                    <w:rFonts w:eastAsiaTheme="majorEastAsia"/>
                    <w:noProof/>
                  </w:rPr>
                  <w:t>3.4 Research Validation</w:t>
                </w:r>
                <w:r w:rsidR="00DF009B">
                  <w:rPr>
                    <w:noProof/>
                    <w:webHidden/>
                  </w:rPr>
                  <w:tab/>
                </w:r>
                <w:r w:rsidR="00DF009B">
                  <w:rPr>
                    <w:noProof/>
                    <w:webHidden/>
                  </w:rPr>
                  <w:fldChar w:fldCharType="begin"/>
                </w:r>
                <w:r w:rsidR="00DF009B">
                  <w:rPr>
                    <w:noProof/>
                    <w:webHidden/>
                  </w:rPr>
                  <w:instrText xml:space="preserve"> PAGEREF _Toc214840460 \h </w:instrText>
                </w:r>
                <w:r w:rsidR="00DF009B">
                  <w:rPr>
                    <w:noProof/>
                    <w:webHidden/>
                  </w:rPr>
                </w:r>
                <w:r w:rsidR="00DF009B">
                  <w:rPr>
                    <w:noProof/>
                    <w:webHidden/>
                  </w:rPr>
                  <w:fldChar w:fldCharType="separate"/>
                </w:r>
                <w:r w:rsidR="00DF009B">
                  <w:rPr>
                    <w:noProof/>
                    <w:webHidden/>
                  </w:rPr>
                  <w:t>20</w:t>
                </w:r>
                <w:r w:rsidR="00DF009B">
                  <w:rPr>
                    <w:noProof/>
                    <w:webHidden/>
                  </w:rPr>
                  <w:fldChar w:fldCharType="end"/>
                </w:r>
              </w:hyperlink>
            </w:p>
            <w:p w14:paraId="75B41AC6" w14:textId="610202AB" w:rsidR="00DF009B" w:rsidRDefault="001357CA">
              <w:pPr>
                <w:pStyle w:val="TOC2"/>
                <w:tabs>
                  <w:tab w:val="right" w:leader="dot" w:pos="9016"/>
                </w:tabs>
                <w:rPr>
                  <w:rFonts w:eastAsiaTheme="minorEastAsia" w:cstheme="minorBidi"/>
                  <w:smallCaps w:val="0"/>
                  <w:noProof/>
                  <w:sz w:val="24"/>
                  <w:szCs w:val="24"/>
                </w:rPr>
              </w:pPr>
              <w:hyperlink w:anchor="_Toc214840461" w:history="1">
                <w:r w:rsidR="00DF009B" w:rsidRPr="002C3D53">
                  <w:rPr>
                    <w:rStyle w:val="Hyperlink"/>
                    <w:rFonts w:eastAsiaTheme="majorEastAsia"/>
                    <w:noProof/>
                  </w:rPr>
                  <w:t>3.5 Inclusion and Exclusion Criteria</w:t>
                </w:r>
                <w:r w:rsidR="00DF009B">
                  <w:rPr>
                    <w:noProof/>
                    <w:webHidden/>
                  </w:rPr>
                  <w:tab/>
                </w:r>
                <w:r w:rsidR="00DF009B">
                  <w:rPr>
                    <w:noProof/>
                    <w:webHidden/>
                  </w:rPr>
                  <w:fldChar w:fldCharType="begin"/>
                </w:r>
                <w:r w:rsidR="00DF009B">
                  <w:rPr>
                    <w:noProof/>
                    <w:webHidden/>
                  </w:rPr>
                  <w:instrText xml:space="preserve"> PAGEREF _Toc214840461 \h </w:instrText>
                </w:r>
                <w:r w:rsidR="00DF009B">
                  <w:rPr>
                    <w:noProof/>
                    <w:webHidden/>
                  </w:rPr>
                </w:r>
                <w:r w:rsidR="00DF009B">
                  <w:rPr>
                    <w:noProof/>
                    <w:webHidden/>
                  </w:rPr>
                  <w:fldChar w:fldCharType="separate"/>
                </w:r>
                <w:r w:rsidR="00DF009B">
                  <w:rPr>
                    <w:noProof/>
                    <w:webHidden/>
                  </w:rPr>
                  <w:t>21</w:t>
                </w:r>
                <w:r w:rsidR="00DF009B">
                  <w:rPr>
                    <w:noProof/>
                    <w:webHidden/>
                  </w:rPr>
                  <w:fldChar w:fldCharType="end"/>
                </w:r>
              </w:hyperlink>
            </w:p>
            <w:p w14:paraId="197408DB" w14:textId="5F0B26F1" w:rsidR="00DF009B" w:rsidRDefault="001357CA">
              <w:pPr>
                <w:pStyle w:val="TOC2"/>
                <w:tabs>
                  <w:tab w:val="right" w:leader="dot" w:pos="9016"/>
                </w:tabs>
                <w:rPr>
                  <w:rFonts w:eastAsiaTheme="minorEastAsia" w:cstheme="minorBidi"/>
                  <w:smallCaps w:val="0"/>
                  <w:noProof/>
                  <w:sz w:val="24"/>
                  <w:szCs w:val="24"/>
                </w:rPr>
              </w:pPr>
              <w:hyperlink w:anchor="_Toc214840462" w:history="1">
                <w:r w:rsidR="00DF009B" w:rsidRPr="002C3D53">
                  <w:rPr>
                    <w:rStyle w:val="Hyperlink"/>
                    <w:rFonts w:eastAsiaTheme="majorEastAsia"/>
                    <w:noProof/>
                  </w:rPr>
                  <w:t>3.6 Analysing Research</w:t>
                </w:r>
                <w:r w:rsidR="00DF009B">
                  <w:rPr>
                    <w:noProof/>
                    <w:webHidden/>
                  </w:rPr>
                  <w:tab/>
                </w:r>
                <w:r w:rsidR="00DF009B">
                  <w:rPr>
                    <w:noProof/>
                    <w:webHidden/>
                  </w:rPr>
                  <w:fldChar w:fldCharType="begin"/>
                </w:r>
                <w:r w:rsidR="00DF009B">
                  <w:rPr>
                    <w:noProof/>
                    <w:webHidden/>
                  </w:rPr>
                  <w:instrText xml:space="preserve"> PAGEREF _Toc214840462 \h </w:instrText>
                </w:r>
                <w:r w:rsidR="00DF009B">
                  <w:rPr>
                    <w:noProof/>
                    <w:webHidden/>
                  </w:rPr>
                </w:r>
                <w:r w:rsidR="00DF009B">
                  <w:rPr>
                    <w:noProof/>
                    <w:webHidden/>
                  </w:rPr>
                  <w:fldChar w:fldCharType="separate"/>
                </w:r>
                <w:r w:rsidR="00DF009B">
                  <w:rPr>
                    <w:noProof/>
                    <w:webHidden/>
                  </w:rPr>
                  <w:t>22</w:t>
                </w:r>
                <w:r w:rsidR="00DF009B">
                  <w:rPr>
                    <w:noProof/>
                    <w:webHidden/>
                  </w:rPr>
                  <w:fldChar w:fldCharType="end"/>
                </w:r>
              </w:hyperlink>
            </w:p>
            <w:p w14:paraId="138474D4" w14:textId="335B3C48" w:rsidR="00DF009B" w:rsidRDefault="001357CA">
              <w:pPr>
                <w:pStyle w:val="TOC1"/>
                <w:tabs>
                  <w:tab w:val="right" w:leader="dot" w:pos="9016"/>
                </w:tabs>
                <w:rPr>
                  <w:rFonts w:eastAsiaTheme="minorEastAsia" w:cstheme="minorBidi"/>
                  <w:b w:val="0"/>
                  <w:bCs w:val="0"/>
                  <w:caps w:val="0"/>
                  <w:noProof/>
                  <w:sz w:val="24"/>
                  <w:szCs w:val="24"/>
                </w:rPr>
              </w:pPr>
              <w:hyperlink w:anchor="_Toc214840463" w:history="1">
                <w:r w:rsidR="00DF009B" w:rsidRPr="002C3D53">
                  <w:rPr>
                    <w:rStyle w:val="Hyperlink"/>
                    <w:rFonts w:eastAsiaTheme="majorEastAsia"/>
                    <w:noProof/>
                  </w:rPr>
                  <w:t>3.7 Ethical Considerations</w:t>
                </w:r>
                <w:r w:rsidR="00DF009B">
                  <w:rPr>
                    <w:noProof/>
                    <w:webHidden/>
                  </w:rPr>
                  <w:tab/>
                </w:r>
                <w:r w:rsidR="00DF009B">
                  <w:rPr>
                    <w:noProof/>
                    <w:webHidden/>
                  </w:rPr>
                  <w:fldChar w:fldCharType="begin"/>
                </w:r>
                <w:r w:rsidR="00DF009B">
                  <w:rPr>
                    <w:noProof/>
                    <w:webHidden/>
                  </w:rPr>
                  <w:instrText xml:space="preserve"> PAGEREF _Toc214840463 \h </w:instrText>
                </w:r>
                <w:r w:rsidR="00DF009B">
                  <w:rPr>
                    <w:noProof/>
                    <w:webHidden/>
                  </w:rPr>
                </w:r>
                <w:r w:rsidR="00DF009B">
                  <w:rPr>
                    <w:noProof/>
                    <w:webHidden/>
                  </w:rPr>
                  <w:fldChar w:fldCharType="separate"/>
                </w:r>
                <w:r w:rsidR="00DF009B">
                  <w:rPr>
                    <w:noProof/>
                    <w:webHidden/>
                  </w:rPr>
                  <w:t>23</w:t>
                </w:r>
                <w:r w:rsidR="00DF009B">
                  <w:rPr>
                    <w:noProof/>
                    <w:webHidden/>
                  </w:rPr>
                  <w:fldChar w:fldCharType="end"/>
                </w:r>
              </w:hyperlink>
            </w:p>
            <w:p w14:paraId="5B82B67D" w14:textId="20753194" w:rsidR="00DF009B" w:rsidRDefault="001357CA">
              <w:pPr>
                <w:pStyle w:val="TOC1"/>
                <w:tabs>
                  <w:tab w:val="right" w:leader="dot" w:pos="9016"/>
                </w:tabs>
                <w:rPr>
                  <w:rFonts w:eastAsiaTheme="minorEastAsia" w:cstheme="minorBidi"/>
                  <w:b w:val="0"/>
                  <w:bCs w:val="0"/>
                  <w:caps w:val="0"/>
                  <w:noProof/>
                  <w:sz w:val="24"/>
                  <w:szCs w:val="24"/>
                </w:rPr>
              </w:pPr>
              <w:hyperlink w:anchor="_Toc214840464" w:history="1">
                <w:r w:rsidR="00DF009B" w:rsidRPr="002C3D53">
                  <w:rPr>
                    <w:rStyle w:val="Hyperlink"/>
                    <w:rFonts w:eastAsiaTheme="majorEastAsia"/>
                    <w:noProof/>
                  </w:rPr>
                  <w:t>3.8 Conclusion</w:t>
                </w:r>
                <w:r w:rsidR="00DF009B">
                  <w:rPr>
                    <w:noProof/>
                    <w:webHidden/>
                  </w:rPr>
                  <w:tab/>
                </w:r>
                <w:r w:rsidR="00DF009B">
                  <w:rPr>
                    <w:noProof/>
                    <w:webHidden/>
                  </w:rPr>
                  <w:fldChar w:fldCharType="begin"/>
                </w:r>
                <w:r w:rsidR="00DF009B">
                  <w:rPr>
                    <w:noProof/>
                    <w:webHidden/>
                  </w:rPr>
                  <w:instrText xml:space="preserve"> PAGEREF _Toc214840464 \h </w:instrText>
                </w:r>
                <w:r w:rsidR="00DF009B">
                  <w:rPr>
                    <w:noProof/>
                    <w:webHidden/>
                  </w:rPr>
                </w:r>
                <w:r w:rsidR="00DF009B">
                  <w:rPr>
                    <w:noProof/>
                    <w:webHidden/>
                  </w:rPr>
                  <w:fldChar w:fldCharType="separate"/>
                </w:r>
                <w:r w:rsidR="00DF009B">
                  <w:rPr>
                    <w:noProof/>
                    <w:webHidden/>
                  </w:rPr>
                  <w:t>23</w:t>
                </w:r>
                <w:r w:rsidR="00DF009B">
                  <w:rPr>
                    <w:noProof/>
                    <w:webHidden/>
                  </w:rPr>
                  <w:fldChar w:fldCharType="end"/>
                </w:r>
              </w:hyperlink>
            </w:p>
            <w:p w14:paraId="409FD292" w14:textId="5EEA300D" w:rsidR="00DF009B" w:rsidRDefault="001357CA">
              <w:pPr>
                <w:pStyle w:val="TOC1"/>
                <w:tabs>
                  <w:tab w:val="right" w:leader="dot" w:pos="9016"/>
                </w:tabs>
                <w:rPr>
                  <w:rFonts w:eastAsiaTheme="minorEastAsia" w:cstheme="minorBidi"/>
                  <w:b w:val="0"/>
                  <w:bCs w:val="0"/>
                  <w:caps w:val="0"/>
                  <w:noProof/>
                  <w:sz w:val="24"/>
                  <w:szCs w:val="24"/>
                </w:rPr>
              </w:pPr>
              <w:hyperlink w:anchor="_Toc214840465" w:history="1">
                <w:r w:rsidR="00DF009B" w:rsidRPr="002C3D53">
                  <w:rPr>
                    <w:rStyle w:val="Hyperlink"/>
                    <w:rFonts w:eastAsiaTheme="majorEastAsia"/>
                    <w:noProof/>
                  </w:rPr>
                  <w:t>Chapter 4: Findings and Discussion</w:t>
                </w:r>
                <w:r w:rsidR="00DF009B">
                  <w:rPr>
                    <w:noProof/>
                    <w:webHidden/>
                  </w:rPr>
                  <w:tab/>
                </w:r>
                <w:r w:rsidR="00DF009B">
                  <w:rPr>
                    <w:noProof/>
                    <w:webHidden/>
                  </w:rPr>
                  <w:fldChar w:fldCharType="begin"/>
                </w:r>
                <w:r w:rsidR="00DF009B">
                  <w:rPr>
                    <w:noProof/>
                    <w:webHidden/>
                  </w:rPr>
                  <w:instrText xml:space="preserve"> PAGEREF _Toc214840465 \h </w:instrText>
                </w:r>
                <w:r w:rsidR="00DF009B">
                  <w:rPr>
                    <w:noProof/>
                    <w:webHidden/>
                  </w:rPr>
                </w:r>
                <w:r w:rsidR="00DF009B">
                  <w:rPr>
                    <w:noProof/>
                    <w:webHidden/>
                  </w:rPr>
                  <w:fldChar w:fldCharType="separate"/>
                </w:r>
                <w:r w:rsidR="00DF009B">
                  <w:rPr>
                    <w:noProof/>
                    <w:webHidden/>
                  </w:rPr>
                  <w:t>24</w:t>
                </w:r>
                <w:r w:rsidR="00DF009B">
                  <w:rPr>
                    <w:noProof/>
                    <w:webHidden/>
                  </w:rPr>
                  <w:fldChar w:fldCharType="end"/>
                </w:r>
              </w:hyperlink>
            </w:p>
            <w:p w14:paraId="4E5DF9DD" w14:textId="01F9A946" w:rsidR="00DF009B" w:rsidRDefault="001357CA">
              <w:pPr>
                <w:pStyle w:val="TOC2"/>
                <w:tabs>
                  <w:tab w:val="right" w:leader="dot" w:pos="9016"/>
                </w:tabs>
                <w:rPr>
                  <w:rFonts w:eastAsiaTheme="minorEastAsia" w:cstheme="minorBidi"/>
                  <w:smallCaps w:val="0"/>
                  <w:noProof/>
                  <w:sz w:val="24"/>
                  <w:szCs w:val="24"/>
                </w:rPr>
              </w:pPr>
              <w:hyperlink w:anchor="_Toc214840466" w:history="1">
                <w:r w:rsidR="00DF009B" w:rsidRPr="002C3D53">
                  <w:rPr>
                    <w:rStyle w:val="Hyperlink"/>
                    <w:rFonts w:eastAsiaTheme="majorEastAsia"/>
                    <w:noProof/>
                  </w:rPr>
                  <w:t>4.1 Introduction</w:t>
                </w:r>
                <w:r w:rsidR="00DF009B">
                  <w:rPr>
                    <w:noProof/>
                    <w:webHidden/>
                  </w:rPr>
                  <w:tab/>
                </w:r>
                <w:r w:rsidR="00DF009B">
                  <w:rPr>
                    <w:noProof/>
                    <w:webHidden/>
                  </w:rPr>
                  <w:fldChar w:fldCharType="begin"/>
                </w:r>
                <w:r w:rsidR="00DF009B">
                  <w:rPr>
                    <w:noProof/>
                    <w:webHidden/>
                  </w:rPr>
                  <w:instrText xml:space="preserve"> PAGEREF _Toc214840466 \h </w:instrText>
                </w:r>
                <w:r w:rsidR="00DF009B">
                  <w:rPr>
                    <w:noProof/>
                    <w:webHidden/>
                  </w:rPr>
                </w:r>
                <w:r w:rsidR="00DF009B">
                  <w:rPr>
                    <w:noProof/>
                    <w:webHidden/>
                  </w:rPr>
                  <w:fldChar w:fldCharType="separate"/>
                </w:r>
                <w:r w:rsidR="00DF009B">
                  <w:rPr>
                    <w:noProof/>
                    <w:webHidden/>
                  </w:rPr>
                  <w:t>24</w:t>
                </w:r>
                <w:r w:rsidR="00DF009B">
                  <w:rPr>
                    <w:noProof/>
                    <w:webHidden/>
                  </w:rPr>
                  <w:fldChar w:fldCharType="end"/>
                </w:r>
              </w:hyperlink>
            </w:p>
            <w:p w14:paraId="0647706D" w14:textId="0B0A054B" w:rsidR="00DF009B" w:rsidRDefault="001357CA">
              <w:pPr>
                <w:pStyle w:val="TOC1"/>
                <w:tabs>
                  <w:tab w:val="right" w:leader="dot" w:pos="9016"/>
                </w:tabs>
                <w:rPr>
                  <w:rFonts w:eastAsiaTheme="minorEastAsia" w:cstheme="minorBidi"/>
                  <w:b w:val="0"/>
                  <w:bCs w:val="0"/>
                  <w:caps w:val="0"/>
                  <w:noProof/>
                  <w:sz w:val="24"/>
                  <w:szCs w:val="24"/>
                </w:rPr>
              </w:pPr>
              <w:hyperlink w:anchor="_Toc214840467" w:history="1">
                <w:r w:rsidR="00DF009B" w:rsidRPr="002C3D53">
                  <w:rPr>
                    <w:rStyle w:val="Hyperlink"/>
                    <w:rFonts w:eastAsiaTheme="majorEastAsia"/>
                    <w:noProof/>
                  </w:rPr>
                  <w:t>4.2 Theme 1: Low-Income Status and Substance Misuse in England</w:t>
                </w:r>
                <w:r w:rsidR="00DF009B">
                  <w:rPr>
                    <w:noProof/>
                    <w:webHidden/>
                  </w:rPr>
                  <w:tab/>
                </w:r>
                <w:r w:rsidR="00DF009B">
                  <w:rPr>
                    <w:noProof/>
                    <w:webHidden/>
                  </w:rPr>
                  <w:fldChar w:fldCharType="begin"/>
                </w:r>
                <w:r w:rsidR="00DF009B">
                  <w:rPr>
                    <w:noProof/>
                    <w:webHidden/>
                  </w:rPr>
                  <w:instrText xml:space="preserve"> PAGEREF _Toc214840467 \h </w:instrText>
                </w:r>
                <w:r w:rsidR="00DF009B">
                  <w:rPr>
                    <w:noProof/>
                    <w:webHidden/>
                  </w:rPr>
                </w:r>
                <w:r w:rsidR="00DF009B">
                  <w:rPr>
                    <w:noProof/>
                    <w:webHidden/>
                  </w:rPr>
                  <w:fldChar w:fldCharType="separate"/>
                </w:r>
                <w:r w:rsidR="00DF009B">
                  <w:rPr>
                    <w:noProof/>
                    <w:webHidden/>
                  </w:rPr>
                  <w:t>25</w:t>
                </w:r>
                <w:r w:rsidR="00DF009B">
                  <w:rPr>
                    <w:noProof/>
                    <w:webHidden/>
                  </w:rPr>
                  <w:fldChar w:fldCharType="end"/>
                </w:r>
              </w:hyperlink>
            </w:p>
            <w:p w14:paraId="7DB0B09A" w14:textId="70F95465" w:rsidR="00DF009B" w:rsidRDefault="001357CA">
              <w:pPr>
                <w:pStyle w:val="TOC2"/>
                <w:tabs>
                  <w:tab w:val="right" w:leader="dot" w:pos="9016"/>
                </w:tabs>
                <w:rPr>
                  <w:rFonts w:eastAsiaTheme="minorEastAsia" w:cstheme="minorBidi"/>
                  <w:smallCaps w:val="0"/>
                  <w:noProof/>
                  <w:sz w:val="24"/>
                  <w:szCs w:val="24"/>
                </w:rPr>
              </w:pPr>
              <w:hyperlink w:anchor="_Toc214840468" w:history="1">
                <w:r w:rsidR="00DF009B" w:rsidRPr="002C3D53">
                  <w:rPr>
                    <w:rStyle w:val="Hyperlink"/>
                    <w:rFonts w:eastAsiaTheme="majorEastAsia"/>
                    <w:noProof/>
                  </w:rPr>
                  <w:t>1.Definition and Scope</w:t>
                </w:r>
                <w:r w:rsidR="00DF009B">
                  <w:rPr>
                    <w:noProof/>
                    <w:webHidden/>
                  </w:rPr>
                  <w:tab/>
                </w:r>
                <w:r w:rsidR="00DF009B">
                  <w:rPr>
                    <w:noProof/>
                    <w:webHidden/>
                  </w:rPr>
                  <w:fldChar w:fldCharType="begin"/>
                </w:r>
                <w:r w:rsidR="00DF009B">
                  <w:rPr>
                    <w:noProof/>
                    <w:webHidden/>
                  </w:rPr>
                  <w:instrText xml:space="preserve"> PAGEREF _Toc214840468 \h </w:instrText>
                </w:r>
                <w:r w:rsidR="00DF009B">
                  <w:rPr>
                    <w:noProof/>
                    <w:webHidden/>
                  </w:rPr>
                </w:r>
                <w:r w:rsidR="00DF009B">
                  <w:rPr>
                    <w:noProof/>
                    <w:webHidden/>
                  </w:rPr>
                  <w:fldChar w:fldCharType="separate"/>
                </w:r>
                <w:r w:rsidR="00DF009B">
                  <w:rPr>
                    <w:noProof/>
                    <w:webHidden/>
                  </w:rPr>
                  <w:t>25</w:t>
                </w:r>
                <w:r w:rsidR="00DF009B">
                  <w:rPr>
                    <w:noProof/>
                    <w:webHidden/>
                  </w:rPr>
                  <w:fldChar w:fldCharType="end"/>
                </w:r>
              </w:hyperlink>
            </w:p>
            <w:p w14:paraId="7E740E2F" w14:textId="4F7BDA79" w:rsidR="00DF009B" w:rsidRDefault="001357CA">
              <w:pPr>
                <w:pStyle w:val="TOC2"/>
                <w:tabs>
                  <w:tab w:val="right" w:leader="dot" w:pos="9016"/>
                </w:tabs>
                <w:rPr>
                  <w:rFonts w:eastAsiaTheme="minorEastAsia" w:cstheme="minorBidi"/>
                  <w:smallCaps w:val="0"/>
                  <w:noProof/>
                  <w:sz w:val="24"/>
                  <w:szCs w:val="24"/>
                </w:rPr>
              </w:pPr>
              <w:hyperlink w:anchor="_Toc214840469" w:history="1">
                <w:r w:rsidR="00DF009B" w:rsidRPr="002C3D53">
                  <w:rPr>
                    <w:rStyle w:val="Hyperlink"/>
                    <w:rFonts w:eastAsiaTheme="majorEastAsia"/>
                    <w:noProof/>
                  </w:rPr>
                  <w:t>2.Background</w:t>
                </w:r>
                <w:r w:rsidR="00DF009B">
                  <w:rPr>
                    <w:noProof/>
                    <w:webHidden/>
                  </w:rPr>
                  <w:tab/>
                </w:r>
                <w:r w:rsidR="00DF009B">
                  <w:rPr>
                    <w:noProof/>
                    <w:webHidden/>
                  </w:rPr>
                  <w:fldChar w:fldCharType="begin"/>
                </w:r>
                <w:r w:rsidR="00DF009B">
                  <w:rPr>
                    <w:noProof/>
                    <w:webHidden/>
                  </w:rPr>
                  <w:instrText xml:space="preserve"> PAGEREF _Toc214840469 \h </w:instrText>
                </w:r>
                <w:r w:rsidR="00DF009B">
                  <w:rPr>
                    <w:noProof/>
                    <w:webHidden/>
                  </w:rPr>
                </w:r>
                <w:r w:rsidR="00DF009B">
                  <w:rPr>
                    <w:noProof/>
                    <w:webHidden/>
                  </w:rPr>
                  <w:fldChar w:fldCharType="separate"/>
                </w:r>
                <w:r w:rsidR="00DF009B">
                  <w:rPr>
                    <w:noProof/>
                    <w:webHidden/>
                  </w:rPr>
                  <w:t>25</w:t>
                </w:r>
                <w:r w:rsidR="00DF009B">
                  <w:rPr>
                    <w:noProof/>
                    <w:webHidden/>
                  </w:rPr>
                  <w:fldChar w:fldCharType="end"/>
                </w:r>
              </w:hyperlink>
            </w:p>
            <w:p w14:paraId="45512639" w14:textId="3879CEB8" w:rsidR="00DF009B" w:rsidRDefault="001357CA">
              <w:pPr>
                <w:pStyle w:val="TOC2"/>
                <w:tabs>
                  <w:tab w:val="right" w:leader="dot" w:pos="9016"/>
                </w:tabs>
                <w:rPr>
                  <w:rFonts w:eastAsiaTheme="minorEastAsia" w:cstheme="minorBidi"/>
                  <w:smallCaps w:val="0"/>
                  <w:noProof/>
                  <w:sz w:val="24"/>
                  <w:szCs w:val="24"/>
                </w:rPr>
              </w:pPr>
              <w:hyperlink w:anchor="_Toc214840470" w:history="1">
                <w:r w:rsidR="00DF009B" w:rsidRPr="002C3D53">
                  <w:rPr>
                    <w:rStyle w:val="Hyperlink"/>
                    <w:rFonts w:eastAsiaTheme="majorEastAsia"/>
                    <w:noProof/>
                  </w:rPr>
                  <w:t>3.Relevance to Research Question</w:t>
                </w:r>
                <w:r w:rsidR="00DF009B">
                  <w:rPr>
                    <w:noProof/>
                    <w:webHidden/>
                  </w:rPr>
                  <w:tab/>
                </w:r>
                <w:r w:rsidR="00DF009B">
                  <w:rPr>
                    <w:noProof/>
                    <w:webHidden/>
                  </w:rPr>
                  <w:fldChar w:fldCharType="begin"/>
                </w:r>
                <w:r w:rsidR="00DF009B">
                  <w:rPr>
                    <w:noProof/>
                    <w:webHidden/>
                  </w:rPr>
                  <w:instrText xml:space="preserve"> PAGEREF _Toc214840470 \h </w:instrText>
                </w:r>
                <w:r w:rsidR="00DF009B">
                  <w:rPr>
                    <w:noProof/>
                    <w:webHidden/>
                  </w:rPr>
                </w:r>
                <w:r w:rsidR="00DF009B">
                  <w:rPr>
                    <w:noProof/>
                    <w:webHidden/>
                  </w:rPr>
                  <w:fldChar w:fldCharType="separate"/>
                </w:r>
                <w:r w:rsidR="00DF009B">
                  <w:rPr>
                    <w:noProof/>
                    <w:webHidden/>
                  </w:rPr>
                  <w:t>26</w:t>
                </w:r>
                <w:r w:rsidR="00DF009B">
                  <w:rPr>
                    <w:noProof/>
                    <w:webHidden/>
                  </w:rPr>
                  <w:fldChar w:fldCharType="end"/>
                </w:r>
              </w:hyperlink>
            </w:p>
            <w:p w14:paraId="55342A01" w14:textId="55CD1B1F" w:rsidR="00DF009B" w:rsidRDefault="001357CA">
              <w:pPr>
                <w:pStyle w:val="TOC2"/>
                <w:tabs>
                  <w:tab w:val="right" w:leader="dot" w:pos="9016"/>
                </w:tabs>
                <w:rPr>
                  <w:rFonts w:eastAsiaTheme="minorEastAsia" w:cstheme="minorBidi"/>
                  <w:smallCaps w:val="0"/>
                  <w:noProof/>
                  <w:sz w:val="24"/>
                  <w:szCs w:val="24"/>
                </w:rPr>
              </w:pPr>
              <w:hyperlink w:anchor="_Toc214840471" w:history="1">
                <w:r w:rsidR="00DF009B" w:rsidRPr="002C3D53">
                  <w:rPr>
                    <w:rStyle w:val="Hyperlink"/>
                    <w:rFonts w:eastAsiaTheme="majorEastAsia"/>
                    <w:noProof/>
                  </w:rPr>
                  <w:t>4.Data and Statistics</w:t>
                </w:r>
                <w:r w:rsidR="00DF009B">
                  <w:rPr>
                    <w:noProof/>
                    <w:webHidden/>
                  </w:rPr>
                  <w:tab/>
                </w:r>
                <w:r w:rsidR="00DF009B">
                  <w:rPr>
                    <w:noProof/>
                    <w:webHidden/>
                  </w:rPr>
                  <w:fldChar w:fldCharType="begin"/>
                </w:r>
                <w:r w:rsidR="00DF009B">
                  <w:rPr>
                    <w:noProof/>
                    <w:webHidden/>
                  </w:rPr>
                  <w:instrText xml:space="preserve"> PAGEREF _Toc214840471 \h </w:instrText>
                </w:r>
                <w:r w:rsidR="00DF009B">
                  <w:rPr>
                    <w:noProof/>
                    <w:webHidden/>
                  </w:rPr>
                </w:r>
                <w:r w:rsidR="00DF009B">
                  <w:rPr>
                    <w:noProof/>
                    <w:webHidden/>
                  </w:rPr>
                  <w:fldChar w:fldCharType="separate"/>
                </w:r>
                <w:r w:rsidR="00DF009B">
                  <w:rPr>
                    <w:noProof/>
                    <w:webHidden/>
                  </w:rPr>
                  <w:t>26</w:t>
                </w:r>
                <w:r w:rsidR="00DF009B">
                  <w:rPr>
                    <w:noProof/>
                    <w:webHidden/>
                  </w:rPr>
                  <w:fldChar w:fldCharType="end"/>
                </w:r>
              </w:hyperlink>
            </w:p>
            <w:p w14:paraId="4D3C4546" w14:textId="4650F620" w:rsidR="00DF009B" w:rsidRDefault="001357CA">
              <w:pPr>
                <w:pStyle w:val="TOC2"/>
                <w:tabs>
                  <w:tab w:val="right" w:leader="dot" w:pos="9016"/>
                </w:tabs>
                <w:rPr>
                  <w:rFonts w:eastAsiaTheme="minorEastAsia" w:cstheme="minorBidi"/>
                  <w:smallCaps w:val="0"/>
                  <w:noProof/>
                  <w:sz w:val="24"/>
                  <w:szCs w:val="24"/>
                </w:rPr>
              </w:pPr>
              <w:hyperlink w:anchor="_Toc214840472" w:history="1">
                <w:r w:rsidR="00DF009B" w:rsidRPr="002C3D53">
                  <w:rPr>
                    <w:rStyle w:val="Hyperlink"/>
                    <w:rFonts w:eastAsiaTheme="majorEastAsia"/>
                    <w:noProof/>
                  </w:rPr>
                  <w:t>5.Theories, Policy, and Legislation</w:t>
                </w:r>
                <w:r w:rsidR="00DF009B">
                  <w:rPr>
                    <w:noProof/>
                    <w:webHidden/>
                  </w:rPr>
                  <w:tab/>
                </w:r>
                <w:r w:rsidR="00DF009B">
                  <w:rPr>
                    <w:noProof/>
                    <w:webHidden/>
                  </w:rPr>
                  <w:fldChar w:fldCharType="begin"/>
                </w:r>
                <w:r w:rsidR="00DF009B">
                  <w:rPr>
                    <w:noProof/>
                    <w:webHidden/>
                  </w:rPr>
                  <w:instrText xml:space="preserve"> PAGEREF _Toc214840472 \h </w:instrText>
                </w:r>
                <w:r w:rsidR="00DF009B">
                  <w:rPr>
                    <w:noProof/>
                    <w:webHidden/>
                  </w:rPr>
                </w:r>
                <w:r w:rsidR="00DF009B">
                  <w:rPr>
                    <w:noProof/>
                    <w:webHidden/>
                  </w:rPr>
                  <w:fldChar w:fldCharType="separate"/>
                </w:r>
                <w:r w:rsidR="00DF009B">
                  <w:rPr>
                    <w:noProof/>
                    <w:webHidden/>
                  </w:rPr>
                  <w:t>26</w:t>
                </w:r>
                <w:r w:rsidR="00DF009B">
                  <w:rPr>
                    <w:noProof/>
                    <w:webHidden/>
                  </w:rPr>
                  <w:fldChar w:fldCharType="end"/>
                </w:r>
              </w:hyperlink>
            </w:p>
            <w:p w14:paraId="1C3A7143" w14:textId="2D9F04D7" w:rsidR="00DF009B" w:rsidRDefault="001357CA">
              <w:pPr>
                <w:pStyle w:val="TOC2"/>
                <w:tabs>
                  <w:tab w:val="right" w:leader="dot" w:pos="9016"/>
                </w:tabs>
                <w:rPr>
                  <w:rFonts w:eastAsiaTheme="minorEastAsia" w:cstheme="minorBidi"/>
                  <w:smallCaps w:val="0"/>
                  <w:noProof/>
                  <w:sz w:val="24"/>
                  <w:szCs w:val="24"/>
                </w:rPr>
              </w:pPr>
              <w:hyperlink w:anchor="_Toc214840473" w:history="1">
                <w:r w:rsidR="00DF009B" w:rsidRPr="002C3D53">
                  <w:rPr>
                    <w:rStyle w:val="Hyperlink"/>
                    <w:rFonts w:eastAsiaTheme="majorEastAsia"/>
                    <w:noProof/>
                  </w:rPr>
                  <w:t>6.Examples from Articles</w:t>
                </w:r>
                <w:r w:rsidR="00DF009B">
                  <w:rPr>
                    <w:noProof/>
                    <w:webHidden/>
                  </w:rPr>
                  <w:tab/>
                </w:r>
                <w:r w:rsidR="00DF009B">
                  <w:rPr>
                    <w:noProof/>
                    <w:webHidden/>
                  </w:rPr>
                  <w:fldChar w:fldCharType="begin"/>
                </w:r>
                <w:r w:rsidR="00DF009B">
                  <w:rPr>
                    <w:noProof/>
                    <w:webHidden/>
                  </w:rPr>
                  <w:instrText xml:space="preserve"> PAGEREF _Toc214840473 \h </w:instrText>
                </w:r>
                <w:r w:rsidR="00DF009B">
                  <w:rPr>
                    <w:noProof/>
                    <w:webHidden/>
                  </w:rPr>
                </w:r>
                <w:r w:rsidR="00DF009B">
                  <w:rPr>
                    <w:noProof/>
                    <w:webHidden/>
                  </w:rPr>
                  <w:fldChar w:fldCharType="separate"/>
                </w:r>
                <w:r w:rsidR="00DF009B">
                  <w:rPr>
                    <w:noProof/>
                    <w:webHidden/>
                  </w:rPr>
                  <w:t>27</w:t>
                </w:r>
                <w:r w:rsidR="00DF009B">
                  <w:rPr>
                    <w:noProof/>
                    <w:webHidden/>
                  </w:rPr>
                  <w:fldChar w:fldCharType="end"/>
                </w:r>
              </w:hyperlink>
            </w:p>
            <w:p w14:paraId="0917E139" w14:textId="216BF596" w:rsidR="00DF009B" w:rsidRDefault="001357CA">
              <w:pPr>
                <w:pStyle w:val="TOC2"/>
                <w:tabs>
                  <w:tab w:val="right" w:leader="dot" w:pos="9016"/>
                </w:tabs>
                <w:rPr>
                  <w:rFonts w:eastAsiaTheme="minorEastAsia" w:cstheme="minorBidi"/>
                  <w:smallCaps w:val="0"/>
                  <w:noProof/>
                  <w:sz w:val="24"/>
                  <w:szCs w:val="24"/>
                </w:rPr>
              </w:pPr>
              <w:hyperlink w:anchor="_Toc214840474" w:history="1">
                <w:r w:rsidR="00DF009B" w:rsidRPr="002C3D53">
                  <w:rPr>
                    <w:rStyle w:val="Hyperlink"/>
                    <w:rFonts w:eastAsiaTheme="majorEastAsia"/>
                    <w:noProof/>
                  </w:rPr>
                  <w:t>7.Connections to Other Themes</w:t>
                </w:r>
                <w:r w:rsidR="00DF009B">
                  <w:rPr>
                    <w:noProof/>
                    <w:webHidden/>
                  </w:rPr>
                  <w:tab/>
                </w:r>
                <w:r w:rsidR="00DF009B">
                  <w:rPr>
                    <w:noProof/>
                    <w:webHidden/>
                  </w:rPr>
                  <w:fldChar w:fldCharType="begin"/>
                </w:r>
                <w:r w:rsidR="00DF009B">
                  <w:rPr>
                    <w:noProof/>
                    <w:webHidden/>
                  </w:rPr>
                  <w:instrText xml:space="preserve"> PAGEREF _Toc214840474 \h </w:instrText>
                </w:r>
                <w:r w:rsidR="00DF009B">
                  <w:rPr>
                    <w:noProof/>
                    <w:webHidden/>
                  </w:rPr>
                </w:r>
                <w:r w:rsidR="00DF009B">
                  <w:rPr>
                    <w:noProof/>
                    <w:webHidden/>
                  </w:rPr>
                  <w:fldChar w:fldCharType="separate"/>
                </w:r>
                <w:r w:rsidR="00DF009B">
                  <w:rPr>
                    <w:noProof/>
                    <w:webHidden/>
                  </w:rPr>
                  <w:t>27</w:t>
                </w:r>
                <w:r w:rsidR="00DF009B">
                  <w:rPr>
                    <w:noProof/>
                    <w:webHidden/>
                  </w:rPr>
                  <w:fldChar w:fldCharType="end"/>
                </w:r>
              </w:hyperlink>
            </w:p>
            <w:p w14:paraId="7427FEED" w14:textId="3952C243" w:rsidR="00DF009B" w:rsidRDefault="001357CA">
              <w:pPr>
                <w:pStyle w:val="TOC1"/>
                <w:tabs>
                  <w:tab w:val="right" w:leader="dot" w:pos="9016"/>
                </w:tabs>
                <w:rPr>
                  <w:rFonts w:eastAsiaTheme="minorEastAsia" w:cstheme="minorBidi"/>
                  <w:b w:val="0"/>
                  <w:bCs w:val="0"/>
                  <w:caps w:val="0"/>
                  <w:noProof/>
                  <w:sz w:val="24"/>
                  <w:szCs w:val="24"/>
                </w:rPr>
              </w:pPr>
              <w:hyperlink w:anchor="_Toc214840475" w:history="1">
                <w:r w:rsidR="00DF009B" w:rsidRPr="002C3D53">
                  <w:rPr>
                    <w:rStyle w:val="Hyperlink"/>
                    <w:rFonts w:eastAsiaTheme="majorEastAsia"/>
                    <w:noProof/>
                  </w:rPr>
                  <w:t>4.3 Theme 2: Untreated Mental Health Disorders and Dual Diagnosis</w:t>
                </w:r>
                <w:r w:rsidR="00DF009B">
                  <w:rPr>
                    <w:noProof/>
                    <w:webHidden/>
                  </w:rPr>
                  <w:tab/>
                </w:r>
                <w:r w:rsidR="00DF009B">
                  <w:rPr>
                    <w:noProof/>
                    <w:webHidden/>
                  </w:rPr>
                  <w:fldChar w:fldCharType="begin"/>
                </w:r>
                <w:r w:rsidR="00DF009B">
                  <w:rPr>
                    <w:noProof/>
                    <w:webHidden/>
                  </w:rPr>
                  <w:instrText xml:space="preserve"> PAGEREF _Toc214840475 \h </w:instrText>
                </w:r>
                <w:r w:rsidR="00DF009B">
                  <w:rPr>
                    <w:noProof/>
                    <w:webHidden/>
                  </w:rPr>
                </w:r>
                <w:r w:rsidR="00DF009B">
                  <w:rPr>
                    <w:noProof/>
                    <w:webHidden/>
                  </w:rPr>
                  <w:fldChar w:fldCharType="separate"/>
                </w:r>
                <w:r w:rsidR="00DF009B">
                  <w:rPr>
                    <w:noProof/>
                    <w:webHidden/>
                  </w:rPr>
                  <w:t>27</w:t>
                </w:r>
                <w:r w:rsidR="00DF009B">
                  <w:rPr>
                    <w:noProof/>
                    <w:webHidden/>
                  </w:rPr>
                  <w:fldChar w:fldCharType="end"/>
                </w:r>
              </w:hyperlink>
            </w:p>
            <w:p w14:paraId="3D6BC548" w14:textId="6E121539" w:rsidR="00DF009B" w:rsidRDefault="001357CA">
              <w:pPr>
                <w:pStyle w:val="TOC2"/>
                <w:tabs>
                  <w:tab w:val="right" w:leader="dot" w:pos="9016"/>
                </w:tabs>
                <w:rPr>
                  <w:rFonts w:eastAsiaTheme="minorEastAsia" w:cstheme="minorBidi"/>
                  <w:smallCaps w:val="0"/>
                  <w:noProof/>
                  <w:sz w:val="24"/>
                  <w:szCs w:val="24"/>
                </w:rPr>
              </w:pPr>
              <w:hyperlink w:anchor="_Toc214840476" w:history="1">
                <w:r w:rsidR="00DF009B" w:rsidRPr="002C3D53">
                  <w:rPr>
                    <w:rStyle w:val="Hyperlink"/>
                    <w:rFonts w:eastAsiaTheme="majorEastAsia"/>
                    <w:noProof/>
                  </w:rPr>
                  <w:t>1.Definition and Scope</w:t>
                </w:r>
                <w:r w:rsidR="00DF009B">
                  <w:rPr>
                    <w:noProof/>
                    <w:webHidden/>
                  </w:rPr>
                  <w:tab/>
                </w:r>
                <w:r w:rsidR="00DF009B">
                  <w:rPr>
                    <w:noProof/>
                    <w:webHidden/>
                  </w:rPr>
                  <w:fldChar w:fldCharType="begin"/>
                </w:r>
                <w:r w:rsidR="00DF009B">
                  <w:rPr>
                    <w:noProof/>
                    <w:webHidden/>
                  </w:rPr>
                  <w:instrText xml:space="preserve"> PAGEREF _Toc214840476 \h </w:instrText>
                </w:r>
                <w:r w:rsidR="00DF009B">
                  <w:rPr>
                    <w:noProof/>
                    <w:webHidden/>
                  </w:rPr>
                </w:r>
                <w:r w:rsidR="00DF009B">
                  <w:rPr>
                    <w:noProof/>
                    <w:webHidden/>
                  </w:rPr>
                  <w:fldChar w:fldCharType="separate"/>
                </w:r>
                <w:r w:rsidR="00DF009B">
                  <w:rPr>
                    <w:noProof/>
                    <w:webHidden/>
                  </w:rPr>
                  <w:t>27</w:t>
                </w:r>
                <w:r w:rsidR="00DF009B">
                  <w:rPr>
                    <w:noProof/>
                    <w:webHidden/>
                  </w:rPr>
                  <w:fldChar w:fldCharType="end"/>
                </w:r>
              </w:hyperlink>
            </w:p>
            <w:p w14:paraId="6A7C264F" w14:textId="2E7D9189" w:rsidR="00DF009B" w:rsidRDefault="001357CA">
              <w:pPr>
                <w:pStyle w:val="TOC2"/>
                <w:tabs>
                  <w:tab w:val="right" w:leader="dot" w:pos="9016"/>
                </w:tabs>
                <w:rPr>
                  <w:rFonts w:eastAsiaTheme="minorEastAsia" w:cstheme="minorBidi"/>
                  <w:smallCaps w:val="0"/>
                  <w:noProof/>
                  <w:sz w:val="24"/>
                  <w:szCs w:val="24"/>
                </w:rPr>
              </w:pPr>
              <w:hyperlink w:anchor="_Toc214840477" w:history="1">
                <w:r w:rsidR="00DF009B" w:rsidRPr="002C3D53">
                  <w:rPr>
                    <w:rStyle w:val="Hyperlink"/>
                    <w:rFonts w:eastAsiaTheme="majorEastAsia"/>
                    <w:noProof/>
                  </w:rPr>
                  <w:t>2.Background</w:t>
                </w:r>
                <w:r w:rsidR="00DF009B">
                  <w:rPr>
                    <w:noProof/>
                    <w:webHidden/>
                  </w:rPr>
                  <w:tab/>
                </w:r>
                <w:r w:rsidR="00DF009B">
                  <w:rPr>
                    <w:noProof/>
                    <w:webHidden/>
                  </w:rPr>
                  <w:fldChar w:fldCharType="begin"/>
                </w:r>
                <w:r w:rsidR="00DF009B">
                  <w:rPr>
                    <w:noProof/>
                    <w:webHidden/>
                  </w:rPr>
                  <w:instrText xml:space="preserve"> PAGEREF _Toc214840477 \h </w:instrText>
                </w:r>
                <w:r w:rsidR="00DF009B">
                  <w:rPr>
                    <w:noProof/>
                    <w:webHidden/>
                  </w:rPr>
                </w:r>
                <w:r w:rsidR="00DF009B">
                  <w:rPr>
                    <w:noProof/>
                    <w:webHidden/>
                  </w:rPr>
                  <w:fldChar w:fldCharType="separate"/>
                </w:r>
                <w:r w:rsidR="00DF009B">
                  <w:rPr>
                    <w:noProof/>
                    <w:webHidden/>
                  </w:rPr>
                  <w:t>28</w:t>
                </w:r>
                <w:r w:rsidR="00DF009B">
                  <w:rPr>
                    <w:noProof/>
                    <w:webHidden/>
                  </w:rPr>
                  <w:fldChar w:fldCharType="end"/>
                </w:r>
              </w:hyperlink>
            </w:p>
            <w:p w14:paraId="37D685A8" w14:textId="27020F07" w:rsidR="00DF009B" w:rsidRDefault="001357CA">
              <w:pPr>
                <w:pStyle w:val="TOC2"/>
                <w:tabs>
                  <w:tab w:val="right" w:leader="dot" w:pos="9016"/>
                </w:tabs>
                <w:rPr>
                  <w:rFonts w:eastAsiaTheme="minorEastAsia" w:cstheme="minorBidi"/>
                  <w:smallCaps w:val="0"/>
                  <w:noProof/>
                  <w:sz w:val="24"/>
                  <w:szCs w:val="24"/>
                </w:rPr>
              </w:pPr>
              <w:hyperlink w:anchor="_Toc214840478" w:history="1">
                <w:r w:rsidR="00DF009B" w:rsidRPr="002C3D53">
                  <w:rPr>
                    <w:rStyle w:val="Hyperlink"/>
                    <w:rFonts w:eastAsiaTheme="majorEastAsia"/>
                    <w:noProof/>
                  </w:rPr>
                  <w:t>3. Relevance to Research Question</w:t>
                </w:r>
                <w:r w:rsidR="00DF009B">
                  <w:rPr>
                    <w:noProof/>
                    <w:webHidden/>
                  </w:rPr>
                  <w:tab/>
                </w:r>
                <w:r w:rsidR="00DF009B">
                  <w:rPr>
                    <w:noProof/>
                    <w:webHidden/>
                  </w:rPr>
                  <w:fldChar w:fldCharType="begin"/>
                </w:r>
                <w:r w:rsidR="00DF009B">
                  <w:rPr>
                    <w:noProof/>
                    <w:webHidden/>
                  </w:rPr>
                  <w:instrText xml:space="preserve"> PAGEREF _Toc214840478 \h </w:instrText>
                </w:r>
                <w:r w:rsidR="00DF009B">
                  <w:rPr>
                    <w:noProof/>
                    <w:webHidden/>
                  </w:rPr>
                </w:r>
                <w:r w:rsidR="00DF009B">
                  <w:rPr>
                    <w:noProof/>
                    <w:webHidden/>
                  </w:rPr>
                  <w:fldChar w:fldCharType="separate"/>
                </w:r>
                <w:r w:rsidR="00DF009B">
                  <w:rPr>
                    <w:noProof/>
                    <w:webHidden/>
                  </w:rPr>
                  <w:t>28</w:t>
                </w:r>
                <w:r w:rsidR="00DF009B">
                  <w:rPr>
                    <w:noProof/>
                    <w:webHidden/>
                  </w:rPr>
                  <w:fldChar w:fldCharType="end"/>
                </w:r>
              </w:hyperlink>
            </w:p>
            <w:p w14:paraId="3BD25985" w14:textId="4A991AEA" w:rsidR="00DF009B" w:rsidRDefault="001357CA">
              <w:pPr>
                <w:pStyle w:val="TOC2"/>
                <w:tabs>
                  <w:tab w:val="right" w:leader="dot" w:pos="9016"/>
                </w:tabs>
                <w:rPr>
                  <w:rFonts w:eastAsiaTheme="minorEastAsia" w:cstheme="minorBidi"/>
                  <w:smallCaps w:val="0"/>
                  <w:noProof/>
                  <w:sz w:val="24"/>
                  <w:szCs w:val="24"/>
                </w:rPr>
              </w:pPr>
              <w:hyperlink w:anchor="_Toc214840479" w:history="1">
                <w:r w:rsidR="00DF009B" w:rsidRPr="002C3D53">
                  <w:rPr>
                    <w:rStyle w:val="Hyperlink"/>
                    <w:rFonts w:eastAsiaTheme="majorEastAsia"/>
                    <w:noProof/>
                  </w:rPr>
                  <w:t>4. Data and Statistics</w:t>
                </w:r>
                <w:r w:rsidR="00DF009B">
                  <w:rPr>
                    <w:noProof/>
                    <w:webHidden/>
                  </w:rPr>
                  <w:tab/>
                </w:r>
                <w:r w:rsidR="00DF009B">
                  <w:rPr>
                    <w:noProof/>
                    <w:webHidden/>
                  </w:rPr>
                  <w:fldChar w:fldCharType="begin"/>
                </w:r>
                <w:r w:rsidR="00DF009B">
                  <w:rPr>
                    <w:noProof/>
                    <w:webHidden/>
                  </w:rPr>
                  <w:instrText xml:space="preserve"> PAGEREF _Toc214840479 \h </w:instrText>
                </w:r>
                <w:r w:rsidR="00DF009B">
                  <w:rPr>
                    <w:noProof/>
                    <w:webHidden/>
                  </w:rPr>
                </w:r>
                <w:r w:rsidR="00DF009B">
                  <w:rPr>
                    <w:noProof/>
                    <w:webHidden/>
                  </w:rPr>
                  <w:fldChar w:fldCharType="separate"/>
                </w:r>
                <w:r w:rsidR="00DF009B">
                  <w:rPr>
                    <w:noProof/>
                    <w:webHidden/>
                  </w:rPr>
                  <w:t>29</w:t>
                </w:r>
                <w:r w:rsidR="00DF009B">
                  <w:rPr>
                    <w:noProof/>
                    <w:webHidden/>
                  </w:rPr>
                  <w:fldChar w:fldCharType="end"/>
                </w:r>
              </w:hyperlink>
            </w:p>
            <w:p w14:paraId="0FC114D7" w14:textId="53170853" w:rsidR="00DF009B" w:rsidRDefault="001357CA">
              <w:pPr>
                <w:pStyle w:val="TOC2"/>
                <w:tabs>
                  <w:tab w:val="right" w:leader="dot" w:pos="9016"/>
                </w:tabs>
                <w:rPr>
                  <w:rFonts w:eastAsiaTheme="minorEastAsia" w:cstheme="minorBidi"/>
                  <w:smallCaps w:val="0"/>
                  <w:noProof/>
                  <w:sz w:val="24"/>
                  <w:szCs w:val="24"/>
                </w:rPr>
              </w:pPr>
              <w:hyperlink w:anchor="_Toc214840480" w:history="1">
                <w:r w:rsidR="00DF009B" w:rsidRPr="002C3D53">
                  <w:rPr>
                    <w:rStyle w:val="Hyperlink"/>
                    <w:rFonts w:eastAsiaTheme="majorEastAsia"/>
                    <w:noProof/>
                  </w:rPr>
                  <w:t>5. Theories, Policy, and Legislation</w:t>
                </w:r>
                <w:r w:rsidR="00DF009B">
                  <w:rPr>
                    <w:noProof/>
                    <w:webHidden/>
                  </w:rPr>
                  <w:tab/>
                </w:r>
                <w:r w:rsidR="00DF009B">
                  <w:rPr>
                    <w:noProof/>
                    <w:webHidden/>
                  </w:rPr>
                  <w:fldChar w:fldCharType="begin"/>
                </w:r>
                <w:r w:rsidR="00DF009B">
                  <w:rPr>
                    <w:noProof/>
                    <w:webHidden/>
                  </w:rPr>
                  <w:instrText xml:space="preserve"> PAGEREF _Toc214840480 \h </w:instrText>
                </w:r>
                <w:r w:rsidR="00DF009B">
                  <w:rPr>
                    <w:noProof/>
                    <w:webHidden/>
                  </w:rPr>
                </w:r>
                <w:r w:rsidR="00DF009B">
                  <w:rPr>
                    <w:noProof/>
                    <w:webHidden/>
                  </w:rPr>
                  <w:fldChar w:fldCharType="separate"/>
                </w:r>
                <w:r w:rsidR="00DF009B">
                  <w:rPr>
                    <w:noProof/>
                    <w:webHidden/>
                  </w:rPr>
                  <w:t>29</w:t>
                </w:r>
                <w:r w:rsidR="00DF009B">
                  <w:rPr>
                    <w:noProof/>
                    <w:webHidden/>
                  </w:rPr>
                  <w:fldChar w:fldCharType="end"/>
                </w:r>
              </w:hyperlink>
            </w:p>
            <w:p w14:paraId="7D49478E" w14:textId="6BAD3628" w:rsidR="00DF009B" w:rsidRDefault="001357CA">
              <w:pPr>
                <w:pStyle w:val="TOC2"/>
                <w:tabs>
                  <w:tab w:val="right" w:leader="dot" w:pos="9016"/>
                </w:tabs>
                <w:rPr>
                  <w:rFonts w:eastAsiaTheme="minorEastAsia" w:cstheme="minorBidi"/>
                  <w:smallCaps w:val="0"/>
                  <w:noProof/>
                  <w:sz w:val="24"/>
                  <w:szCs w:val="24"/>
                </w:rPr>
              </w:pPr>
              <w:hyperlink w:anchor="_Toc214840481" w:history="1">
                <w:r w:rsidR="00DF009B" w:rsidRPr="002C3D53">
                  <w:rPr>
                    <w:rStyle w:val="Hyperlink"/>
                    <w:rFonts w:eastAsiaTheme="majorEastAsia"/>
                    <w:noProof/>
                  </w:rPr>
                  <w:t>6. Examples from Articles</w:t>
                </w:r>
                <w:r w:rsidR="00DF009B">
                  <w:rPr>
                    <w:noProof/>
                    <w:webHidden/>
                  </w:rPr>
                  <w:tab/>
                </w:r>
                <w:r w:rsidR="00DF009B">
                  <w:rPr>
                    <w:noProof/>
                    <w:webHidden/>
                  </w:rPr>
                  <w:fldChar w:fldCharType="begin"/>
                </w:r>
                <w:r w:rsidR="00DF009B">
                  <w:rPr>
                    <w:noProof/>
                    <w:webHidden/>
                  </w:rPr>
                  <w:instrText xml:space="preserve"> PAGEREF _Toc214840481 \h </w:instrText>
                </w:r>
                <w:r w:rsidR="00DF009B">
                  <w:rPr>
                    <w:noProof/>
                    <w:webHidden/>
                  </w:rPr>
                </w:r>
                <w:r w:rsidR="00DF009B">
                  <w:rPr>
                    <w:noProof/>
                    <w:webHidden/>
                  </w:rPr>
                  <w:fldChar w:fldCharType="separate"/>
                </w:r>
                <w:r w:rsidR="00DF009B">
                  <w:rPr>
                    <w:noProof/>
                    <w:webHidden/>
                  </w:rPr>
                  <w:t>29</w:t>
                </w:r>
                <w:r w:rsidR="00DF009B">
                  <w:rPr>
                    <w:noProof/>
                    <w:webHidden/>
                  </w:rPr>
                  <w:fldChar w:fldCharType="end"/>
                </w:r>
              </w:hyperlink>
            </w:p>
            <w:p w14:paraId="7F4B0F6A" w14:textId="3BA9548A" w:rsidR="00DF009B" w:rsidRDefault="001357CA">
              <w:pPr>
                <w:pStyle w:val="TOC2"/>
                <w:tabs>
                  <w:tab w:val="right" w:leader="dot" w:pos="9016"/>
                </w:tabs>
                <w:rPr>
                  <w:rFonts w:eastAsiaTheme="minorEastAsia" w:cstheme="minorBidi"/>
                  <w:smallCaps w:val="0"/>
                  <w:noProof/>
                  <w:sz w:val="24"/>
                  <w:szCs w:val="24"/>
                </w:rPr>
              </w:pPr>
              <w:hyperlink w:anchor="_Toc214840482" w:history="1">
                <w:r w:rsidR="00DF009B" w:rsidRPr="002C3D53">
                  <w:rPr>
                    <w:rStyle w:val="Hyperlink"/>
                    <w:rFonts w:eastAsiaTheme="majorEastAsia"/>
                    <w:noProof/>
                  </w:rPr>
                  <w:t>7. Connections to Other Themes</w:t>
                </w:r>
                <w:r w:rsidR="00DF009B">
                  <w:rPr>
                    <w:noProof/>
                    <w:webHidden/>
                  </w:rPr>
                  <w:tab/>
                </w:r>
                <w:r w:rsidR="00DF009B">
                  <w:rPr>
                    <w:noProof/>
                    <w:webHidden/>
                  </w:rPr>
                  <w:fldChar w:fldCharType="begin"/>
                </w:r>
                <w:r w:rsidR="00DF009B">
                  <w:rPr>
                    <w:noProof/>
                    <w:webHidden/>
                  </w:rPr>
                  <w:instrText xml:space="preserve"> PAGEREF _Toc214840482 \h </w:instrText>
                </w:r>
                <w:r w:rsidR="00DF009B">
                  <w:rPr>
                    <w:noProof/>
                    <w:webHidden/>
                  </w:rPr>
                </w:r>
                <w:r w:rsidR="00DF009B">
                  <w:rPr>
                    <w:noProof/>
                    <w:webHidden/>
                  </w:rPr>
                  <w:fldChar w:fldCharType="separate"/>
                </w:r>
                <w:r w:rsidR="00DF009B">
                  <w:rPr>
                    <w:noProof/>
                    <w:webHidden/>
                  </w:rPr>
                  <w:t>30</w:t>
                </w:r>
                <w:r w:rsidR="00DF009B">
                  <w:rPr>
                    <w:noProof/>
                    <w:webHidden/>
                  </w:rPr>
                  <w:fldChar w:fldCharType="end"/>
                </w:r>
              </w:hyperlink>
            </w:p>
            <w:p w14:paraId="7D9B4705" w14:textId="0C5860ED" w:rsidR="00DF009B" w:rsidRDefault="001357CA">
              <w:pPr>
                <w:pStyle w:val="TOC1"/>
                <w:tabs>
                  <w:tab w:val="right" w:leader="dot" w:pos="9016"/>
                </w:tabs>
                <w:rPr>
                  <w:rFonts w:eastAsiaTheme="minorEastAsia" w:cstheme="minorBidi"/>
                  <w:b w:val="0"/>
                  <w:bCs w:val="0"/>
                  <w:caps w:val="0"/>
                  <w:noProof/>
                  <w:sz w:val="24"/>
                  <w:szCs w:val="24"/>
                </w:rPr>
              </w:pPr>
              <w:hyperlink w:anchor="_Toc214840483" w:history="1">
                <w:r w:rsidR="00DF009B" w:rsidRPr="002C3D53">
                  <w:rPr>
                    <w:rStyle w:val="Hyperlink"/>
                    <w:rFonts w:eastAsiaTheme="majorEastAsia"/>
                    <w:noProof/>
                  </w:rPr>
                  <w:t>4.4 Theme 3: Socioeconomic Barriers to Treatment Access</w:t>
                </w:r>
                <w:r w:rsidR="00DF009B">
                  <w:rPr>
                    <w:noProof/>
                    <w:webHidden/>
                  </w:rPr>
                  <w:tab/>
                </w:r>
                <w:r w:rsidR="00DF009B">
                  <w:rPr>
                    <w:noProof/>
                    <w:webHidden/>
                  </w:rPr>
                  <w:fldChar w:fldCharType="begin"/>
                </w:r>
                <w:r w:rsidR="00DF009B">
                  <w:rPr>
                    <w:noProof/>
                    <w:webHidden/>
                  </w:rPr>
                  <w:instrText xml:space="preserve"> PAGEREF _Toc214840483 \h </w:instrText>
                </w:r>
                <w:r w:rsidR="00DF009B">
                  <w:rPr>
                    <w:noProof/>
                    <w:webHidden/>
                  </w:rPr>
                </w:r>
                <w:r w:rsidR="00DF009B">
                  <w:rPr>
                    <w:noProof/>
                    <w:webHidden/>
                  </w:rPr>
                  <w:fldChar w:fldCharType="separate"/>
                </w:r>
                <w:r w:rsidR="00DF009B">
                  <w:rPr>
                    <w:noProof/>
                    <w:webHidden/>
                  </w:rPr>
                  <w:t>30</w:t>
                </w:r>
                <w:r w:rsidR="00DF009B">
                  <w:rPr>
                    <w:noProof/>
                    <w:webHidden/>
                  </w:rPr>
                  <w:fldChar w:fldCharType="end"/>
                </w:r>
              </w:hyperlink>
            </w:p>
            <w:p w14:paraId="49009236" w14:textId="5BB2BBAC" w:rsidR="00DF009B" w:rsidRDefault="001357CA">
              <w:pPr>
                <w:pStyle w:val="TOC2"/>
                <w:tabs>
                  <w:tab w:val="right" w:leader="dot" w:pos="9016"/>
                </w:tabs>
                <w:rPr>
                  <w:rFonts w:eastAsiaTheme="minorEastAsia" w:cstheme="minorBidi"/>
                  <w:smallCaps w:val="0"/>
                  <w:noProof/>
                  <w:sz w:val="24"/>
                  <w:szCs w:val="24"/>
                </w:rPr>
              </w:pPr>
              <w:hyperlink w:anchor="_Toc214840484" w:history="1">
                <w:r w:rsidR="00DF009B" w:rsidRPr="002C3D53">
                  <w:rPr>
                    <w:rStyle w:val="Hyperlink"/>
                    <w:rFonts w:eastAsiaTheme="majorEastAsia"/>
                    <w:noProof/>
                  </w:rPr>
                  <w:t>1. Definition and Scope</w:t>
                </w:r>
                <w:r w:rsidR="00DF009B">
                  <w:rPr>
                    <w:noProof/>
                    <w:webHidden/>
                  </w:rPr>
                  <w:tab/>
                </w:r>
                <w:r w:rsidR="00DF009B">
                  <w:rPr>
                    <w:noProof/>
                    <w:webHidden/>
                  </w:rPr>
                  <w:fldChar w:fldCharType="begin"/>
                </w:r>
                <w:r w:rsidR="00DF009B">
                  <w:rPr>
                    <w:noProof/>
                    <w:webHidden/>
                  </w:rPr>
                  <w:instrText xml:space="preserve"> PAGEREF _Toc214840484 \h </w:instrText>
                </w:r>
                <w:r w:rsidR="00DF009B">
                  <w:rPr>
                    <w:noProof/>
                    <w:webHidden/>
                  </w:rPr>
                </w:r>
                <w:r w:rsidR="00DF009B">
                  <w:rPr>
                    <w:noProof/>
                    <w:webHidden/>
                  </w:rPr>
                  <w:fldChar w:fldCharType="separate"/>
                </w:r>
                <w:r w:rsidR="00DF009B">
                  <w:rPr>
                    <w:noProof/>
                    <w:webHidden/>
                  </w:rPr>
                  <w:t>30</w:t>
                </w:r>
                <w:r w:rsidR="00DF009B">
                  <w:rPr>
                    <w:noProof/>
                    <w:webHidden/>
                  </w:rPr>
                  <w:fldChar w:fldCharType="end"/>
                </w:r>
              </w:hyperlink>
            </w:p>
            <w:p w14:paraId="35F60426" w14:textId="3D9C7715" w:rsidR="00DF009B" w:rsidRDefault="001357CA">
              <w:pPr>
                <w:pStyle w:val="TOC2"/>
                <w:tabs>
                  <w:tab w:val="right" w:leader="dot" w:pos="9016"/>
                </w:tabs>
                <w:rPr>
                  <w:rFonts w:eastAsiaTheme="minorEastAsia" w:cstheme="minorBidi"/>
                  <w:smallCaps w:val="0"/>
                  <w:noProof/>
                  <w:sz w:val="24"/>
                  <w:szCs w:val="24"/>
                </w:rPr>
              </w:pPr>
              <w:hyperlink w:anchor="_Toc214840485" w:history="1">
                <w:r w:rsidR="00DF009B" w:rsidRPr="002C3D53">
                  <w:rPr>
                    <w:rStyle w:val="Hyperlink"/>
                    <w:rFonts w:eastAsiaTheme="majorEastAsia"/>
                    <w:noProof/>
                  </w:rPr>
                  <w:t>2. Background</w:t>
                </w:r>
                <w:r w:rsidR="00DF009B">
                  <w:rPr>
                    <w:noProof/>
                    <w:webHidden/>
                  </w:rPr>
                  <w:tab/>
                </w:r>
                <w:r w:rsidR="00DF009B">
                  <w:rPr>
                    <w:noProof/>
                    <w:webHidden/>
                  </w:rPr>
                  <w:fldChar w:fldCharType="begin"/>
                </w:r>
                <w:r w:rsidR="00DF009B">
                  <w:rPr>
                    <w:noProof/>
                    <w:webHidden/>
                  </w:rPr>
                  <w:instrText xml:space="preserve"> PAGEREF _Toc214840485 \h </w:instrText>
                </w:r>
                <w:r w:rsidR="00DF009B">
                  <w:rPr>
                    <w:noProof/>
                    <w:webHidden/>
                  </w:rPr>
                </w:r>
                <w:r w:rsidR="00DF009B">
                  <w:rPr>
                    <w:noProof/>
                    <w:webHidden/>
                  </w:rPr>
                  <w:fldChar w:fldCharType="separate"/>
                </w:r>
                <w:r w:rsidR="00DF009B">
                  <w:rPr>
                    <w:noProof/>
                    <w:webHidden/>
                  </w:rPr>
                  <w:t>30</w:t>
                </w:r>
                <w:r w:rsidR="00DF009B">
                  <w:rPr>
                    <w:noProof/>
                    <w:webHidden/>
                  </w:rPr>
                  <w:fldChar w:fldCharType="end"/>
                </w:r>
              </w:hyperlink>
            </w:p>
            <w:p w14:paraId="3A09FA2D" w14:textId="14662A98" w:rsidR="00DF009B" w:rsidRDefault="001357CA">
              <w:pPr>
                <w:pStyle w:val="TOC2"/>
                <w:tabs>
                  <w:tab w:val="right" w:leader="dot" w:pos="9016"/>
                </w:tabs>
                <w:rPr>
                  <w:rFonts w:eastAsiaTheme="minorEastAsia" w:cstheme="minorBidi"/>
                  <w:smallCaps w:val="0"/>
                  <w:noProof/>
                  <w:sz w:val="24"/>
                  <w:szCs w:val="24"/>
                </w:rPr>
              </w:pPr>
              <w:hyperlink w:anchor="_Toc214840486" w:history="1">
                <w:r w:rsidR="00DF009B" w:rsidRPr="002C3D53">
                  <w:rPr>
                    <w:rStyle w:val="Hyperlink"/>
                    <w:rFonts w:eastAsiaTheme="majorEastAsia"/>
                    <w:noProof/>
                  </w:rPr>
                  <w:t>3. Relevance to Research Question</w:t>
                </w:r>
                <w:r w:rsidR="00DF009B">
                  <w:rPr>
                    <w:noProof/>
                    <w:webHidden/>
                  </w:rPr>
                  <w:tab/>
                </w:r>
                <w:r w:rsidR="00DF009B">
                  <w:rPr>
                    <w:noProof/>
                    <w:webHidden/>
                  </w:rPr>
                  <w:fldChar w:fldCharType="begin"/>
                </w:r>
                <w:r w:rsidR="00DF009B">
                  <w:rPr>
                    <w:noProof/>
                    <w:webHidden/>
                  </w:rPr>
                  <w:instrText xml:space="preserve"> PAGEREF _Toc214840486 \h </w:instrText>
                </w:r>
                <w:r w:rsidR="00DF009B">
                  <w:rPr>
                    <w:noProof/>
                    <w:webHidden/>
                  </w:rPr>
                </w:r>
                <w:r w:rsidR="00DF009B">
                  <w:rPr>
                    <w:noProof/>
                    <w:webHidden/>
                  </w:rPr>
                  <w:fldChar w:fldCharType="separate"/>
                </w:r>
                <w:r w:rsidR="00DF009B">
                  <w:rPr>
                    <w:noProof/>
                    <w:webHidden/>
                  </w:rPr>
                  <w:t>31</w:t>
                </w:r>
                <w:r w:rsidR="00DF009B">
                  <w:rPr>
                    <w:noProof/>
                    <w:webHidden/>
                  </w:rPr>
                  <w:fldChar w:fldCharType="end"/>
                </w:r>
              </w:hyperlink>
            </w:p>
            <w:p w14:paraId="2BCF580E" w14:textId="7446F0D5" w:rsidR="00DF009B" w:rsidRDefault="001357CA">
              <w:pPr>
                <w:pStyle w:val="TOC2"/>
                <w:tabs>
                  <w:tab w:val="right" w:leader="dot" w:pos="9016"/>
                </w:tabs>
                <w:rPr>
                  <w:rFonts w:eastAsiaTheme="minorEastAsia" w:cstheme="minorBidi"/>
                  <w:smallCaps w:val="0"/>
                  <w:noProof/>
                  <w:sz w:val="24"/>
                  <w:szCs w:val="24"/>
                </w:rPr>
              </w:pPr>
              <w:hyperlink w:anchor="_Toc214840487" w:history="1">
                <w:r w:rsidR="00DF009B" w:rsidRPr="002C3D53">
                  <w:rPr>
                    <w:rStyle w:val="Hyperlink"/>
                    <w:rFonts w:eastAsiaTheme="majorEastAsia"/>
                    <w:noProof/>
                  </w:rPr>
                  <w:t>4. Data and Statistics</w:t>
                </w:r>
                <w:r w:rsidR="00DF009B">
                  <w:rPr>
                    <w:noProof/>
                    <w:webHidden/>
                  </w:rPr>
                  <w:tab/>
                </w:r>
                <w:r w:rsidR="00DF009B">
                  <w:rPr>
                    <w:noProof/>
                    <w:webHidden/>
                  </w:rPr>
                  <w:fldChar w:fldCharType="begin"/>
                </w:r>
                <w:r w:rsidR="00DF009B">
                  <w:rPr>
                    <w:noProof/>
                    <w:webHidden/>
                  </w:rPr>
                  <w:instrText xml:space="preserve"> PAGEREF _Toc214840487 \h </w:instrText>
                </w:r>
                <w:r w:rsidR="00DF009B">
                  <w:rPr>
                    <w:noProof/>
                    <w:webHidden/>
                  </w:rPr>
                </w:r>
                <w:r w:rsidR="00DF009B">
                  <w:rPr>
                    <w:noProof/>
                    <w:webHidden/>
                  </w:rPr>
                  <w:fldChar w:fldCharType="separate"/>
                </w:r>
                <w:r w:rsidR="00DF009B">
                  <w:rPr>
                    <w:noProof/>
                    <w:webHidden/>
                  </w:rPr>
                  <w:t>31</w:t>
                </w:r>
                <w:r w:rsidR="00DF009B">
                  <w:rPr>
                    <w:noProof/>
                    <w:webHidden/>
                  </w:rPr>
                  <w:fldChar w:fldCharType="end"/>
                </w:r>
              </w:hyperlink>
            </w:p>
            <w:p w14:paraId="4C71E468" w14:textId="76229CB9" w:rsidR="00DF009B" w:rsidRDefault="001357CA">
              <w:pPr>
                <w:pStyle w:val="TOC2"/>
                <w:tabs>
                  <w:tab w:val="right" w:leader="dot" w:pos="9016"/>
                </w:tabs>
                <w:rPr>
                  <w:rFonts w:eastAsiaTheme="minorEastAsia" w:cstheme="minorBidi"/>
                  <w:smallCaps w:val="0"/>
                  <w:noProof/>
                  <w:sz w:val="24"/>
                  <w:szCs w:val="24"/>
                </w:rPr>
              </w:pPr>
              <w:hyperlink w:anchor="_Toc214840488" w:history="1">
                <w:r w:rsidR="00DF009B" w:rsidRPr="002C3D53">
                  <w:rPr>
                    <w:rStyle w:val="Hyperlink"/>
                    <w:rFonts w:eastAsiaTheme="majorEastAsia"/>
                    <w:noProof/>
                  </w:rPr>
                  <w:t>5. Theories, Policy, and Legislation</w:t>
                </w:r>
                <w:r w:rsidR="00DF009B">
                  <w:rPr>
                    <w:noProof/>
                    <w:webHidden/>
                  </w:rPr>
                  <w:tab/>
                </w:r>
                <w:r w:rsidR="00DF009B">
                  <w:rPr>
                    <w:noProof/>
                    <w:webHidden/>
                  </w:rPr>
                  <w:fldChar w:fldCharType="begin"/>
                </w:r>
                <w:r w:rsidR="00DF009B">
                  <w:rPr>
                    <w:noProof/>
                    <w:webHidden/>
                  </w:rPr>
                  <w:instrText xml:space="preserve"> PAGEREF _Toc214840488 \h </w:instrText>
                </w:r>
                <w:r w:rsidR="00DF009B">
                  <w:rPr>
                    <w:noProof/>
                    <w:webHidden/>
                  </w:rPr>
                </w:r>
                <w:r w:rsidR="00DF009B">
                  <w:rPr>
                    <w:noProof/>
                    <w:webHidden/>
                  </w:rPr>
                  <w:fldChar w:fldCharType="separate"/>
                </w:r>
                <w:r w:rsidR="00DF009B">
                  <w:rPr>
                    <w:noProof/>
                    <w:webHidden/>
                  </w:rPr>
                  <w:t>32</w:t>
                </w:r>
                <w:r w:rsidR="00DF009B">
                  <w:rPr>
                    <w:noProof/>
                    <w:webHidden/>
                  </w:rPr>
                  <w:fldChar w:fldCharType="end"/>
                </w:r>
              </w:hyperlink>
            </w:p>
            <w:p w14:paraId="48544305" w14:textId="7CC81960" w:rsidR="00DF009B" w:rsidRDefault="001357CA">
              <w:pPr>
                <w:pStyle w:val="TOC2"/>
                <w:tabs>
                  <w:tab w:val="right" w:leader="dot" w:pos="9016"/>
                </w:tabs>
                <w:rPr>
                  <w:rFonts w:eastAsiaTheme="minorEastAsia" w:cstheme="minorBidi"/>
                  <w:smallCaps w:val="0"/>
                  <w:noProof/>
                  <w:sz w:val="24"/>
                  <w:szCs w:val="24"/>
                </w:rPr>
              </w:pPr>
              <w:hyperlink w:anchor="_Toc214840489" w:history="1">
                <w:r w:rsidR="00DF009B" w:rsidRPr="002C3D53">
                  <w:rPr>
                    <w:rStyle w:val="Hyperlink"/>
                    <w:rFonts w:eastAsiaTheme="majorEastAsia"/>
                    <w:noProof/>
                  </w:rPr>
                  <w:t>6. Examples from Articles</w:t>
                </w:r>
                <w:r w:rsidR="00DF009B">
                  <w:rPr>
                    <w:noProof/>
                    <w:webHidden/>
                  </w:rPr>
                  <w:tab/>
                </w:r>
                <w:r w:rsidR="00DF009B">
                  <w:rPr>
                    <w:noProof/>
                    <w:webHidden/>
                  </w:rPr>
                  <w:fldChar w:fldCharType="begin"/>
                </w:r>
                <w:r w:rsidR="00DF009B">
                  <w:rPr>
                    <w:noProof/>
                    <w:webHidden/>
                  </w:rPr>
                  <w:instrText xml:space="preserve"> PAGEREF _Toc214840489 \h </w:instrText>
                </w:r>
                <w:r w:rsidR="00DF009B">
                  <w:rPr>
                    <w:noProof/>
                    <w:webHidden/>
                  </w:rPr>
                </w:r>
                <w:r w:rsidR="00DF009B">
                  <w:rPr>
                    <w:noProof/>
                    <w:webHidden/>
                  </w:rPr>
                  <w:fldChar w:fldCharType="separate"/>
                </w:r>
                <w:r w:rsidR="00DF009B">
                  <w:rPr>
                    <w:noProof/>
                    <w:webHidden/>
                  </w:rPr>
                  <w:t>32</w:t>
                </w:r>
                <w:r w:rsidR="00DF009B">
                  <w:rPr>
                    <w:noProof/>
                    <w:webHidden/>
                  </w:rPr>
                  <w:fldChar w:fldCharType="end"/>
                </w:r>
              </w:hyperlink>
            </w:p>
            <w:p w14:paraId="639BFD77" w14:textId="1CFBB48A" w:rsidR="00DF009B" w:rsidRDefault="001357CA">
              <w:pPr>
                <w:pStyle w:val="TOC2"/>
                <w:tabs>
                  <w:tab w:val="right" w:leader="dot" w:pos="9016"/>
                </w:tabs>
                <w:rPr>
                  <w:rFonts w:eastAsiaTheme="minorEastAsia" w:cstheme="minorBidi"/>
                  <w:smallCaps w:val="0"/>
                  <w:noProof/>
                  <w:sz w:val="24"/>
                  <w:szCs w:val="24"/>
                </w:rPr>
              </w:pPr>
              <w:hyperlink w:anchor="_Toc214840490" w:history="1">
                <w:r w:rsidR="00DF009B" w:rsidRPr="002C3D53">
                  <w:rPr>
                    <w:rStyle w:val="Hyperlink"/>
                    <w:rFonts w:eastAsiaTheme="majorEastAsia"/>
                    <w:noProof/>
                  </w:rPr>
                  <w:t>7. Connections to Other Themes</w:t>
                </w:r>
                <w:r w:rsidR="00DF009B">
                  <w:rPr>
                    <w:noProof/>
                    <w:webHidden/>
                  </w:rPr>
                  <w:tab/>
                </w:r>
                <w:r w:rsidR="00DF009B">
                  <w:rPr>
                    <w:noProof/>
                    <w:webHidden/>
                  </w:rPr>
                  <w:fldChar w:fldCharType="begin"/>
                </w:r>
                <w:r w:rsidR="00DF009B">
                  <w:rPr>
                    <w:noProof/>
                    <w:webHidden/>
                  </w:rPr>
                  <w:instrText xml:space="preserve"> PAGEREF _Toc214840490 \h </w:instrText>
                </w:r>
                <w:r w:rsidR="00DF009B">
                  <w:rPr>
                    <w:noProof/>
                    <w:webHidden/>
                  </w:rPr>
                </w:r>
                <w:r w:rsidR="00DF009B">
                  <w:rPr>
                    <w:noProof/>
                    <w:webHidden/>
                  </w:rPr>
                  <w:fldChar w:fldCharType="separate"/>
                </w:r>
                <w:r w:rsidR="00DF009B">
                  <w:rPr>
                    <w:noProof/>
                    <w:webHidden/>
                  </w:rPr>
                  <w:t>32</w:t>
                </w:r>
                <w:r w:rsidR="00DF009B">
                  <w:rPr>
                    <w:noProof/>
                    <w:webHidden/>
                  </w:rPr>
                  <w:fldChar w:fldCharType="end"/>
                </w:r>
              </w:hyperlink>
            </w:p>
            <w:p w14:paraId="7257B896" w14:textId="0FE7633A" w:rsidR="00DF009B" w:rsidRDefault="001357CA">
              <w:pPr>
                <w:pStyle w:val="TOC1"/>
                <w:tabs>
                  <w:tab w:val="right" w:leader="dot" w:pos="9016"/>
                </w:tabs>
                <w:rPr>
                  <w:rFonts w:eastAsiaTheme="minorEastAsia" w:cstheme="minorBidi"/>
                  <w:b w:val="0"/>
                  <w:bCs w:val="0"/>
                  <w:caps w:val="0"/>
                  <w:noProof/>
                  <w:sz w:val="24"/>
                  <w:szCs w:val="24"/>
                </w:rPr>
              </w:pPr>
              <w:hyperlink w:anchor="_Toc214840491" w:history="1">
                <w:r w:rsidR="00DF009B" w:rsidRPr="002C3D53">
                  <w:rPr>
                    <w:rStyle w:val="Hyperlink"/>
                    <w:rFonts w:eastAsiaTheme="majorEastAsia"/>
                    <w:noProof/>
                  </w:rPr>
                  <w:t>4.5 Theme 4: The Role of Policy, Legislation, and Social Determinants</w:t>
                </w:r>
                <w:r w:rsidR="00DF009B">
                  <w:rPr>
                    <w:noProof/>
                    <w:webHidden/>
                  </w:rPr>
                  <w:tab/>
                </w:r>
                <w:r w:rsidR="00DF009B">
                  <w:rPr>
                    <w:noProof/>
                    <w:webHidden/>
                  </w:rPr>
                  <w:fldChar w:fldCharType="begin"/>
                </w:r>
                <w:r w:rsidR="00DF009B">
                  <w:rPr>
                    <w:noProof/>
                    <w:webHidden/>
                  </w:rPr>
                  <w:instrText xml:space="preserve"> PAGEREF _Toc214840491 \h </w:instrText>
                </w:r>
                <w:r w:rsidR="00DF009B">
                  <w:rPr>
                    <w:noProof/>
                    <w:webHidden/>
                  </w:rPr>
                </w:r>
                <w:r w:rsidR="00DF009B">
                  <w:rPr>
                    <w:noProof/>
                    <w:webHidden/>
                  </w:rPr>
                  <w:fldChar w:fldCharType="separate"/>
                </w:r>
                <w:r w:rsidR="00DF009B">
                  <w:rPr>
                    <w:noProof/>
                    <w:webHidden/>
                  </w:rPr>
                  <w:t>33</w:t>
                </w:r>
                <w:r w:rsidR="00DF009B">
                  <w:rPr>
                    <w:noProof/>
                    <w:webHidden/>
                  </w:rPr>
                  <w:fldChar w:fldCharType="end"/>
                </w:r>
              </w:hyperlink>
            </w:p>
            <w:p w14:paraId="2A514416" w14:textId="3058AD45" w:rsidR="00DF009B" w:rsidRDefault="001357CA">
              <w:pPr>
                <w:pStyle w:val="TOC2"/>
                <w:tabs>
                  <w:tab w:val="right" w:leader="dot" w:pos="9016"/>
                </w:tabs>
                <w:rPr>
                  <w:rFonts w:eastAsiaTheme="minorEastAsia" w:cstheme="minorBidi"/>
                  <w:smallCaps w:val="0"/>
                  <w:noProof/>
                  <w:sz w:val="24"/>
                  <w:szCs w:val="24"/>
                </w:rPr>
              </w:pPr>
              <w:hyperlink w:anchor="_Toc214840492" w:history="1">
                <w:r w:rsidR="00DF009B" w:rsidRPr="002C3D53">
                  <w:rPr>
                    <w:rStyle w:val="Hyperlink"/>
                    <w:rFonts w:eastAsiaTheme="majorEastAsia"/>
                    <w:noProof/>
                  </w:rPr>
                  <w:t>1. Definition and Scope</w:t>
                </w:r>
                <w:r w:rsidR="00DF009B">
                  <w:rPr>
                    <w:noProof/>
                    <w:webHidden/>
                  </w:rPr>
                  <w:tab/>
                </w:r>
                <w:r w:rsidR="00DF009B">
                  <w:rPr>
                    <w:noProof/>
                    <w:webHidden/>
                  </w:rPr>
                  <w:fldChar w:fldCharType="begin"/>
                </w:r>
                <w:r w:rsidR="00DF009B">
                  <w:rPr>
                    <w:noProof/>
                    <w:webHidden/>
                  </w:rPr>
                  <w:instrText xml:space="preserve"> PAGEREF _Toc214840492 \h </w:instrText>
                </w:r>
                <w:r w:rsidR="00DF009B">
                  <w:rPr>
                    <w:noProof/>
                    <w:webHidden/>
                  </w:rPr>
                </w:r>
                <w:r w:rsidR="00DF009B">
                  <w:rPr>
                    <w:noProof/>
                    <w:webHidden/>
                  </w:rPr>
                  <w:fldChar w:fldCharType="separate"/>
                </w:r>
                <w:r w:rsidR="00DF009B">
                  <w:rPr>
                    <w:noProof/>
                    <w:webHidden/>
                  </w:rPr>
                  <w:t>33</w:t>
                </w:r>
                <w:r w:rsidR="00DF009B">
                  <w:rPr>
                    <w:noProof/>
                    <w:webHidden/>
                  </w:rPr>
                  <w:fldChar w:fldCharType="end"/>
                </w:r>
              </w:hyperlink>
            </w:p>
            <w:p w14:paraId="0AADC18F" w14:textId="54C0BC1E" w:rsidR="00DF009B" w:rsidRDefault="001357CA">
              <w:pPr>
                <w:pStyle w:val="TOC2"/>
                <w:tabs>
                  <w:tab w:val="right" w:leader="dot" w:pos="9016"/>
                </w:tabs>
                <w:rPr>
                  <w:rFonts w:eastAsiaTheme="minorEastAsia" w:cstheme="minorBidi"/>
                  <w:smallCaps w:val="0"/>
                  <w:noProof/>
                  <w:sz w:val="24"/>
                  <w:szCs w:val="24"/>
                </w:rPr>
              </w:pPr>
              <w:hyperlink w:anchor="_Toc214840493" w:history="1">
                <w:r w:rsidR="00DF009B" w:rsidRPr="002C3D53">
                  <w:rPr>
                    <w:rStyle w:val="Hyperlink"/>
                    <w:rFonts w:eastAsiaTheme="majorEastAsia"/>
                    <w:noProof/>
                  </w:rPr>
                  <w:t>2. Background</w:t>
                </w:r>
                <w:r w:rsidR="00DF009B">
                  <w:rPr>
                    <w:noProof/>
                    <w:webHidden/>
                  </w:rPr>
                  <w:tab/>
                </w:r>
                <w:r w:rsidR="00DF009B">
                  <w:rPr>
                    <w:noProof/>
                    <w:webHidden/>
                  </w:rPr>
                  <w:fldChar w:fldCharType="begin"/>
                </w:r>
                <w:r w:rsidR="00DF009B">
                  <w:rPr>
                    <w:noProof/>
                    <w:webHidden/>
                  </w:rPr>
                  <w:instrText xml:space="preserve"> PAGEREF _Toc214840493 \h </w:instrText>
                </w:r>
                <w:r w:rsidR="00DF009B">
                  <w:rPr>
                    <w:noProof/>
                    <w:webHidden/>
                  </w:rPr>
                </w:r>
                <w:r w:rsidR="00DF009B">
                  <w:rPr>
                    <w:noProof/>
                    <w:webHidden/>
                  </w:rPr>
                  <w:fldChar w:fldCharType="separate"/>
                </w:r>
                <w:r w:rsidR="00DF009B">
                  <w:rPr>
                    <w:noProof/>
                    <w:webHidden/>
                  </w:rPr>
                  <w:t>33</w:t>
                </w:r>
                <w:r w:rsidR="00DF009B">
                  <w:rPr>
                    <w:noProof/>
                    <w:webHidden/>
                  </w:rPr>
                  <w:fldChar w:fldCharType="end"/>
                </w:r>
              </w:hyperlink>
            </w:p>
            <w:p w14:paraId="46E73BF4" w14:textId="7E472595" w:rsidR="00DF009B" w:rsidRDefault="001357CA">
              <w:pPr>
                <w:pStyle w:val="TOC2"/>
                <w:tabs>
                  <w:tab w:val="right" w:leader="dot" w:pos="9016"/>
                </w:tabs>
                <w:rPr>
                  <w:rFonts w:eastAsiaTheme="minorEastAsia" w:cstheme="minorBidi"/>
                  <w:smallCaps w:val="0"/>
                  <w:noProof/>
                  <w:sz w:val="24"/>
                  <w:szCs w:val="24"/>
                </w:rPr>
              </w:pPr>
              <w:hyperlink w:anchor="_Toc214840494" w:history="1">
                <w:r w:rsidR="00DF009B" w:rsidRPr="002C3D53">
                  <w:rPr>
                    <w:rStyle w:val="Hyperlink"/>
                    <w:rFonts w:eastAsiaTheme="majorEastAsia"/>
                    <w:noProof/>
                  </w:rPr>
                  <w:t>3. Relevance to Research Question</w:t>
                </w:r>
                <w:r w:rsidR="00DF009B">
                  <w:rPr>
                    <w:noProof/>
                    <w:webHidden/>
                  </w:rPr>
                  <w:tab/>
                </w:r>
                <w:r w:rsidR="00DF009B">
                  <w:rPr>
                    <w:noProof/>
                    <w:webHidden/>
                  </w:rPr>
                  <w:fldChar w:fldCharType="begin"/>
                </w:r>
                <w:r w:rsidR="00DF009B">
                  <w:rPr>
                    <w:noProof/>
                    <w:webHidden/>
                  </w:rPr>
                  <w:instrText xml:space="preserve"> PAGEREF _Toc214840494 \h </w:instrText>
                </w:r>
                <w:r w:rsidR="00DF009B">
                  <w:rPr>
                    <w:noProof/>
                    <w:webHidden/>
                  </w:rPr>
                </w:r>
                <w:r w:rsidR="00DF009B">
                  <w:rPr>
                    <w:noProof/>
                    <w:webHidden/>
                  </w:rPr>
                  <w:fldChar w:fldCharType="separate"/>
                </w:r>
                <w:r w:rsidR="00DF009B">
                  <w:rPr>
                    <w:noProof/>
                    <w:webHidden/>
                  </w:rPr>
                  <w:t>34</w:t>
                </w:r>
                <w:r w:rsidR="00DF009B">
                  <w:rPr>
                    <w:noProof/>
                    <w:webHidden/>
                  </w:rPr>
                  <w:fldChar w:fldCharType="end"/>
                </w:r>
              </w:hyperlink>
            </w:p>
            <w:p w14:paraId="2FF3D18A" w14:textId="568F5416" w:rsidR="00DF009B" w:rsidRDefault="001357CA">
              <w:pPr>
                <w:pStyle w:val="TOC2"/>
                <w:tabs>
                  <w:tab w:val="right" w:leader="dot" w:pos="9016"/>
                </w:tabs>
                <w:rPr>
                  <w:rFonts w:eastAsiaTheme="minorEastAsia" w:cstheme="minorBidi"/>
                  <w:smallCaps w:val="0"/>
                  <w:noProof/>
                  <w:sz w:val="24"/>
                  <w:szCs w:val="24"/>
                </w:rPr>
              </w:pPr>
              <w:hyperlink w:anchor="_Toc214840495" w:history="1">
                <w:r w:rsidR="00DF009B" w:rsidRPr="002C3D53">
                  <w:rPr>
                    <w:rStyle w:val="Hyperlink"/>
                    <w:rFonts w:eastAsiaTheme="majorEastAsia"/>
                    <w:noProof/>
                  </w:rPr>
                  <w:t>4. Theories, Policy, and Legislation</w:t>
                </w:r>
                <w:r w:rsidR="00DF009B">
                  <w:rPr>
                    <w:noProof/>
                    <w:webHidden/>
                  </w:rPr>
                  <w:tab/>
                </w:r>
                <w:r w:rsidR="00DF009B">
                  <w:rPr>
                    <w:noProof/>
                    <w:webHidden/>
                  </w:rPr>
                  <w:fldChar w:fldCharType="begin"/>
                </w:r>
                <w:r w:rsidR="00DF009B">
                  <w:rPr>
                    <w:noProof/>
                    <w:webHidden/>
                  </w:rPr>
                  <w:instrText xml:space="preserve"> PAGEREF _Toc214840495 \h </w:instrText>
                </w:r>
                <w:r w:rsidR="00DF009B">
                  <w:rPr>
                    <w:noProof/>
                    <w:webHidden/>
                  </w:rPr>
                </w:r>
                <w:r w:rsidR="00DF009B">
                  <w:rPr>
                    <w:noProof/>
                    <w:webHidden/>
                  </w:rPr>
                  <w:fldChar w:fldCharType="separate"/>
                </w:r>
                <w:r w:rsidR="00DF009B">
                  <w:rPr>
                    <w:noProof/>
                    <w:webHidden/>
                  </w:rPr>
                  <w:t>34</w:t>
                </w:r>
                <w:r w:rsidR="00DF009B">
                  <w:rPr>
                    <w:noProof/>
                    <w:webHidden/>
                  </w:rPr>
                  <w:fldChar w:fldCharType="end"/>
                </w:r>
              </w:hyperlink>
            </w:p>
            <w:p w14:paraId="37BA6311" w14:textId="44DC90A8" w:rsidR="00DF009B" w:rsidRDefault="001357CA">
              <w:pPr>
                <w:pStyle w:val="TOC2"/>
                <w:tabs>
                  <w:tab w:val="right" w:leader="dot" w:pos="9016"/>
                </w:tabs>
                <w:rPr>
                  <w:rFonts w:eastAsiaTheme="minorEastAsia" w:cstheme="minorBidi"/>
                  <w:smallCaps w:val="0"/>
                  <w:noProof/>
                  <w:sz w:val="24"/>
                  <w:szCs w:val="24"/>
                </w:rPr>
              </w:pPr>
              <w:hyperlink w:anchor="_Toc214840496" w:history="1">
                <w:r w:rsidR="00DF009B" w:rsidRPr="002C3D53">
                  <w:rPr>
                    <w:rStyle w:val="Hyperlink"/>
                    <w:rFonts w:eastAsiaTheme="majorEastAsia"/>
                    <w:noProof/>
                  </w:rPr>
                  <w:t>5. Examples from Articles</w:t>
                </w:r>
                <w:r w:rsidR="00DF009B">
                  <w:rPr>
                    <w:noProof/>
                    <w:webHidden/>
                  </w:rPr>
                  <w:tab/>
                </w:r>
                <w:r w:rsidR="00DF009B">
                  <w:rPr>
                    <w:noProof/>
                    <w:webHidden/>
                  </w:rPr>
                  <w:fldChar w:fldCharType="begin"/>
                </w:r>
                <w:r w:rsidR="00DF009B">
                  <w:rPr>
                    <w:noProof/>
                    <w:webHidden/>
                  </w:rPr>
                  <w:instrText xml:space="preserve"> PAGEREF _Toc214840496 \h </w:instrText>
                </w:r>
                <w:r w:rsidR="00DF009B">
                  <w:rPr>
                    <w:noProof/>
                    <w:webHidden/>
                  </w:rPr>
                </w:r>
                <w:r w:rsidR="00DF009B">
                  <w:rPr>
                    <w:noProof/>
                    <w:webHidden/>
                  </w:rPr>
                  <w:fldChar w:fldCharType="separate"/>
                </w:r>
                <w:r w:rsidR="00DF009B">
                  <w:rPr>
                    <w:noProof/>
                    <w:webHidden/>
                  </w:rPr>
                  <w:t>35</w:t>
                </w:r>
                <w:r w:rsidR="00DF009B">
                  <w:rPr>
                    <w:noProof/>
                    <w:webHidden/>
                  </w:rPr>
                  <w:fldChar w:fldCharType="end"/>
                </w:r>
              </w:hyperlink>
            </w:p>
            <w:p w14:paraId="0477450B" w14:textId="54687F1E" w:rsidR="00DF009B" w:rsidRDefault="001357CA">
              <w:pPr>
                <w:pStyle w:val="TOC2"/>
                <w:tabs>
                  <w:tab w:val="right" w:leader="dot" w:pos="9016"/>
                </w:tabs>
                <w:rPr>
                  <w:rFonts w:eastAsiaTheme="minorEastAsia" w:cstheme="minorBidi"/>
                  <w:smallCaps w:val="0"/>
                  <w:noProof/>
                  <w:sz w:val="24"/>
                  <w:szCs w:val="24"/>
                </w:rPr>
              </w:pPr>
              <w:hyperlink w:anchor="_Toc214840497" w:history="1">
                <w:r w:rsidR="00DF009B" w:rsidRPr="002C3D53">
                  <w:rPr>
                    <w:rStyle w:val="Hyperlink"/>
                    <w:rFonts w:eastAsiaTheme="majorEastAsia"/>
                    <w:noProof/>
                  </w:rPr>
                  <w:t>6. Connections to Other Themes</w:t>
                </w:r>
                <w:r w:rsidR="00DF009B">
                  <w:rPr>
                    <w:noProof/>
                    <w:webHidden/>
                  </w:rPr>
                  <w:tab/>
                </w:r>
                <w:r w:rsidR="00DF009B">
                  <w:rPr>
                    <w:noProof/>
                    <w:webHidden/>
                  </w:rPr>
                  <w:fldChar w:fldCharType="begin"/>
                </w:r>
                <w:r w:rsidR="00DF009B">
                  <w:rPr>
                    <w:noProof/>
                    <w:webHidden/>
                  </w:rPr>
                  <w:instrText xml:space="preserve"> PAGEREF _Toc214840497 \h </w:instrText>
                </w:r>
                <w:r w:rsidR="00DF009B">
                  <w:rPr>
                    <w:noProof/>
                    <w:webHidden/>
                  </w:rPr>
                </w:r>
                <w:r w:rsidR="00DF009B">
                  <w:rPr>
                    <w:noProof/>
                    <w:webHidden/>
                  </w:rPr>
                  <w:fldChar w:fldCharType="separate"/>
                </w:r>
                <w:r w:rsidR="00DF009B">
                  <w:rPr>
                    <w:noProof/>
                    <w:webHidden/>
                  </w:rPr>
                  <w:t>35</w:t>
                </w:r>
                <w:r w:rsidR="00DF009B">
                  <w:rPr>
                    <w:noProof/>
                    <w:webHidden/>
                  </w:rPr>
                  <w:fldChar w:fldCharType="end"/>
                </w:r>
              </w:hyperlink>
            </w:p>
            <w:p w14:paraId="6EA05D82" w14:textId="1E22A38E" w:rsidR="00DF009B" w:rsidRDefault="001357CA">
              <w:pPr>
                <w:pStyle w:val="TOC1"/>
                <w:tabs>
                  <w:tab w:val="right" w:leader="dot" w:pos="9016"/>
                </w:tabs>
                <w:rPr>
                  <w:rFonts w:eastAsiaTheme="minorEastAsia" w:cstheme="minorBidi"/>
                  <w:b w:val="0"/>
                  <w:bCs w:val="0"/>
                  <w:caps w:val="0"/>
                  <w:noProof/>
                  <w:sz w:val="24"/>
                  <w:szCs w:val="24"/>
                </w:rPr>
              </w:pPr>
              <w:hyperlink w:anchor="_Toc214840498" w:history="1">
                <w:r w:rsidR="00DF009B" w:rsidRPr="002C3D53">
                  <w:rPr>
                    <w:rStyle w:val="Hyperlink"/>
                    <w:rFonts w:eastAsiaTheme="majorEastAsia"/>
                    <w:noProof/>
                  </w:rPr>
                  <w:t>4.6 Theme 5: The Impact of COVID-19 on Substance Misuse and Mental Health Inequalities</w:t>
                </w:r>
                <w:r w:rsidR="00DF009B">
                  <w:rPr>
                    <w:noProof/>
                    <w:webHidden/>
                  </w:rPr>
                  <w:tab/>
                </w:r>
                <w:r w:rsidR="00DF009B">
                  <w:rPr>
                    <w:noProof/>
                    <w:webHidden/>
                  </w:rPr>
                  <w:fldChar w:fldCharType="begin"/>
                </w:r>
                <w:r w:rsidR="00DF009B">
                  <w:rPr>
                    <w:noProof/>
                    <w:webHidden/>
                  </w:rPr>
                  <w:instrText xml:space="preserve"> PAGEREF _Toc214840498 \h </w:instrText>
                </w:r>
                <w:r w:rsidR="00DF009B">
                  <w:rPr>
                    <w:noProof/>
                    <w:webHidden/>
                  </w:rPr>
                </w:r>
                <w:r w:rsidR="00DF009B">
                  <w:rPr>
                    <w:noProof/>
                    <w:webHidden/>
                  </w:rPr>
                  <w:fldChar w:fldCharType="separate"/>
                </w:r>
                <w:r w:rsidR="00DF009B">
                  <w:rPr>
                    <w:noProof/>
                    <w:webHidden/>
                  </w:rPr>
                  <w:t>35</w:t>
                </w:r>
                <w:r w:rsidR="00DF009B">
                  <w:rPr>
                    <w:noProof/>
                    <w:webHidden/>
                  </w:rPr>
                  <w:fldChar w:fldCharType="end"/>
                </w:r>
              </w:hyperlink>
            </w:p>
            <w:p w14:paraId="19302C01" w14:textId="1781F042" w:rsidR="00DF009B" w:rsidRDefault="001357CA">
              <w:pPr>
                <w:pStyle w:val="TOC2"/>
                <w:tabs>
                  <w:tab w:val="right" w:leader="dot" w:pos="9016"/>
                </w:tabs>
                <w:rPr>
                  <w:rFonts w:eastAsiaTheme="minorEastAsia" w:cstheme="minorBidi"/>
                  <w:smallCaps w:val="0"/>
                  <w:noProof/>
                  <w:sz w:val="24"/>
                  <w:szCs w:val="24"/>
                </w:rPr>
              </w:pPr>
              <w:hyperlink w:anchor="_Toc214840499" w:history="1">
                <w:r w:rsidR="00DF009B" w:rsidRPr="002C3D53">
                  <w:rPr>
                    <w:rStyle w:val="Hyperlink"/>
                    <w:rFonts w:eastAsiaTheme="majorEastAsia"/>
                    <w:noProof/>
                  </w:rPr>
                  <w:t>1. Definition and Scope</w:t>
                </w:r>
                <w:r w:rsidR="00DF009B">
                  <w:rPr>
                    <w:noProof/>
                    <w:webHidden/>
                  </w:rPr>
                  <w:tab/>
                </w:r>
                <w:r w:rsidR="00DF009B">
                  <w:rPr>
                    <w:noProof/>
                    <w:webHidden/>
                  </w:rPr>
                  <w:fldChar w:fldCharType="begin"/>
                </w:r>
                <w:r w:rsidR="00DF009B">
                  <w:rPr>
                    <w:noProof/>
                    <w:webHidden/>
                  </w:rPr>
                  <w:instrText xml:space="preserve"> PAGEREF _Toc214840499 \h </w:instrText>
                </w:r>
                <w:r w:rsidR="00DF009B">
                  <w:rPr>
                    <w:noProof/>
                    <w:webHidden/>
                  </w:rPr>
                </w:r>
                <w:r w:rsidR="00DF009B">
                  <w:rPr>
                    <w:noProof/>
                    <w:webHidden/>
                  </w:rPr>
                  <w:fldChar w:fldCharType="separate"/>
                </w:r>
                <w:r w:rsidR="00DF009B">
                  <w:rPr>
                    <w:noProof/>
                    <w:webHidden/>
                  </w:rPr>
                  <w:t>35</w:t>
                </w:r>
                <w:r w:rsidR="00DF009B">
                  <w:rPr>
                    <w:noProof/>
                    <w:webHidden/>
                  </w:rPr>
                  <w:fldChar w:fldCharType="end"/>
                </w:r>
              </w:hyperlink>
            </w:p>
            <w:p w14:paraId="6814EBDE" w14:textId="79AF1B12" w:rsidR="00DF009B" w:rsidRDefault="001357CA">
              <w:pPr>
                <w:pStyle w:val="TOC2"/>
                <w:tabs>
                  <w:tab w:val="right" w:leader="dot" w:pos="9016"/>
                </w:tabs>
                <w:rPr>
                  <w:rFonts w:eastAsiaTheme="minorEastAsia" w:cstheme="minorBidi"/>
                  <w:smallCaps w:val="0"/>
                  <w:noProof/>
                  <w:sz w:val="24"/>
                  <w:szCs w:val="24"/>
                </w:rPr>
              </w:pPr>
              <w:hyperlink w:anchor="_Toc214840500" w:history="1">
                <w:r w:rsidR="00DF009B" w:rsidRPr="002C3D53">
                  <w:rPr>
                    <w:rStyle w:val="Hyperlink"/>
                    <w:rFonts w:eastAsiaTheme="majorEastAsia"/>
                    <w:noProof/>
                  </w:rPr>
                  <w:t>2. Background Information</w:t>
                </w:r>
                <w:r w:rsidR="00DF009B">
                  <w:rPr>
                    <w:noProof/>
                    <w:webHidden/>
                  </w:rPr>
                  <w:tab/>
                </w:r>
                <w:r w:rsidR="00DF009B">
                  <w:rPr>
                    <w:noProof/>
                    <w:webHidden/>
                  </w:rPr>
                  <w:fldChar w:fldCharType="begin"/>
                </w:r>
                <w:r w:rsidR="00DF009B">
                  <w:rPr>
                    <w:noProof/>
                    <w:webHidden/>
                  </w:rPr>
                  <w:instrText xml:space="preserve"> PAGEREF _Toc214840500 \h </w:instrText>
                </w:r>
                <w:r w:rsidR="00DF009B">
                  <w:rPr>
                    <w:noProof/>
                    <w:webHidden/>
                  </w:rPr>
                </w:r>
                <w:r w:rsidR="00DF009B">
                  <w:rPr>
                    <w:noProof/>
                    <w:webHidden/>
                  </w:rPr>
                  <w:fldChar w:fldCharType="separate"/>
                </w:r>
                <w:r w:rsidR="00DF009B">
                  <w:rPr>
                    <w:noProof/>
                    <w:webHidden/>
                  </w:rPr>
                  <w:t>36</w:t>
                </w:r>
                <w:r w:rsidR="00DF009B">
                  <w:rPr>
                    <w:noProof/>
                    <w:webHidden/>
                  </w:rPr>
                  <w:fldChar w:fldCharType="end"/>
                </w:r>
              </w:hyperlink>
            </w:p>
            <w:p w14:paraId="05A984C2" w14:textId="5A640192" w:rsidR="00DF009B" w:rsidRDefault="001357CA">
              <w:pPr>
                <w:pStyle w:val="TOC2"/>
                <w:tabs>
                  <w:tab w:val="right" w:leader="dot" w:pos="9016"/>
                </w:tabs>
                <w:rPr>
                  <w:rFonts w:eastAsiaTheme="minorEastAsia" w:cstheme="minorBidi"/>
                  <w:smallCaps w:val="0"/>
                  <w:noProof/>
                  <w:sz w:val="24"/>
                  <w:szCs w:val="24"/>
                </w:rPr>
              </w:pPr>
              <w:hyperlink w:anchor="_Toc214840501" w:history="1">
                <w:r w:rsidR="00DF009B" w:rsidRPr="002C3D53">
                  <w:rPr>
                    <w:rStyle w:val="Hyperlink"/>
                    <w:rFonts w:eastAsiaTheme="majorEastAsia"/>
                    <w:noProof/>
                  </w:rPr>
                  <w:t>3. Relevance to Research Question</w:t>
                </w:r>
                <w:r w:rsidR="00DF009B">
                  <w:rPr>
                    <w:noProof/>
                    <w:webHidden/>
                  </w:rPr>
                  <w:tab/>
                </w:r>
                <w:r w:rsidR="00DF009B">
                  <w:rPr>
                    <w:noProof/>
                    <w:webHidden/>
                  </w:rPr>
                  <w:fldChar w:fldCharType="begin"/>
                </w:r>
                <w:r w:rsidR="00DF009B">
                  <w:rPr>
                    <w:noProof/>
                    <w:webHidden/>
                  </w:rPr>
                  <w:instrText xml:space="preserve"> PAGEREF _Toc214840501 \h </w:instrText>
                </w:r>
                <w:r w:rsidR="00DF009B">
                  <w:rPr>
                    <w:noProof/>
                    <w:webHidden/>
                  </w:rPr>
                </w:r>
                <w:r w:rsidR="00DF009B">
                  <w:rPr>
                    <w:noProof/>
                    <w:webHidden/>
                  </w:rPr>
                  <w:fldChar w:fldCharType="separate"/>
                </w:r>
                <w:r w:rsidR="00DF009B">
                  <w:rPr>
                    <w:noProof/>
                    <w:webHidden/>
                  </w:rPr>
                  <w:t>36</w:t>
                </w:r>
                <w:r w:rsidR="00DF009B">
                  <w:rPr>
                    <w:noProof/>
                    <w:webHidden/>
                  </w:rPr>
                  <w:fldChar w:fldCharType="end"/>
                </w:r>
              </w:hyperlink>
            </w:p>
            <w:p w14:paraId="5356C989" w14:textId="51D01490" w:rsidR="00DF009B" w:rsidRDefault="001357CA">
              <w:pPr>
                <w:pStyle w:val="TOC2"/>
                <w:tabs>
                  <w:tab w:val="right" w:leader="dot" w:pos="9016"/>
                </w:tabs>
                <w:rPr>
                  <w:rFonts w:eastAsiaTheme="minorEastAsia" w:cstheme="minorBidi"/>
                  <w:smallCaps w:val="0"/>
                  <w:noProof/>
                  <w:sz w:val="24"/>
                  <w:szCs w:val="24"/>
                </w:rPr>
              </w:pPr>
              <w:hyperlink w:anchor="_Toc214840502" w:history="1">
                <w:r w:rsidR="00DF009B" w:rsidRPr="002C3D53">
                  <w:rPr>
                    <w:rStyle w:val="Hyperlink"/>
                    <w:rFonts w:eastAsiaTheme="majorEastAsia"/>
                    <w:noProof/>
                  </w:rPr>
                  <w:t>4. Data and Statistics</w:t>
                </w:r>
                <w:r w:rsidR="00DF009B">
                  <w:rPr>
                    <w:noProof/>
                    <w:webHidden/>
                  </w:rPr>
                  <w:tab/>
                </w:r>
                <w:r w:rsidR="00DF009B">
                  <w:rPr>
                    <w:noProof/>
                    <w:webHidden/>
                  </w:rPr>
                  <w:fldChar w:fldCharType="begin"/>
                </w:r>
                <w:r w:rsidR="00DF009B">
                  <w:rPr>
                    <w:noProof/>
                    <w:webHidden/>
                  </w:rPr>
                  <w:instrText xml:space="preserve"> PAGEREF _Toc214840502 \h </w:instrText>
                </w:r>
                <w:r w:rsidR="00DF009B">
                  <w:rPr>
                    <w:noProof/>
                    <w:webHidden/>
                  </w:rPr>
                </w:r>
                <w:r w:rsidR="00DF009B">
                  <w:rPr>
                    <w:noProof/>
                    <w:webHidden/>
                  </w:rPr>
                  <w:fldChar w:fldCharType="separate"/>
                </w:r>
                <w:r w:rsidR="00DF009B">
                  <w:rPr>
                    <w:noProof/>
                    <w:webHidden/>
                  </w:rPr>
                  <w:t>37</w:t>
                </w:r>
                <w:r w:rsidR="00DF009B">
                  <w:rPr>
                    <w:noProof/>
                    <w:webHidden/>
                  </w:rPr>
                  <w:fldChar w:fldCharType="end"/>
                </w:r>
              </w:hyperlink>
            </w:p>
            <w:p w14:paraId="437E7C6A" w14:textId="036E6625" w:rsidR="00DF009B" w:rsidRDefault="001357CA">
              <w:pPr>
                <w:pStyle w:val="TOC2"/>
                <w:tabs>
                  <w:tab w:val="right" w:leader="dot" w:pos="9016"/>
                </w:tabs>
                <w:rPr>
                  <w:rFonts w:eastAsiaTheme="minorEastAsia" w:cstheme="minorBidi"/>
                  <w:smallCaps w:val="0"/>
                  <w:noProof/>
                  <w:sz w:val="24"/>
                  <w:szCs w:val="24"/>
                </w:rPr>
              </w:pPr>
              <w:hyperlink w:anchor="_Toc214840503" w:history="1">
                <w:r w:rsidR="00DF009B" w:rsidRPr="002C3D53">
                  <w:rPr>
                    <w:rStyle w:val="Hyperlink"/>
                    <w:rFonts w:eastAsiaTheme="majorEastAsia"/>
                    <w:noProof/>
                  </w:rPr>
                  <w:t>5. Theories, Policy, and Legislation</w:t>
                </w:r>
                <w:r w:rsidR="00DF009B">
                  <w:rPr>
                    <w:noProof/>
                    <w:webHidden/>
                  </w:rPr>
                  <w:tab/>
                </w:r>
                <w:r w:rsidR="00DF009B">
                  <w:rPr>
                    <w:noProof/>
                    <w:webHidden/>
                  </w:rPr>
                  <w:fldChar w:fldCharType="begin"/>
                </w:r>
                <w:r w:rsidR="00DF009B">
                  <w:rPr>
                    <w:noProof/>
                    <w:webHidden/>
                  </w:rPr>
                  <w:instrText xml:space="preserve"> PAGEREF _Toc214840503 \h </w:instrText>
                </w:r>
                <w:r w:rsidR="00DF009B">
                  <w:rPr>
                    <w:noProof/>
                    <w:webHidden/>
                  </w:rPr>
                </w:r>
                <w:r w:rsidR="00DF009B">
                  <w:rPr>
                    <w:noProof/>
                    <w:webHidden/>
                  </w:rPr>
                  <w:fldChar w:fldCharType="separate"/>
                </w:r>
                <w:r w:rsidR="00DF009B">
                  <w:rPr>
                    <w:noProof/>
                    <w:webHidden/>
                  </w:rPr>
                  <w:t>37</w:t>
                </w:r>
                <w:r w:rsidR="00DF009B">
                  <w:rPr>
                    <w:noProof/>
                    <w:webHidden/>
                  </w:rPr>
                  <w:fldChar w:fldCharType="end"/>
                </w:r>
              </w:hyperlink>
            </w:p>
            <w:p w14:paraId="6677BAB5" w14:textId="431BE7A0" w:rsidR="00DF009B" w:rsidRDefault="001357CA">
              <w:pPr>
                <w:pStyle w:val="TOC2"/>
                <w:tabs>
                  <w:tab w:val="right" w:leader="dot" w:pos="9016"/>
                </w:tabs>
                <w:rPr>
                  <w:rFonts w:eastAsiaTheme="minorEastAsia" w:cstheme="minorBidi"/>
                  <w:smallCaps w:val="0"/>
                  <w:noProof/>
                  <w:sz w:val="24"/>
                  <w:szCs w:val="24"/>
                </w:rPr>
              </w:pPr>
              <w:hyperlink w:anchor="_Toc214840504" w:history="1">
                <w:r w:rsidR="00DF009B" w:rsidRPr="002C3D53">
                  <w:rPr>
                    <w:rStyle w:val="Hyperlink"/>
                    <w:rFonts w:eastAsiaTheme="majorEastAsia"/>
                    <w:noProof/>
                  </w:rPr>
                  <w:t>6. Examples from Articles</w:t>
                </w:r>
                <w:r w:rsidR="00DF009B">
                  <w:rPr>
                    <w:noProof/>
                    <w:webHidden/>
                  </w:rPr>
                  <w:tab/>
                </w:r>
                <w:r w:rsidR="00DF009B">
                  <w:rPr>
                    <w:noProof/>
                    <w:webHidden/>
                  </w:rPr>
                  <w:fldChar w:fldCharType="begin"/>
                </w:r>
                <w:r w:rsidR="00DF009B">
                  <w:rPr>
                    <w:noProof/>
                    <w:webHidden/>
                  </w:rPr>
                  <w:instrText xml:space="preserve"> PAGEREF _Toc214840504 \h </w:instrText>
                </w:r>
                <w:r w:rsidR="00DF009B">
                  <w:rPr>
                    <w:noProof/>
                    <w:webHidden/>
                  </w:rPr>
                </w:r>
                <w:r w:rsidR="00DF009B">
                  <w:rPr>
                    <w:noProof/>
                    <w:webHidden/>
                  </w:rPr>
                  <w:fldChar w:fldCharType="separate"/>
                </w:r>
                <w:r w:rsidR="00DF009B">
                  <w:rPr>
                    <w:noProof/>
                    <w:webHidden/>
                  </w:rPr>
                  <w:t>38</w:t>
                </w:r>
                <w:r w:rsidR="00DF009B">
                  <w:rPr>
                    <w:noProof/>
                    <w:webHidden/>
                  </w:rPr>
                  <w:fldChar w:fldCharType="end"/>
                </w:r>
              </w:hyperlink>
            </w:p>
            <w:p w14:paraId="1A42A78B" w14:textId="73E9ECD8" w:rsidR="00DF009B" w:rsidRDefault="001357CA">
              <w:pPr>
                <w:pStyle w:val="TOC2"/>
                <w:tabs>
                  <w:tab w:val="right" w:leader="dot" w:pos="9016"/>
                </w:tabs>
                <w:rPr>
                  <w:rFonts w:eastAsiaTheme="minorEastAsia" w:cstheme="minorBidi"/>
                  <w:smallCaps w:val="0"/>
                  <w:noProof/>
                  <w:sz w:val="24"/>
                  <w:szCs w:val="24"/>
                </w:rPr>
              </w:pPr>
              <w:hyperlink w:anchor="_Toc214840505" w:history="1">
                <w:r w:rsidR="00DF009B" w:rsidRPr="002C3D53">
                  <w:rPr>
                    <w:rStyle w:val="Hyperlink"/>
                    <w:rFonts w:eastAsiaTheme="majorEastAsia"/>
                    <w:noProof/>
                  </w:rPr>
                  <w:t>7. Connections to Other Themes</w:t>
                </w:r>
                <w:r w:rsidR="00DF009B">
                  <w:rPr>
                    <w:noProof/>
                    <w:webHidden/>
                  </w:rPr>
                  <w:tab/>
                </w:r>
                <w:r w:rsidR="00DF009B">
                  <w:rPr>
                    <w:noProof/>
                    <w:webHidden/>
                  </w:rPr>
                  <w:fldChar w:fldCharType="begin"/>
                </w:r>
                <w:r w:rsidR="00DF009B">
                  <w:rPr>
                    <w:noProof/>
                    <w:webHidden/>
                  </w:rPr>
                  <w:instrText xml:space="preserve"> PAGEREF _Toc214840505 \h </w:instrText>
                </w:r>
                <w:r w:rsidR="00DF009B">
                  <w:rPr>
                    <w:noProof/>
                    <w:webHidden/>
                  </w:rPr>
                </w:r>
                <w:r w:rsidR="00DF009B">
                  <w:rPr>
                    <w:noProof/>
                    <w:webHidden/>
                  </w:rPr>
                  <w:fldChar w:fldCharType="separate"/>
                </w:r>
                <w:r w:rsidR="00DF009B">
                  <w:rPr>
                    <w:noProof/>
                    <w:webHidden/>
                  </w:rPr>
                  <w:t>38</w:t>
                </w:r>
                <w:r w:rsidR="00DF009B">
                  <w:rPr>
                    <w:noProof/>
                    <w:webHidden/>
                  </w:rPr>
                  <w:fldChar w:fldCharType="end"/>
                </w:r>
              </w:hyperlink>
            </w:p>
            <w:p w14:paraId="0A2247A8" w14:textId="5BDE3C9A" w:rsidR="00DF009B" w:rsidRDefault="001357CA">
              <w:pPr>
                <w:pStyle w:val="TOC1"/>
                <w:tabs>
                  <w:tab w:val="right" w:leader="dot" w:pos="9016"/>
                </w:tabs>
                <w:rPr>
                  <w:rFonts w:eastAsiaTheme="minorEastAsia" w:cstheme="minorBidi"/>
                  <w:b w:val="0"/>
                  <w:bCs w:val="0"/>
                  <w:caps w:val="0"/>
                  <w:noProof/>
                  <w:sz w:val="24"/>
                  <w:szCs w:val="24"/>
                </w:rPr>
              </w:pPr>
              <w:hyperlink w:anchor="_Toc214840506" w:history="1">
                <w:r w:rsidR="00DF009B" w:rsidRPr="002C3D53">
                  <w:rPr>
                    <w:rStyle w:val="Hyperlink"/>
                    <w:rFonts w:eastAsiaTheme="majorEastAsia"/>
                    <w:noProof/>
                  </w:rPr>
                  <w:t>4.7 Conclusion</w:t>
                </w:r>
                <w:r w:rsidR="00DF009B">
                  <w:rPr>
                    <w:noProof/>
                    <w:webHidden/>
                  </w:rPr>
                  <w:tab/>
                </w:r>
                <w:r w:rsidR="00DF009B">
                  <w:rPr>
                    <w:noProof/>
                    <w:webHidden/>
                  </w:rPr>
                  <w:fldChar w:fldCharType="begin"/>
                </w:r>
                <w:r w:rsidR="00DF009B">
                  <w:rPr>
                    <w:noProof/>
                    <w:webHidden/>
                  </w:rPr>
                  <w:instrText xml:space="preserve"> PAGEREF _Toc214840506 \h </w:instrText>
                </w:r>
                <w:r w:rsidR="00DF009B">
                  <w:rPr>
                    <w:noProof/>
                    <w:webHidden/>
                  </w:rPr>
                </w:r>
                <w:r w:rsidR="00DF009B">
                  <w:rPr>
                    <w:noProof/>
                    <w:webHidden/>
                  </w:rPr>
                  <w:fldChar w:fldCharType="separate"/>
                </w:r>
                <w:r w:rsidR="00DF009B">
                  <w:rPr>
                    <w:noProof/>
                    <w:webHidden/>
                  </w:rPr>
                  <w:t>38</w:t>
                </w:r>
                <w:r w:rsidR="00DF009B">
                  <w:rPr>
                    <w:noProof/>
                    <w:webHidden/>
                  </w:rPr>
                  <w:fldChar w:fldCharType="end"/>
                </w:r>
              </w:hyperlink>
            </w:p>
            <w:p w14:paraId="6023A86F" w14:textId="4636E3C3" w:rsidR="00DF009B" w:rsidRDefault="001357CA">
              <w:pPr>
                <w:pStyle w:val="TOC1"/>
                <w:tabs>
                  <w:tab w:val="right" w:leader="dot" w:pos="9016"/>
                </w:tabs>
                <w:rPr>
                  <w:rFonts w:eastAsiaTheme="minorEastAsia" w:cstheme="minorBidi"/>
                  <w:b w:val="0"/>
                  <w:bCs w:val="0"/>
                  <w:caps w:val="0"/>
                  <w:noProof/>
                  <w:sz w:val="24"/>
                  <w:szCs w:val="24"/>
                </w:rPr>
              </w:pPr>
              <w:hyperlink w:anchor="_Toc214840507" w:history="1">
                <w:r w:rsidR="00DF009B" w:rsidRPr="002C3D53">
                  <w:rPr>
                    <w:rStyle w:val="Hyperlink"/>
                    <w:rFonts w:eastAsiaTheme="majorEastAsia"/>
                    <w:noProof/>
                  </w:rPr>
                  <w:t>Chapter 5: Conclusions and Recommendations</w:t>
                </w:r>
                <w:r w:rsidR="00DF009B">
                  <w:rPr>
                    <w:noProof/>
                    <w:webHidden/>
                  </w:rPr>
                  <w:tab/>
                </w:r>
                <w:r w:rsidR="00DF009B">
                  <w:rPr>
                    <w:noProof/>
                    <w:webHidden/>
                  </w:rPr>
                  <w:fldChar w:fldCharType="begin"/>
                </w:r>
                <w:r w:rsidR="00DF009B">
                  <w:rPr>
                    <w:noProof/>
                    <w:webHidden/>
                  </w:rPr>
                  <w:instrText xml:space="preserve"> PAGEREF _Toc214840507 \h </w:instrText>
                </w:r>
                <w:r w:rsidR="00DF009B">
                  <w:rPr>
                    <w:noProof/>
                    <w:webHidden/>
                  </w:rPr>
                </w:r>
                <w:r w:rsidR="00DF009B">
                  <w:rPr>
                    <w:noProof/>
                    <w:webHidden/>
                  </w:rPr>
                  <w:fldChar w:fldCharType="separate"/>
                </w:r>
                <w:r w:rsidR="00DF009B">
                  <w:rPr>
                    <w:noProof/>
                    <w:webHidden/>
                  </w:rPr>
                  <w:t>40</w:t>
                </w:r>
                <w:r w:rsidR="00DF009B">
                  <w:rPr>
                    <w:noProof/>
                    <w:webHidden/>
                  </w:rPr>
                  <w:fldChar w:fldCharType="end"/>
                </w:r>
              </w:hyperlink>
            </w:p>
            <w:p w14:paraId="53019133" w14:textId="4E13518F" w:rsidR="00DF009B" w:rsidRDefault="001357CA">
              <w:pPr>
                <w:pStyle w:val="TOC2"/>
                <w:tabs>
                  <w:tab w:val="right" w:leader="dot" w:pos="9016"/>
                </w:tabs>
                <w:rPr>
                  <w:rFonts w:eastAsiaTheme="minorEastAsia" w:cstheme="minorBidi"/>
                  <w:smallCaps w:val="0"/>
                  <w:noProof/>
                  <w:sz w:val="24"/>
                  <w:szCs w:val="24"/>
                </w:rPr>
              </w:pPr>
              <w:hyperlink w:anchor="_Toc214840508" w:history="1">
                <w:r w:rsidR="00DF009B" w:rsidRPr="002C3D53">
                  <w:rPr>
                    <w:rStyle w:val="Hyperlink"/>
                    <w:rFonts w:eastAsiaTheme="majorEastAsia" w:cs="Arial"/>
                    <w:noProof/>
                  </w:rPr>
                  <w:t>5.1 Introduction</w:t>
                </w:r>
                <w:r w:rsidR="00DF009B">
                  <w:rPr>
                    <w:noProof/>
                    <w:webHidden/>
                  </w:rPr>
                  <w:tab/>
                </w:r>
                <w:r w:rsidR="00DF009B">
                  <w:rPr>
                    <w:noProof/>
                    <w:webHidden/>
                  </w:rPr>
                  <w:fldChar w:fldCharType="begin"/>
                </w:r>
                <w:r w:rsidR="00DF009B">
                  <w:rPr>
                    <w:noProof/>
                    <w:webHidden/>
                  </w:rPr>
                  <w:instrText xml:space="preserve"> PAGEREF _Toc214840508 \h </w:instrText>
                </w:r>
                <w:r w:rsidR="00DF009B">
                  <w:rPr>
                    <w:noProof/>
                    <w:webHidden/>
                  </w:rPr>
                </w:r>
                <w:r w:rsidR="00DF009B">
                  <w:rPr>
                    <w:noProof/>
                    <w:webHidden/>
                  </w:rPr>
                  <w:fldChar w:fldCharType="separate"/>
                </w:r>
                <w:r w:rsidR="00DF009B">
                  <w:rPr>
                    <w:noProof/>
                    <w:webHidden/>
                  </w:rPr>
                  <w:t>40</w:t>
                </w:r>
                <w:r w:rsidR="00DF009B">
                  <w:rPr>
                    <w:noProof/>
                    <w:webHidden/>
                  </w:rPr>
                  <w:fldChar w:fldCharType="end"/>
                </w:r>
              </w:hyperlink>
            </w:p>
            <w:p w14:paraId="7E2C3A6C" w14:textId="72A210F2" w:rsidR="00DF009B" w:rsidRDefault="001357CA">
              <w:pPr>
                <w:pStyle w:val="TOC1"/>
                <w:tabs>
                  <w:tab w:val="right" w:leader="dot" w:pos="9016"/>
                </w:tabs>
                <w:rPr>
                  <w:rFonts w:eastAsiaTheme="minorEastAsia" w:cstheme="minorBidi"/>
                  <w:b w:val="0"/>
                  <w:bCs w:val="0"/>
                  <w:caps w:val="0"/>
                  <w:noProof/>
                  <w:sz w:val="24"/>
                  <w:szCs w:val="24"/>
                </w:rPr>
              </w:pPr>
              <w:hyperlink w:anchor="_Toc214840509" w:history="1">
                <w:r w:rsidR="00DF009B" w:rsidRPr="002C3D53">
                  <w:rPr>
                    <w:rStyle w:val="Hyperlink"/>
                    <w:rFonts w:eastAsiaTheme="majorEastAsia"/>
                    <w:noProof/>
                  </w:rPr>
                  <w:t>5.2 Summary of Key Findings</w:t>
                </w:r>
                <w:r w:rsidR="00DF009B">
                  <w:rPr>
                    <w:noProof/>
                    <w:webHidden/>
                  </w:rPr>
                  <w:tab/>
                </w:r>
                <w:r w:rsidR="00DF009B">
                  <w:rPr>
                    <w:noProof/>
                    <w:webHidden/>
                  </w:rPr>
                  <w:fldChar w:fldCharType="begin"/>
                </w:r>
                <w:r w:rsidR="00DF009B">
                  <w:rPr>
                    <w:noProof/>
                    <w:webHidden/>
                  </w:rPr>
                  <w:instrText xml:space="preserve"> PAGEREF _Toc214840509 \h </w:instrText>
                </w:r>
                <w:r w:rsidR="00DF009B">
                  <w:rPr>
                    <w:noProof/>
                    <w:webHidden/>
                  </w:rPr>
                </w:r>
                <w:r w:rsidR="00DF009B">
                  <w:rPr>
                    <w:noProof/>
                    <w:webHidden/>
                  </w:rPr>
                  <w:fldChar w:fldCharType="separate"/>
                </w:r>
                <w:r w:rsidR="00DF009B">
                  <w:rPr>
                    <w:noProof/>
                    <w:webHidden/>
                  </w:rPr>
                  <w:t>40</w:t>
                </w:r>
                <w:r w:rsidR="00DF009B">
                  <w:rPr>
                    <w:noProof/>
                    <w:webHidden/>
                  </w:rPr>
                  <w:fldChar w:fldCharType="end"/>
                </w:r>
              </w:hyperlink>
            </w:p>
            <w:p w14:paraId="01CA4CD4" w14:textId="51FC7117" w:rsidR="00DF009B" w:rsidRDefault="001357CA">
              <w:pPr>
                <w:pStyle w:val="TOC1"/>
                <w:tabs>
                  <w:tab w:val="right" w:leader="dot" w:pos="9016"/>
                </w:tabs>
                <w:rPr>
                  <w:rFonts w:eastAsiaTheme="minorEastAsia" w:cstheme="minorBidi"/>
                  <w:b w:val="0"/>
                  <w:bCs w:val="0"/>
                  <w:caps w:val="0"/>
                  <w:noProof/>
                  <w:sz w:val="24"/>
                  <w:szCs w:val="24"/>
                </w:rPr>
              </w:pPr>
              <w:hyperlink w:anchor="_Toc214840510" w:history="1">
                <w:r w:rsidR="00DF009B" w:rsidRPr="002C3D53">
                  <w:rPr>
                    <w:rStyle w:val="Hyperlink"/>
                    <w:rFonts w:eastAsiaTheme="majorEastAsia"/>
                    <w:noProof/>
                  </w:rPr>
                  <w:t>5.3 Theoretical and Practical Implications</w:t>
                </w:r>
                <w:r w:rsidR="00DF009B">
                  <w:rPr>
                    <w:noProof/>
                    <w:webHidden/>
                  </w:rPr>
                  <w:tab/>
                </w:r>
                <w:r w:rsidR="00DF009B">
                  <w:rPr>
                    <w:noProof/>
                    <w:webHidden/>
                  </w:rPr>
                  <w:fldChar w:fldCharType="begin"/>
                </w:r>
                <w:r w:rsidR="00DF009B">
                  <w:rPr>
                    <w:noProof/>
                    <w:webHidden/>
                  </w:rPr>
                  <w:instrText xml:space="preserve"> PAGEREF _Toc214840510 \h </w:instrText>
                </w:r>
                <w:r w:rsidR="00DF009B">
                  <w:rPr>
                    <w:noProof/>
                    <w:webHidden/>
                  </w:rPr>
                </w:r>
                <w:r w:rsidR="00DF009B">
                  <w:rPr>
                    <w:noProof/>
                    <w:webHidden/>
                  </w:rPr>
                  <w:fldChar w:fldCharType="separate"/>
                </w:r>
                <w:r w:rsidR="00DF009B">
                  <w:rPr>
                    <w:noProof/>
                    <w:webHidden/>
                  </w:rPr>
                  <w:t>42</w:t>
                </w:r>
                <w:r w:rsidR="00DF009B">
                  <w:rPr>
                    <w:noProof/>
                    <w:webHidden/>
                  </w:rPr>
                  <w:fldChar w:fldCharType="end"/>
                </w:r>
              </w:hyperlink>
            </w:p>
            <w:p w14:paraId="48F223C7" w14:textId="224ED1EF" w:rsidR="00DF009B" w:rsidRDefault="001357CA">
              <w:pPr>
                <w:pStyle w:val="TOC1"/>
                <w:tabs>
                  <w:tab w:val="right" w:leader="dot" w:pos="9016"/>
                </w:tabs>
                <w:rPr>
                  <w:rFonts w:eastAsiaTheme="minorEastAsia" w:cstheme="minorBidi"/>
                  <w:b w:val="0"/>
                  <w:bCs w:val="0"/>
                  <w:caps w:val="0"/>
                  <w:noProof/>
                  <w:sz w:val="24"/>
                  <w:szCs w:val="24"/>
                </w:rPr>
              </w:pPr>
              <w:hyperlink w:anchor="_Toc214840511" w:history="1">
                <w:r w:rsidR="00DF009B" w:rsidRPr="002C3D53">
                  <w:rPr>
                    <w:rStyle w:val="Hyperlink"/>
                    <w:rFonts w:eastAsiaTheme="majorEastAsia"/>
                    <w:noProof/>
                  </w:rPr>
                  <w:t>5.4 Recommendations</w:t>
                </w:r>
                <w:r w:rsidR="00DF009B">
                  <w:rPr>
                    <w:noProof/>
                    <w:webHidden/>
                  </w:rPr>
                  <w:tab/>
                </w:r>
                <w:r w:rsidR="00DF009B">
                  <w:rPr>
                    <w:noProof/>
                    <w:webHidden/>
                  </w:rPr>
                  <w:fldChar w:fldCharType="begin"/>
                </w:r>
                <w:r w:rsidR="00DF009B">
                  <w:rPr>
                    <w:noProof/>
                    <w:webHidden/>
                  </w:rPr>
                  <w:instrText xml:space="preserve"> PAGEREF _Toc214840511 \h </w:instrText>
                </w:r>
                <w:r w:rsidR="00DF009B">
                  <w:rPr>
                    <w:noProof/>
                    <w:webHidden/>
                  </w:rPr>
                </w:r>
                <w:r w:rsidR="00DF009B">
                  <w:rPr>
                    <w:noProof/>
                    <w:webHidden/>
                  </w:rPr>
                  <w:fldChar w:fldCharType="separate"/>
                </w:r>
                <w:r w:rsidR="00DF009B">
                  <w:rPr>
                    <w:noProof/>
                    <w:webHidden/>
                  </w:rPr>
                  <w:t>43</w:t>
                </w:r>
                <w:r w:rsidR="00DF009B">
                  <w:rPr>
                    <w:noProof/>
                    <w:webHidden/>
                  </w:rPr>
                  <w:fldChar w:fldCharType="end"/>
                </w:r>
              </w:hyperlink>
            </w:p>
            <w:p w14:paraId="0C535D12" w14:textId="52ECF6EC" w:rsidR="00DF009B" w:rsidRDefault="001357CA">
              <w:pPr>
                <w:pStyle w:val="TOC1"/>
                <w:tabs>
                  <w:tab w:val="right" w:leader="dot" w:pos="9016"/>
                </w:tabs>
                <w:rPr>
                  <w:rFonts w:eastAsiaTheme="minorEastAsia" w:cstheme="minorBidi"/>
                  <w:b w:val="0"/>
                  <w:bCs w:val="0"/>
                  <w:caps w:val="0"/>
                  <w:noProof/>
                  <w:sz w:val="24"/>
                  <w:szCs w:val="24"/>
                </w:rPr>
              </w:pPr>
              <w:hyperlink w:anchor="_Toc214840512" w:history="1">
                <w:r w:rsidR="00DF009B" w:rsidRPr="002C3D53">
                  <w:rPr>
                    <w:rStyle w:val="Hyperlink"/>
                    <w:rFonts w:eastAsiaTheme="majorEastAsia"/>
                    <w:noProof/>
                  </w:rPr>
                  <w:t>5.5 Reflection on the Research Process</w:t>
                </w:r>
                <w:r w:rsidR="00DF009B">
                  <w:rPr>
                    <w:noProof/>
                    <w:webHidden/>
                  </w:rPr>
                  <w:tab/>
                </w:r>
                <w:r w:rsidR="00DF009B">
                  <w:rPr>
                    <w:noProof/>
                    <w:webHidden/>
                  </w:rPr>
                  <w:fldChar w:fldCharType="begin"/>
                </w:r>
                <w:r w:rsidR="00DF009B">
                  <w:rPr>
                    <w:noProof/>
                    <w:webHidden/>
                  </w:rPr>
                  <w:instrText xml:space="preserve"> PAGEREF _Toc214840512 \h </w:instrText>
                </w:r>
                <w:r w:rsidR="00DF009B">
                  <w:rPr>
                    <w:noProof/>
                    <w:webHidden/>
                  </w:rPr>
                </w:r>
                <w:r w:rsidR="00DF009B">
                  <w:rPr>
                    <w:noProof/>
                    <w:webHidden/>
                  </w:rPr>
                  <w:fldChar w:fldCharType="separate"/>
                </w:r>
                <w:r w:rsidR="00DF009B">
                  <w:rPr>
                    <w:noProof/>
                    <w:webHidden/>
                  </w:rPr>
                  <w:t>45</w:t>
                </w:r>
                <w:r w:rsidR="00DF009B">
                  <w:rPr>
                    <w:noProof/>
                    <w:webHidden/>
                  </w:rPr>
                  <w:fldChar w:fldCharType="end"/>
                </w:r>
              </w:hyperlink>
            </w:p>
            <w:p w14:paraId="75262280" w14:textId="783C5B9D" w:rsidR="00DF009B" w:rsidRDefault="001357CA">
              <w:pPr>
                <w:pStyle w:val="TOC1"/>
                <w:tabs>
                  <w:tab w:val="right" w:leader="dot" w:pos="9016"/>
                </w:tabs>
                <w:rPr>
                  <w:rFonts w:eastAsiaTheme="minorEastAsia" w:cstheme="minorBidi"/>
                  <w:b w:val="0"/>
                  <w:bCs w:val="0"/>
                  <w:caps w:val="0"/>
                  <w:noProof/>
                  <w:sz w:val="24"/>
                  <w:szCs w:val="24"/>
                </w:rPr>
              </w:pPr>
              <w:hyperlink w:anchor="_Toc214840513" w:history="1">
                <w:r w:rsidR="00DF009B" w:rsidRPr="002C3D53">
                  <w:rPr>
                    <w:rStyle w:val="Hyperlink"/>
                    <w:rFonts w:eastAsiaTheme="majorEastAsia"/>
                    <w:noProof/>
                  </w:rPr>
                  <w:t>5.6 Study Limitations</w:t>
                </w:r>
                <w:r w:rsidR="00DF009B">
                  <w:rPr>
                    <w:noProof/>
                    <w:webHidden/>
                  </w:rPr>
                  <w:tab/>
                </w:r>
                <w:r w:rsidR="00DF009B">
                  <w:rPr>
                    <w:noProof/>
                    <w:webHidden/>
                  </w:rPr>
                  <w:fldChar w:fldCharType="begin"/>
                </w:r>
                <w:r w:rsidR="00DF009B">
                  <w:rPr>
                    <w:noProof/>
                    <w:webHidden/>
                  </w:rPr>
                  <w:instrText xml:space="preserve"> PAGEREF _Toc214840513 \h </w:instrText>
                </w:r>
                <w:r w:rsidR="00DF009B">
                  <w:rPr>
                    <w:noProof/>
                    <w:webHidden/>
                  </w:rPr>
                </w:r>
                <w:r w:rsidR="00DF009B">
                  <w:rPr>
                    <w:noProof/>
                    <w:webHidden/>
                  </w:rPr>
                  <w:fldChar w:fldCharType="separate"/>
                </w:r>
                <w:r w:rsidR="00DF009B">
                  <w:rPr>
                    <w:noProof/>
                    <w:webHidden/>
                  </w:rPr>
                  <w:t>45</w:t>
                </w:r>
                <w:r w:rsidR="00DF009B">
                  <w:rPr>
                    <w:noProof/>
                    <w:webHidden/>
                  </w:rPr>
                  <w:fldChar w:fldCharType="end"/>
                </w:r>
              </w:hyperlink>
            </w:p>
            <w:p w14:paraId="530673B9" w14:textId="6322F59B" w:rsidR="00DF009B" w:rsidRDefault="001357CA">
              <w:pPr>
                <w:pStyle w:val="TOC1"/>
                <w:tabs>
                  <w:tab w:val="right" w:leader="dot" w:pos="9016"/>
                </w:tabs>
                <w:rPr>
                  <w:rFonts w:eastAsiaTheme="minorEastAsia" w:cstheme="minorBidi"/>
                  <w:b w:val="0"/>
                  <w:bCs w:val="0"/>
                  <w:caps w:val="0"/>
                  <w:noProof/>
                  <w:sz w:val="24"/>
                  <w:szCs w:val="24"/>
                </w:rPr>
              </w:pPr>
              <w:hyperlink w:anchor="_Toc214840514" w:history="1">
                <w:r w:rsidR="00DF009B" w:rsidRPr="002C3D53">
                  <w:rPr>
                    <w:rStyle w:val="Hyperlink"/>
                    <w:rFonts w:eastAsiaTheme="majorEastAsia"/>
                    <w:noProof/>
                  </w:rPr>
                  <w:t>5.7 Conclusion</w:t>
                </w:r>
                <w:r w:rsidR="00DF009B">
                  <w:rPr>
                    <w:noProof/>
                    <w:webHidden/>
                  </w:rPr>
                  <w:tab/>
                </w:r>
                <w:r w:rsidR="00DF009B">
                  <w:rPr>
                    <w:noProof/>
                    <w:webHidden/>
                  </w:rPr>
                  <w:fldChar w:fldCharType="begin"/>
                </w:r>
                <w:r w:rsidR="00DF009B">
                  <w:rPr>
                    <w:noProof/>
                    <w:webHidden/>
                  </w:rPr>
                  <w:instrText xml:space="preserve"> PAGEREF _Toc214840514 \h </w:instrText>
                </w:r>
                <w:r w:rsidR="00DF009B">
                  <w:rPr>
                    <w:noProof/>
                    <w:webHidden/>
                  </w:rPr>
                </w:r>
                <w:r w:rsidR="00DF009B">
                  <w:rPr>
                    <w:noProof/>
                    <w:webHidden/>
                  </w:rPr>
                  <w:fldChar w:fldCharType="separate"/>
                </w:r>
                <w:r w:rsidR="00DF009B">
                  <w:rPr>
                    <w:noProof/>
                    <w:webHidden/>
                  </w:rPr>
                  <w:t>46</w:t>
                </w:r>
                <w:r w:rsidR="00DF009B">
                  <w:rPr>
                    <w:noProof/>
                    <w:webHidden/>
                  </w:rPr>
                  <w:fldChar w:fldCharType="end"/>
                </w:r>
              </w:hyperlink>
            </w:p>
            <w:p w14:paraId="39925759" w14:textId="34C619CB" w:rsidR="00DF009B" w:rsidRDefault="001357CA">
              <w:pPr>
                <w:pStyle w:val="TOC1"/>
                <w:tabs>
                  <w:tab w:val="right" w:leader="dot" w:pos="9016"/>
                </w:tabs>
                <w:rPr>
                  <w:rFonts w:eastAsiaTheme="minorEastAsia" w:cstheme="minorBidi"/>
                  <w:b w:val="0"/>
                  <w:bCs w:val="0"/>
                  <w:caps w:val="0"/>
                  <w:noProof/>
                  <w:sz w:val="24"/>
                  <w:szCs w:val="24"/>
                </w:rPr>
              </w:pPr>
              <w:hyperlink w:anchor="_Toc214840515" w:history="1">
                <w:r w:rsidR="00DF009B" w:rsidRPr="002C3D53">
                  <w:rPr>
                    <w:rStyle w:val="Hyperlink"/>
                    <w:rFonts w:eastAsiaTheme="majorEastAsia"/>
                    <w:noProof/>
                  </w:rPr>
                  <w:t>References</w:t>
                </w:r>
                <w:r w:rsidR="00DF009B">
                  <w:rPr>
                    <w:noProof/>
                    <w:webHidden/>
                  </w:rPr>
                  <w:tab/>
                </w:r>
                <w:r w:rsidR="00DF009B">
                  <w:rPr>
                    <w:noProof/>
                    <w:webHidden/>
                  </w:rPr>
                  <w:fldChar w:fldCharType="begin"/>
                </w:r>
                <w:r w:rsidR="00DF009B">
                  <w:rPr>
                    <w:noProof/>
                    <w:webHidden/>
                  </w:rPr>
                  <w:instrText xml:space="preserve"> PAGEREF _Toc214840515 \h </w:instrText>
                </w:r>
                <w:r w:rsidR="00DF009B">
                  <w:rPr>
                    <w:noProof/>
                    <w:webHidden/>
                  </w:rPr>
                </w:r>
                <w:r w:rsidR="00DF009B">
                  <w:rPr>
                    <w:noProof/>
                    <w:webHidden/>
                  </w:rPr>
                  <w:fldChar w:fldCharType="separate"/>
                </w:r>
                <w:r w:rsidR="00DF009B">
                  <w:rPr>
                    <w:noProof/>
                    <w:webHidden/>
                  </w:rPr>
                  <w:t>47</w:t>
                </w:r>
                <w:r w:rsidR="00DF009B">
                  <w:rPr>
                    <w:noProof/>
                    <w:webHidden/>
                  </w:rPr>
                  <w:fldChar w:fldCharType="end"/>
                </w:r>
              </w:hyperlink>
            </w:p>
            <w:p w14:paraId="3E2DD4B0" w14:textId="551D05DC" w:rsidR="00DF009B" w:rsidRDefault="001357CA">
              <w:pPr>
                <w:pStyle w:val="TOC1"/>
                <w:tabs>
                  <w:tab w:val="right" w:leader="dot" w:pos="9016"/>
                </w:tabs>
                <w:rPr>
                  <w:rFonts w:eastAsiaTheme="minorEastAsia" w:cstheme="minorBidi"/>
                  <w:b w:val="0"/>
                  <w:bCs w:val="0"/>
                  <w:caps w:val="0"/>
                  <w:noProof/>
                  <w:sz w:val="24"/>
                  <w:szCs w:val="24"/>
                </w:rPr>
              </w:pPr>
              <w:hyperlink w:anchor="_Toc214840516" w:history="1">
                <w:r w:rsidR="00DF009B" w:rsidRPr="002C3D53">
                  <w:rPr>
                    <w:rStyle w:val="Hyperlink"/>
                    <w:rFonts w:eastAsiaTheme="majorEastAsia" w:cs="Arial"/>
                    <w:noProof/>
                  </w:rPr>
                  <w:t>Appendix A: Thematic Summary Matrix</w:t>
                </w:r>
                <w:r w:rsidR="00DF009B">
                  <w:rPr>
                    <w:noProof/>
                    <w:webHidden/>
                  </w:rPr>
                  <w:tab/>
                </w:r>
                <w:r w:rsidR="00DF009B">
                  <w:rPr>
                    <w:noProof/>
                    <w:webHidden/>
                  </w:rPr>
                  <w:fldChar w:fldCharType="begin"/>
                </w:r>
                <w:r w:rsidR="00DF009B">
                  <w:rPr>
                    <w:noProof/>
                    <w:webHidden/>
                  </w:rPr>
                  <w:instrText xml:space="preserve"> PAGEREF _Toc214840516 \h </w:instrText>
                </w:r>
                <w:r w:rsidR="00DF009B">
                  <w:rPr>
                    <w:noProof/>
                    <w:webHidden/>
                  </w:rPr>
                </w:r>
                <w:r w:rsidR="00DF009B">
                  <w:rPr>
                    <w:noProof/>
                    <w:webHidden/>
                  </w:rPr>
                  <w:fldChar w:fldCharType="separate"/>
                </w:r>
                <w:r w:rsidR="00DF009B">
                  <w:rPr>
                    <w:noProof/>
                    <w:webHidden/>
                  </w:rPr>
                  <w:t>57</w:t>
                </w:r>
                <w:r w:rsidR="00DF009B">
                  <w:rPr>
                    <w:noProof/>
                    <w:webHidden/>
                  </w:rPr>
                  <w:fldChar w:fldCharType="end"/>
                </w:r>
              </w:hyperlink>
            </w:p>
            <w:p w14:paraId="7F45383A" w14:textId="58B654DE" w:rsidR="00DF009B" w:rsidRDefault="001357CA">
              <w:pPr>
                <w:pStyle w:val="TOC1"/>
                <w:tabs>
                  <w:tab w:val="right" w:leader="dot" w:pos="9016"/>
                </w:tabs>
                <w:rPr>
                  <w:rFonts w:eastAsiaTheme="minorEastAsia" w:cstheme="minorBidi"/>
                  <w:b w:val="0"/>
                  <w:bCs w:val="0"/>
                  <w:caps w:val="0"/>
                  <w:noProof/>
                  <w:sz w:val="24"/>
                  <w:szCs w:val="24"/>
                </w:rPr>
              </w:pPr>
              <w:hyperlink w:anchor="_Toc214840517" w:history="1">
                <w:r w:rsidR="00DF009B" w:rsidRPr="002C3D53">
                  <w:rPr>
                    <w:rStyle w:val="Hyperlink"/>
                    <w:rFonts w:eastAsiaTheme="majorEastAsia"/>
                    <w:noProof/>
                  </w:rPr>
                  <w:t>colour-coded style table</w:t>
                </w:r>
                <w:r w:rsidR="00DF009B">
                  <w:rPr>
                    <w:noProof/>
                    <w:webHidden/>
                  </w:rPr>
                  <w:tab/>
                </w:r>
                <w:r w:rsidR="00DF009B">
                  <w:rPr>
                    <w:noProof/>
                    <w:webHidden/>
                  </w:rPr>
                  <w:fldChar w:fldCharType="begin"/>
                </w:r>
                <w:r w:rsidR="00DF009B">
                  <w:rPr>
                    <w:noProof/>
                    <w:webHidden/>
                  </w:rPr>
                  <w:instrText xml:space="preserve"> PAGEREF _Toc214840517 \h </w:instrText>
                </w:r>
                <w:r w:rsidR="00DF009B">
                  <w:rPr>
                    <w:noProof/>
                    <w:webHidden/>
                  </w:rPr>
                </w:r>
                <w:r w:rsidR="00DF009B">
                  <w:rPr>
                    <w:noProof/>
                    <w:webHidden/>
                  </w:rPr>
                  <w:fldChar w:fldCharType="separate"/>
                </w:r>
                <w:r w:rsidR="00DF009B">
                  <w:rPr>
                    <w:noProof/>
                    <w:webHidden/>
                  </w:rPr>
                  <w:t>58</w:t>
                </w:r>
                <w:r w:rsidR="00DF009B">
                  <w:rPr>
                    <w:noProof/>
                    <w:webHidden/>
                  </w:rPr>
                  <w:fldChar w:fldCharType="end"/>
                </w:r>
              </w:hyperlink>
            </w:p>
            <w:p w14:paraId="1D8B168A" w14:textId="3C7CC899" w:rsidR="00DF009B" w:rsidRDefault="001357CA">
              <w:pPr>
                <w:pStyle w:val="TOC1"/>
                <w:tabs>
                  <w:tab w:val="right" w:leader="dot" w:pos="9016"/>
                </w:tabs>
                <w:rPr>
                  <w:rFonts w:eastAsiaTheme="minorEastAsia" w:cstheme="minorBidi"/>
                  <w:b w:val="0"/>
                  <w:bCs w:val="0"/>
                  <w:caps w:val="0"/>
                  <w:noProof/>
                  <w:sz w:val="24"/>
                  <w:szCs w:val="24"/>
                </w:rPr>
              </w:pPr>
              <w:hyperlink w:anchor="_Toc214840518" w:history="1">
                <w:r w:rsidR="00DF009B" w:rsidRPr="002C3D53">
                  <w:rPr>
                    <w:rStyle w:val="Hyperlink"/>
                    <w:rFonts w:eastAsiaTheme="majorEastAsia" w:cs="Arial"/>
                    <w:noProof/>
                  </w:rPr>
                  <w:t>Source Tracking Table</w:t>
                </w:r>
                <w:r w:rsidR="00DF009B">
                  <w:rPr>
                    <w:noProof/>
                    <w:webHidden/>
                  </w:rPr>
                  <w:tab/>
                </w:r>
                <w:r w:rsidR="00DF009B">
                  <w:rPr>
                    <w:noProof/>
                    <w:webHidden/>
                  </w:rPr>
                  <w:fldChar w:fldCharType="begin"/>
                </w:r>
                <w:r w:rsidR="00DF009B">
                  <w:rPr>
                    <w:noProof/>
                    <w:webHidden/>
                  </w:rPr>
                  <w:instrText xml:space="preserve"> PAGEREF _Toc214840518 \h </w:instrText>
                </w:r>
                <w:r w:rsidR="00DF009B">
                  <w:rPr>
                    <w:noProof/>
                    <w:webHidden/>
                  </w:rPr>
                </w:r>
                <w:r w:rsidR="00DF009B">
                  <w:rPr>
                    <w:noProof/>
                    <w:webHidden/>
                  </w:rPr>
                  <w:fldChar w:fldCharType="separate"/>
                </w:r>
                <w:r w:rsidR="00DF009B">
                  <w:rPr>
                    <w:noProof/>
                    <w:webHidden/>
                  </w:rPr>
                  <w:t>59</w:t>
                </w:r>
                <w:r w:rsidR="00DF009B">
                  <w:rPr>
                    <w:noProof/>
                    <w:webHidden/>
                  </w:rPr>
                  <w:fldChar w:fldCharType="end"/>
                </w:r>
              </w:hyperlink>
            </w:p>
            <w:p w14:paraId="7BEC5D35" w14:textId="113A3EFE" w:rsidR="00DF009B" w:rsidRDefault="001357CA">
              <w:pPr>
                <w:pStyle w:val="TOC1"/>
                <w:tabs>
                  <w:tab w:val="right" w:leader="dot" w:pos="9016"/>
                </w:tabs>
                <w:rPr>
                  <w:rFonts w:eastAsiaTheme="minorEastAsia" w:cstheme="minorBidi"/>
                  <w:b w:val="0"/>
                  <w:bCs w:val="0"/>
                  <w:caps w:val="0"/>
                  <w:noProof/>
                  <w:sz w:val="24"/>
                  <w:szCs w:val="24"/>
                </w:rPr>
              </w:pPr>
              <w:hyperlink w:anchor="_Toc214840519" w:history="1">
                <w:r w:rsidR="00DF009B" w:rsidRPr="002C3D53">
                  <w:rPr>
                    <w:rStyle w:val="Hyperlink"/>
                    <w:rFonts w:eastAsiaTheme="majorEastAsia" w:cs="Arial"/>
                    <w:noProof/>
                  </w:rPr>
                  <w:t>Summary of Key Findings &amp; Recommendations</w:t>
                </w:r>
                <w:r w:rsidR="00DF009B">
                  <w:rPr>
                    <w:noProof/>
                    <w:webHidden/>
                  </w:rPr>
                  <w:tab/>
                </w:r>
                <w:r w:rsidR="00DF009B">
                  <w:rPr>
                    <w:noProof/>
                    <w:webHidden/>
                  </w:rPr>
                  <w:fldChar w:fldCharType="begin"/>
                </w:r>
                <w:r w:rsidR="00DF009B">
                  <w:rPr>
                    <w:noProof/>
                    <w:webHidden/>
                  </w:rPr>
                  <w:instrText xml:space="preserve"> PAGEREF _Toc214840519 \h </w:instrText>
                </w:r>
                <w:r w:rsidR="00DF009B">
                  <w:rPr>
                    <w:noProof/>
                    <w:webHidden/>
                  </w:rPr>
                </w:r>
                <w:r w:rsidR="00DF009B">
                  <w:rPr>
                    <w:noProof/>
                    <w:webHidden/>
                  </w:rPr>
                  <w:fldChar w:fldCharType="separate"/>
                </w:r>
                <w:r w:rsidR="00DF009B">
                  <w:rPr>
                    <w:noProof/>
                    <w:webHidden/>
                  </w:rPr>
                  <w:t>61</w:t>
                </w:r>
                <w:r w:rsidR="00DF009B">
                  <w:rPr>
                    <w:noProof/>
                    <w:webHidden/>
                  </w:rPr>
                  <w:fldChar w:fldCharType="end"/>
                </w:r>
              </w:hyperlink>
            </w:p>
            <w:p w14:paraId="2611F3FF" w14:textId="35C0B97C" w:rsidR="00DC1BB0" w:rsidRDefault="00F31AEC" w:rsidP="00DC1BB0">
              <w:pPr>
                <w:rPr>
                  <w:rFonts w:asciiTheme="minorHAnsi" w:eastAsiaTheme="minorHAnsi" w:hAnsiTheme="minorHAnsi" w:cstheme="minorBidi"/>
                  <w:i/>
                  <w:sz w:val="24"/>
                  <w:lang w:eastAsia="en-US"/>
                </w:rPr>
              </w:pPr>
              <w:r>
                <w:rPr>
                  <w:b/>
                  <w:bCs/>
                  <w:noProof/>
                </w:rPr>
                <w:lastRenderedPageBreak/>
                <w:fldChar w:fldCharType="end"/>
              </w:r>
            </w:p>
          </w:sdtContent>
        </w:sdt>
      </w:sdtContent>
    </w:sdt>
    <w:p w14:paraId="66912A3E" w14:textId="3BC8EBFC" w:rsidR="00656CF3" w:rsidRPr="00DC1BB0" w:rsidRDefault="00656CF3" w:rsidP="00DC1BB0">
      <w:pPr>
        <w:pStyle w:val="Heading1"/>
        <w:rPr>
          <w:noProof/>
          <w:szCs w:val="24"/>
        </w:rPr>
      </w:pPr>
      <w:bookmarkStart w:id="3" w:name="_Toc214840434"/>
      <w:r w:rsidRPr="00833777">
        <w:t>CHAPTER 1: INTRODUCTION</w:t>
      </w:r>
      <w:bookmarkEnd w:id="3"/>
    </w:p>
    <w:p w14:paraId="3FE4199A" w14:textId="0E2B0933" w:rsidR="00E75ACC" w:rsidRDefault="00E75ACC" w:rsidP="00DC1BB0">
      <w:pPr>
        <w:spacing w:line="360" w:lineRule="auto"/>
        <w:rPr>
          <w:rFonts w:cs="Arial"/>
          <w:szCs w:val="22"/>
        </w:rPr>
      </w:pPr>
      <w:r w:rsidRPr="00DC1BB0">
        <w:rPr>
          <w:rFonts w:cs="Arial"/>
          <w:szCs w:val="22"/>
        </w:rPr>
        <w:t>Research Focus and Title Evolution</w:t>
      </w:r>
    </w:p>
    <w:p w14:paraId="240CA6D2" w14:textId="77777777" w:rsidR="00DC1BB0" w:rsidRPr="00DC1BB0" w:rsidRDefault="00DC1BB0" w:rsidP="00DC1BB0">
      <w:pPr>
        <w:spacing w:line="360" w:lineRule="auto"/>
        <w:rPr>
          <w:rFonts w:cs="Arial"/>
          <w:szCs w:val="22"/>
        </w:rPr>
      </w:pPr>
    </w:p>
    <w:p w14:paraId="5211C122" w14:textId="77777777" w:rsidR="00DC1BB0" w:rsidRPr="00DC1BB0" w:rsidRDefault="00DC1BB0" w:rsidP="00DC1BB0">
      <w:pPr>
        <w:spacing w:line="360" w:lineRule="auto"/>
        <w:rPr>
          <w:rFonts w:cs="Arial"/>
          <w:szCs w:val="22"/>
        </w:rPr>
      </w:pPr>
      <w:r w:rsidRPr="00DC1BB0">
        <w:rPr>
          <w:rFonts w:cs="Arial"/>
          <w:color w:val="000000"/>
          <w:szCs w:val="22"/>
        </w:rPr>
        <w:t>The dissertation was originally titled “Substance Abuse in the UK: A Demographic Investigation of Risk Patterns and Mental Health Correlates.” However, literature and preliminary studies indicate that socioeconomic factors, particularly low income, strongly influence substance abuse and untreated mental health issues in England. This study focuses on low-income status, substance abuse, and mental health to better understand these challenges, addressing health disparities and informing public health policy. While the original title remains, the analysis reflects this refined focus.</w:t>
      </w:r>
    </w:p>
    <w:p w14:paraId="70D53F23" w14:textId="4E802ADD" w:rsidR="00E75ACC" w:rsidRPr="00656CF3" w:rsidRDefault="00E75ACC" w:rsidP="00901E26">
      <w:pPr>
        <w:spacing w:before="100" w:beforeAutospacing="1" w:after="100" w:afterAutospacing="1" w:line="360" w:lineRule="auto"/>
        <w:outlineLvl w:val="0"/>
        <w:rPr>
          <w:rFonts w:cs="Arial"/>
          <w:b/>
          <w:bCs/>
          <w:color w:val="000000" w:themeColor="text1"/>
          <w:kern w:val="36"/>
          <w:szCs w:val="22"/>
        </w:rPr>
      </w:pPr>
    </w:p>
    <w:p w14:paraId="6A0E7545" w14:textId="77777777" w:rsidR="00656CF3" w:rsidRPr="005A439E" w:rsidRDefault="00656CF3" w:rsidP="005A439E">
      <w:pPr>
        <w:pStyle w:val="Heading2"/>
      </w:pPr>
      <w:bookmarkStart w:id="4" w:name="_Toc214840435"/>
      <w:r w:rsidRPr="005A439E">
        <w:t>1.1 What is this research about?</w:t>
      </w:r>
      <w:bookmarkEnd w:id="4"/>
    </w:p>
    <w:p w14:paraId="036F5B8B" w14:textId="201D0C01" w:rsidR="00124393" w:rsidRDefault="00124393" w:rsidP="00901E26">
      <w:pPr>
        <w:spacing w:before="100" w:beforeAutospacing="1" w:after="100" w:afterAutospacing="1" w:line="360" w:lineRule="auto"/>
        <w:rPr>
          <w:rFonts w:cs="Arial"/>
          <w:color w:val="000000" w:themeColor="text1"/>
          <w:szCs w:val="22"/>
        </w:rPr>
      </w:pPr>
      <w:r w:rsidRPr="00124393">
        <w:rPr>
          <w:rFonts w:cs="Arial"/>
          <w:color w:val="000000" w:themeColor="text1"/>
          <w:szCs w:val="22"/>
        </w:rPr>
        <w:t xml:space="preserve">This dissertation aims to investigate the intricate and interconnected relationship among substance misuse, low-income status, and untreated mental health disorders in England. It is built around the central question: How does being </w:t>
      </w:r>
      <w:proofErr w:type="gramStart"/>
      <w:r w:rsidRPr="00124393">
        <w:rPr>
          <w:rFonts w:cs="Arial"/>
          <w:color w:val="000000" w:themeColor="text1"/>
          <w:szCs w:val="22"/>
        </w:rPr>
        <w:t>economically disadvantaged</w:t>
      </w:r>
      <w:proofErr w:type="gramEnd"/>
      <w:r w:rsidRPr="00124393">
        <w:rPr>
          <w:rFonts w:cs="Arial"/>
          <w:color w:val="000000" w:themeColor="text1"/>
          <w:szCs w:val="22"/>
        </w:rPr>
        <w:t xml:space="preserve"> influence the patterns of substance misuse and untreated mental ill-health, and what demographic and service-access factors underlie this relationship?  By turning attention to England’s low-income populations, this study aims to map how socioeconomic disadvantage, mental health challenges (such as anxiety, </w:t>
      </w:r>
      <w:proofErr w:type="gramStart"/>
      <w:r w:rsidRPr="00124393">
        <w:rPr>
          <w:rFonts w:cs="Arial"/>
          <w:color w:val="000000" w:themeColor="text1"/>
          <w:szCs w:val="22"/>
        </w:rPr>
        <w:t>depression</w:t>
      </w:r>
      <w:proofErr w:type="gramEnd"/>
      <w:r w:rsidRPr="00124393">
        <w:rPr>
          <w:rFonts w:cs="Arial"/>
          <w:color w:val="000000" w:themeColor="text1"/>
          <w:szCs w:val="22"/>
        </w:rPr>
        <w:t xml:space="preserve"> and trauma) and substance misuse interact and reinforce each other.</w:t>
      </w:r>
    </w:p>
    <w:p w14:paraId="15623C36" w14:textId="77777777" w:rsidR="00C01ACC" w:rsidRPr="00124393" w:rsidRDefault="00C01ACC" w:rsidP="00901E26">
      <w:pPr>
        <w:spacing w:before="100" w:beforeAutospacing="1" w:after="100" w:afterAutospacing="1" w:line="360" w:lineRule="auto"/>
        <w:rPr>
          <w:rFonts w:cs="Arial"/>
          <w:color w:val="000000" w:themeColor="text1"/>
          <w:szCs w:val="22"/>
        </w:rPr>
      </w:pPr>
    </w:p>
    <w:p w14:paraId="25D4E523" w14:textId="77777777" w:rsidR="00656CF3" w:rsidRPr="00901E26" w:rsidRDefault="00656CF3" w:rsidP="00C01ACC">
      <w:pPr>
        <w:pStyle w:val="Heading2"/>
      </w:pPr>
      <w:bookmarkStart w:id="5" w:name="_Toc214840436"/>
      <w:r w:rsidRPr="00901E26">
        <w:t>1.2 Why is this research important?</w:t>
      </w:r>
      <w:bookmarkEnd w:id="5"/>
    </w:p>
    <w:p w14:paraId="5429374B" w14:textId="77777777" w:rsidR="00EE5BE9" w:rsidRPr="00901E26" w:rsidRDefault="00EE5BE9"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research is significant for three primary reasons:</w:t>
      </w:r>
    </w:p>
    <w:p w14:paraId="0145B4F8" w14:textId="62EFEF88" w:rsidR="00C05A93" w:rsidRPr="00901E26" w:rsidRDefault="00C05A93" w:rsidP="00901E26">
      <w:pPr>
        <w:pStyle w:val="ListParagraph"/>
        <w:numPr>
          <w:ilvl w:val="0"/>
          <w:numId w:val="1"/>
        </w:numPr>
        <w:spacing w:before="100" w:beforeAutospacing="1" w:after="100" w:afterAutospacing="1" w:line="360" w:lineRule="auto"/>
        <w:rPr>
          <w:rFonts w:cs="Arial"/>
          <w:color w:val="000000" w:themeColor="text1"/>
          <w:szCs w:val="22"/>
        </w:rPr>
      </w:pPr>
      <w:r w:rsidRPr="00901E26">
        <w:rPr>
          <w:rFonts w:cs="Arial"/>
          <w:color w:val="000000" w:themeColor="text1"/>
          <w:szCs w:val="22"/>
        </w:rPr>
        <w:t>Social justice and health disparities: Low-income people are more likely to have untreated substance misuse and mental health issues, yet often have trouble receiving care. Displaying these intersections corrects unfair inequalities in illness severity and care accessibility. In England's poorest deciles, Marmot's (2020) major review found that life expectancy has stopped rising and health inequities have worsened.</w:t>
      </w:r>
    </w:p>
    <w:p w14:paraId="29C52DCB" w14:textId="77777777" w:rsidR="00C05A93" w:rsidRPr="00901E26" w:rsidRDefault="00C05A93" w:rsidP="00901E26">
      <w:pPr>
        <w:spacing w:before="100" w:beforeAutospacing="1" w:after="100" w:afterAutospacing="1" w:line="360" w:lineRule="auto"/>
        <w:ind w:left="360"/>
        <w:rPr>
          <w:rFonts w:cs="Arial"/>
          <w:color w:val="000000" w:themeColor="text1"/>
          <w:szCs w:val="22"/>
        </w:rPr>
      </w:pPr>
    </w:p>
    <w:p w14:paraId="1F9048C4" w14:textId="77777777" w:rsidR="00C05A93" w:rsidRPr="00901E26" w:rsidRDefault="00C05A93" w:rsidP="00901E26">
      <w:pPr>
        <w:pStyle w:val="ListParagraph"/>
        <w:numPr>
          <w:ilvl w:val="0"/>
          <w:numId w:val="1"/>
        </w:numPr>
        <w:spacing w:before="100" w:beforeAutospacing="1" w:after="100" w:afterAutospacing="1" w:line="360" w:lineRule="auto"/>
        <w:rPr>
          <w:rFonts w:cs="Arial"/>
          <w:color w:val="000000" w:themeColor="text1"/>
          <w:szCs w:val="22"/>
        </w:rPr>
      </w:pPr>
      <w:r w:rsidRPr="00901E26">
        <w:rPr>
          <w:rFonts w:cs="Arial"/>
          <w:color w:val="000000" w:themeColor="text1"/>
          <w:szCs w:val="22"/>
        </w:rPr>
        <w:t>Service planning and policy relevance: Understanding the co-occurrence of low poverty, mental health issues, and drug misuse might help create more coherent treatment and preventive initiatives, especially for communities underserved by service silos.</w:t>
      </w:r>
    </w:p>
    <w:p w14:paraId="31DEB5CF" w14:textId="2C511FA9" w:rsidR="00656CF3" w:rsidRPr="00901E26" w:rsidRDefault="00C05A93" w:rsidP="00901E26">
      <w:pPr>
        <w:pStyle w:val="ListParagraph"/>
        <w:numPr>
          <w:ilvl w:val="0"/>
          <w:numId w:val="1"/>
        </w:numPr>
        <w:spacing w:before="100" w:beforeAutospacing="1" w:after="100" w:afterAutospacing="1" w:line="360" w:lineRule="auto"/>
        <w:rPr>
          <w:rFonts w:cs="Arial"/>
          <w:color w:val="000000" w:themeColor="text1"/>
          <w:szCs w:val="22"/>
        </w:rPr>
      </w:pPr>
      <w:r w:rsidRPr="00901E26">
        <w:rPr>
          <w:rFonts w:cs="Arial"/>
          <w:color w:val="000000" w:themeColor="text1"/>
          <w:szCs w:val="22"/>
        </w:rPr>
        <w:t>Many studies have examined substance abuse and mental ill-health independently, but few have examined their intersection among low-income groups in England and the role of untreated mental health as a mediator. After COVID-19, mental health and service access have been extremely difficult, making this gap particularly crucial.</w:t>
      </w:r>
    </w:p>
    <w:p w14:paraId="47F18583" w14:textId="77777777" w:rsidR="00656CF3" w:rsidRPr="00901E26" w:rsidRDefault="00656CF3" w:rsidP="00C01ACC">
      <w:pPr>
        <w:pStyle w:val="Heading2"/>
      </w:pPr>
      <w:bookmarkStart w:id="6" w:name="_Toc214840437"/>
      <w:r w:rsidRPr="00901E26">
        <w:t>1.3 How will the study approach this issue?</w:t>
      </w:r>
      <w:bookmarkEnd w:id="6"/>
    </w:p>
    <w:p w14:paraId="744F2401" w14:textId="77777777" w:rsidR="00DC1BB0" w:rsidRPr="009C72BD" w:rsidRDefault="00DC1BB0" w:rsidP="00DC1BB0">
      <w:pPr>
        <w:spacing w:line="360" w:lineRule="auto"/>
        <w:rPr>
          <w:rFonts w:cs="Arial"/>
          <w:szCs w:val="22"/>
        </w:rPr>
      </w:pPr>
      <w:r w:rsidRPr="009C72BD">
        <w:rPr>
          <w:rFonts w:cs="Arial"/>
          <w:color w:val="000000"/>
          <w:szCs w:val="22"/>
        </w:rPr>
        <w:t xml:space="preserve">This research will use a systematic review and thematic analysis to explore how low income, substance misuse, and untreated mental health issues are connected in England. It will review studies from the past ten years across academic databases and national sources such as NHS Digital, Public Health England, and the Office for National Statistics (ONS). Each study will be carefully assessed for quality using established tools like CASP and the Newcastle-Ottawa </w:t>
      </w:r>
      <w:proofErr w:type="gramStart"/>
      <w:r w:rsidRPr="009C72BD">
        <w:rPr>
          <w:rFonts w:cs="Arial"/>
          <w:color w:val="000000"/>
          <w:szCs w:val="22"/>
        </w:rPr>
        <w:t>Scale ,</w:t>
      </w:r>
      <w:proofErr w:type="gramEnd"/>
      <w:r w:rsidRPr="009C72BD">
        <w:rPr>
          <w:rFonts w:cs="Arial"/>
          <w:color w:val="000000"/>
          <w:szCs w:val="22"/>
        </w:rPr>
        <w:t xml:space="preserve"> and key themes</w:t>
      </w:r>
      <w:r w:rsidRPr="00DC1BB0">
        <w:rPr>
          <w:rFonts w:cs="Arial"/>
          <w:color w:val="000000"/>
          <w:szCs w:val="22"/>
        </w:rPr>
        <w:t xml:space="preserve"> </w:t>
      </w:r>
      <w:r w:rsidRPr="009C72BD">
        <w:rPr>
          <w:rFonts w:cs="Arial"/>
          <w:color w:val="000000"/>
          <w:szCs w:val="22"/>
        </w:rPr>
        <w:t>such as social disadvantage, barriers to mental health care, and access to treatment</w:t>
      </w:r>
      <w:r w:rsidRPr="00DC1BB0">
        <w:rPr>
          <w:rFonts w:cs="Arial"/>
          <w:color w:val="000000"/>
          <w:szCs w:val="22"/>
        </w:rPr>
        <w:t xml:space="preserve"> </w:t>
      </w:r>
      <w:r w:rsidRPr="009C72BD">
        <w:rPr>
          <w:rFonts w:cs="Arial"/>
          <w:color w:val="000000"/>
          <w:szCs w:val="22"/>
        </w:rPr>
        <w:t>will be identified using Braun &amp; Clarke’s six-phase framework. The findings will inform practical public health and policy recommendations aimed at supporting low-income communities.</w:t>
      </w:r>
    </w:p>
    <w:p w14:paraId="6EF4128B" w14:textId="77777777" w:rsidR="00656CF3" w:rsidRPr="00C01ACC" w:rsidRDefault="00656CF3" w:rsidP="00C01ACC">
      <w:pPr>
        <w:pStyle w:val="Heading2"/>
      </w:pPr>
      <w:bookmarkStart w:id="7" w:name="_Toc214840438"/>
      <w:r w:rsidRPr="00C01ACC">
        <w:t>Key Term Definitions &amp; Acronyms</w:t>
      </w:r>
      <w:bookmarkEnd w:id="7"/>
    </w:p>
    <w:p w14:paraId="24784573"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Substance Misuse: The harmful or hazardous use of psychoactive substances (including illicit drugs and misuse of legal drugs), which can lead to dependence or social/health consequences (WHO, 2021).</w:t>
      </w:r>
    </w:p>
    <w:p w14:paraId="350D166F"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Low-Income Status: A socioeconomic condition in which individuals or households are earning below a defined threshold (commonly 60% of median national income), often with restricted access to health, </w:t>
      </w:r>
      <w:proofErr w:type="gramStart"/>
      <w:r w:rsidRPr="00656CF3">
        <w:rPr>
          <w:rFonts w:cs="Arial"/>
          <w:color w:val="000000" w:themeColor="text1"/>
          <w:szCs w:val="22"/>
        </w:rPr>
        <w:t>education</w:t>
      </w:r>
      <w:proofErr w:type="gramEnd"/>
      <w:r w:rsidRPr="00656CF3">
        <w:rPr>
          <w:rFonts w:cs="Arial"/>
          <w:color w:val="000000" w:themeColor="text1"/>
          <w:szCs w:val="22"/>
        </w:rPr>
        <w:t xml:space="preserve"> or social services (DWP, 2023).</w:t>
      </w:r>
    </w:p>
    <w:p w14:paraId="52226901"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Socioeconomic Status (SES): A composite measure typically incorporating income, education and occupation that reflects an individual’s or group’s position in society (Adler &amp; Newman, 2002).</w:t>
      </w:r>
    </w:p>
    <w:p w14:paraId="0D232C8C"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Mental Health Disorders: Clinically recognised conditions that significantly impair cognitive, </w:t>
      </w:r>
      <w:proofErr w:type="gramStart"/>
      <w:r w:rsidRPr="00656CF3">
        <w:rPr>
          <w:rFonts w:cs="Arial"/>
          <w:color w:val="000000" w:themeColor="text1"/>
          <w:szCs w:val="22"/>
        </w:rPr>
        <w:t>emotional</w:t>
      </w:r>
      <w:proofErr w:type="gramEnd"/>
      <w:r w:rsidRPr="00656CF3">
        <w:rPr>
          <w:rFonts w:cs="Arial"/>
          <w:color w:val="000000" w:themeColor="text1"/>
          <w:szCs w:val="22"/>
        </w:rPr>
        <w:t xml:space="preserve"> or social functioning (e.g., depression, anxiety, PTSD) (WHO, 2022).</w:t>
      </w:r>
    </w:p>
    <w:p w14:paraId="1970C0E4"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lastRenderedPageBreak/>
        <w:t xml:space="preserve">Untreated Mental Health Disorders: Mental health conditions in which the person has not accessed or received appropriate clinical or community-based treatment, often owing to structural, </w:t>
      </w:r>
      <w:proofErr w:type="gramStart"/>
      <w:r w:rsidRPr="00656CF3">
        <w:rPr>
          <w:rFonts w:cs="Arial"/>
          <w:color w:val="000000" w:themeColor="text1"/>
          <w:szCs w:val="22"/>
        </w:rPr>
        <w:t>social</w:t>
      </w:r>
      <w:proofErr w:type="gramEnd"/>
      <w:r w:rsidRPr="00656CF3">
        <w:rPr>
          <w:rFonts w:cs="Arial"/>
          <w:color w:val="000000" w:themeColor="text1"/>
          <w:szCs w:val="22"/>
        </w:rPr>
        <w:t xml:space="preserve"> or personal barriers (Mind, 2023).</w:t>
      </w:r>
    </w:p>
    <w:p w14:paraId="15A4AFFD"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Health Inequalities: Systematic, </w:t>
      </w:r>
      <w:proofErr w:type="gramStart"/>
      <w:r w:rsidRPr="00656CF3">
        <w:rPr>
          <w:rFonts w:cs="Arial"/>
          <w:color w:val="000000" w:themeColor="text1"/>
          <w:szCs w:val="22"/>
        </w:rPr>
        <w:t>avoidable</w:t>
      </w:r>
      <w:proofErr w:type="gramEnd"/>
      <w:r w:rsidRPr="00656CF3">
        <w:rPr>
          <w:rFonts w:cs="Arial"/>
          <w:color w:val="000000" w:themeColor="text1"/>
          <w:szCs w:val="22"/>
        </w:rPr>
        <w:t xml:space="preserve"> and unfair differences in health outcomes between different social groups, often rooted in social and economic disadvantage (Marmot et al., 2020).</w:t>
      </w:r>
    </w:p>
    <w:p w14:paraId="6A00497C"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Substance Use Disorder (SUD): A medical condition characterised by compulsive use of a substance despite harmful consequences (American Psychiatric Association, 2022).</w:t>
      </w:r>
    </w:p>
    <w:p w14:paraId="28100C50"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Comorbidity: The co-existence of two or more disorders or illnesses in the same individual (e.g., a substance </w:t>
      </w:r>
      <w:proofErr w:type="gramStart"/>
      <w:r w:rsidRPr="00656CF3">
        <w:rPr>
          <w:rFonts w:cs="Arial"/>
          <w:color w:val="000000" w:themeColor="text1"/>
          <w:szCs w:val="22"/>
        </w:rPr>
        <w:t>use</w:t>
      </w:r>
      <w:proofErr w:type="gramEnd"/>
      <w:r w:rsidRPr="00656CF3">
        <w:rPr>
          <w:rFonts w:cs="Arial"/>
          <w:color w:val="000000" w:themeColor="text1"/>
          <w:szCs w:val="22"/>
        </w:rPr>
        <w:t xml:space="preserve"> disorder and major depressive disorder) (NICE, 2021).</w:t>
      </w:r>
    </w:p>
    <w:p w14:paraId="0AB532FB" w14:textId="112E3479"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Adverse Childhood Experiences (ACEs): Potentially traumatic events experienced in childhood (such as abuse, </w:t>
      </w:r>
      <w:proofErr w:type="gramStart"/>
      <w:r w:rsidRPr="00656CF3">
        <w:rPr>
          <w:rFonts w:cs="Arial"/>
          <w:color w:val="000000" w:themeColor="text1"/>
          <w:szCs w:val="22"/>
        </w:rPr>
        <w:t>neglect</w:t>
      </w:r>
      <w:proofErr w:type="gramEnd"/>
      <w:r w:rsidRPr="00656CF3">
        <w:rPr>
          <w:rFonts w:cs="Arial"/>
          <w:color w:val="000000" w:themeColor="text1"/>
          <w:szCs w:val="22"/>
        </w:rPr>
        <w:t xml:space="preserve"> or household dysfunction) that increase </w:t>
      </w:r>
      <w:r w:rsidR="005C3947" w:rsidRPr="00901E26">
        <w:rPr>
          <w:rFonts w:cs="Arial"/>
          <w:color w:val="000000" w:themeColor="text1"/>
          <w:szCs w:val="22"/>
        </w:rPr>
        <w:t xml:space="preserve">the </w:t>
      </w:r>
      <w:r w:rsidRPr="00656CF3">
        <w:rPr>
          <w:rFonts w:cs="Arial"/>
          <w:color w:val="000000" w:themeColor="text1"/>
          <w:szCs w:val="22"/>
        </w:rPr>
        <w:t>risk of later substance misuse and mental health difficulties (Hughes et al., 2017).</w:t>
      </w:r>
    </w:p>
    <w:p w14:paraId="70EF0538" w14:textId="3ADDFA5B" w:rsidR="00901E26" w:rsidRPr="00656CF3" w:rsidRDefault="00656CF3" w:rsidP="003D23D0">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Social Determinants of Health: The non-medical factors</w:t>
      </w:r>
      <w:r w:rsidR="005C3947" w:rsidRPr="00901E26">
        <w:rPr>
          <w:rFonts w:cs="Arial"/>
          <w:color w:val="000000" w:themeColor="text1"/>
          <w:szCs w:val="22"/>
        </w:rPr>
        <w:t xml:space="preserve">, </w:t>
      </w:r>
      <w:r w:rsidR="00F01DA4" w:rsidRPr="00901E26">
        <w:rPr>
          <w:rFonts w:cs="Arial"/>
          <w:color w:val="000000" w:themeColor="text1"/>
          <w:szCs w:val="22"/>
        </w:rPr>
        <w:t>i</w:t>
      </w:r>
      <w:r w:rsidRPr="00656CF3">
        <w:rPr>
          <w:rFonts w:cs="Arial"/>
          <w:color w:val="000000" w:themeColor="text1"/>
          <w:szCs w:val="22"/>
        </w:rPr>
        <w:t xml:space="preserve">ncluding socioeconomic conditions, education, </w:t>
      </w:r>
      <w:proofErr w:type="gramStart"/>
      <w:r w:rsidRPr="00656CF3">
        <w:rPr>
          <w:rFonts w:cs="Arial"/>
          <w:color w:val="000000" w:themeColor="text1"/>
          <w:szCs w:val="22"/>
        </w:rPr>
        <w:t>housing</w:t>
      </w:r>
      <w:proofErr w:type="gramEnd"/>
      <w:r w:rsidRPr="00656CF3">
        <w:rPr>
          <w:rFonts w:cs="Arial"/>
          <w:color w:val="000000" w:themeColor="text1"/>
          <w:szCs w:val="22"/>
        </w:rPr>
        <w:t xml:space="preserve"> and employment</w:t>
      </w:r>
      <w:r w:rsidR="005C3947" w:rsidRPr="00901E26">
        <w:rPr>
          <w:rFonts w:cs="Arial"/>
          <w:color w:val="000000" w:themeColor="text1"/>
          <w:szCs w:val="22"/>
        </w:rPr>
        <w:t xml:space="preserve">, </w:t>
      </w:r>
      <w:r w:rsidRPr="00656CF3">
        <w:rPr>
          <w:rFonts w:cs="Arial"/>
          <w:color w:val="000000" w:themeColor="text1"/>
          <w:szCs w:val="22"/>
        </w:rPr>
        <w:t>which influence health outcomes (WHO, 2019).</w:t>
      </w:r>
    </w:p>
    <w:p w14:paraId="704D7922" w14:textId="77777777" w:rsidR="00656CF3" w:rsidRPr="00656CF3" w:rsidRDefault="00656CF3" w:rsidP="00901E26">
      <w:pPr>
        <w:numPr>
          <w:ilvl w:val="0"/>
          <w:numId w:val="3"/>
        </w:numPr>
        <w:spacing w:before="100" w:beforeAutospacing="1" w:after="100" w:afterAutospacing="1" w:line="360" w:lineRule="auto"/>
        <w:rPr>
          <w:rFonts w:cs="Arial"/>
          <w:color w:val="000000" w:themeColor="text1"/>
          <w:szCs w:val="22"/>
        </w:rPr>
      </w:pPr>
      <w:r w:rsidRPr="00656CF3">
        <w:rPr>
          <w:rFonts w:cs="Arial"/>
          <w:color w:val="000000" w:themeColor="text1"/>
          <w:szCs w:val="22"/>
        </w:rPr>
        <w:t>Acronyms:</w:t>
      </w:r>
    </w:p>
    <w:p w14:paraId="672D0250" w14:textId="5ECB486F"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ONS </w:t>
      </w:r>
      <w:r w:rsidR="005C3947" w:rsidRPr="00901E26">
        <w:rPr>
          <w:rFonts w:cs="Arial"/>
          <w:color w:val="000000" w:themeColor="text1"/>
          <w:szCs w:val="22"/>
        </w:rPr>
        <w:t>-</w:t>
      </w:r>
      <w:r w:rsidRPr="00656CF3">
        <w:rPr>
          <w:rFonts w:cs="Arial"/>
          <w:color w:val="000000" w:themeColor="text1"/>
          <w:szCs w:val="22"/>
        </w:rPr>
        <w:t xml:space="preserve"> Office for National Statistics</w:t>
      </w:r>
    </w:p>
    <w:p w14:paraId="44BEA5BB" w14:textId="12222C55"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NHS </w:t>
      </w:r>
      <w:r w:rsidR="005C3947" w:rsidRPr="00901E26">
        <w:rPr>
          <w:rFonts w:cs="Arial"/>
          <w:color w:val="000000" w:themeColor="text1"/>
          <w:szCs w:val="22"/>
        </w:rPr>
        <w:t>-</w:t>
      </w:r>
      <w:r w:rsidRPr="00656CF3">
        <w:rPr>
          <w:rFonts w:cs="Arial"/>
          <w:color w:val="000000" w:themeColor="text1"/>
          <w:szCs w:val="22"/>
        </w:rPr>
        <w:t xml:space="preserve"> National Health Service</w:t>
      </w:r>
    </w:p>
    <w:p w14:paraId="60E8DBA3" w14:textId="08A9E9CF"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PHE </w:t>
      </w:r>
      <w:r w:rsidR="005C3947" w:rsidRPr="00901E26">
        <w:rPr>
          <w:rFonts w:cs="Arial"/>
          <w:color w:val="000000" w:themeColor="text1"/>
          <w:szCs w:val="22"/>
        </w:rPr>
        <w:t>-</w:t>
      </w:r>
      <w:r w:rsidRPr="00656CF3">
        <w:rPr>
          <w:rFonts w:cs="Arial"/>
          <w:color w:val="000000" w:themeColor="text1"/>
          <w:szCs w:val="22"/>
        </w:rPr>
        <w:t xml:space="preserve"> Public Health England</w:t>
      </w:r>
    </w:p>
    <w:p w14:paraId="603EDAD9" w14:textId="0AC8BE6A"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WHO </w:t>
      </w:r>
      <w:r w:rsidR="005C3947" w:rsidRPr="00901E26">
        <w:rPr>
          <w:rFonts w:cs="Arial"/>
          <w:color w:val="000000" w:themeColor="text1"/>
          <w:szCs w:val="22"/>
        </w:rPr>
        <w:t>-</w:t>
      </w:r>
      <w:r w:rsidRPr="00656CF3">
        <w:rPr>
          <w:rFonts w:cs="Arial"/>
          <w:color w:val="000000" w:themeColor="text1"/>
          <w:szCs w:val="22"/>
        </w:rPr>
        <w:t xml:space="preserve"> World Health Organization</w:t>
      </w:r>
    </w:p>
    <w:p w14:paraId="665EA07B" w14:textId="209BA3F6"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ACEs </w:t>
      </w:r>
      <w:r w:rsidR="005C3947" w:rsidRPr="00901E26">
        <w:rPr>
          <w:rFonts w:cs="Arial"/>
          <w:color w:val="000000" w:themeColor="text1"/>
          <w:szCs w:val="22"/>
        </w:rPr>
        <w:t>-</w:t>
      </w:r>
      <w:r w:rsidRPr="00656CF3">
        <w:rPr>
          <w:rFonts w:cs="Arial"/>
          <w:color w:val="000000" w:themeColor="text1"/>
          <w:szCs w:val="22"/>
        </w:rPr>
        <w:t xml:space="preserve"> </w:t>
      </w:r>
      <w:r w:rsidR="005C3947" w:rsidRPr="00901E26">
        <w:rPr>
          <w:rFonts w:cs="Arial"/>
          <w:color w:val="000000" w:themeColor="text1"/>
          <w:szCs w:val="22"/>
        </w:rPr>
        <w:t>a</w:t>
      </w:r>
      <w:r w:rsidRPr="00656CF3">
        <w:rPr>
          <w:rFonts w:cs="Arial"/>
          <w:color w:val="000000" w:themeColor="text1"/>
          <w:szCs w:val="22"/>
        </w:rPr>
        <w:t>dverse Childhood Experiences</w:t>
      </w:r>
    </w:p>
    <w:p w14:paraId="573F6CDE" w14:textId="5106F330" w:rsidR="00656CF3" w:rsidRPr="00656CF3"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SUD </w:t>
      </w:r>
      <w:r w:rsidR="005C3947" w:rsidRPr="00901E26">
        <w:rPr>
          <w:rFonts w:cs="Arial"/>
          <w:color w:val="000000" w:themeColor="text1"/>
          <w:szCs w:val="22"/>
        </w:rPr>
        <w:t>-</w:t>
      </w:r>
      <w:r w:rsidRPr="00656CF3">
        <w:rPr>
          <w:rFonts w:cs="Arial"/>
          <w:color w:val="000000" w:themeColor="text1"/>
          <w:szCs w:val="22"/>
        </w:rPr>
        <w:t xml:space="preserve"> </w:t>
      </w:r>
      <w:r w:rsidR="005C3947" w:rsidRPr="00901E26">
        <w:rPr>
          <w:rFonts w:cs="Arial"/>
          <w:color w:val="000000" w:themeColor="text1"/>
          <w:szCs w:val="22"/>
        </w:rPr>
        <w:t>substance use disorder</w:t>
      </w:r>
    </w:p>
    <w:p w14:paraId="656CB809" w14:textId="1E10F188" w:rsidR="00576D09" w:rsidRDefault="00656CF3" w:rsidP="00303E61">
      <w:pPr>
        <w:numPr>
          <w:ilvl w:val="1"/>
          <w:numId w:val="21"/>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SES </w:t>
      </w:r>
      <w:r w:rsidR="005C3947" w:rsidRPr="00901E26">
        <w:rPr>
          <w:rFonts w:cs="Arial"/>
          <w:color w:val="000000" w:themeColor="text1"/>
          <w:szCs w:val="22"/>
        </w:rPr>
        <w:t>-</w:t>
      </w:r>
      <w:r w:rsidRPr="00656CF3">
        <w:rPr>
          <w:rFonts w:cs="Arial"/>
          <w:color w:val="000000" w:themeColor="text1"/>
          <w:szCs w:val="22"/>
        </w:rPr>
        <w:t xml:space="preserve"> </w:t>
      </w:r>
      <w:r w:rsidR="005C3947" w:rsidRPr="00901E26">
        <w:rPr>
          <w:rFonts w:cs="Arial"/>
          <w:color w:val="000000" w:themeColor="text1"/>
          <w:szCs w:val="22"/>
        </w:rPr>
        <w:t>s</w:t>
      </w:r>
      <w:r w:rsidRPr="00656CF3">
        <w:rPr>
          <w:rFonts w:cs="Arial"/>
          <w:color w:val="000000" w:themeColor="text1"/>
          <w:szCs w:val="22"/>
        </w:rPr>
        <w:t>ocioeconomic Status</w:t>
      </w:r>
    </w:p>
    <w:p w14:paraId="7D70F210" w14:textId="29B6D1E0" w:rsidR="00DC1BB0" w:rsidRDefault="00DC1BB0" w:rsidP="00DC1BB0">
      <w:pPr>
        <w:spacing w:before="100" w:beforeAutospacing="1" w:after="100" w:afterAutospacing="1" w:line="360" w:lineRule="auto"/>
        <w:ind w:left="1440"/>
        <w:rPr>
          <w:rFonts w:cs="Arial"/>
          <w:color w:val="000000" w:themeColor="text1"/>
          <w:szCs w:val="22"/>
        </w:rPr>
      </w:pPr>
    </w:p>
    <w:p w14:paraId="659E475A" w14:textId="042444C1" w:rsidR="0032712B" w:rsidRDefault="0032712B" w:rsidP="00DC1BB0">
      <w:pPr>
        <w:spacing w:before="100" w:beforeAutospacing="1" w:after="100" w:afterAutospacing="1" w:line="360" w:lineRule="auto"/>
        <w:ind w:left="1440"/>
        <w:rPr>
          <w:rFonts w:cs="Arial"/>
          <w:color w:val="000000" w:themeColor="text1"/>
          <w:szCs w:val="22"/>
        </w:rPr>
      </w:pPr>
    </w:p>
    <w:p w14:paraId="7E6E59A8" w14:textId="022BB76D" w:rsidR="0032712B" w:rsidRDefault="0032712B" w:rsidP="00DC1BB0">
      <w:pPr>
        <w:spacing w:before="100" w:beforeAutospacing="1" w:after="100" w:afterAutospacing="1" w:line="360" w:lineRule="auto"/>
        <w:ind w:left="1440"/>
        <w:rPr>
          <w:rFonts w:cs="Arial"/>
          <w:color w:val="000000" w:themeColor="text1"/>
          <w:szCs w:val="22"/>
        </w:rPr>
      </w:pPr>
    </w:p>
    <w:p w14:paraId="622885DF" w14:textId="53E0A2BF" w:rsidR="0032712B" w:rsidRDefault="0032712B" w:rsidP="00DC1BB0">
      <w:pPr>
        <w:spacing w:before="100" w:beforeAutospacing="1" w:after="100" w:afterAutospacing="1" w:line="360" w:lineRule="auto"/>
        <w:ind w:left="1440"/>
        <w:rPr>
          <w:rFonts w:cs="Arial"/>
          <w:color w:val="000000" w:themeColor="text1"/>
          <w:szCs w:val="22"/>
        </w:rPr>
      </w:pPr>
    </w:p>
    <w:p w14:paraId="6BD067D4" w14:textId="77777777" w:rsidR="0032712B" w:rsidRPr="00656CF3" w:rsidRDefault="0032712B" w:rsidP="00DC1BB0">
      <w:pPr>
        <w:spacing w:before="100" w:beforeAutospacing="1" w:after="100" w:afterAutospacing="1" w:line="360" w:lineRule="auto"/>
        <w:ind w:left="1440"/>
        <w:rPr>
          <w:rFonts w:cs="Arial"/>
          <w:color w:val="000000" w:themeColor="text1"/>
          <w:szCs w:val="22"/>
        </w:rPr>
      </w:pPr>
    </w:p>
    <w:p w14:paraId="3CB689BE" w14:textId="0BA99A9D" w:rsidR="00656CF3" w:rsidRPr="00901E26" w:rsidRDefault="00656CF3" w:rsidP="00C01ACC">
      <w:pPr>
        <w:pStyle w:val="Heading1"/>
      </w:pPr>
      <w:bookmarkStart w:id="8" w:name="_Toc214840439"/>
      <w:r w:rsidRPr="00901E26">
        <w:lastRenderedPageBreak/>
        <w:t>1.4 Background &amp; Current Context</w:t>
      </w:r>
      <w:bookmarkEnd w:id="8"/>
    </w:p>
    <w:p w14:paraId="1EEA434E" w14:textId="3FB1F954" w:rsidR="00DC1BB0" w:rsidRPr="00656CF3" w:rsidRDefault="00143B06" w:rsidP="00901E26">
      <w:pPr>
        <w:spacing w:before="100" w:beforeAutospacing="1" w:after="100" w:afterAutospacing="1" w:line="360" w:lineRule="auto"/>
        <w:rPr>
          <w:rFonts w:cs="Arial"/>
          <w:color w:val="000000" w:themeColor="text1"/>
          <w:szCs w:val="22"/>
        </w:rPr>
      </w:pPr>
      <w:r w:rsidRPr="00143B06">
        <w:rPr>
          <w:rFonts w:cs="Arial"/>
          <w:color w:val="000000" w:themeColor="text1"/>
          <w:szCs w:val="22"/>
        </w:rPr>
        <w:t>Health disparities in England have persisted and even increased over the past few decades. The report "Health Equity in England: The Marmot Review 10 Years On" revealed a recent drop in life expectancy for women in the poorest decile, for the first time in over a century. This review ties these developments to worsening social determinants such as income insecurity, housing instability, and regional impoverishment.</w:t>
      </w:r>
      <w:r w:rsidRPr="00143B06">
        <w:rPr>
          <w:rFonts w:cs="Arial"/>
          <w:color w:val="000000" w:themeColor="text1"/>
          <w:szCs w:val="22"/>
        </w:rPr>
        <w:br/>
      </w:r>
      <w:r w:rsidRPr="00143B06">
        <w:rPr>
          <w:rFonts w:cs="Arial"/>
          <w:color w:val="000000" w:themeColor="text1"/>
          <w:szCs w:val="22"/>
        </w:rPr>
        <w:br/>
        <w:t>Additionally, substance abuse is a major public health issue in England. Lower socioeconomic groups use hazardous substances more and have worse outcomes (Office for National Statistics, 2022). Mental health illnesses like anxiety, depression, and trauma are more common in disadvantaged groups, but treatment is unequal (NHS Digital, 2022).</w:t>
      </w:r>
      <w:r w:rsidRPr="00143B06">
        <w:rPr>
          <w:rFonts w:cs="Arial"/>
          <w:color w:val="000000" w:themeColor="text1"/>
          <w:szCs w:val="22"/>
        </w:rPr>
        <w:br/>
      </w:r>
      <w:r w:rsidRPr="00143B06">
        <w:rPr>
          <w:rFonts w:cs="Arial"/>
          <w:color w:val="000000" w:themeColor="text1"/>
          <w:szCs w:val="22"/>
        </w:rPr>
        <w:br/>
        <w:t>These dynamics have been exposed and amplified by COVID-19. Lower-income people were more likely to experience pandemic-related stress, service disruption, and substance use relapse, and their mental health deteriorated faster (</w:t>
      </w:r>
      <w:proofErr w:type="spellStart"/>
      <w:r w:rsidRPr="00143B06">
        <w:rPr>
          <w:rFonts w:cs="Arial"/>
          <w:color w:val="000000" w:themeColor="text1"/>
          <w:szCs w:val="22"/>
        </w:rPr>
        <w:t>Kwong</w:t>
      </w:r>
      <w:proofErr w:type="spellEnd"/>
      <w:r w:rsidRPr="00143B06">
        <w:rPr>
          <w:rFonts w:cs="Arial"/>
          <w:color w:val="000000" w:themeColor="text1"/>
          <w:szCs w:val="22"/>
        </w:rPr>
        <w:t xml:space="preserve"> et al., 2020).</w:t>
      </w:r>
      <w:r w:rsidRPr="00143B06">
        <w:rPr>
          <w:rFonts w:cs="Arial"/>
          <w:color w:val="000000" w:themeColor="text1"/>
          <w:szCs w:val="22"/>
        </w:rPr>
        <w:br/>
      </w:r>
      <w:r w:rsidRPr="00143B06">
        <w:rPr>
          <w:rFonts w:cs="Arial"/>
          <w:color w:val="000000" w:themeColor="text1"/>
          <w:szCs w:val="22"/>
        </w:rPr>
        <w:br/>
        <w:t>Low-income people face social marginalisation, trauma, mental illness, and substance abuse, often exacerbated by structural disadvantage and inadequate treatment availability. Integrated research on income, substance usage, and untreated mental health is scarce, especially in England. This study seeks to map how these factors interact and inform targeted solutions.</w:t>
      </w:r>
    </w:p>
    <w:p w14:paraId="4DF247F0" w14:textId="77777777" w:rsidR="00656CF3" w:rsidRPr="00C01ACC" w:rsidRDefault="00656CF3" w:rsidP="00DC1BB0">
      <w:pPr>
        <w:pStyle w:val="Heading1"/>
        <w:spacing w:line="360" w:lineRule="auto"/>
      </w:pPr>
      <w:bookmarkStart w:id="9" w:name="_Toc214840440"/>
      <w:r w:rsidRPr="00C01ACC">
        <w:t>1.5 Rationale for Research / Problem Statement</w:t>
      </w:r>
      <w:bookmarkEnd w:id="9"/>
    </w:p>
    <w:p w14:paraId="028A19A5" w14:textId="1343C3FC" w:rsidR="00DC1BB0" w:rsidRDefault="00DC1BB0" w:rsidP="00DC1BB0">
      <w:pPr>
        <w:spacing w:line="360" w:lineRule="auto"/>
        <w:rPr>
          <w:rFonts w:cs="Arial"/>
          <w:color w:val="000000"/>
          <w:szCs w:val="22"/>
        </w:rPr>
      </w:pPr>
      <w:r w:rsidRPr="009C72BD">
        <w:rPr>
          <w:rFonts w:cs="Arial"/>
          <w:color w:val="000000"/>
          <w:szCs w:val="22"/>
        </w:rPr>
        <w:t>Despite extensive research on substance misuse, mental health, and socioeconomic disadvantage individually, few England-specific studies examine all three together</w:t>
      </w:r>
      <w:r>
        <w:rPr>
          <w:rFonts w:cs="Arial"/>
          <w:color w:val="000000"/>
          <w:szCs w:val="22"/>
        </w:rPr>
        <w:t xml:space="preserve"> </w:t>
      </w:r>
      <w:r w:rsidRPr="009C72BD">
        <w:rPr>
          <w:rFonts w:cs="Arial"/>
          <w:color w:val="000000"/>
          <w:szCs w:val="22"/>
        </w:rPr>
        <w:t>especially untreated mental health issues among low-income groups. Many studies focus on the general population, non-UK settings, or overlook access to services. This study addresses that gap by exploring how low income increases the risk of substance misuse, worsens untreated mental health problems, and limits access to support. By analysing existing evidence, it aims to uncover patterns of vulnerability, highlight systemic barriers, and offer practical, equity-focused recommendations for public health and policy.</w:t>
      </w:r>
    </w:p>
    <w:p w14:paraId="29C2433C" w14:textId="0C18F609" w:rsidR="00DC1BB0" w:rsidRDefault="00DC1BB0" w:rsidP="00DC1BB0">
      <w:pPr>
        <w:spacing w:line="360" w:lineRule="auto"/>
        <w:rPr>
          <w:rFonts w:cs="Arial"/>
          <w:color w:val="000000"/>
          <w:szCs w:val="22"/>
        </w:rPr>
      </w:pPr>
    </w:p>
    <w:p w14:paraId="34A370BE" w14:textId="7D28E8B6" w:rsidR="00DC1BB0" w:rsidRDefault="00DC1BB0" w:rsidP="00DC1BB0">
      <w:pPr>
        <w:spacing w:line="360" w:lineRule="auto"/>
        <w:rPr>
          <w:rFonts w:cs="Arial"/>
          <w:color w:val="000000"/>
          <w:szCs w:val="22"/>
        </w:rPr>
      </w:pPr>
    </w:p>
    <w:p w14:paraId="25747718" w14:textId="000999A2" w:rsidR="00DC1BB0" w:rsidRDefault="00DC1BB0" w:rsidP="00DC1BB0">
      <w:pPr>
        <w:spacing w:line="360" w:lineRule="auto"/>
        <w:rPr>
          <w:rFonts w:cs="Arial"/>
          <w:color w:val="000000"/>
          <w:szCs w:val="22"/>
        </w:rPr>
      </w:pPr>
    </w:p>
    <w:p w14:paraId="0B577B06" w14:textId="36175E3D" w:rsidR="00DC1BB0" w:rsidRDefault="00DC1BB0" w:rsidP="00DC1BB0">
      <w:pPr>
        <w:spacing w:line="360" w:lineRule="auto"/>
        <w:rPr>
          <w:rFonts w:cs="Arial"/>
          <w:color w:val="000000"/>
          <w:szCs w:val="22"/>
        </w:rPr>
      </w:pPr>
    </w:p>
    <w:p w14:paraId="460823F4" w14:textId="77777777" w:rsidR="00DC1BB0" w:rsidRPr="009C72BD" w:rsidRDefault="00DC1BB0" w:rsidP="00DC1BB0">
      <w:pPr>
        <w:spacing w:line="360" w:lineRule="auto"/>
        <w:rPr>
          <w:rFonts w:cs="Arial"/>
          <w:szCs w:val="22"/>
        </w:rPr>
      </w:pPr>
    </w:p>
    <w:p w14:paraId="753D6D1E" w14:textId="77777777" w:rsidR="00656CF3" w:rsidRPr="00C01ACC" w:rsidRDefault="00656CF3" w:rsidP="00C01ACC">
      <w:pPr>
        <w:pStyle w:val="Heading1"/>
      </w:pPr>
      <w:bookmarkStart w:id="10" w:name="_Toc214840441"/>
      <w:r w:rsidRPr="00C01ACC">
        <w:lastRenderedPageBreak/>
        <w:t>1.6 Aim &amp; Objectives</w:t>
      </w:r>
      <w:bookmarkEnd w:id="10"/>
    </w:p>
    <w:p w14:paraId="1CB58E74" w14:textId="4FC9BD6F" w:rsidR="00A8429E" w:rsidRPr="00656CF3" w:rsidRDefault="00656CF3" w:rsidP="00901E26">
      <w:pPr>
        <w:spacing w:before="100" w:beforeAutospacing="1" w:after="100" w:afterAutospacing="1" w:line="360" w:lineRule="auto"/>
        <w:rPr>
          <w:rFonts w:cs="Arial"/>
          <w:color w:val="000000" w:themeColor="text1"/>
          <w:szCs w:val="22"/>
        </w:rPr>
      </w:pPr>
      <w:bookmarkStart w:id="11" w:name="_Toc214840442"/>
      <w:r w:rsidRPr="00656CF3">
        <w:rPr>
          <w:rStyle w:val="Heading2Char"/>
        </w:rPr>
        <w:t>Aim</w:t>
      </w:r>
      <w:bookmarkEnd w:id="11"/>
      <w:r w:rsidRPr="00656CF3">
        <w:rPr>
          <w:rFonts w:cs="Arial"/>
          <w:b/>
          <w:bCs/>
          <w:color w:val="000000" w:themeColor="text1"/>
          <w:szCs w:val="22"/>
        </w:rPr>
        <w:t>:</w:t>
      </w:r>
      <w:r w:rsidRPr="00656CF3">
        <w:rPr>
          <w:rFonts w:cs="Arial"/>
          <w:color w:val="000000" w:themeColor="text1"/>
          <w:szCs w:val="22"/>
        </w:rPr>
        <w:br/>
        <w:t>To explore how substance misuse correlates with low-income status and untreated mental health disorders in England.</w:t>
      </w:r>
    </w:p>
    <w:p w14:paraId="4086CB63" w14:textId="77777777" w:rsidR="00656CF3" w:rsidRPr="00656CF3" w:rsidRDefault="00656CF3" w:rsidP="00C01ACC">
      <w:pPr>
        <w:pStyle w:val="Heading2"/>
      </w:pPr>
      <w:bookmarkStart w:id="12" w:name="_Toc214840443"/>
      <w:r w:rsidRPr="00656CF3">
        <w:t>Objectives:</w:t>
      </w:r>
      <w:bookmarkEnd w:id="12"/>
    </w:p>
    <w:p w14:paraId="0E355EFF"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critically review academic literature on the prevalence of substance misuse among low-income populations in England and its association with untreated mental health disorders.</w:t>
      </w:r>
    </w:p>
    <w:p w14:paraId="308A21CC"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 xml:space="preserve">To investigate the intersection of socioeconomic disadvantage, substance misuse, and mental health conditions such as anxiety, </w:t>
      </w:r>
      <w:proofErr w:type="gramStart"/>
      <w:r w:rsidRPr="00656CF3">
        <w:rPr>
          <w:rFonts w:cs="Arial"/>
          <w:color w:val="000000" w:themeColor="text1"/>
          <w:szCs w:val="22"/>
        </w:rPr>
        <w:t>depression</w:t>
      </w:r>
      <w:proofErr w:type="gramEnd"/>
      <w:r w:rsidRPr="00656CF3">
        <w:rPr>
          <w:rFonts w:cs="Arial"/>
          <w:color w:val="000000" w:themeColor="text1"/>
          <w:szCs w:val="22"/>
        </w:rPr>
        <w:t xml:space="preserve"> and trauma within diverse demographic groups in England.</w:t>
      </w:r>
    </w:p>
    <w:p w14:paraId="3E3F5BB0" w14:textId="77777777" w:rsidR="00656CF3" w:rsidRP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identify disparities in access to substance misuse treatment and mental health services among low-income populations.</w:t>
      </w:r>
    </w:p>
    <w:p w14:paraId="1FAD3AD8" w14:textId="4B3F8EB9" w:rsidR="00656CF3" w:rsidRDefault="00656CF3" w:rsidP="00901E26">
      <w:pPr>
        <w:numPr>
          <w:ilvl w:val="0"/>
          <w:numId w:val="4"/>
        </w:numPr>
        <w:spacing w:before="100" w:beforeAutospacing="1" w:after="100" w:afterAutospacing="1" w:line="360" w:lineRule="auto"/>
        <w:rPr>
          <w:rFonts w:cs="Arial"/>
          <w:color w:val="000000" w:themeColor="text1"/>
          <w:szCs w:val="22"/>
        </w:rPr>
      </w:pPr>
      <w:r w:rsidRPr="00656CF3">
        <w:rPr>
          <w:rFonts w:cs="Arial"/>
          <w:color w:val="000000" w:themeColor="text1"/>
          <w:szCs w:val="22"/>
        </w:rPr>
        <w:t>To synthesise key findings via thematic analysis and provide evidence-based recommendations for public health and policy interventions aimed at reducing inequalities.</w:t>
      </w:r>
    </w:p>
    <w:p w14:paraId="60533901" w14:textId="73BEC77B" w:rsidR="00DC1BB0" w:rsidRDefault="00DC1BB0" w:rsidP="00DC1BB0">
      <w:pPr>
        <w:spacing w:before="100" w:beforeAutospacing="1" w:after="100" w:afterAutospacing="1" w:line="360" w:lineRule="auto"/>
        <w:ind w:left="720"/>
        <w:rPr>
          <w:rFonts w:cs="Arial"/>
          <w:color w:val="000000" w:themeColor="text1"/>
          <w:szCs w:val="22"/>
        </w:rPr>
      </w:pPr>
    </w:p>
    <w:p w14:paraId="78F7BE01" w14:textId="77777777" w:rsidR="00DC1BB0" w:rsidRPr="00656CF3" w:rsidRDefault="00DC1BB0" w:rsidP="00DC1BB0">
      <w:pPr>
        <w:spacing w:before="100" w:beforeAutospacing="1" w:after="100" w:afterAutospacing="1" w:line="360" w:lineRule="auto"/>
        <w:ind w:left="720"/>
        <w:rPr>
          <w:rFonts w:cs="Arial"/>
          <w:color w:val="000000" w:themeColor="text1"/>
          <w:szCs w:val="22"/>
        </w:rPr>
      </w:pPr>
    </w:p>
    <w:p w14:paraId="53B72405" w14:textId="77777777" w:rsidR="00656CF3" w:rsidRPr="00C01ACC" w:rsidRDefault="00656CF3" w:rsidP="00C01ACC">
      <w:pPr>
        <w:pStyle w:val="Heading1"/>
      </w:pPr>
      <w:bookmarkStart w:id="13" w:name="_Toc214840444"/>
      <w:r w:rsidRPr="00C01ACC">
        <w:t>1.7 Conclusion</w:t>
      </w:r>
      <w:bookmarkEnd w:id="13"/>
    </w:p>
    <w:p w14:paraId="1F49C2A1" w14:textId="77777777" w:rsidR="00043EFA" w:rsidRPr="00043EFA" w:rsidRDefault="00043EFA" w:rsidP="00C01ACC">
      <w:pPr>
        <w:spacing w:before="100" w:beforeAutospacing="1" w:after="100" w:afterAutospacing="1" w:line="360" w:lineRule="auto"/>
        <w:rPr>
          <w:rFonts w:cs="Arial"/>
          <w:color w:val="000000" w:themeColor="text1"/>
          <w:szCs w:val="22"/>
        </w:rPr>
      </w:pPr>
      <w:r w:rsidRPr="00043EFA">
        <w:rPr>
          <w:rFonts w:cs="Arial"/>
          <w:color w:val="000000" w:themeColor="text1"/>
          <w:szCs w:val="22"/>
        </w:rPr>
        <w:t>This chapter has set the stage for the dissertation by explaining the research's purpose, significance, and methodology. We have defined key concepts to anchor the discussion throughout the study. The background section has placed the issue within the broader context of socioeconomic disadvantages, mental health inequalities, and substance misuse in England, highlighting the urgency of tackling their intersections. The rationale has demonstrated the research gap and clarified the problem statement. Finally, the aim and objectives frame the path ahead.</w:t>
      </w:r>
    </w:p>
    <w:p w14:paraId="5782C845" w14:textId="7F139C85" w:rsidR="00BF3042" w:rsidRDefault="00043EFA" w:rsidP="00842145">
      <w:pPr>
        <w:spacing w:before="100" w:beforeAutospacing="1" w:after="100" w:afterAutospacing="1" w:line="360" w:lineRule="auto"/>
        <w:rPr>
          <w:rFonts w:cs="Arial"/>
          <w:color w:val="000000" w:themeColor="text1"/>
          <w:szCs w:val="22"/>
        </w:rPr>
      </w:pPr>
      <w:r w:rsidRPr="00043EFA">
        <w:rPr>
          <w:rFonts w:cs="Arial"/>
          <w:color w:val="000000" w:themeColor="text1"/>
          <w:szCs w:val="22"/>
        </w:rPr>
        <w:t>In the next chapter, a thorough "literature review" will examine existing research and policy frameworks related to socioeconomic disadvantage, substance misuse, and untreated mental health in England. This will establish the theoretical and empirical foundation for the subsequent analysis.</w:t>
      </w:r>
    </w:p>
    <w:p w14:paraId="106077B8" w14:textId="77777777" w:rsidR="00DC1BB0" w:rsidRDefault="00DC1BB0" w:rsidP="00842145">
      <w:pPr>
        <w:spacing w:before="100" w:beforeAutospacing="1" w:after="100" w:afterAutospacing="1" w:line="360" w:lineRule="auto"/>
        <w:rPr>
          <w:rFonts w:cs="Arial"/>
          <w:color w:val="000000" w:themeColor="text1"/>
          <w:szCs w:val="22"/>
        </w:rPr>
      </w:pPr>
    </w:p>
    <w:p w14:paraId="694DB8EA" w14:textId="730BFBDC" w:rsidR="009276ED" w:rsidRPr="005A439E" w:rsidRDefault="009276ED" w:rsidP="005A439E">
      <w:pPr>
        <w:pStyle w:val="Heading1"/>
      </w:pPr>
      <w:bookmarkStart w:id="14" w:name="_Toc214840445"/>
      <w:r w:rsidRPr="005A439E">
        <w:rPr>
          <w:rStyle w:val="Strong"/>
          <w:b/>
          <w:bCs/>
        </w:rPr>
        <w:lastRenderedPageBreak/>
        <w:t>CHAPTER 2: BACKGROUND</w:t>
      </w:r>
      <w:bookmarkEnd w:id="14"/>
    </w:p>
    <w:p w14:paraId="65BBD9C6" w14:textId="77777777" w:rsidR="009276ED" w:rsidRPr="005A439E" w:rsidRDefault="009276ED" w:rsidP="005A439E">
      <w:pPr>
        <w:pStyle w:val="Heading2"/>
      </w:pPr>
      <w:bookmarkStart w:id="15" w:name="_Toc214840446"/>
      <w:r w:rsidRPr="005A439E">
        <w:rPr>
          <w:rStyle w:val="Strong"/>
          <w:b w:val="0"/>
          <w:bCs/>
        </w:rPr>
        <w:t>2.1 Introduction</w:t>
      </w:r>
      <w:bookmarkEnd w:id="15"/>
    </w:p>
    <w:p w14:paraId="729E68ED" w14:textId="77777777" w:rsidR="009276ED" w:rsidRPr="00901E26" w:rsidRDefault="009276ED" w:rsidP="00901E26">
      <w:pPr>
        <w:spacing w:line="360" w:lineRule="auto"/>
        <w:rPr>
          <w:rFonts w:cs="Arial"/>
          <w:color w:val="000000" w:themeColor="text1"/>
          <w:szCs w:val="22"/>
        </w:rPr>
      </w:pPr>
      <w:r w:rsidRPr="00901E26">
        <w:rPr>
          <w:rFonts w:cs="Arial"/>
          <w:color w:val="000000" w:themeColor="text1"/>
          <w:szCs w:val="22"/>
        </w:rPr>
        <w:t>This chapter provides the historical, theoretical, and contextual background necessary to understand the complex relationship between substance misuse, low-income status, and untreated mental health disorders in England. By exploring how these issues have evolved, the chapter sets the stage for the methodological approach and analytical framework used later in this dissertation.</w:t>
      </w:r>
    </w:p>
    <w:p w14:paraId="422C50CC" w14:textId="77777777" w:rsidR="009276ED" w:rsidRPr="00901E26" w:rsidRDefault="009276ED" w:rsidP="00901E26">
      <w:pPr>
        <w:spacing w:line="360" w:lineRule="auto"/>
        <w:rPr>
          <w:rFonts w:cs="Arial"/>
          <w:color w:val="000000" w:themeColor="text1"/>
          <w:szCs w:val="22"/>
        </w:rPr>
      </w:pPr>
      <w:r w:rsidRPr="00901E26">
        <w:rPr>
          <w:rFonts w:cs="Arial"/>
          <w:color w:val="000000" w:themeColor="text1"/>
          <w:szCs w:val="22"/>
        </w:rPr>
        <w:t>The chapter begins by tracing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historical development</w:t>
      </w:r>
      <w:r w:rsidRPr="00901E26">
        <w:rPr>
          <w:rStyle w:val="apple-converted-space"/>
          <w:rFonts w:cs="Arial"/>
          <w:color w:val="000000" w:themeColor="text1"/>
          <w:szCs w:val="22"/>
        </w:rPr>
        <w:t> </w:t>
      </w:r>
      <w:r w:rsidRPr="00901E26">
        <w:rPr>
          <w:rFonts w:cs="Arial"/>
          <w:color w:val="000000" w:themeColor="text1"/>
          <w:szCs w:val="22"/>
        </w:rPr>
        <w:t>of substance misuse and its societal responses, highlighting key figures, institutions, and policy milestones that shaped our current understanding. It then examines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theoretical frameworks</w:t>
      </w:r>
      <w:r w:rsidRPr="00901E26">
        <w:rPr>
          <w:rStyle w:val="apple-converted-space"/>
          <w:rFonts w:cs="Arial"/>
          <w:color w:val="000000" w:themeColor="text1"/>
          <w:szCs w:val="22"/>
        </w:rPr>
        <w:t> </w:t>
      </w:r>
      <w:r w:rsidRPr="00901E26">
        <w:rPr>
          <w:rFonts w:cs="Arial"/>
          <w:color w:val="000000" w:themeColor="text1"/>
          <w:szCs w:val="22"/>
        </w:rPr>
        <w:t>underpinning substance misuse and mental health, such as the social determinants of health model, the stress-vulnerability model, and theories of social exclusion.</w:t>
      </w:r>
    </w:p>
    <w:p w14:paraId="39246FF6" w14:textId="77777777" w:rsidR="009276ED" w:rsidRPr="00901E26" w:rsidRDefault="009276ED" w:rsidP="00901E26">
      <w:pPr>
        <w:spacing w:line="360" w:lineRule="auto"/>
        <w:rPr>
          <w:rFonts w:cs="Arial"/>
          <w:color w:val="000000" w:themeColor="text1"/>
          <w:szCs w:val="22"/>
        </w:rPr>
      </w:pPr>
      <w:r w:rsidRPr="00901E26">
        <w:rPr>
          <w:rFonts w:cs="Arial"/>
          <w:color w:val="000000" w:themeColor="text1"/>
          <w:szCs w:val="22"/>
        </w:rPr>
        <w:t>Following this, the discussion broadens to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international context</w:t>
      </w:r>
      <w:r w:rsidRPr="00901E26">
        <w:rPr>
          <w:rFonts w:cs="Arial"/>
          <w:color w:val="000000" w:themeColor="text1"/>
          <w:szCs w:val="22"/>
        </w:rPr>
        <w:t>, comparing global perspectives and policies addressing substance misuse and mental health inequalities. Finally, attention turns to the</w:t>
      </w:r>
      <w:r w:rsidRPr="00901E26">
        <w:rPr>
          <w:rStyle w:val="apple-converted-space"/>
          <w:rFonts w:cs="Arial"/>
          <w:color w:val="000000" w:themeColor="text1"/>
          <w:szCs w:val="22"/>
        </w:rPr>
        <w:t> </w:t>
      </w:r>
      <w:r w:rsidRPr="00901E26">
        <w:rPr>
          <w:rStyle w:val="Strong"/>
          <w:rFonts w:cs="Arial"/>
          <w:b w:val="0"/>
          <w:bCs w:val="0"/>
          <w:color w:val="000000" w:themeColor="text1"/>
          <w:szCs w:val="22"/>
        </w:rPr>
        <w:t>national and local UK context</w:t>
      </w:r>
      <w:r w:rsidRPr="00901E26">
        <w:rPr>
          <w:rFonts w:cs="Arial"/>
          <w:color w:val="000000" w:themeColor="text1"/>
          <w:szCs w:val="22"/>
        </w:rPr>
        <w:t>, focusing specifically on England, to examine how government policies, socioeconomic disparities, and regional variations continue to influence patterns of substance misuse and access to mental health support.</w:t>
      </w:r>
    </w:p>
    <w:p w14:paraId="45E7FFA4" w14:textId="619647F3" w:rsidR="009276ED" w:rsidRPr="00901E26" w:rsidRDefault="009276ED" w:rsidP="00901E26">
      <w:pPr>
        <w:spacing w:line="360" w:lineRule="auto"/>
        <w:rPr>
          <w:rFonts w:cs="Arial"/>
          <w:color w:val="000000" w:themeColor="text1"/>
          <w:szCs w:val="22"/>
        </w:rPr>
      </w:pPr>
    </w:p>
    <w:p w14:paraId="70471728" w14:textId="77777777" w:rsidR="009276ED" w:rsidRPr="00196CC7" w:rsidRDefault="009276ED" w:rsidP="00196CC7">
      <w:pPr>
        <w:pStyle w:val="Heading2"/>
      </w:pPr>
      <w:bookmarkStart w:id="16" w:name="_Toc214840447"/>
      <w:r w:rsidRPr="00196CC7">
        <w:rPr>
          <w:rStyle w:val="Strong"/>
          <w:b w:val="0"/>
          <w:bCs/>
        </w:rPr>
        <w:t>2.2 Historical Background</w:t>
      </w:r>
      <w:bookmarkEnd w:id="16"/>
    </w:p>
    <w:p w14:paraId="73F651A2"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Substance abuse is deeply rooted in social, economic, and cultural changes. Psychoactive substances were once socially acceptable and medically controversial. Opium and laudanum were widely available and even prescribed by doctors in 19th-century Britain, demonstrating a limited understanding of addiction as a medical condition (</w:t>
      </w:r>
      <w:proofErr w:type="spellStart"/>
      <w:r w:rsidRPr="00A9025C">
        <w:rPr>
          <w:rFonts w:cs="Arial"/>
          <w:color w:val="000000" w:themeColor="text1"/>
          <w:szCs w:val="22"/>
        </w:rPr>
        <w:t>Berridge</w:t>
      </w:r>
      <w:proofErr w:type="spellEnd"/>
      <w:r w:rsidRPr="00A9025C">
        <w:rPr>
          <w:rFonts w:cs="Arial"/>
          <w:color w:val="000000" w:themeColor="text1"/>
          <w:szCs w:val="22"/>
        </w:rPr>
        <w:t xml:space="preserve">, 2013). Early addiction researchers like Dr Norman </w:t>
      </w:r>
      <w:proofErr w:type="spellStart"/>
      <w:r w:rsidRPr="00A9025C">
        <w:rPr>
          <w:rFonts w:cs="Arial"/>
          <w:color w:val="000000" w:themeColor="text1"/>
          <w:szCs w:val="22"/>
        </w:rPr>
        <w:t>Zinberg</w:t>
      </w:r>
      <w:proofErr w:type="spellEnd"/>
      <w:r w:rsidRPr="00A9025C">
        <w:rPr>
          <w:rFonts w:cs="Arial"/>
          <w:color w:val="000000" w:themeColor="text1"/>
          <w:szCs w:val="22"/>
        </w:rPr>
        <w:t xml:space="preserve"> and Howard Becker's sociological work shaped the mid-20th-century view of addiction as a public health issue rather than a moral failing (Becker, 1963).</w:t>
      </w:r>
    </w:p>
    <w:p w14:paraId="4BA6B494"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By classifying drugs into legal categories (A, B, and C) and making substance misuse a criminal and social issue, the Misuse of Drugs Act (1971) transformed the UK (Home Office, 1971). Critics say this legislation reinforced punitive methods rather than addressing addiction's social causes (Stevens, 2019).</w:t>
      </w:r>
    </w:p>
    <w:p w14:paraId="556A7964"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 xml:space="preserve">After the 1980s HIV/AIDS pandemic, the UK's approach changed. Needle exchange and safe use education became public health strategies after those changes (Stimson, 1995). </w:t>
      </w:r>
      <w:r w:rsidRPr="00A9025C">
        <w:rPr>
          <w:rFonts w:cs="Arial"/>
          <w:color w:val="000000" w:themeColor="text1"/>
          <w:szCs w:val="22"/>
        </w:rPr>
        <w:lastRenderedPageBreak/>
        <w:t>These interventions recognised that health inequalities, like poverty, unemployment, and a lack of education, contributed to substance abuse.</w:t>
      </w:r>
    </w:p>
    <w:p w14:paraId="70BFD32F"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New developments occurred in the 21st century. The Marmot Review (2010) and Dame Carol Black's Independent Review of Drugs (2021) shed light on how socioeconomic inequality contributes to addiction and poor mental health (Marmot et al., 2020; Black, 2021). These findings support integrating health and social policies and promoting prevention rather than reactive criminalisation.</w:t>
      </w:r>
    </w:p>
    <w:p w14:paraId="0A159475"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Substance abuse has been framed by society's views on poverty and morality. Understanding this evolution helps explain why low-income populations are disproportionately affected today: systemic disadvantage shapes risk exposure and treatment access (Room, 2005).</w:t>
      </w:r>
    </w:p>
    <w:p w14:paraId="744970CC" w14:textId="48C67F2B" w:rsidR="009276ED" w:rsidRPr="00901E26" w:rsidRDefault="009276ED" w:rsidP="00901E26">
      <w:pPr>
        <w:spacing w:line="360" w:lineRule="auto"/>
        <w:rPr>
          <w:rFonts w:cs="Arial"/>
          <w:color w:val="000000" w:themeColor="text1"/>
          <w:szCs w:val="22"/>
        </w:rPr>
      </w:pPr>
    </w:p>
    <w:p w14:paraId="40793922" w14:textId="77777777" w:rsidR="009276ED" w:rsidRPr="00901E26" w:rsidRDefault="009276ED" w:rsidP="005A439E">
      <w:pPr>
        <w:pStyle w:val="Heading2"/>
      </w:pPr>
      <w:bookmarkStart w:id="17" w:name="_Toc214840448"/>
      <w:r w:rsidRPr="00901E26">
        <w:rPr>
          <w:rStyle w:val="Strong"/>
          <w:rFonts w:cs="Arial"/>
          <w:b w:val="0"/>
          <w:bCs/>
          <w:color w:val="000000" w:themeColor="text1"/>
          <w:szCs w:val="22"/>
        </w:rPr>
        <w:t>2.3 Theoretical Background</w:t>
      </w:r>
      <w:bookmarkEnd w:id="17"/>
    </w:p>
    <w:p w14:paraId="612133BF"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Theories and conceptual frameworks help explain the complicated relationship between socioeconomic status, substance misuse, and mental health. Three major theoretical perspectives underpin this research:</w:t>
      </w:r>
    </w:p>
    <w:p w14:paraId="400151E3" w14:textId="77777777" w:rsidR="009276ED" w:rsidRPr="005A439E" w:rsidRDefault="009276ED" w:rsidP="005A439E">
      <w:pPr>
        <w:rPr>
          <w:b/>
          <w:bCs/>
        </w:rPr>
      </w:pPr>
      <w:r w:rsidRPr="005A439E">
        <w:rPr>
          <w:rStyle w:val="Strong"/>
          <w:rFonts w:cs="Arial"/>
          <w:b w:val="0"/>
          <w:bCs w:val="0"/>
          <w:color w:val="000000" w:themeColor="text1"/>
          <w:szCs w:val="22"/>
        </w:rPr>
        <w:t>1. The Social Determinants of Health Model</w:t>
      </w:r>
    </w:p>
    <w:p w14:paraId="51DDA32D" w14:textId="77777777" w:rsidR="00A9025C" w:rsidRP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The Social Determinants of Health (SDH) model, developed by the World Health Organization (WHO, 2019), posits that health outcomes are shaped by non-medical factors such as income, education, housing, and social capital. Within this framework, poverty is not just an economic condition but a determinant that influences physical and mental well-being. Marmot et al. (2020) argue that inequalities in power, resources, and opportunities create "avoidable health gaps," making low-income groups more susceptible to substance misuse and untreated mental illness.</w:t>
      </w:r>
    </w:p>
    <w:p w14:paraId="3EC9E12B" w14:textId="79B1D0A3" w:rsidR="00A9025C" w:rsidRDefault="00A9025C" w:rsidP="00901E26">
      <w:pPr>
        <w:spacing w:before="100" w:beforeAutospacing="1" w:after="100" w:afterAutospacing="1" w:line="360" w:lineRule="auto"/>
        <w:rPr>
          <w:rFonts w:cs="Arial"/>
          <w:color w:val="000000" w:themeColor="text1"/>
          <w:szCs w:val="22"/>
        </w:rPr>
      </w:pPr>
      <w:r w:rsidRPr="00A9025C">
        <w:rPr>
          <w:rFonts w:cs="Arial"/>
          <w:color w:val="000000" w:themeColor="text1"/>
          <w:szCs w:val="22"/>
        </w:rPr>
        <w:t>This theory aligns with the focus of the current study, as it provides a holistic lens through which to examine how structural disadvantage fosters vulnerability to substance use.</w:t>
      </w:r>
    </w:p>
    <w:p w14:paraId="359DF8FF" w14:textId="08662B2D" w:rsidR="005A439E" w:rsidRDefault="005A439E" w:rsidP="00901E26">
      <w:pPr>
        <w:spacing w:before="100" w:beforeAutospacing="1" w:after="100" w:afterAutospacing="1" w:line="360" w:lineRule="auto"/>
        <w:rPr>
          <w:rFonts w:cs="Arial"/>
          <w:color w:val="000000" w:themeColor="text1"/>
          <w:szCs w:val="22"/>
        </w:rPr>
      </w:pPr>
    </w:p>
    <w:p w14:paraId="52931D56" w14:textId="70D94AB9" w:rsidR="005A439E" w:rsidRDefault="005A439E" w:rsidP="00901E26">
      <w:pPr>
        <w:spacing w:before="100" w:beforeAutospacing="1" w:after="100" w:afterAutospacing="1" w:line="360" w:lineRule="auto"/>
        <w:rPr>
          <w:rFonts w:cs="Arial"/>
          <w:color w:val="000000" w:themeColor="text1"/>
          <w:szCs w:val="22"/>
        </w:rPr>
      </w:pPr>
    </w:p>
    <w:p w14:paraId="5B149D48" w14:textId="77777777" w:rsidR="005A439E" w:rsidRPr="00A9025C" w:rsidRDefault="005A439E" w:rsidP="00901E26">
      <w:pPr>
        <w:spacing w:before="100" w:beforeAutospacing="1" w:after="100" w:afterAutospacing="1" w:line="360" w:lineRule="auto"/>
        <w:rPr>
          <w:rFonts w:cs="Arial"/>
          <w:color w:val="000000" w:themeColor="text1"/>
          <w:szCs w:val="22"/>
        </w:rPr>
      </w:pPr>
    </w:p>
    <w:p w14:paraId="61B35814" w14:textId="77777777" w:rsidR="009276ED" w:rsidRPr="005A439E" w:rsidRDefault="009276ED" w:rsidP="005A439E">
      <w:pPr>
        <w:rPr>
          <w:b/>
          <w:bCs/>
        </w:rPr>
      </w:pPr>
      <w:r w:rsidRPr="005A439E">
        <w:rPr>
          <w:rStyle w:val="Strong"/>
          <w:rFonts w:cs="Arial"/>
          <w:b w:val="0"/>
          <w:bCs w:val="0"/>
          <w:color w:val="000000" w:themeColor="text1"/>
          <w:szCs w:val="22"/>
        </w:rPr>
        <w:lastRenderedPageBreak/>
        <w:t>2. The Stress-Vulnerability Model</w:t>
      </w:r>
    </w:p>
    <w:p w14:paraId="74F3F1B5"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 xml:space="preserve">The Stress-Vulnerability Model, proposed by Zubin and Spring (1977), explains how environmental stressors like financial insecurity and trauma interact with biological or psychological predispositions to cause mental health or substance use disorders. Chronic debt, housing instability, or social marginalisation can increase substance use as </w:t>
      </w:r>
      <w:proofErr w:type="spellStart"/>
      <w:r w:rsidRPr="00EB5D6A">
        <w:rPr>
          <w:rFonts w:cs="Arial"/>
          <w:color w:val="000000" w:themeColor="text1"/>
          <w:szCs w:val="22"/>
        </w:rPr>
        <w:t>as</w:t>
      </w:r>
      <w:proofErr w:type="spellEnd"/>
      <w:r w:rsidRPr="00EB5D6A">
        <w:rPr>
          <w:rFonts w:cs="Arial"/>
          <w:color w:val="000000" w:themeColor="text1"/>
          <w:szCs w:val="22"/>
        </w:rPr>
        <w:t xml:space="preserve"> self-medication in low-income settings (Sinha, 2008).</w:t>
      </w:r>
    </w:p>
    <w:p w14:paraId="4D8C95A7"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Modern research shows that socioeconomic stressors increase substance misuse and relapse (Lloyd et al., 2019). Recognising internal and external factors is its strength, but it is sometimes criticised for underplaying structural inequalities and focusing too narrowly on individual pathologies (</w:t>
      </w:r>
      <w:proofErr w:type="spellStart"/>
      <w:r w:rsidRPr="00EB5D6A">
        <w:rPr>
          <w:rFonts w:cs="Arial"/>
          <w:color w:val="000000" w:themeColor="text1"/>
          <w:szCs w:val="22"/>
        </w:rPr>
        <w:t>Hatzenbuehler</w:t>
      </w:r>
      <w:proofErr w:type="spellEnd"/>
      <w:r w:rsidRPr="00EB5D6A">
        <w:rPr>
          <w:rFonts w:cs="Arial"/>
          <w:color w:val="000000" w:themeColor="text1"/>
          <w:szCs w:val="22"/>
        </w:rPr>
        <w:t xml:space="preserve"> et al., 2013).</w:t>
      </w:r>
    </w:p>
    <w:p w14:paraId="3C94F997" w14:textId="3A37E4FB" w:rsidR="00576D09" w:rsidRPr="00901E26" w:rsidRDefault="00576D09" w:rsidP="00901E26">
      <w:pPr>
        <w:pStyle w:val="NormalWeb"/>
        <w:spacing w:line="360" w:lineRule="auto"/>
        <w:rPr>
          <w:rFonts w:ascii="Arial" w:hAnsi="Arial" w:cs="Arial"/>
          <w:color w:val="000000" w:themeColor="text1"/>
          <w:szCs w:val="22"/>
        </w:rPr>
      </w:pPr>
    </w:p>
    <w:p w14:paraId="0D5843D5" w14:textId="77777777" w:rsidR="00576D09" w:rsidRPr="00901E26" w:rsidRDefault="00576D09" w:rsidP="00901E26">
      <w:pPr>
        <w:pStyle w:val="NormalWeb"/>
        <w:spacing w:line="360" w:lineRule="auto"/>
        <w:rPr>
          <w:rFonts w:ascii="Arial" w:hAnsi="Arial" w:cs="Arial"/>
          <w:color w:val="000000" w:themeColor="text1"/>
          <w:szCs w:val="22"/>
        </w:rPr>
      </w:pPr>
    </w:p>
    <w:p w14:paraId="103485E4" w14:textId="77777777" w:rsidR="009276ED" w:rsidRPr="005A439E" w:rsidRDefault="009276ED" w:rsidP="005A439E">
      <w:pPr>
        <w:rPr>
          <w:b/>
          <w:bCs/>
        </w:rPr>
      </w:pPr>
      <w:r w:rsidRPr="005A439E">
        <w:rPr>
          <w:rStyle w:val="Strong"/>
          <w:rFonts w:cs="Arial"/>
          <w:b w:val="0"/>
          <w:bCs w:val="0"/>
          <w:color w:val="000000" w:themeColor="text1"/>
          <w:szCs w:val="22"/>
        </w:rPr>
        <w:t>3. Social Exclusion and the Cycle of Disadvantage</w:t>
      </w:r>
    </w:p>
    <w:p w14:paraId="286D6220"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Silver's (1994) Social Exclusion Theory explains how marginalisation perpetuates poverty, mental illness, and addiction cycles. Social exclusion hinders employment, housing, healthcare, and community participation, increasing substance misuse risk (Room, 2005).</w:t>
      </w:r>
    </w:p>
    <w:p w14:paraId="075A3C78"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Austerity policies have increased social inequality and reduced access to community-based mental health services in the UK (Bambra et al., 2020), making this framework relevant. It highlights structural disadvantage, but critics say it oversimplifies individual agency in recovery (Lister, 2004).</w:t>
      </w:r>
    </w:p>
    <w:p w14:paraId="2BCE8F14" w14:textId="77777777" w:rsidR="00EB5D6A" w:rsidRPr="00EB5D6A" w:rsidRDefault="00EB5D6A" w:rsidP="00901E26">
      <w:pPr>
        <w:spacing w:before="100" w:beforeAutospacing="1" w:after="100" w:afterAutospacing="1" w:line="360" w:lineRule="auto"/>
        <w:rPr>
          <w:rFonts w:cs="Arial"/>
          <w:color w:val="000000" w:themeColor="text1"/>
          <w:szCs w:val="22"/>
        </w:rPr>
      </w:pPr>
      <w:r w:rsidRPr="00EB5D6A">
        <w:rPr>
          <w:rFonts w:cs="Arial"/>
          <w:color w:val="000000" w:themeColor="text1"/>
          <w:szCs w:val="22"/>
        </w:rPr>
        <w:t>This study uses these theories to explain the relationship between low income, substance abuse, and untreated mental health disorders at the individual and structural levels.</w:t>
      </w:r>
    </w:p>
    <w:p w14:paraId="42C1AFD2" w14:textId="531D40ED" w:rsidR="00BF3042" w:rsidRPr="00901E26" w:rsidRDefault="00BF3042" w:rsidP="00901E26">
      <w:pPr>
        <w:spacing w:line="360" w:lineRule="auto"/>
        <w:rPr>
          <w:rFonts w:cs="Arial"/>
          <w:color w:val="000000" w:themeColor="text1"/>
          <w:szCs w:val="22"/>
        </w:rPr>
      </w:pPr>
    </w:p>
    <w:p w14:paraId="245098B2" w14:textId="2D2420BE" w:rsidR="00BF3042" w:rsidRPr="00901E26" w:rsidRDefault="00BF3042" w:rsidP="00901E26">
      <w:pPr>
        <w:spacing w:line="360" w:lineRule="auto"/>
        <w:rPr>
          <w:rFonts w:cs="Arial"/>
          <w:color w:val="000000" w:themeColor="text1"/>
          <w:szCs w:val="22"/>
        </w:rPr>
      </w:pPr>
    </w:p>
    <w:p w14:paraId="5E08E9DF" w14:textId="05EF50B2" w:rsidR="00BF3042" w:rsidRDefault="00BF3042" w:rsidP="00901E26">
      <w:pPr>
        <w:spacing w:line="360" w:lineRule="auto"/>
        <w:rPr>
          <w:rFonts w:cs="Arial"/>
          <w:color w:val="000000" w:themeColor="text1"/>
          <w:szCs w:val="22"/>
        </w:rPr>
      </w:pPr>
    </w:p>
    <w:p w14:paraId="48F77B01" w14:textId="5936B3FF" w:rsidR="005A439E" w:rsidRDefault="005A439E" w:rsidP="00901E26">
      <w:pPr>
        <w:spacing w:line="360" w:lineRule="auto"/>
        <w:rPr>
          <w:rFonts w:cs="Arial"/>
          <w:color w:val="000000" w:themeColor="text1"/>
          <w:szCs w:val="22"/>
        </w:rPr>
      </w:pPr>
    </w:p>
    <w:p w14:paraId="22A4274A" w14:textId="0BBB4E28" w:rsidR="005A439E" w:rsidRDefault="005A439E" w:rsidP="00901E26">
      <w:pPr>
        <w:spacing w:line="360" w:lineRule="auto"/>
        <w:rPr>
          <w:rFonts w:cs="Arial"/>
          <w:color w:val="000000" w:themeColor="text1"/>
          <w:szCs w:val="22"/>
        </w:rPr>
      </w:pPr>
    </w:p>
    <w:p w14:paraId="2BB21D84" w14:textId="5DA43117" w:rsidR="005A439E" w:rsidRDefault="005A439E" w:rsidP="00901E26">
      <w:pPr>
        <w:spacing w:line="360" w:lineRule="auto"/>
        <w:rPr>
          <w:rFonts w:cs="Arial"/>
          <w:color w:val="000000" w:themeColor="text1"/>
          <w:szCs w:val="22"/>
        </w:rPr>
      </w:pPr>
    </w:p>
    <w:p w14:paraId="7EFC2302" w14:textId="70DC8D3D" w:rsidR="005A439E" w:rsidRDefault="005A439E" w:rsidP="00901E26">
      <w:pPr>
        <w:spacing w:line="360" w:lineRule="auto"/>
        <w:rPr>
          <w:rFonts w:cs="Arial"/>
          <w:color w:val="000000" w:themeColor="text1"/>
          <w:szCs w:val="22"/>
        </w:rPr>
      </w:pPr>
    </w:p>
    <w:p w14:paraId="582349E1" w14:textId="77777777" w:rsidR="005A439E" w:rsidRPr="00901E26" w:rsidRDefault="005A439E" w:rsidP="00901E26">
      <w:pPr>
        <w:spacing w:line="360" w:lineRule="auto"/>
        <w:rPr>
          <w:rFonts w:cs="Arial"/>
          <w:color w:val="000000" w:themeColor="text1"/>
          <w:szCs w:val="22"/>
        </w:rPr>
      </w:pPr>
    </w:p>
    <w:p w14:paraId="47E1B553" w14:textId="77777777" w:rsidR="009276ED" w:rsidRPr="005A439E" w:rsidRDefault="009276ED" w:rsidP="005A439E">
      <w:pPr>
        <w:pStyle w:val="Heading1"/>
      </w:pPr>
      <w:bookmarkStart w:id="18" w:name="_Toc214840449"/>
      <w:r w:rsidRPr="005A439E">
        <w:rPr>
          <w:rStyle w:val="Strong"/>
          <w:b/>
          <w:bCs/>
        </w:rPr>
        <w:lastRenderedPageBreak/>
        <w:t>2.4 International Context</w:t>
      </w:r>
      <w:bookmarkEnd w:id="18"/>
    </w:p>
    <w:p w14:paraId="38F6139C" w14:textId="77777777" w:rsidR="009276ED" w:rsidRPr="00901E26" w:rsidRDefault="009276ED"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Substance misuse is a global challenge influenced by diverse socioeconomic and cultural contexts. The</w:t>
      </w:r>
      <w:r w:rsidRPr="00901E26">
        <w:rPr>
          <w:rStyle w:val="apple-converted-space"/>
          <w:rFonts w:ascii="Arial" w:hAnsi="Arial" w:cs="Arial"/>
          <w:color w:val="000000" w:themeColor="text1"/>
          <w:szCs w:val="22"/>
        </w:rPr>
        <w:t> </w:t>
      </w:r>
      <w:r w:rsidRPr="00901E26">
        <w:rPr>
          <w:rStyle w:val="Strong"/>
          <w:rFonts w:ascii="Arial" w:hAnsi="Arial" w:cs="Arial"/>
          <w:b w:val="0"/>
          <w:bCs w:val="0"/>
          <w:color w:val="000000" w:themeColor="text1"/>
          <w:szCs w:val="22"/>
        </w:rPr>
        <w:t>United Nations Office on Drugs and Crime (UNODC)</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reports that over 296 million people worldwide used drugs in 2021, with low- and middle-income countries disproportionately affected by health and social harms (UNODC, 2022).</w:t>
      </w:r>
    </w:p>
    <w:p w14:paraId="25BC77DE" w14:textId="77777777" w:rsidR="00E016C3" w:rsidRPr="005A439E" w:rsidRDefault="00E016C3" w:rsidP="005A439E">
      <w:pPr>
        <w:pStyle w:val="Heading2"/>
      </w:pPr>
      <w:bookmarkStart w:id="19" w:name="_Toc214840450"/>
      <w:r w:rsidRPr="005A439E">
        <w:t>Global Policy Perspectives</w:t>
      </w:r>
      <w:bookmarkEnd w:id="19"/>
    </w:p>
    <w:p w14:paraId="4A4F416F"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Many countries have shifted from punitive approaches to public health-orientated strategies. Portugal’s decriminalisation model (2001) remains a key example. Instead of prosecuting individuals for drug possession, Portugal focuses on treatment, harm reduction, and social reintegration (Greenwald, 2009). This model has lowered the number of drug-related deaths and HIV transmissions while making it easier for people to acquire treatment (Hughes &amp; Stevens, 2010).</w:t>
      </w:r>
    </w:p>
    <w:p w14:paraId="5D8E2B98"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Similarly, Canada and Australia have implemented harm-reduction policies such as supervised consumption facilities, acknowledging the role of inequality and trauma in addiction (Kerr et al., 2017). The World Health Organization (2022) advocates for integrated treatment that addresses both mental health and substance use, especially in disadvantaged communities.</w:t>
      </w:r>
    </w:p>
    <w:p w14:paraId="322B521E" w14:textId="77777777" w:rsidR="00E016C3" w:rsidRPr="00E016C3" w:rsidRDefault="00E016C3" w:rsidP="005A439E">
      <w:pPr>
        <w:pStyle w:val="Heading2"/>
      </w:pPr>
      <w:bookmarkStart w:id="20" w:name="_Toc214840451"/>
      <w:r w:rsidRPr="00E016C3">
        <w:t>Comparative Analysis</w:t>
      </w:r>
      <w:bookmarkEnd w:id="20"/>
    </w:p>
    <w:p w14:paraId="42FA11F4"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 xml:space="preserve">Contrastingly, the United States continues to struggle with high rates of opioid-related deaths, driven by socioeconomic deprivation and inconsistent access to healthcare (Dasgupta, </w:t>
      </w:r>
      <w:proofErr w:type="spellStart"/>
      <w:r w:rsidRPr="00E016C3">
        <w:rPr>
          <w:rFonts w:cs="Arial"/>
          <w:color w:val="000000" w:themeColor="text1"/>
          <w:szCs w:val="22"/>
        </w:rPr>
        <w:t>Beletsky</w:t>
      </w:r>
      <w:proofErr w:type="spellEnd"/>
      <w:r w:rsidRPr="00E016C3">
        <w:rPr>
          <w:rFonts w:cs="Arial"/>
          <w:color w:val="000000" w:themeColor="text1"/>
          <w:szCs w:val="22"/>
        </w:rPr>
        <w:t xml:space="preserve"> &amp; </w:t>
      </w:r>
      <w:proofErr w:type="spellStart"/>
      <w:r w:rsidRPr="00E016C3">
        <w:rPr>
          <w:rFonts w:cs="Arial"/>
          <w:color w:val="000000" w:themeColor="text1"/>
          <w:szCs w:val="22"/>
        </w:rPr>
        <w:t>Ciccarone</w:t>
      </w:r>
      <w:proofErr w:type="spellEnd"/>
      <w:r w:rsidRPr="00E016C3">
        <w:rPr>
          <w:rFonts w:cs="Arial"/>
          <w:color w:val="000000" w:themeColor="text1"/>
          <w:szCs w:val="22"/>
        </w:rPr>
        <w:t>, 2018). The punitive legacy of the “War on Drugs” remains evident, with incarceration rates among low-income and minority populations disproportionately high (Alexander, 2020).</w:t>
      </w:r>
    </w:p>
    <w:p w14:paraId="0E8F9B4E" w14:textId="77777777" w:rsidR="00E016C3" w:rsidRPr="00E016C3" w:rsidRDefault="00E016C3" w:rsidP="00901E26">
      <w:pPr>
        <w:spacing w:before="100" w:beforeAutospacing="1" w:after="100" w:afterAutospacing="1" w:line="360" w:lineRule="auto"/>
        <w:rPr>
          <w:rFonts w:cs="Arial"/>
          <w:color w:val="000000" w:themeColor="text1"/>
          <w:szCs w:val="22"/>
        </w:rPr>
      </w:pPr>
      <w:r w:rsidRPr="00E016C3">
        <w:rPr>
          <w:rFonts w:cs="Arial"/>
          <w:color w:val="000000" w:themeColor="text1"/>
          <w:szCs w:val="22"/>
        </w:rPr>
        <w:t>European nations, however, have generally adopted a more balanced approach, combining regulation with social support. The European Monitoring Centre for Drugs and Drug Addiction (EMCDDA) highlights the success of multi-agency strategies that integrate housing, employment, and mental health services alongside addiction treatment (EMCDDA, 2022).</w:t>
      </w:r>
    </w:p>
    <w:p w14:paraId="5D453D0D" w14:textId="7E13E417" w:rsidR="00A8429E" w:rsidRPr="00901E26" w:rsidRDefault="00E016C3" w:rsidP="005A439E">
      <w:pPr>
        <w:spacing w:before="100" w:beforeAutospacing="1" w:after="100" w:afterAutospacing="1" w:line="360" w:lineRule="auto"/>
        <w:rPr>
          <w:rFonts w:cs="Arial"/>
          <w:color w:val="000000" w:themeColor="text1"/>
          <w:szCs w:val="22"/>
        </w:rPr>
      </w:pPr>
      <w:r w:rsidRPr="00E016C3">
        <w:rPr>
          <w:rFonts w:cs="Arial"/>
          <w:color w:val="000000" w:themeColor="text1"/>
          <w:szCs w:val="22"/>
        </w:rPr>
        <w:t>These global perspectives highlight a crucial insight: addressing substance misuse effectively requires addressing the underlying social and economic inequalities that sustain it.</w:t>
      </w:r>
    </w:p>
    <w:p w14:paraId="75EF5D5E" w14:textId="77777777" w:rsidR="009276ED" w:rsidRPr="00F87C0C" w:rsidRDefault="009276ED" w:rsidP="00F87C0C">
      <w:pPr>
        <w:pStyle w:val="Heading1"/>
      </w:pPr>
      <w:bookmarkStart w:id="21" w:name="_Toc214840452"/>
      <w:r w:rsidRPr="00F87C0C">
        <w:rPr>
          <w:rStyle w:val="Strong"/>
          <w:b/>
          <w:bCs/>
        </w:rPr>
        <w:lastRenderedPageBreak/>
        <w:t>2.5 National and Local UK Context</w:t>
      </w:r>
      <w:bookmarkEnd w:id="21"/>
    </w:p>
    <w:p w14:paraId="053A1416"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In the UK, and particularly in England, substance misuse and mental health disorders intersect strongly with socioeconomic inequality. Recent ONS data show that drug-related deaths are more than five times higher in the most deprived areas compared to the least deprived (ONS, 2022).</w:t>
      </w:r>
    </w:p>
    <w:p w14:paraId="2021451A" w14:textId="77777777" w:rsidR="00A91181" w:rsidRPr="00A91181" w:rsidRDefault="00A91181" w:rsidP="005A439E">
      <w:pPr>
        <w:pStyle w:val="Heading2"/>
      </w:pPr>
      <w:bookmarkStart w:id="22" w:name="_Toc214840453"/>
      <w:r w:rsidRPr="00A91181">
        <w:t>Policy and Legislation</w:t>
      </w:r>
      <w:bookmarkEnd w:id="22"/>
    </w:p>
    <w:p w14:paraId="3764A974"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The UK Drug Strategy (2021) outlines a commitment to reducing substance-related harm through prevention, treatment, and recovery. However, critics argue that funding cuts and fragmented service delivery undermine these goals (Black, 2021).</w:t>
      </w:r>
      <w:r w:rsidRPr="00A91181">
        <w:rPr>
          <w:rFonts w:cs="Arial"/>
          <w:color w:val="000000" w:themeColor="text1"/>
          <w:szCs w:val="22"/>
        </w:rPr>
        <w:br/>
        <w:t>The NHS Long Term Plan (2019) aims to improve access to mental health services by integrating community-based and primary care interventions. Nevertheless, gaps remain, particularly for people facing poverty, homelessness, or co-occurring disorders (NHS England, 2019).</w:t>
      </w:r>
    </w:p>
    <w:p w14:paraId="2BC59D3C"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 </w:t>
      </w:r>
    </w:p>
    <w:p w14:paraId="572DD552" w14:textId="77777777" w:rsidR="00A91181" w:rsidRPr="00A91181" w:rsidRDefault="00A91181" w:rsidP="005A439E">
      <w:pPr>
        <w:pStyle w:val="Heading2"/>
      </w:pPr>
      <w:bookmarkStart w:id="23" w:name="_Toc214840454"/>
      <w:r w:rsidRPr="00A91181">
        <w:t>Local and Regional Variations</w:t>
      </w:r>
      <w:bookmarkEnd w:id="23"/>
    </w:p>
    <w:p w14:paraId="145D926B"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 xml:space="preserve">Regional disparities are stark. For instance, areas such as the </w:t>
      </w:r>
      <w:proofErr w:type="gramStart"/>
      <w:r w:rsidRPr="00A91181">
        <w:rPr>
          <w:rFonts w:cs="Arial"/>
          <w:color w:val="000000" w:themeColor="text1"/>
          <w:szCs w:val="22"/>
        </w:rPr>
        <w:t>North East</w:t>
      </w:r>
      <w:proofErr w:type="gramEnd"/>
      <w:r w:rsidRPr="00A91181">
        <w:rPr>
          <w:rFonts w:cs="Arial"/>
          <w:color w:val="000000" w:themeColor="text1"/>
          <w:szCs w:val="22"/>
        </w:rPr>
        <w:t xml:space="preserve"> and Merseyside report higher drug-related mortality rates and lower treatment access compared to the South East (Public Health England, 2021). Local authorities often lack sufficient funding to sustain early intervention programmes, especially following austerity-era budget reductions (Bambra et al., 2020).</w:t>
      </w:r>
    </w:p>
    <w:p w14:paraId="64C6CE5D"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Community organisations and charities, such as Turning Point and Change Grow Live (CGL), play critical roles in bridging these gaps by providing locally accessible treatments. Their successes highlight the value of community-led models for reaching marginalised groups.</w:t>
      </w:r>
    </w:p>
    <w:p w14:paraId="39E7A82B"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The persistence of health inequalities across regions demonstrates that national policy alone is insufficient; effective strategies require integrated, locally tailored responses that address both the socioeconomic and psychological dimensions of substance misuse.</w:t>
      </w:r>
    </w:p>
    <w:p w14:paraId="466F4522" w14:textId="77777777" w:rsidR="00BF3042" w:rsidRPr="00901E26" w:rsidRDefault="00BF3042" w:rsidP="00901E26">
      <w:pPr>
        <w:pStyle w:val="NormalWeb"/>
        <w:spacing w:line="360" w:lineRule="auto"/>
        <w:rPr>
          <w:rFonts w:ascii="Arial" w:hAnsi="Arial" w:cs="Arial"/>
          <w:color w:val="000000" w:themeColor="text1"/>
          <w:szCs w:val="22"/>
        </w:rPr>
      </w:pPr>
    </w:p>
    <w:p w14:paraId="657E5820" w14:textId="6BFF664A" w:rsidR="009276ED" w:rsidRPr="00901E26" w:rsidRDefault="009276ED" w:rsidP="00901E26">
      <w:pPr>
        <w:spacing w:line="360" w:lineRule="auto"/>
        <w:rPr>
          <w:rFonts w:cs="Arial"/>
          <w:color w:val="000000" w:themeColor="text1"/>
          <w:szCs w:val="22"/>
        </w:rPr>
      </w:pPr>
    </w:p>
    <w:p w14:paraId="30486AED" w14:textId="77777777" w:rsidR="00A8429E" w:rsidRPr="00901E26" w:rsidRDefault="00A8429E" w:rsidP="00901E26">
      <w:pPr>
        <w:spacing w:line="360" w:lineRule="auto"/>
        <w:rPr>
          <w:rFonts w:cs="Arial"/>
          <w:color w:val="000000" w:themeColor="text1"/>
          <w:szCs w:val="22"/>
        </w:rPr>
      </w:pPr>
    </w:p>
    <w:p w14:paraId="3B07A149" w14:textId="70167DB7" w:rsidR="009276ED" w:rsidRPr="00F87C0C" w:rsidRDefault="009276ED" w:rsidP="00F87C0C">
      <w:pPr>
        <w:pStyle w:val="Heading1"/>
      </w:pPr>
      <w:bookmarkStart w:id="24" w:name="_Toc214840455"/>
      <w:r w:rsidRPr="00F87C0C">
        <w:rPr>
          <w:rStyle w:val="Strong"/>
          <w:b/>
          <w:bCs/>
        </w:rPr>
        <w:lastRenderedPageBreak/>
        <w:t>2.6 Conclusion</w:t>
      </w:r>
      <w:bookmarkEnd w:id="24"/>
    </w:p>
    <w:p w14:paraId="0EC7850F"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This chapter has outlined the historical evolution, theoretical foundations, and international and national contexts of substance misuse, socioeconomic inequality, and mental health. Historically, attitudes toward addiction have shifted from moral condemnation to public health concern. Theoretically, models such as the social determinants of health, stress vulnerability, and social exclusion frameworks explain how socioeconomic disadvantage fuels cycles of substance misuse and untreated mental illness.</w:t>
      </w:r>
    </w:p>
    <w:p w14:paraId="17484E91"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Globally, countries are increasingly recognising the importance of holistic, integrated responses to addiction. Within England, however, persistent inequalities in income, service access, and health outcomes indicate a pressing need for socially informed policy interventions.</w:t>
      </w:r>
    </w:p>
    <w:p w14:paraId="4BFADA68" w14:textId="77777777" w:rsidR="00A91181" w:rsidRPr="00A91181" w:rsidRDefault="00A91181" w:rsidP="00901E26">
      <w:pPr>
        <w:spacing w:before="100" w:beforeAutospacing="1" w:after="100" w:afterAutospacing="1" w:line="360" w:lineRule="auto"/>
        <w:rPr>
          <w:rFonts w:cs="Arial"/>
          <w:color w:val="000000" w:themeColor="text1"/>
          <w:szCs w:val="22"/>
        </w:rPr>
      </w:pPr>
      <w:r w:rsidRPr="00A91181">
        <w:rPr>
          <w:rFonts w:cs="Arial"/>
          <w:color w:val="000000" w:themeColor="text1"/>
          <w:szCs w:val="22"/>
        </w:rPr>
        <w:t>These insights form the contextual foundation for the next chapter, which will detail the methodology used in this study and explain how the evidence will be systematically collected, analysed, and synthesised to address the research's aims and objectives.</w:t>
      </w:r>
    </w:p>
    <w:p w14:paraId="490EF744" w14:textId="5E30B9B4" w:rsidR="00BF3042" w:rsidRPr="00901E26" w:rsidRDefault="00BF3042" w:rsidP="00901E26">
      <w:pPr>
        <w:pStyle w:val="NormalWeb"/>
        <w:spacing w:line="360" w:lineRule="auto"/>
        <w:rPr>
          <w:rFonts w:ascii="Arial" w:hAnsi="Arial" w:cs="Arial"/>
          <w:color w:val="000000" w:themeColor="text1"/>
          <w:szCs w:val="22"/>
        </w:rPr>
      </w:pPr>
    </w:p>
    <w:p w14:paraId="0E510B9B" w14:textId="5636EB49" w:rsidR="00BF3042" w:rsidRPr="00901E26" w:rsidRDefault="00BF3042" w:rsidP="00901E26">
      <w:pPr>
        <w:pStyle w:val="NormalWeb"/>
        <w:spacing w:line="360" w:lineRule="auto"/>
        <w:rPr>
          <w:rFonts w:ascii="Arial" w:hAnsi="Arial" w:cs="Arial"/>
          <w:color w:val="000000" w:themeColor="text1"/>
          <w:szCs w:val="22"/>
        </w:rPr>
      </w:pPr>
    </w:p>
    <w:p w14:paraId="13ED2F48" w14:textId="0D3B95E1" w:rsidR="00BF3042" w:rsidRPr="00901E26" w:rsidRDefault="00BF3042" w:rsidP="00901E26">
      <w:pPr>
        <w:pStyle w:val="NormalWeb"/>
        <w:spacing w:line="360" w:lineRule="auto"/>
        <w:rPr>
          <w:rFonts w:ascii="Arial" w:hAnsi="Arial" w:cs="Arial"/>
          <w:color w:val="000000" w:themeColor="text1"/>
          <w:szCs w:val="22"/>
        </w:rPr>
      </w:pPr>
    </w:p>
    <w:p w14:paraId="41F19F79" w14:textId="6D7FAA6A" w:rsidR="00BF3042" w:rsidRPr="00901E26" w:rsidRDefault="00BF3042" w:rsidP="00901E26">
      <w:pPr>
        <w:pStyle w:val="NormalWeb"/>
        <w:spacing w:line="360" w:lineRule="auto"/>
        <w:rPr>
          <w:rFonts w:ascii="Arial" w:hAnsi="Arial" w:cs="Arial"/>
          <w:color w:val="000000" w:themeColor="text1"/>
          <w:szCs w:val="22"/>
        </w:rPr>
      </w:pPr>
    </w:p>
    <w:p w14:paraId="55B98CF5" w14:textId="4A6174EF" w:rsidR="00BF3042" w:rsidRPr="00901E26" w:rsidRDefault="00BF3042" w:rsidP="00901E26">
      <w:pPr>
        <w:pStyle w:val="NormalWeb"/>
        <w:spacing w:line="360" w:lineRule="auto"/>
        <w:rPr>
          <w:rFonts w:ascii="Arial" w:hAnsi="Arial" w:cs="Arial"/>
          <w:color w:val="000000" w:themeColor="text1"/>
          <w:szCs w:val="22"/>
        </w:rPr>
      </w:pPr>
    </w:p>
    <w:p w14:paraId="17CFDE2D" w14:textId="1C8B26A9" w:rsidR="00BF3042" w:rsidRPr="00901E26" w:rsidRDefault="00BF3042" w:rsidP="00901E26">
      <w:pPr>
        <w:pStyle w:val="NormalWeb"/>
        <w:spacing w:line="360" w:lineRule="auto"/>
        <w:rPr>
          <w:rFonts w:ascii="Arial" w:hAnsi="Arial" w:cs="Arial"/>
          <w:color w:val="000000" w:themeColor="text1"/>
          <w:szCs w:val="22"/>
        </w:rPr>
      </w:pPr>
    </w:p>
    <w:p w14:paraId="2156F1B8" w14:textId="1F83EEE5" w:rsidR="00BF3042" w:rsidRPr="00901E26" w:rsidRDefault="00BF3042" w:rsidP="00901E26">
      <w:pPr>
        <w:pStyle w:val="NormalWeb"/>
        <w:spacing w:line="360" w:lineRule="auto"/>
        <w:rPr>
          <w:rFonts w:ascii="Arial" w:hAnsi="Arial" w:cs="Arial"/>
          <w:color w:val="000000" w:themeColor="text1"/>
          <w:szCs w:val="22"/>
        </w:rPr>
      </w:pPr>
    </w:p>
    <w:p w14:paraId="237092DF" w14:textId="30BF3A06" w:rsidR="00BF3042" w:rsidRPr="00901E26" w:rsidRDefault="00BF3042" w:rsidP="00901E26">
      <w:pPr>
        <w:pStyle w:val="NormalWeb"/>
        <w:spacing w:line="360" w:lineRule="auto"/>
        <w:rPr>
          <w:rFonts w:ascii="Arial" w:hAnsi="Arial" w:cs="Arial"/>
          <w:color w:val="000000" w:themeColor="text1"/>
          <w:szCs w:val="22"/>
        </w:rPr>
      </w:pPr>
    </w:p>
    <w:p w14:paraId="3321B6D2" w14:textId="2F6F6A6F" w:rsidR="00BF3042" w:rsidRPr="00901E26" w:rsidRDefault="00BF3042" w:rsidP="00901E26">
      <w:pPr>
        <w:pStyle w:val="NormalWeb"/>
        <w:spacing w:line="360" w:lineRule="auto"/>
        <w:rPr>
          <w:rFonts w:ascii="Arial" w:hAnsi="Arial" w:cs="Arial"/>
          <w:color w:val="000000" w:themeColor="text1"/>
          <w:szCs w:val="22"/>
        </w:rPr>
      </w:pPr>
    </w:p>
    <w:p w14:paraId="6052FD7D" w14:textId="2BADA9A9" w:rsidR="00BF3042" w:rsidRPr="00901E26" w:rsidRDefault="00BF3042" w:rsidP="00901E26">
      <w:pPr>
        <w:pStyle w:val="NormalWeb"/>
        <w:spacing w:line="360" w:lineRule="auto"/>
        <w:rPr>
          <w:rFonts w:ascii="Arial" w:hAnsi="Arial" w:cs="Arial"/>
          <w:color w:val="000000" w:themeColor="text1"/>
          <w:szCs w:val="22"/>
        </w:rPr>
      </w:pPr>
    </w:p>
    <w:p w14:paraId="40528B31" w14:textId="77777777" w:rsidR="00A91181" w:rsidRPr="00901E26" w:rsidRDefault="00A91181" w:rsidP="00901E26">
      <w:pPr>
        <w:pStyle w:val="NormalWeb"/>
        <w:spacing w:line="360" w:lineRule="auto"/>
        <w:rPr>
          <w:rFonts w:ascii="Arial" w:hAnsi="Arial" w:cs="Arial"/>
          <w:color w:val="000000" w:themeColor="text1"/>
          <w:szCs w:val="22"/>
        </w:rPr>
      </w:pPr>
    </w:p>
    <w:p w14:paraId="4F7F64D5" w14:textId="77777777" w:rsidR="00BF3042" w:rsidRPr="00901E26" w:rsidRDefault="00BF3042" w:rsidP="00901E26">
      <w:pPr>
        <w:pStyle w:val="NormalWeb"/>
        <w:spacing w:line="360" w:lineRule="auto"/>
        <w:rPr>
          <w:rFonts w:ascii="Arial" w:hAnsi="Arial" w:cs="Arial"/>
          <w:color w:val="000000" w:themeColor="text1"/>
          <w:szCs w:val="22"/>
        </w:rPr>
      </w:pPr>
    </w:p>
    <w:p w14:paraId="7DFF2F1A" w14:textId="12305CEB" w:rsidR="00935115" w:rsidRPr="00C91F72" w:rsidRDefault="00935115" w:rsidP="00B738A5">
      <w:pPr>
        <w:pStyle w:val="Heading1"/>
      </w:pPr>
      <w:bookmarkStart w:id="25" w:name="_Toc214840456"/>
      <w:r w:rsidRPr="00B738A5">
        <w:lastRenderedPageBreak/>
        <w:t>Chapter 3</w:t>
      </w:r>
      <w:r w:rsidR="00F87C0C" w:rsidRPr="00B738A5">
        <w:t xml:space="preserve">: </w:t>
      </w:r>
      <w:r w:rsidRPr="00B738A5">
        <w:t>Methods</w:t>
      </w:r>
      <w:bookmarkEnd w:id="25"/>
      <w:r w:rsidRPr="00B738A5">
        <w:t xml:space="preserve"> </w:t>
      </w:r>
    </w:p>
    <w:p w14:paraId="41BF01DD" w14:textId="77777777" w:rsidR="00935115" w:rsidRPr="00901E26" w:rsidRDefault="00935115" w:rsidP="00B738A5">
      <w:pPr>
        <w:pStyle w:val="Heading2"/>
      </w:pPr>
      <w:bookmarkStart w:id="26" w:name="_Toc214840457"/>
      <w:r w:rsidRPr="00901E26">
        <w:t>3.1 Introduction</w:t>
      </w:r>
      <w:bookmarkEnd w:id="26"/>
    </w:p>
    <w:p w14:paraId="074BDE3B" w14:textId="77777777" w:rsidR="00143F7C" w:rsidRPr="00143F7C" w:rsidRDefault="00143F7C" w:rsidP="00901E26">
      <w:pPr>
        <w:spacing w:before="100" w:beforeAutospacing="1" w:after="100" w:afterAutospacing="1" w:line="360" w:lineRule="auto"/>
        <w:rPr>
          <w:rFonts w:cs="Arial"/>
          <w:color w:val="000000" w:themeColor="text1"/>
          <w:szCs w:val="22"/>
        </w:rPr>
      </w:pPr>
      <w:r w:rsidRPr="00143F7C">
        <w:rPr>
          <w:rFonts w:cs="Arial"/>
          <w:color w:val="000000" w:themeColor="text1"/>
          <w:szCs w:val="22"/>
        </w:rPr>
        <w:t>This chapter outlines the methodological approach used to investigate the relationship between low-income status, substance misuse, and untreated mental health disorders in England. It builds on the Academic Methodology Poster, which provided a visual overview of the research process. Here, the poster’s key components are expanded upon in narrative form to demonstrate how each stage of the process was systematically and critically executed.</w:t>
      </w:r>
    </w:p>
    <w:p w14:paraId="049939D4" w14:textId="6B3649D6" w:rsidR="00143F7C" w:rsidRPr="00143F7C" w:rsidRDefault="00143F7C" w:rsidP="00901E26">
      <w:pPr>
        <w:spacing w:before="100" w:beforeAutospacing="1" w:after="100" w:afterAutospacing="1" w:line="360" w:lineRule="auto"/>
        <w:rPr>
          <w:rFonts w:cs="Arial"/>
          <w:color w:val="000000" w:themeColor="text1"/>
          <w:szCs w:val="22"/>
        </w:rPr>
      </w:pPr>
      <w:r w:rsidRPr="00143F7C">
        <w:rPr>
          <w:rFonts w:cs="Arial"/>
          <w:color w:val="000000" w:themeColor="text1"/>
          <w:szCs w:val="22"/>
        </w:rPr>
        <w:t>The study employs a desk-based, literature-based approach, utilising secondary data to synthesise current knowledge through thematic analysis. This methodology allowed for an in-depth exploration of the social, psychological, and policy-based intersections between poverty, addiction, and mental health. According to Aveyard (20</w:t>
      </w:r>
      <w:r w:rsidR="006B3A77">
        <w:rPr>
          <w:rFonts w:cs="Arial"/>
          <w:color w:val="000000" w:themeColor="text1"/>
          <w:szCs w:val="22"/>
        </w:rPr>
        <w:t>23</w:t>
      </w:r>
      <w:r w:rsidRPr="00143F7C">
        <w:rPr>
          <w:rFonts w:cs="Arial"/>
          <w:color w:val="000000" w:themeColor="text1"/>
          <w:szCs w:val="22"/>
        </w:rPr>
        <w:t>), literature-based research is particularly effective for topics embedded in existing evidence bases, where ethical or practical barriers make primary data collection unfeasible.</w:t>
      </w:r>
    </w:p>
    <w:p w14:paraId="054C3CEE" w14:textId="77777777" w:rsidR="00143F7C" w:rsidRPr="00143F7C" w:rsidRDefault="00143F7C" w:rsidP="00901E26">
      <w:pPr>
        <w:spacing w:before="100" w:beforeAutospacing="1" w:after="100" w:afterAutospacing="1" w:line="360" w:lineRule="auto"/>
        <w:rPr>
          <w:rFonts w:cs="Arial"/>
          <w:color w:val="000000" w:themeColor="text1"/>
          <w:szCs w:val="22"/>
        </w:rPr>
      </w:pPr>
      <w:r w:rsidRPr="00143F7C">
        <w:rPr>
          <w:rFonts w:cs="Arial"/>
          <w:color w:val="000000" w:themeColor="text1"/>
          <w:szCs w:val="22"/>
        </w:rPr>
        <w:t>The methods outlined here underpin the findings discussed in Chapter 4. By defining how data were searched, selected, and analysed, this chapter demonstrates academic rigour and transparency, ensuring that the results presented later are grounded in a clear and replicable process.</w:t>
      </w:r>
    </w:p>
    <w:p w14:paraId="50E83303" w14:textId="4B7BB35A" w:rsidR="00935115" w:rsidRPr="00C91F72" w:rsidRDefault="00935115" w:rsidP="00901E26">
      <w:pPr>
        <w:spacing w:line="360" w:lineRule="auto"/>
        <w:rPr>
          <w:rFonts w:cs="Arial"/>
          <w:color w:val="000000" w:themeColor="text1"/>
          <w:szCs w:val="22"/>
        </w:rPr>
      </w:pPr>
    </w:p>
    <w:p w14:paraId="76F9E2E9" w14:textId="77777777" w:rsidR="00935115" w:rsidRPr="00901E26" w:rsidRDefault="00935115" w:rsidP="00B738A5">
      <w:pPr>
        <w:pStyle w:val="Heading2"/>
      </w:pPr>
      <w:bookmarkStart w:id="27" w:name="_Toc214840458"/>
      <w:r w:rsidRPr="00901E26">
        <w:t>3.2 Search Strategy</w:t>
      </w:r>
      <w:bookmarkEnd w:id="27"/>
    </w:p>
    <w:p w14:paraId="4E1856B0"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Developing Keywords</w:t>
      </w:r>
    </w:p>
    <w:p w14:paraId="16C28AF6"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The search strategy was structured around the research title and question:</w:t>
      </w:r>
    </w:p>
    <w:p w14:paraId="4059BDDC"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“Is there a correlation between low-income status and higher rates of substance misuse in England, and how does this intersect with levels of untreated mental health disorders?”</w:t>
      </w:r>
    </w:p>
    <w:p w14:paraId="4DD56721" w14:textId="77777777" w:rsidR="00134FE6" w:rsidRPr="00134FE6" w:rsidRDefault="00134FE6" w:rsidP="00901E26">
      <w:pPr>
        <w:spacing w:before="100" w:beforeAutospacing="1" w:after="100" w:afterAutospacing="1" w:line="360" w:lineRule="auto"/>
        <w:rPr>
          <w:rFonts w:cs="Arial"/>
          <w:color w:val="000000" w:themeColor="text1"/>
          <w:szCs w:val="22"/>
        </w:rPr>
      </w:pPr>
      <w:r w:rsidRPr="00134FE6">
        <w:rPr>
          <w:rFonts w:cs="Arial"/>
          <w:color w:val="000000" w:themeColor="text1"/>
          <w:szCs w:val="22"/>
        </w:rPr>
        <w:t>From this, key concepts were extracted: </w:t>
      </w:r>
      <w:r w:rsidRPr="00134FE6">
        <w:rPr>
          <w:rFonts w:cs="Arial"/>
          <w:b/>
          <w:bCs/>
          <w:color w:val="000000" w:themeColor="text1"/>
          <w:szCs w:val="22"/>
        </w:rPr>
        <w:t>“</w:t>
      </w:r>
      <w:r w:rsidRPr="00134FE6">
        <w:rPr>
          <w:rFonts w:cs="Arial"/>
          <w:color w:val="000000" w:themeColor="text1"/>
          <w:szCs w:val="22"/>
        </w:rPr>
        <w:t>substance misuse”, “low income”, “mental health”, “England”, and “health inequalities”. Synonyms and related terms were added to capture broader academic language, including “drug use”, “socioeconomic deprivation”, “addiction”, “dual diagnosis”, “access to treatment”, and “psychological distress”.</w:t>
      </w:r>
    </w:p>
    <w:p w14:paraId="7FBCD980" w14:textId="77777777" w:rsidR="00BF3042" w:rsidRPr="00C91F72" w:rsidRDefault="00BF3042" w:rsidP="00901E26">
      <w:pPr>
        <w:spacing w:before="100" w:beforeAutospacing="1" w:after="100" w:afterAutospacing="1" w:line="360" w:lineRule="auto"/>
        <w:rPr>
          <w:rFonts w:cs="Arial"/>
          <w:color w:val="000000" w:themeColor="text1"/>
          <w:szCs w:val="22"/>
        </w:rPr>
      </w:pPr>
    </w:p>
    <w:p w14:paraId="78CF3FEC"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lastRenderedPageBreak/>
        <w:t>Boolean Operators</w:t>
      </w:r>
    </w:p>
    <w:p w14:paraId="41D43852"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Boolean operators were used to combine and refine results:</w:t>
      </w:r>
    </w:p>
    <w:p w14:paraId="058177BC" w14:textId="77777777" w:rsidR="00935115" w:rsidRPr="00C91F72" w:rsidRDefault="00935115" w:rsidP="00303E61">
      <w:pPr>
        <w:numPr>
          <w:ilvl w:val="0"/>
          <w:numId w:val="5"/>
        </w:numPr>
        <w:spacing w:before="100" w:beforeAutospacing="1" w:after="100" w:afterAutospacing="1" w:line="360" w:lineRule="auto"/>
        <w:rPr>
          <w:rFonts w:cs="Arial"/>
          <w:color w:val="000000" w:themeColor="text1"/>
          <w:szCs w:val="22"/>
        </w:rPr>
      </w:pPr>
      <w:r w:rsidRPr="00C91F72">
        <w:rPr>
          <w:rFonts w:cs="Arial"/>
          <w:color w:val="000000" w:themeColor="text1"/>
          <w:szCs w:val="22"/>
        </w:rPr>
        <w:t>AND to link major ideas (e.g., “substance misuse AND low income”).</w:t>
      </w:r>
    </w:p>
    <w:p w14:paraId="52DB27E2" w14:textId="77777777" w:rsidR="00935115" w:rsidRPr="00C91F72" w:rsidRDefault="00935115" w:rsidP="00303E61">
      <w:pPr>
        <w:numPr>
          <w:ilvl w:val="0"/>
          <w:numId w:val="5"/>
        </w:numPr>
        <w:spacing w:before="100" w:beforeAutospacing="1" w:after="100" w:afterAutospacing="1" w:line="360" w:lineRule="auto"/>
        <w:rPr>
          <w:rFonts w:cs="Arial"/>
          <w:color w:val="000000" w:themeColor="text1"/>
          <w:szCs w:val="22"/>
        </w:rPr>
      </w:pPr>
      <w:r w:rsidRPr="00C91F72">
        <w:rPr>
          <w:rFonts w:cs="Arial"/>
          <w:color w:val="000000" w:themeColor="text1"/>
          <w:szCs w:val="22"/>
        </w:rPr>
        <w:t>OR to include synonyms (e.g., “mental illness OR psychological disorder”).</w:t>
      </w:r>
    </w:p>
    <w:p w14:paraId="3C95F8F8" w14:textId="77777777" w:rsidR="00935115" w:rsidRPr="00C91F72" w:rsidRDefault="00935115" w:rsidP="00303E61">
      <w:pPr>
        <w:numPr>
          <w:ilvl w:val="0"/>
          <w:numId w:val="5"/>
        </w:numPr>
        <w:spacing w:before="100" w:beforeAutospacing="1" w:after="100" w:afterAutospacing="1" w:line="360" w:lineRule="auto"/>
        <w:rPr>
          <w:rFonts w:cs="Arial"/>
          <w:color w:val="000000" w:themeColor="text1"/>
          <w:szCs w:val="22"/>
        </w:rPr>
      </w:pPr>
      <w:r w:rsidRPr="00C91F72">
        <w:rPr>
          <w:rFonts w:cs="Arial"/>
          <w:color w:val="000000" w:themeColor="text1"/>
          <w:szCs w:val="22"/>
        </w:rPr>
        <w:t>NOT to exclude irrelevant contexts (e.g., “NOT adolescent-only studies”).</w:t>
      </w:r>
    </w:p>
    <w:p w14:paraId="607D2333"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t>Structured Search Plan</w:t>
      </w:r>
    </w:p>
    <w:p w14:paraId="40AE0DEC" w14:textId="07AE1366"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A search log was created in Excel to record terms, databases, and initial results. This structured process ensured consistency and allowed for iterative refinement. The approach followed guidance from Aveyard (20</w:t>
      </w:r>
      <w:r w:rsidR="006B3A77">
        <w:rPr>
          <w:rFonts w:cs="Arial"/>
          <w:color w:val="000000" w:themeColor="text1"/>
          <w:szCs w:val="22"/>
        </w:rPr>
        <w:t>23</w:t>
      </w:r>
      <w:r w:rsidRPr="00C91F72">
        <w:rPr>
          <w:rFonts w:cs="Arial"/>
          <w:color w:val="000000" w:themeColor="text1"/>
          <w:szCs w:val="22"/>
        </w:rPr>
        <w:t>), who emphasises developing a transparent and reproducible search trail in systematic literature reviews.</w:t>
      </w:r>
    </w:p>
    <w:p w14:paraId="7058E2EF" w14:textId="77777777" w:rsidR="00935115" w:rsidRPr="00901E26" w:rsidRDefault="00935115" w:rsidP="00B738A5">
      <w:pPr>
        <w:pStyle w:val="Heading2"/>
      </w:pPr>
      <w:bookmarkStart w:id="28" w:name="_Toc214840459"/>
      <w:r w:rsidRPr="00901E26">
        <w:t>3.3 Searching for Information</w:t>
      </w:r>
      <w:bookmarkEnd w:id="28"/>
    </w:p>
    <w:p w14:paraId="447E460F"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Databases and Platforms</w:t>
      </w:r>
    </w:p>
    <w:p w14:paraId="3B528843"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Academic databases were selected for credibility and coverage of health and social sciences:</w:t>
      </w:r>
    </w:p>
    <w:p w14:paraId="684251DF" w14:textId="2BDE2686"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PubMed </w:t>
      </w:r>
      <w:r w:rsidR="006B3A77">
        <w:rPr>
          <w:rFonts w:cs="Arial"/>
          <w:color w:val="000000" w:themeColor="text1"/>
          <w:szCs w:val="22"/>
        </w:rPr>
        <w:t>-</w:t>
      </w:r>
      <w:r w:rsidRPr="00275792">
        <w:rPr>
          <w:rFonts w:cs="Arial"/>
          <w:color w:val="000000" w:themeColor="text1"/>
          <w:szCs w:val="22"/>
        </w:rPr>
        <w:t xml:space="preserve"> biomedical and psychological research.</w:t>
      </w:r>
    </w:p>
    <w:p w14:paraId="534BC88E" w14:textId="77C4FCC1"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Scopus and Web of Science </w:t>
      </w:r>
      <w:r w:rsidR="006B3A77">
        <w:rPr>
          <w:rFonts w:cs="Arial"/>
          <w:color w:val="000000" w:themeColor="text1"/>
          <w:szCs w:val="22"/>
        </w:rPr>
        <w:t xml:space="preserve">- </w:t>
      </w:r>
      <w:r w:rsidRPr="00275792">
        <w:rPr>
          <w:rFonts w:cs="Arial"/>
          <w:color w:val="000000" w:themeColor="text1"/>
          <w:szCs w:val="22"/>
        </w:rPr>
        <w:t>multidisciplinary studies and UK policy data.</w:t>
      </w:r>
    </w:p>
    <w:p w14:paraId="1D59C2AF" w14:textId="66CAFBF7"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EBSCOhost and ProQuest Central </w:t>
      </w:r>
      <w:r w:rsidR="006B3A77">
        <w:rPr>
          <w:rFonts w:cs="Arial"/>
          <w:color w:val="000000" w:themeColor="text1"/>
          <w:szCs w:val="22"/>
        </w:rPr>
        <w:t>-</w:t>
      </w:r>
      <w:r w:rsidRPr="00275792">
        <w:rPr>
          <w:rFonts w:cs="Arial"/>
          <w:color w:val="000000" w:themeColor="text1"/>
          <w:szCs w:val="22"/>
        </w:rPr>
        <w:t xml:space="preserve"> public health, social policy, and mental health literature.</w:t>
      </w:r>
    </w:p>
    <w:p w14:paraId="178E77E9" w14:textId="47AA0E7D"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Google Scholar </w:t>
      </w:r>
      <w:r w:rsidR="006B3A77">
        <w:rPr>
          <w:rFonts w:cs="Arial"/>
          <w:color w:val="000000" w:themeColor="text1"/>
          <w:szCs w:val="22"/>
        </w:rPr>
        <w:t>-</w:t>
      </w:r>
      <w:r w:rsidRPr="00275792">
        <w:rPr>
          <w:rFonts w:cs="Arial"/>
          <w:color w:val="000000" w:themeColor="text1"/>
          <w:szCs w:val="22"/>
        </w:rPr>
        <w:t xml:space="preserve"> supplementary searches for grey literature and open-access reports.</w:t>
      </w:r>
    </w:p>
    <w:p w14:paraId="4F9AF24C" w14:textId="5658FF35" w:rsidR="00275792" w:rsidRPr="00275792" w:rsidRDefault="00275792" w:rsidP="00303E61">
      <w:pPr>
        <w:numPr>
          <w:ilvl w:val="0"/>
          <w:numId w:val="17"/>
        </w:numPr>
        <w:spacing w:before="100" w:beforeAutospacing="1" w:after="100" w:afterAutospacing="1" w:line="360" w:lineRule="auto"/>
        <w:rPr>
          <w:rFonts w:cs="Arial"/>
          <w:color w:val="000000" w:themeColor="text1"/>
          <w:szCs w:val="22"/>
        </w:rPr>
      </w:pPr>
      <w:r w:rsidRPr="00275792">
        <w:rPr>
          <w:rFonts w:cs="Arial"/>
          <w:color w:val="000000" w:themeColor="text1"/>
          <w:szCs w:val="22"/>
        </w:rPr>
        <w:t xml:space="preserve">UWTSD Library Database </w:t>
      </w:r>
      <w:r w:rsidR="006B3A77">
        <w:rPr>
          <w:rFonts w:cs="Arial"/>
          <w:color w:val="000000" w:themeColor="text1"/>
          <w:szCs w:val="22"/>
        </w:rPr>
        <w:t>-</w:t>
      </w:r>
      <w:r w:rsidRPr="00275792">
        <w:rPr>
          <w:rFonts w:cs="Arial"/>
          <w:color w:val="000000" w:themeColor="text1"/>
          <w:szCs w:val="22"/>
        </w:rPr>
        <w:t xml:space="preserve"> access to books and peer-reviewed journals.</w:t>
      </w:r>
    </w:p>
    <w:p w14:paraId="064E207C"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Using Filters</w:t>
      </w:r>
    </w:p>
    <w:p w14:paraId="7E40E479" w14:textId="77777777" w:rsidR="00275792" w:rsidRPr="00275792" w:rsidRDefault="00275792" w:rsidP="00901E26">
      <w:pPr>
        <w:spacing w:before="100" w:beforeAutospacing="1" w:after="100" w:afterAutospacing="1" w:line="360" w:lineRule="auto"/>
        <w:rPr>
          <w:rFonts w:cs="Arial"/>
          <w:color w:val="000000" w:themeColor="text1"/>
          <w:szCs w:val="22"/>
        </w:rPr>
      </w:pPr>
      <w:r w:rsidRPr="00275792">
        <w:rPr>
          <w:rFonts w:cs="Arial"/>
          <w:color w:val="000000" w:themeColor="text1"/>
          <w:szCs w:val="22"/>
        </w:rPr>
        <w:t>Filters were applied to ensure the relevance and quality of results:</w:t>
      </w:r>
    </w:p>
    <w:p w14:paraId="1A89F556" w14:textId="766CAF5F" w:rsidR="00275792" w:rsidRPr="0027579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Publication date: 2014</w:t>
      </w:r>
      <w:r w:rsidRPr="00901E26">
        <w:rPr>
          <w:rFonts w:cs="Arial"/>
          <w:color w:val="000000" w:themeColor="text1"/>
          <w:szCs w:val="22"/>
        </w:rPr>
        <w:t xml:space="preserve"> /</w:t>
      </w:r>
      <w:r w:rsidRPr="00275792">
        <w:rPr>
          <w:rFonts w:cs="Arial"/>
          <w:color w:val="000000" w:themeColor="text1"/>
          <w:szCs w:val="22"/>
        </w:rPr>
        <w:t xml:space="preserve"> 2025 (to capture post-austerity and post-pandemic developments).</w:t>
      </w:r>
    </w:p>
    <w:p w14:paraId="3995B5FD" w14:textId="77777777" w:rsidR="00275792" w:rsidRPr="0027579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Geography: England or the UK (with separate English data).</w:t>
      </w:r>
    </w:p>
    <w:p w14:paraId="3F738B45" w14:textId="77777777" w:rsidR="00275792" w:rsidRPr="0027579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Types: peer-reviewed articles, government and NGO reports, and national datasets.</w:t>
      </w:r>
    </w:p>
    <w:p w14:paraId="3B280668" w14:textId="59405A85" w:rsidR="00BF3042" w:rsidRPr="00C91F72" w:rsidRDefault="00275792" w:rsidP="00303E61">
      <w:pPr>
        <w:numPr>
          <w:ilvl w:val="0"/>
          <w:numId w:val="18"/>
        </w:numPr>
        <w:spacing w:before="100" w:beforeAutospacing="1" w:after="100" w:afterAutospacing="1" w:line="360" w:lineRule="auto"/>
        <w:rPr>
          <w:rFonts w:cs="Arial"/>
          <w:color w:val="000000" w:themeColor="text1"/>
          <w:szCs w:val="22"/>
        </w:rPr>
      </w:pPr>
      <w:r w:rsidRPr="00275792">
        <w:rPr>
          <w:rFonts w:cs="Arial"/>
          <w:color w:val="000000" w:themeColor="text1"/>
          <w:szCs w:val="22"/>
        </w:rPr>
        <w:t>Language: English (to maintain consistency with available policy material).</w:t>
      </w:r>
    </w:p>
    <w:p w14:paraId="5E250308" w14:textId="77777777" w:rsidR="008D16E1" w:rsidRPr="008D16E1" w:rsidRDefault="008D16E1" w:rsidP="00901E26">
      <w:pPr>
        <w:spacing w:before="100" w:beforeAutospacing="1" w:after="100" w:afterAutospacing="1" w:line="360" w:lineRule="auto"/>
        <w:rPr>
          <w:rFonts w:cs="Arial"/>
          <w:color w:val="000000" w:themeColor="text1"/>
          <w:szCs w:val="22"/>
        </w:rPr>
      </w:pPr>
      <w:r w:rsidRPr="008D16E1">
        <w:rPr>
          <w:rFonts w:cs="Arial"/>
          <w:color w:val="000000" w:themeColor="text1"/>
          <w:szCs w:val="22"/>
        </w:rPr>
        <w:lastRenderedPageBreak/>
        <w:t>Search Process</w:t>
      </w:r>
    </w:p>
    <w:p w14:paraId="200C620D" w14:textId="77777777" w:rsidR="008D16E1" w:rsidRPr="008D16E1" w:rsidRDefault="008D16E1" w:rsidP="00901E26">
      <w:pPr>
        <w:spacing w:before="100" w:beforeAutospacing="1" w:after="100" w:afterAutospacing="1" w:line="360" w:lineRule="auto"/>
        <w:rPr>
          <w:rFonts w:cs="Arial"/>
          <w:color w:val="000000" w:themeColor="text1"/>
          <w:szCs w:val="22"/>
        </w:rPr>
      </w:pPr>
      <w:r w:rsidRPr="008D16E1">
        <w:rPr>
          <w:rFonts w:cs="Arial"/>
          <w:color w:val="000000" w:themeColor="text1"/>
          <w:szCs w:val="22"/>
        </w:rPr>
        <w:t>Over 150 initial records were identified, which were then screened for relevance using titles and abstracts. Duplicates and non-UK studies were removed. The final sample consisted of 30 high-quality sources, representing a balanced mix of peer-reviewed studies, national datasets, and policy reports.</w:t>
      </w:r>
    </w:p>
    <w:p w14:paraId="161A5794" w14:textId="77777777" w:rsidR="008D16E1" w:rsidRPr="008D16E1" w:rsidRDefault="008D16E1" w:rsidP="00901E26">
      <w:pPr>
        <w:spacing w:before="100" w:beforeAutospacing="1" w:after="100" w:afterAutospacing="1" w:line="360" w:lineRule="auto"/>
        <w:rPr>
          <w:rFonts w:cs="Arial"/>
          <w:color w:val="000000" w:themeColor="text1"/>
          <w:szCs w:val="22"/>
        </w:rPr>
      </w:pPr>
      <w:r w:rsidRPr="008D16E1">
        <w:rPr>
          <w:rFonts w:cs="Arial"/>
          <w:color w:val="000000" w:themeColor="text1"/>
          <w:szCs w:val="22"/>
        </w:rPr>
        <w:t>A source tracking table was used to document author, year, topic focus, and methodological quality. This table is summarised in Appendix A: The Thematic Summary Matrix.</w:t>
      </w:r>
    </w:p>
    <w:p w14:paraId="41D1010A" w14:textId="62BB5366" w:rsidR="00935115" w:rsidRPr="00C91F72" w:rsidRDefault="00935115" w:rsidP="00901E26">
      <w:pPr>
        <w:spacing w:line="360" w:lineRule="auto"/>
        <w:rPr>
          <w:rFonts w:cs="Arial"/>
          <w:color w:val="000000" w:themeColor="text1"/>
          <w:szCs w:val="22"/>
        </w:rPr>
      </w:pPr>
    </w:p>
    <w:p w14:paraId="0A21A7A4" w14:textId="77777777" w:rsidR="00935115" w:rsidRPr="00B738A5" w:rsidRDefault="00935115" w:rsidP="00B738A5">
      <w:pPr>
        <w:pStyle w:val="Heading2"/>
      </w:pPr>
      <w:bookmarkStart w:id="29" w:name="_Toc214840460"/>
      <w:r w:rsidRPr="00B738A5">
        <w:t>3.4 Research Validation</w:t>
      </w:r>
      <w:bookmarkEnd w:id="29"/>
    </w:p>
    <w:p w14:paraId="4828EB3C"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t>Skimming Techniques</w:t>
      </w:r>
    </w:p>
    <w:p w14:paraId="64D54086"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Following Cottrell (2017), a structured skimming process was used to quickly assess source relevance. Each paper was initially reviewed for relevance using its title, abstract, introduction, and conclusion before inclusion in full-text review.</w:t>
      </w:r>
    </w:p>
    <w:p w14:paraId="64194BD0"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t>CRAAP Test Application</w:t>
      </w:r>
    </w:p>
    <w:p w14:paraId="397E636C"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The CRAAP Test (Currency, Relevance, Authority, Accuracy, Purpose) was used to evaluate reliability:</w:t>
      </w:r>
    </w:p>
    <w:p w14:paraId="40B8FF8D"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Currency: Priority given to sources published within the last 10 years.</w:t>
      </w:r>
    </w:p>
    <w:p w14:paraId="14308B7C"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Relevance: Focus on England and low-income populations.</w:t>
      </w:r>
    </w:p>
    <w:p w14:paraId="2563BD8F"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Authority: Only peer-reviewed journals or credible institutions (NHS, ONS, PHE).</w:t>
      </w:r>
    </w:p>
    <w:p w14:paraId="7E6BE28C"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Accuracy: Verified statistical methods and transparent data sources.</w:t>
      </w:r>
    </w:p>
    <w:p w14:paraId="0BDF1FA1" w14:textId="77777777" w:rsidR="00935115" w:rsidRPr="00C91F72" w:rsidRDefault="00935115" w:rsidP="00303E61">
      <w:pPr>
        <w:numPr>
          <w:ilvl w:val="0"/>
          <w:numId w:val="6"/>
        </w:numPr>
        <w:spacing w:before="100" w:beforeAutospacing="1" w:after="100" w:afterAutospacing="1" w:line="360" w:lineRule="auto"/>
        <w:rPr>
          <w:rFonts w:cs="Arial"/>
          <w:color w:val="000000" w:themeColor="text1"/>
          <w:szCs w:val="22"/>
        </w:rPr>
      </w:pPr>
      <w:r w:rsidRPr="00C91F72">
        <w:rPr>
          <w:rFonts w:cs="Arial"/>
          <w:color w:val="000000" w:themeColor="text1"/>
          <w:szCs w:val="22"/>
        </w:rPr>
        <w:t>Purpose: Objective, research-based findings rather than advocacy.</w:t>
      </w:r>
    </w:p>
    <w:p w14:paraId="09CD2641" w14:textId="450A8547" w:rsidR="00935115" w:rsidRPr="00901E26"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While not all sources met every criterion, the highest weight was given to Currency, Relevance, and Authority</w:t>
      </w:r>
      <w:r w:rsidR="00797FF3" w:rsidRPr="00901E26">
        <w:rPr>
          <w:rFonts w:cs="Arial"/>
          <w:color w:val="000000" w:themeColor="text1"/>
          <w:szCs w:val="22"/>
        </w:rPr>
        <w:t xml:space="preserve">, </w:t>
      </w:r>
      <w:r w:rsidRPr="00C91F72">
        <w:rPr>
          <w:rFonts w:cs="Arial"/>
          <w:color w:val="000000" w:themeColor="text1"/>
          <w:szCs w:val="22"/>
        </w:rPr>
        <w:t>reflecting academic best practice for literature-based studies (Aveyard, 20</w:t>
      </w:r>
      <w:r w:rsidR="00772E44">
        <w:rPr>
          <w:rFonts w:cs="Arial"/>
          <w:color w:val="000000" w:themeColor="text1"/>
          <w:szCs w:val="22"/>
        </w:rPr>
        <w:t>23</w:t>
      </w:r>
      <w:r w:rsidRPr="00C91F72">
        <w:rPr>
          <w:rFonts w:cs="Arial"/>
          <w:color w:val="000000" w:themeColor="text1"/>
          <w:szCs w:val="22"/>
        </w:rPr>
        <w:t>).</w:t>
      </w:r>
    </w:p>
    <w:p w14:paraId="0A34FA4B" w14:textId="642B9F0A" w:rsidR="00DE402C" w:rsidRPr="00901E26" w:rsidRDefault="00DE402C" w:rsidP="00901E26">
      <w:pPr>
        <w:spacing w:before="100" w:beforeAutospacing="1" w:after="100" w:afterAutospacing="1" w:line="360" w:lineRule="auto"/>
        <w:rPr>
          <w:rFonts w:cs="Arial"/>
          <w:color w:val="000000" w:themeColor="text1"/>
          <w:szCs w:val="22"/>
        </w:rPr>
      </w:pPr>
    </w:p>
    <w:p w14:paraId="788127DC" w14:textId="0DE30BFA" w:rsidR="00BF3042" w:rsidRPr="00901E26" w:rsidRDefault="00BF3042" w:rsidP="00901E26">
      <w:pPr>
        <w:spacing w:before="100" w:beforeAutospacing="1" w:after="100" w:afterAutospacing="1" w:line="360" w:lineRule="auto"/>
        <w:rPr>
          <w:rFonts w:cs="Arial"/>
          <w:color w:val="000000" w:themeColor="text1"/>
          <w:szCs w:val="22"/>
        </w:rPr>
      </w:pPr>
    </w:p>
    <w:p w14:paraId="21A6B61A" w14:textId="77777777" w:rsidR="00BF3042" w:rsidRPr="00C91F72" w:rsidRDefault="00BF3042" w:rsidP="00901E26">
      <w:pPr>
        <w:spacing w:before="100" w:beforeAutospacing="1" w:after="100" w:afterAutospacing="1" w:line="360" w:lineRule="auto"/>
        <w:rPr>
          <w:rFonts w:cs="Arial"/>
          <w:color w:val="000000" w:themeColor="text1"/>
          <w:szCs w:val="22"/>
        </w:rPr>
      </w:pPr>
    </w:p>
    <w:p w14:paraId="1E413906" w14:textId="77777777" w:rsidR="00935115" w:rsidRPr="00901E26" w:rsidRDefault="00935115" w:rsidP="00901E26">
      <w:pPr>
        <w:spacing w:line="360" w:lineRule="auto"/>
        <w:rPr>
          <w:rFonts w:cs="Arial"/>
          <w:color w:val="000000" w:themeColor="text1"/>
          <w:szCs w:val="22"/>
        </w:rPr>
      </w:pPr>
      <w:r w:rsidRPr="00901E26">
        <w:rPr>
          <w:rFonts w:cs="Arial"/>
          <w:color w:val="000000" w:themeColor="text1"/>
          <w:szCs w:val="22"/>
        </w:rPr>
        <w:lastRenderedPageBreak/>
        <w:t>Decision-Making</w:t>
      </w:r>
    </w:p>
    <w:p w14:paraId="47355181" w14:textId="515A4A78"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For example, several early-2000s studies on substance use were excluded due to outdated context, while Black (2021)</w:t>
      </w:r>
      <w:r w:rsidR="00A8429E" w:rsidRPr="00901E26">
        <w:rPr>
          <w:rFonts w:cs="Arial"/>
          <w:color w:val="000000" w:themeColor="text1"/>
          <w:szCs w:val="22"/>
        </w:rPr>
        <w:t xml:space="preserve"> </w:t>
      </w:r>
      <w:r w:rsidRPr="00C91F72">
        <w:rPr>
          <w:rFonts w:cs="Arial"/>
          <w:color w:val="000000" w:themeColor="text1"/>
          <w:szCs w:val="22"/>
        </w:rPr>
        <w:t>and Marmot (2020) were retained for their enduring relevance to current UK policy.</w:t>
      </w:r>
    </w:p>
    <w:p w14:paraId="4811E771" w14:textId="77777777" w:rsidR="00576D09" w:rsidRPr="00901E26" w:rsidRDefault="00576D09" w:rsidP="00901E26">
      <w:pPr>
        <w:spacing w:before="100" w:beforeAutospacing="1" w:after="100" w:afterAutospacing="1" w:line="360" w:lineRule="auto"/>
        <w:outlineLvl w:val="1"/>
        <w:rPr>
          <w:rFonts w:cs="Arial"/>
          <w:b/>
          <w:bCs/>
          <w:color w:val="000000" w:themeColor="text1"/>
          <w:szCs w:val="22"/>
        </w:rPr>
      </w:pPr>
    </w:p>
    <w:p w14:paraId="14EC9CB6" w14:textId="3DC83F7D" w:rsidR="00576D09" w:rsidRPr="00901E26" w:rsidRDefault="00935115" w:rsidP="00B738A5">
      <w:pPr>
        <w:pStyle w:val="Heading2"/>
      </w:pPr>
      <w:bookmarkStart w:id="30" w:name="_Toc214840461"/>
      <w:r w:rsidRPr="00901E26">
        <w:t>3.5 Inclusion and Exclusion Criteria</w:t>
      </w:r>
      <w:bookmarkEnd w:id="30"/>
    </w:p>
    <w:p w14:paraId="1176EC97" w14:textId="77777777" w:rsidR="00935115" w:rsidRPr="00901E26" w:rsidRDefault="00935115" w:rsidP="007963F8">
      <w:r w:rsidRPr="00901E26">
        <w:t>Inclusion Criteria</w:t>
      </w:r>
    </w:p>
    <w:p w14:paraId="1A5F1607" w14:textId="0B52255F"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Peer-reviewed journal articles published between 2014</w:t>
      </w:r>
      <w:r w:rsidR="00797FF3" w:rsidRPr="00901E26">
        <w:rPr>
          <w:rFonts w:cs="Arial"/>
          <w:color w:val="000000" w:themeColor="text1"/>
          <w:szCs w:val="22"/>
        </w:rPr>
        <w:t xml:space="preserve"> and </w:t>
      </w:r>
      <w:r w:rsidRPr="00C91F72">
        <w:rPr>
          <w:rFonts w:cs="Arial"/>
          <w:color w:val="000000" w:themeColor="text1"/>
          <w:szCs w:val="22"/>
        </w:rPr>
        <w:t>202</w:t>
      </w:r>
      <w:r w:rsidR="00A8429E" w:rsidRPr="00901E26">
        <w:rPr>
          <w:rFonts w:cs="Arial"/>
          <w:color w:val="000000" w:themeColor="text1"/>
          <w:szCs w:val="22"/>
        </w:rPr>
        <w:t>5</w:t>
      </w:r>
      <w:r w:rsidRPr="00C91F72">
        <w:rPr>
          <w:rFonts w:cs="Arial"/>
          <w:color w:val="000000" w:themeColor="text1"/>
          <w:szCs w:val="22"/>
        </w:rPr>
        <w:t>.</w:t>
      </w:r>
    </w:p>
    <w:p w14:paraId="4CDCD4B9"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Studies or reports focusing on England (or providing separate English data).</w:t>
      </w:r>
    </w:p>
    <w:p w14:paraId="4ED9904D"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Research addressing correlations between low income, substance misuse, and mental health.</w:t>
      </w:r>
    </w:p>
    <w:p w14:paraId="0B81C4AD"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National datasets (e.g., NHS Digital, ONS, Public Health England).</w:t>
      </w:r>
    </w:p>
    <w:p w14:paraId="0C62C724" w14:textId="77777777" w:rsidR="00935115" w:rsidRPr="00C91F72" w:rsidRDefault="00935115" w:rsidP="00303E61">
      <w:pPr>
        <w:numPr>
          <w:ilvl w:val="0"/>
          <w:numId w:val="7"/>
        </w:numPr>
        <w:spacing w:before="100" w:beforeAutospacing="1" w:after="100" w:afterAutospacing="1" w:line="360" w:lineRule="auto"/>
        <w:rPr>
          <w:rFonts w:cs="Arial"/>
          <w:color w:val="000000" w:themeColor="text1"/>
          <w:szCs w:val="22"/>
        </w:rPr>
      </w:pPr>
      <w:r w:rsidRPr="00C91F72">
        <w:rPr>
          <w:rFonts w:cs="Arial"/>
          <w:color w:val="000000" w:themeColor="text1"/>
          <w:szCs w:val="22"/>
        </w:rPr>
        <w:t>Grey literature from credible UK government or NGO sources.</w:t>
      </w:r>
    </w:p>
    <w:p w14:paraId="447E5C96" w14:textId="77777777" w:rsidR="00935115" w:rsidRPr="00C91F72" w:rsidRDefault="00935115" w:rsidP="007963F8">
      <w:r w:rsidRPr="00C91F72">
        <w:t>Exclusion Criteria</w:t>
      </w:r>
    </w:p>
    <w:p w14:paraId="3EB2BC49" w14:textId="77777777" w:rsidR="00935115" w:rsidRPr="00C91F72"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Non-UK or international studies lacking English-specific data.</w:t>
      </w:r>
    </w:p>
    <w:p w14:paraId="69EE1588" w14:textId="77777777" w:rsidR="00935115" w:rsidRPr="00C91F72"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Opinion pieces, blogs, or media commentary.</w:t>
      </w:r>
    </w:p>
    <w:p w14:paraId="6DBCFA84" w14:textId="77777777" w:rsidR="00935115" w:rsidRPr="00C91F72"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Clinical trials with no socioeconomic context.</w:t>
      </w:r>
    </w:p>
    <w:p w14:paraId="05E37A51" w14:textId="2D72B9F5" w:rsidR="00935115" w:rsidRPr="00901E26" w:rsidRDefault="00935115" w:rsidP="00303E61">
      <w:pPr>
        <w:numPr>
          <w:ilvl w:val="0"/>
          <w:numId w:val="8"/>
        </w:numPr>
        <w:spacing w:before="100" w:beforeAutospacing="1" w:after="100" w:afterAutospacing="1" w:line="360" w:lineRule="auto"/>
        <w:rPr>
          <w:rFonts w:cs="Arial"/>
          <w:color w:val="000000" w:themeColor="text1"/>
          <w:szCs w:val="22"/>
        </w:rPr>
      </w:pPr>
      <w:r w:rsidRPr="00C91F72">
        <w:rPr>
          <w:rFonts w:cs="Arial"/>
          <w:color w:val="000000" w:themeColor="text1"/>
          <w:szCs w:val="22"/>
        </w:rPr>
        <w:t>Articles published before 2014 unless of theoretical significance.</w:t>
      </w:r>
    </w:p>
    <w:p w14:paraId="0A25E97E" w14:textId="77777777" w:rsidR="00DE402C" w:rsidRPr="00C91F72" w:rsidRDefault="00DE402C" w:rsidP="00901E26">
      <w:pPr>
        <w:spacing w:before="100" w:beforeAutospacing="1" w:after="100" w:afterAutospacing="1" w:line="360" w:lineRule="auto"/>
        <w:rPr>
          <w:rFonts w:cs="Arial"/>
          <w:color w:val="000000" w:themeColor="text1"/>
          <w:szCs w:val="22"/>
        </w:rPr>
      </w:pPr>
    </w:p>
    <w:p w14:paraId="02D81952" w14:textId="77777777" w:rsidR="00935115" w:rsidRPr="00C91F72" w:rsidRDefault="00935115" w:rsidP="007963F8">
      <w:r w:rsidRPr="00C91F72">
        <w:t>Justification</w:t>
      </w:r>
    </w:p>
    <w:p w14:paraId="3750127E" w14:textId="1E8590EB"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This framework ensured the research remained focused on the English context and recent social developments</w:t>
      </w:r>
      <w:r w:rsidR="00A8429E" w:rsidRPr="00901E26">
        <w:rPr>
          <w:rFonts w:cs="Arial"/>
          <w:color w:val="000000" w:themeColor="text1"/>
          <w:szCs w:val="22"/>
        </w:rPr>
        <w:t xml:space="preserve"> </w:t>
      </w:r>
      <w:r w:rsidRPr="00C91F72">
        <w:rPr>
          <w:rFonts w:cs="Arial"/>
          <w:color w:val="000000" w:themeColor="text1"/>
          <w:szCs w:val="22"/>
        </w:rPr>
        <w:t>particularly post-austerity and COVID-19 impacts. It also prioritised sources with clear methodological transparency and statistical reliability, strengthening the thematic synthesis in Chapter 4.</w:t>
      </w:r>
    </w:p>
    <w:p w14:paraId="659FA512" w14:textId="06E85812" w:rsidR="00BF3042" w:rsidRDefault="00BF3042" w:rsidP="00901E26">
      <w:pPr>
        <w:pStyle w:val="Heading1"/>
        <w:spacing w:line="360" w:lineRule="auto"/>
        <w:rPr>
          <w:rFonts w:cs="Arial"/>
          <w:color w:val="000000" w:themeColor="text1"/>
          <w:szCs w:val="22"/>
        </w:rPr>
      </w:pPr>
    </w:p>
    <w:p w14:paraId="1A875CD2" w14:textId="56009331" w:rsidR="007963F8" w:rsidRDefault="007963F8" w:rsidP="00901E26">
      <w:pPr>
        <w:pStyle w:val="Heading1"/>
        <w:spacing w:line="360" w:lineRule="auto"/>
        <w:rPr>
          <w:rFonts w:cs="Arial"/>
          <w:color w:val="000000" w:themeColor="text1"/>
          <w:szCs w:val="22"/>
        </w:rPr>
      </w:pPr>
    </w:p>
    <w:p w14:paraId="6F1BB3C3" w14:textId="3FA7BBE6" w:rsidR="007963F8" w:rsidRDefault="007963F8" w:rsidP="00901E26">
      <w:pPr>
        <w:pStyle w:val="Heading1"/>
        <w:spacing w:line="360" w:lineRule="auto"/>
        <w:rPr>
          <w:rFonts w:cs="Arial"/>
          <w:color w:val="000000" w:themeColor="text1"/>
          <w:szCs w:val="22"/>
        </w:rPr>
      </w:pPr>
    </w:p>
    <w:p w14:paraId="20E04EDB" w14:textId="77777777" w:rsidR="00772E44" w:rsidRPr="00901E26" w:rsidRDefault="00772E44" w:rsidP="00901E26">
      <w:pPr>
        <w:pStyle w:val="Heading1"/>
        <w:spacing w:line="360" w:lineRule="auto"/>
        <w:rPr>
          <w:rFonts w:cs="Arial"/>
          <w:color w:val="000000" w:themeColor="text1"/>
          <w:szCs w:val="22"/>
        </w:rPr>
      </w:pPr>
    </w:p>
    <w:p w14:paraId="20BE6CF1" w14:textId="77C898ED" w:rsidR="00935115" w:rsidRPr="00901E26" w:rsidRDefault="00935115" w:rsidP="00B738A5">
      <w:pPr>
        <w:pStyle w:val="Heading2"/>
      </w:pPr>
      <w:bookmarkStart w:id="31" w:name="_Toc214840462"/>
      <w:r w:rsidRPr="00901E26">
        <w:lastRenderedPageBreak/>
        <w:t>3.6 Analysing Research</w:t>
      </w:r>
      <w:bookmarkEnd w:id="31"/>
    </w:p>
    <w:p w14:paraId="44661FD5" w14:textId="77777777" w:rsidR="00935115" w:rsidRPr="00C91F72" w:rsidRDefault="00935115" w:rsidP="007963F8">
      <w:r w:rsidRPr="00C91F72">
        <w:t>Thematic Coding Approach</w:t>
      </w:r>
    </w:p>
    <w:p w14:paraId="1CE016C2"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Following Braun and Clarke’s (2006) six-phase framework for thematic analysis, data were reviewed iteratively:</w:t>
      </w:r>
    </w:p>
    <w:p w14:paraId="5BD5C4ED"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Familiarisation with data</w:t>
      </w:r>
    </w:p>
    <w:p w14:paraId="32F097A2"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Generating initial codes</w:t>
      </w:r>
    </w:p>
    <w:p w14:paraId="52F5EC08"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Searching for themes</w:t>
      </w:r>
    </w:p>
    <w:p w14:paraId="3F6CC201"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Reviewing themes</w:t>
      </w:r>
    </w:p>
    <w:p w14:paraId="4A5B64B3"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Defining and naming themes</w:t>
      </w:r>
    </w:p>
    <w:p w14:paraId="2F32F3AE" w14:textId="77777777" w:rsidR="00935115" w:rsidRPr="00C91F72" w:rsidRDefault="00935115" w:rsidP="00303E61">
      <w:pPr>
        <w:numPr>
          <w:ilvl w:val="0"/>
          <w:numId w:val="9"/>
        </w:numPr>
        <w:spacing w:before="100" w:beforeAutospacing="1" w:after="100" w:afterAutospacing="1" w:line="360" w:lineRule="auto"/>
        <w:rPr>
          <w:rFonts w:cs="Arial"/>
          <w:color w:val="000000" w:themeColor="text1"/>
          <w:szCs w:val="22"/>
        </w:rPr>
      </w:pPr>
      <w:r w:rsidRPr="00C91F72">
        <w:rPr>
          <w:rFonts w:cs="Arial"/>
          <w:color w:val="000000" w:themeColor="text1"/>
          <w:szCs w:val="22"/>
        </w:rPr>
        <w:t>Producing the report</w:t>
      </w:r>
    </w:p>
    <w:p w14:paraId="50BB2D15"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Initial coding focused on recurring ideas such as</w:t>
      </w:r>
      <w:r w:rsidRPr="00C91F72">
        <w:rPr>
          <w:rFonts w:cs="Arial"/>
          <w:i/>
          <w:iCs/>
          <w:color w:val="000000" w:themeColor="text1"/>
          <w:szCs w:val="22"/>
        </w:rPr>
        <w:t> </w:t>
      </w:r>
      <w:r w:rsidRPr="00C91F72">
        <w:rPr>
          <w:rFonts w:cs="Arial"/>
          <w:color w:val="000000" w:themeColor="text1"/>
          <w:szCs w:val="22"/>
        </w:rPr>
        <w:t>poverty, mental health, access barriers, policy responses, and health inequality.</w:t>
      </w:r>
    </w:p>
    <w:p w14:paraId="37BD546C" w14:textId="77777777" w:rsidR="00935115" w:rsidRPr="00C91F72" w:rsidRDefault="00935115" w:rsidP="007963F8">
      <w:r w:rsidRPr="00C91F72">
        <w:t>Developing Themes</w:t>
      </w:r>
    </w:p>
    <w:p w14:paraId="755C8C3F"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Codes were grouped into four major themes:</w:t>
      </w:r>
    </w:p>
    <w:p w14:paraId="7A7D44FE" w14:textId="77777777" w:rsidR="00935115" w:rsidRPr="00C91F72"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Socioeconomic disadvantage and substance misuse.</w:t>
      </w:r>
    </w:p>
    <w:p w14:paraId="32CCCB12" w14:textId="77777777" w:rsidR="00935115" w:rsidRPr="00C91F72"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Untreated mental health and substance misuse.</w:t>
      </w:r>
    </w:p>
    <w:p w14:paraId="759742AF" w14:textId="77777777" w:rsidR="00935115" w:rsidRPr="00C91F72"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Barriers to access and support services.</w:t>
      </w:r>
    </w:p>
    <w:p w14:paraId="32240032" w14:textId="77777777" w:rsidR="00A8429E" w:rsidRPr="00901E26" w:rsidRDefault="00935115" w:rsidP="00303E61">
      <w:pPr>
        <w:numPr>
          <w:ilvl w:val="0"/>
          <w:numId w:val="10"/>
        </w:numPr>
        <w:spacing w:before="100" w:beforeAutospacing="1" w:after="100" w:afterAutospacing="1" w:line="360" w:lineRule="auto"/>
        <w:rPr>
          <w:rFonts w:cs="Arial"/>
          <w:color w:val="000000" w:themeColor="text1"/>
          <w:szCs w:val="22"/>
        </w:rPr>
      </w:pPr>
      <w:r w:rsidRPr="00C91F72">
        <w:rPr>
          <w:rFonts w:cs="Arial"/>
          <w:color w:val="000000" w:themeColor="text1"/>
          <w:szCs w:val="22"/>
        </w:rPr>
        <w:t>Policy responses and structural inequalities.</w:t>
      </w:r>
    </w:p>
    <w:p w14:paraId="1CE2060D" w14:textId="2A284379" w:rsidR="00A8429E" w:rsidRPr="00901E26" w:rsidRDefault="00A8429E" w:rsidP="00303E61">
      <w:pPr>
        <w:numPr>
          <w:ilvl w:val="0"/>
          <w:numId w:val="10"/>
        </w:numPr>
        <w:spacing w:before="100" w:beforeAutospacing="1" w:after="100" w:afterAutospacing="1" w:line="360" w:lineRule="auto"/>
        <w:rPr>
          <w:rFonts w:cs="Arial"/>
          <w:color w:val="000000" w:themeColor="text1"/>
          <w:szCs w:val="22"/>
        </w:rPr>
      </w:pPr>
      <w:r w:rsidRPr="00901E26">
        <w:rPr>
          <w:rFonts w:cs="Arial"/>
          <w:color w:val="000000" w:themeColor="text1"/>
          <w:szCs w:val="22"/>
        </w:rPr>
        <w:t>The Impact of COVID-19 on Health Inequalities.</w:t>
      </w:r>
    </w:p>
    <w:p w14:paraId="06BC5DDF"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Each theme was reviewed and validated against the data set to ensure representativeness and coherence. Themes were further cross-checked with academic supervisors for validity, aligning with Braun and Clarke’s (2006) emphasis on reflexivity and peer review.</w:t>
      </w:r>
    </w:p>
    <w:p w14:paraId="0369E4B8" w14:textId="1B58BD0C" w:rsidR="00935115" w:rsidRDefault="00935115" w:rsidP="007963F8">
      <w:pPr>
        <w:spacing w:line="360" w:lineRule="auto"/>
      </w:pPr>
      <w:r w:rsidRPr="00C91F72">
        <w:t>Organisation and Tools</w:t>
      </w:r>
    </w:p>
    <w:p w14:paraId="36593A85" w14:textId="77777777" w:rsidR="003A6507" w:rsidRPr="00C91F72" w:rsidRDefault="003A6507" w:rsidP="007963F8">
      <w:pPr>
        <w:spacing w:line="360" w:lineRule="auto"/>
      </w:pPr>
    </w:p>
    <w:p w14:paraId="7B43723A" w14:textId="77777777" w:rsidR="003A6507" w:rsidRPr="003A6507" w:rsidRDefault="003A6507" w:rsidP="003A6507">
      <w:pPr>
        <w:spacing w:line="360" w:lineRule="auto"/>
        <w:rPr>
          <w:rFonts w:cs="Arial"/>
          <w:szCs w:val="22"/>
        </w:rPr>
      </w:pPr>
      <w:r w:rsidRPr="003A6507">
        <w:rPr>
          <w:rFonts w:cs="Arial"/>
          <w:color w:val="000000"/>
          <w:szCs w:val="22"/>
        </w:rPr>
        <w:t>Data from the included studies were extracted and organised using tables and colour-coded spreadsheets to support transparent comparison and identify recurring patterns. NVivo was used only to assist with organising relevant extracted text. This systematic process supported clear theme development, which is summarised in Appendix A.</w:t>
      </w:r>
    </w:p>
    <w:p w14:paraId="6AF84910" w14:textId="64DC8767" w:rsidR="00935115" w:rsidRDefault="005173C3" w:rsidP="00901E26">
      <w:pPr>
        <w:spacing w:line="360" w:lineRule="auto"/>
        <w:rPr>
          <w:rFonts w:cs="Arial"/>
          <w:color w:val="000000"/>
          <w:szCs w:val="22"/>
        </w:rPr>
      </w:pPr>
      <w:r w:rsidRPr="00863C98">
        <w:rPr>
          <w:rFonts w:cs="Arial"/>
          <w:color w:val="000000"/>
          <w:szCs w:val="22"/>
        </w:rPr>
        <w:t>.</w:t>
      </w:r>
    </w:p>
    <w:p w14:paraId="0B3F383C" w14:textId="77777777" w:rsidR="003A6507" w:rsidRPr="00901E26" w:rsidRDefault="003A6507" w:rsidP="00901E26">
      <w:pPr>
        <w:spacing w:line="360" w:lineRule="auto"/>
        <w:rPr>
          <w:rFonts w:cs="Arial"/>
          <w:color w:val="000000" w:themeColor="text1"/>
          <w:szCs w:val="22"/>
        </w:rPr>
      </w:pPr>
    </w:p>
    <w:p w14:paraId="5EEF149D" w14:textId="77777777" w:rsidR="00A8429E" w:rsidRPr="00C91F72" w:rsidRDefault="00A8429E" w:rsidP="00901E26">
      <w:pPr>
        <w:spacing w:line="360" w:lineRule="auto"/>
        <w:rPr>
          <w:rFonts w:cs="Arial"/>
          <w:color w:val="000000" w:themeColor="text1"/>
          <w:szCs w:val="22"/>
        </w:rPr>
      </w:pPr>
    </w:p>
    <w:p w14:paraId="5217D18A" w14:textId="77777777" w:rsidR="00935115" w:rsidRPr="00B738A5" w:rsidRDefault="00935115" w:rsidP="00B738A5">
      <w:pPr>
        <w:pStyle w:val="Heading1"/>
      </w:pPr>
      <w:bookmarkStart w:id="32" w:name="_Toc214840463"/>
      <w:r w:rsidRPr="00B738A5">
        <w:lastRenderedPageBreak/>
        <w:t>3.7 Ethical Considerations</w:t>
      </w:r>
      <w:bookmarkEnd w:id="32"/>
    </w:p>
    <w:p w14:paraId="76CE762B" w14:textId="77777777" w:rsidR="00935115" w:rsidRPr="00C91F72" w:rsidRDefault="00935115" w:rsidP="007963F8">
      <w:r w:rsidRPr="00C91F72">
        <w:t>Secondary Research Ethics</w:t>
      </w:r>
    </w:p>
    <w:p w14:paraId="6998440F"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As a desk-based study using publicly available data, formal ethical approval was not required. However, ethical principles of integrity, accuracy, and respect for vulnerable groups were strictly maintained. Sensitive issues such as addiction, poverty, and mental illness were discussed with empathy and without stigma.</w:t>
      </w:r>
    </w:p>
    <w:p w14:paraId="1177D7C8" w14:textId="77777777" w:rsidR="00935115" w:rsidRPr="00C91F72" w:rsidRDefault="00935115" w:rsidP="007963F8">
      <w:r w:rsidRPr="00C91F72">
        <w:t>Academic Integrity</w:t>
      </w:r>
    </w:p>
    <w:p w14:paraId="3D9DCF73" w14:textId="74EBCA59" w:rsidR="00935115" w:rsidRPr="00C91F72" w:rsidRDefault="00935115" w:rsidP="00901E26">
      <w:pPr>
        <w:pStyle w:val="NormalWeb"/>
        <w:spacing w:line="360" w:lineRule="auto"/>
        <w:rPr>
          <w:rFonts w:ascii="Arial" w:hAnsi="Arial" w:cs="Arial"/>
          <w:color w:val="000000" w:themeColor="text1"/>
          <w:szCs w:val="22"/>
        </w:rPr>
      </w:pPr>
      <w:r w:rsidRPr="00C91F72">
        <w:rPr>
          <w:rFonts w:ascii="Arial" w:hAnsi="Arial" w:cs="Arial"/>
          <w:color w:val="000000" w:themeColor="text1"/>
          <w:szCs w:val="22"/>
        </w:rPr>
        <w:t xml:space="preserve">All sources were properly cited using the Harvard UWTSD referencing style to uphold academic honesty. The use of reference-management software (Zotero) ensured consistent </w:t>
      </w:r>
      <w:r w:rsidR="00797FF3" w:rsidRPr="00901E26">
        <w:rPr>
          <w:rFonts w:ascii="Arial" w:hAnsi="Arial" w:cs="Arial"/>
          <w:color w:val="000000" w:themeColor="text1"/>
          <w:szCs w:val="22"/>
        </w:rPr>
        <w:t xml:space="preserve">citation. </w:t>
      </w:r>
      <w:r w:rsidRPr="00C91F72">
        <w:rPr>
          <w:rFonts w:ascii="Arial" w:hAnsi="Arial" w:cs="Arial"/>
          <w:color w:val="000000" w:themeColor="text1"/>
          <w:szCs w:val="22"/>
        </w:rPr>
        <w:t>Cottrell (2017) highlights that maintaining accurate referencing demonstrates ethical scholarship and intellectual transparency.</w:t>
      </w:r>
    </w:p>
    <w:p w14:paraId="6A2C46AA" w14:textId="77777777" w:rsidR="00935115" w:rsidRPr="00C91F72" w:rsidRDefault="00935115" w:rsidP="007963F8">
      <w:r w:rsidRPr="00C91F72">
        <w:t>Transparency and Credibility</w:t>
      </w:r>
    </w:p>
    <w:p w14:paraId="74F175C5" w14:textId="416B3C3B"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Selection and interpretation of sources were guided by fairness and objectivity. To prevent bias, differing perspectives</w:t>
      </w:r>
      <w:r w:rsidR="00A8429E" w:rsidRPr="00901E26">
        <w:rPr>
          <w:rFonts w:cs="Arial"/>
          <w:color w:val="000000" w:themeColor="text1"/>
          <w:szCs w:val="22"/>
        </w:rPr>
        <w:t xml:space="preserve"> </w:t>
      </w:r>
      <w:r w:rsidRPr="00C91F72">
        <w:rPr>
          <w:rFonts w:cs="Arial"/>
          <w:color w:val="000000" w:themeColor="text1"/>
          <w:szCs w:val="22"/>
        </w:rPr>
        <w:t>such as policy documents, qualitative studies, and quantitative datasets</w:t>
      </w:r>
      <w:r w:rsidR="00A8429E" w:rsidRPr="00901E26">
        <w:rPr>
          <w:rFonts w:cs="Arial"/>
          <w:color w:val="000000" w:themeColor="text1"/>
          <w:szCs w:val="22"/>
        </w:rPr>
        <w:t xml:space="preserve"> </w:t>
      </w:r>
      <w:r w:rsidRPr="00C91F72">
        <w:rPr>
          <w:rFonts w:cs="Arial"/>
          <w:color w:val="000000" w:themeColor="text1"/>
          <w:szCs w:val="22"/>
        </w:rPr>
        <w:t>were triangulated to achieve a balanced view.</w:t>
      </w:r>
    </w:p>
    <w:p w14:paraId="6E3FF169" w14:textId="1D5EB70C" w:rsidR="00935115" w:rsidRPr="00B738A5" w:rsidRDefault="00935115" w:rsidP="00B738A5">
      <w:pPr>
        <w:pStyle w:val="Heading1"/>
      </w:pPr>
      <w:bookmarkStart w:id="33" w:name="_Toc214840464"/>
      <w:r w:rsidRPr="00B738A5">
        <w:t>3.8 Conclusion</w:t>
      </w:r>
      <w:bookmarkEnd w:id="33"/>
    </w:p>
    <w:p w14:paraId="261D4A3F" w14:textId="698FA10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This chapter has explained the systematic process used to identify, evaluate, and analyse literature for this dissertation. Using a structured search strategy grounded in Aveyard’s (20</w:t>
      </w:r>
      <w:r w:rsidR="00B738A5">
        <w:rPr>
          <w:rFonts w:cs="Arial"/>
          <w:color w:val="000000" w:themeColor="text1"/>
          <w:szCs w:val="22"/>
        </w:rPr>
        <w:t>23</w:t>
      </w:r>
      <w:r w:rsidRPr="00C91F72">
        <w:rPr>
          <w:rFonts w:cs="Arial"/>
          <w:color w:val="000000" w:themeColor="text1"/>
          <w:szCs w:val="22"/>
        </w:rPr>
        <w:t>) guidance and applying Braun and Clarke’s (2006)</w:t>
      </w:r>
      <w:r w:rsidR="00A8429E" w:rsidRPr="00901E26">
        <w:rPr>
          <w:rFonts w:cs="Arial"/>
          <w:color w:val="000000" w:themeColor="text1"/>
          <w:szCs w:val="22"/>
        </w:rPr>
        <w:t xml:space="preserve"> </w:t>
      </w:r>
      <w:r w:rsidRPr="00C91F72">
        <w:rPr>
          <w:rFonts w:cs="Arial"/>
          <w:color w:val="000000" w:themeColor="text1"/>
          <w:szCs w:val="22"/>
        </w:rPr>
        <w:t>thematic framework, the study synthesised 30 high-quality sources from an initial pool of 150.</w:t>
      </w:r>
    </w:p>
    <w:p w14:paraId="4CB62B87" w14:textId="77777777" w:rsidR="00935115" w:rsidRPr="00C91F72"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Rigorous validation ensured the inclusion of relevant, current, and credible materials. Ethical standards were upheld throughout, ensuring transparency and reliability in interpreting secondary data.</w:t>
      </w:r>
    </w:p>
    <w:p w14:paraId="57215E40" w14:textId="49481F57" w:rsidR="001D1EB8" w:rsidRDefault="00935115" w:rsidP="00901E26">
      <w:pPr>
        <w:spacing w:before="100" w:beforeAutospacing="1" w:after="100" w:afterAutospacing="1" w:line="360" w:lineRule="auto"/>
        <w:rPr>
          <w:rFonts w:cs="Arial"/>
          <w:color w:val="000000" w:themeColor="text1"/>
          <w:szCs w:val="22"/>
        </w:rPr>
      </w:pPr>
      <w:r w:rsidRPr="00C91F72">
        <w:rPr>
          <w:rFonts w:cs="Arial"/>
          <w:color w:val="000000" w:themeColor="text1"/>
          <w:szCs w:val="22"/>
        </w:rPr>
        <w:t>The results of this process are presented in Chapter 4, where themes derived through this methodology are explored in detail to reveal the complex interplay between low income, untreated mental health, and substance misuse in England.</w:t>
      </w:r>
    </w:p>
    <w:p w14:paraId="6EE737FA" w14:textId="375B56D3" w:rsidR="00B738A5" w:rsidRDefault="00B738A5" w:rsidP="00901E26">
      <w:pPr>
        <w:spacing w:before="100" w:beforeAutospacing="1" w:after="100" w:afterAutospacing="1" w:line="360" w:lineRule="auto"/>
        <w:rPr>
          <w:rFonts w:cs="Arial"/>
          <w:color w:val="000000" w:themeColor="text1"/>
          <w:szCs w:val="22"/>
        </w:rPr>
      </w:pPr>
    </w:p>
    <w:p w14:paraId="461EB0CC" w14:textId="55A118E1" w:rsidR="00B738A5" w:rsidRDefault="00B738A5" w:rsidP="00901E26">
      <w:pPr>
        <w:spacing w:before="100" w:beforeAutospacing="1" w:after="100" w:afterAutospacing="1" w:line="360" w:lineRule="auto"/>
        <w:rPr>
          <w:rFonts w:cs="Arial"/>
          <w:color w:val="000000" w:themeColor="text1"/>
          <w:szCs w:val="22"/>
        </w:rPr>
      </w:pPr>
    </w:p>
    <w:p w14:paraId="2044618E" w14:textId="7A5F5B0D" w:rsidR="007963F8" w:rsidRDefault="007963F8" w:rsidP="00901E26">
      <w:pPr>
        <w:spacing w:before="100" w:beforeAutospacing="1" w:after="100" w:afterAutospacing="1" w:line="360" w:lineRule="auto"/>
        <w:rPr>
          <w:rFonts w:cs="Arial"/>
          <w:color w:val="000000" w:themeColor="text1"/>
          <w:szCs w:val="22"/>
        </w:rPr>
      </w:pPr>
    </w:p>
    <w:p w14:paraId="61431AEF" w14:textId="77777777" w:rsidR="00007F2C" w:rsidRPr="00433871" w:rsidRDefault="00007F2C" w:rsidP="00433871">
      <w:pPr>
        <w:pStyle w:val="Heading1"/>
      </w:pPr>
      <w:bookmarkStart w:id="34" w:name="_Toc214840465"/>
      <w:r w:rsidRPr="00433871">
        <w:rPr>
          <w:rStyle w:val="Strong"/>
          <w:rFonts w:eastAsiaTheme="majorEastAsia"/>
          <w:b/>
          <w:bCs/>
        </w:rPr>
        <w:lastRenderedPageBreak/>
        <w:t>Chapter 4: Findings and Discussion</w:t>
      </w:r>
      <w:bookmarkEnd w:id="34"/>
    </w:p>
    <w:p w14:paraId="666D28E0" w14:textId="77777777" w:rsidR="00007F2C" w:rsidRPr="00433871" w:rsidRDefault="00007F2C" w:rsidP="00433871">
      <w:pPr>
        <w:pStyle w:val="Heading2"/>
      </w:pPr>
      <w:bookmarkStart w:id="35" w:name="_Toc214840466"/>
      <w:r w:rsidRPr="00433871">
        <w:rPr>
          <w:rStyle w:val="Strong"/>
          <w:rFonts w:eastAsiaTheme="majorEastAsia"/>
          <w:b w:val="0"/>
          <w:bCs/>
        </w:rPr>
        <w:t>4.1 Introduction</w:t>
      </w:r>
      <w:bookmarkEnd w:id="35"/>
    </w:p>
    <w:p w14:paraId="04C6025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chapter discusses and critically evaluates the findings from the systematic literature review examining the relationship between low-income status, substance abuse, and untreated mental health issues in England. This chapter aims to synthesise trends discovered in thirty high-quality sources, including ten primary references from peer-reviewed journals, government publications, and policy papers. The data were thematically analysed using Braun and Clark's (2006) six-step approach, which enabled the identification of key themes grounded in both quantitative and qualitative evidence. The chapter expands upon the patterns observed in the literature and links these to the theoretical frameworks of </w:t>
      </w:r>
      <w:r w:rsidRPr="00901E26">
        <w:rPr>
          <w:rFonts w:eastAsiaTheme="majorEastAsia" w:cs="Arial"/>
          <w:color w:val="000000" w:themeColor="text1"/>
          <w:szCs w:val="22"/>
        </w:rPr>
        <w:t>social determinants of health (Marmot, 2020</w:t>
      </w:r>
      <w:r w:rsidRPr="00901E26">
        <w:rPr>
          <w:rFonts w:cs="Arial"/>
          <w:color w:val="000000" w:themeColor="text1"/>
          <w:szCs w:val="22"/>
        </w:rPr>
        <w:t>), the </w:t>
      </w:r>
      <w:r w:rsidRPr="00901E26">
        <w:rPr>
          <w:rFonts w:eastAsiaTheme="majorEastAsia" w:cs="Arial"/>
          <w:color w:val="000000" w:themeColor="text1"/>
          <w:szCs w:val="22"/>
        </w:rPr>
        <w:t>biopsychosocial model (Engel, 1977),</w:t>
      </w:r>
      <w:r w:rsidRPr="00901E26">
        <w:rPr>
          <w:rFonts w:cs="Arial"/>
          <w:color w:val="000000" w:themeColor="text1"/>
          <w:szCs w:val="22"/>
        </w:rPr>
        <w:t> and </w:t>
      </w:r>
      <w:r w:rsidRPr="00901E26">
        <w:rPr>
          <w:rFonts w:eastAsiaTheme="majorEastAsia" w:cs="Arial"/>
          <w:color w:val="000000" w:themeColor="text1"/>
          <w:szCs w:val="22"/>
        </w:rPr>
        <w:t>dual diagnosis theory (NICE, 2022).</w:t>
      </w:r>
    </w:p>
    <w:p w14:paraId="3B54FC8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Five central themes emerged from the analysis:</w:t>
      </w:r>
    </w:p>
    <w:p w14:paraId="4668ABF9"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1. Low-Income Status and Substance Misuse</w:t>
      </w:r>
    </w:p>
    <w:p w14:paraId="389A3CA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2. Untreated mental health disorders and dual diagnoses</w:t>
      </w:r>
    </w:p>
    <w:p w14:paraId="1014F024"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3. Barriers to Access and Service Inequality</w:t>
      </w:r>
    </w:p>
    <w:p w14:paraId="0E4D4E0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4. Policy, Legislation, and Public Health Frameworks</w:t>
      </w:r>
    </w:p>
    <w:p w14:paraId="46B717D1"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5. The Impact of COVID-19 on Health Inequalities</w:t>
      </w:r>
    </w:p>
    <w:p w14:paraId="79198C6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Each theme is examined through the lenses of definition, background, data, theoretical relevance, and policy context. These findings reveal the complexities of economic deprivation, mental health, and substance misuse within England’s health system and illustrate how systemic inequality continues to shape outcomes.</w:t>
      </w:r>
    </w:p>
    <w:p w14:paraId="642B752C" w14:textId="77777777" w:rsidR="00007F2C" w:rsidRPr="00901E26" w:rsidRDefault="00007F2C" w:rsidP="00901E26">
      <w:pPr>
        <w:spacing w:line="360" w:lineRule="auto"/>
        <w:rPr>
          <w:rFonts w:cs="Arial"/>
          <w:color w:val="000000" w:themeColor="text1"/>
          <w:szCs w:val="22"/>
        </w:rPr>
      </w:pPr>
    </w:p>
    <w:p w14:paraId="723B16A3" w14:textId="77777777" w:rsidR="00007F2C" w:rsidRPr="00901E26" w:rsidRDefault="00007F2C" w:rsidP="00901E26">
      <w:pPr>
        <w:spacing w:line="360" w:lineRule="auto"/>
        <w:rPr>
          <w:rFonts w:cs="Arial"/>
          <w:color w:val="000000" w:themeColor="text1"/>
          <w:szCs w:val="22"/>
        </w:rPr>
      </w:pPr>
    </w:p>
    <w:p w14:paraId="5FE05C81" w14:textId="77777777" w:rsidR="00007F2C" w:rsidRPr="00901E26" w:rsidRDefault="00007F2C" w:rsidP="00901E26">
      <w:pPr>
        <w:spacing w:line="360" w:lineRule="auto"/>
        <w:rPr>
          <w:rFonts w:cs="Arial"/>
          <w:color w:val="000000" w:themeColor="text1"/>
          <w:szCs w:val="22"/>
        </w:rPr>
      </w:pPr>
    </w:p>
    <w:p w14:paraId="3D49B347" w14:textId="77777777" w:rsidR="00007F2C" w:rsidRPr="00901E26" w:rsidRDefault="00007F2C" w:rsidP="00901E26">
      <w:pPr>
        <w:spacing w:line="360" w:lineRule="auto"/>
        <w:rPr>
          <w:rFonts w:cs="Arial"/>
          <w:color w:val="000000" w:themeColor="text1"/>
          <w:szCs w:val="22"/>
        </w:rPr>
      </w:pPr>
    </w:p>
    <w:p w14:paraId="4F6F92A5" w14:textId="6322CDEB" w:rsidR="00007F2C" w:rsidRDefault="00007F2C" w:rsidP="00901E26">
      <w:pPr>
        <w:spacing w:line="360" w:lineRule="auto"/>
        <w:rPr>
          <w:rFonts w:cs="Arial"/>
          <w:color w:val="000000" w:themeColor="text1"/>
          <w:szCs w:val="22"/>
        </w:rPr>
      </w:pPr>
    </w:p>
    <w:p w14:paraId="4942ACAD" w14:textId="77777777" w:rsidR="00433871" w:rsidRPr="00901E26" w:rsidRDefault="00433871" w:rsidP="00901E26">
      <w:pPr>
        <w:spacing w:line="360" w:lineRule="auto"/>
        <w:rPr>
          <w:rFonts w:cs="Arial"/>
          <w:color w:val="000000" w:themeColor="text1"/>
          <w:szCs w:val="22"/>
        </w:rPr>
      </w:pPr>
    </w:p>
    <w:p w14:paraId="06599458" w14:textId="77777777" w:rsidR="00007F2C" w:rsidRPr="00901E26" w:rsidRDefault="00007F2C" w:rsidP="00901E26">
      <w:pPr>
        <w:spacing w:line="360" w:lineRule="auto"/>
        <w:rPr>
          <w:rFonts w:cs="Arial"/>
          <w:color w:val="000000" w:themeColor="text1"/>
          <w:szCs w:val="22"/>
        </w:rPr>
      </w:pPr>
    </w:p>
    <w:p w14:paraId="359CA3A0" w14:textId="77777777" w:rsidR="00007F2C" w:rsidRPr="00433871" w:rsidRDefault="00007F2C" w:rsidP="00433871">
      <w:pPr>
        <w:pStyle w:val="Heading1"/>
      </w:pPr>
      <w:bookmarkStart w:id="36" w:name="_Toc214840467"/>
      <w:r w:rsidRPr="00433871">
        <w:lastRenderedPageBreak/>
        <w:t>4.2 Theme 1: Low-Income Status and Substance Misuse in England</w:t>
      </w:r>
      <w:bookmarkEnd w:id="36"/>
    </w:p>
    <w:p w14:paraId="553DF8AE" w14:textId="77777777" w:rsidR="00007F2C" w:rsidRPr="00901E26" w:rsidRDefault="00007F2C" w:rsidP="00433871">
      <w:pPr>
        <w:pStyle w:val="Heading2"/>
      </w:pPr>
      <w:bookmarkStart w:id="37" w:name="_Toc214840468"/>
      <w:r w:rsidRPr="00901E26">
        <w:t>1.Definition and Scope</w:t>
      </w:r>
      <w:bookmarkEnd w:id="37"/>
    </w:p>
    <w:p w14:paraId="457A16F5"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Joseph Rowntree Foundation (2023) defines individuals and households as low-income if their earnings fall below the national median. This, in turn, might make it difficult for them to afford necessities like housing, healthcare, and education. Within the context of this dissertation, “substance misuse” includes harmful or hazardous use of drugs or alcohol that leads to social, psychological, or physical harm (Public Health England, 2021). This theme explores how poverty and economic disadvantage contribute to substance misuse patterns in England, setting the foundation for understanding wider health inequalities.</w:t>
      </w:r>
    </w:p>
    <w:p w14:paraId="77CF967C" w14:textId="77777777" w:rsidR="00007F2C" w:rsidRPr="00901E26" w:rsidRDefault="00007F2C" w:rsidP="00433871">
      <w:pPr>
        <w:pStyle w:val="Heading2"/>
      </w:pPr>
      <w:bookmarkStart w:id="38" w:name="_Toc214840469"/>
      <w:r w:rsidRPr="00901E26">
        <w:t>2.Background</w:t>
      </w:r>
      <w:bookmarkEnd w:id="38"/>
      <w:r w:rsidRPr="00901E26">
        <w:t xml:space="preserve"> </w:t>
      </w:r>
    </w:p>
    <w:p w14:paraId="71CCF8F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A strong correlation has been shown between low income and drug misuse. Historical data shows that </w:t>
      </w:r>
      <w:proofErr w:type="gramStart"/>
      <w:r w:rsidRPr="00901E26">
        <w:rPr>
          <w:rFonts w:cs="Arial"/>
          <w:color w:val="000000" w:themeColor="text1"/>
          <w:szCs w:val="22"/>
        </w:rPr>
        <w:t>economically disadvantaged</w:t>
      </w:r>
      <w:proofErr w:type="gramEnd"/>
      <w:r w:rsidRPr="00901E26">
        <w:rPr>
          <w:rFonts w:cs="Arial"/>
          <w:color w:val="000000" w:themeColor="text1"/>
          <w:szCs w:val="22"/>
        </w:rPr>
        <w:t xml:space="preserve"> communities have higher substance use and harm rates (Black, 2021). Since 2010, austerity, youth centres closures, addiction service cuts, and rising living costs have exacerbated these vulnerabilities (Marmot, 2020). Studies indicate that substance use serves as a coping strategy and reflects social marginalisation (</w:t>
      </w:r>
      <w:proofErr w:type="spellStart"/>
      <w:r w:rsidRPr="00901E26">
        <w:rPr>
          <w:rFonts w:cs="Arial"/>
          <w:color w:val="000000" w:themeColor="text1"/>
          <w:szCs w:val="22"/>
        </w:rPr>
        <w:t>Karamanos</w:t>
      </w:r>
      <w:proofErr w:type="spellEnd"/>
      <w:r w:rsidRPr="00901E26">
        <w:rPr>
          <w:rFonts w:cs="Arial"/>
          <w:color w:val="000000" w:themeColor="text1"/>
          <w:szCs w:val="22"/>
        </w:rPr>
        <w:t xml:space="preserve"> et al., 2022). Chronic stress, job insecurity, and housing instability increase misuse risk in low-income areas (JRF, 2023). These patterns show how poverty fuels drug use, which compounds financial hardship.</w:t>
      </w:r>
    </w:p>
    <w:p w14:paraId="5F775D50" w14:textId="77777777" w:rsidR="00007F2C" w:rsidRPr="00901E26" w:rsidRDefault="00007F2C" w:rsidP="00901E26">
      <w:pPr>
        <w:spacing w:line="360" w:lineRule="auto"/>
        <w:rPr>
          <w:rFonts w:cs="Arial"/>
          <w:color w:val="000000" w:themeColor="text1"/>
          <w:szCs w:val="22"/>
        </w:rPr>
      </w:pPr>
    </w:p>
    <w:p w14:paraId="0143BA95" w14:textId="77777777" w:rsidR="00007F2C" w:rsidRPr="00901E26" w:rsidRDefault="00007F2C" w:rsidP="00433871">
      <w:r w:rsidRPr="00901E26">
        <w:t>Key Statistics 2023</w:t>
      </w:r>
    </w:p>
    <w:p w14:paraId="1E59848D" w14:textId="77777777" w:rsidR="00007F2C" w:rsidRPr="00901E26" w:rsidRDefault="00007F2C" w:rsidP="00303E61">
      <w:pPr>
        <w:numPr>
          <w:ilvl w:val="0"/>
          <w:numId w:val="11"/>
        </w:numPr>
        <w:spacing w:before="100" w:beforeAutospacing="1" w:after="100" w:afterAutospacing="1" w:line="360" w:lineRule="auto"/>
        <w:rPr>
          <w:rFonts w:cs="Arial"/>
          <w:color w:val="000000" w:themeColor="text1"/>
          <w:szCs w:val="22"/>
        </w:rPr>
      </w:pPr>
      <w:r w:rsidRPr="00901E26">
        <w:rPr>
          <w:rFonts w:cs="Arial"/>
          <w:color w:val="000000" w:themeColor="text1"/>
          <w:szCs w:val="22"/>
        </w:rPr>
        <w:t>People living in England’s most deprived areas are five times more likely to die from drug misuse than those in affluent regions (ONS, 2023).</w:t>
      </w:r>
    </w:p>
    <w:p w14:paraId="6B3EE552" w14:textId="77777777" w:rsidR="00007F2C" w:rsidRPr="00901E26" w:rsidRDefault="00007F2C" w:rsidP="00303E61">
      <w:pPr>
        <w:numPr>
          <w:ilvl w:val="0"/>
          <w:numId w:val="11"/>
        </w:numPr>
        <w:spacing w:before="100" w:beforeAutospacing="1" w:after="100" w:afterAutospacing="1" w:line="360" w:lineRule="auto"/>
        <w:rPr>
          <w:rFonts w:cs="Arial"/>
          <w:color w:val="000000" w:themeColor="text1"/>
          <w:szCs w:val="22"/>
        </w:rPr>
      </w:pPr>
      <w:r w:rsidRPr="00901E26">
        <w:rPr>
          <w:rFonts w:cs="Arial"/>
          <w:color w:val="000000" w:themeColor="text1"/>
          <w:szCs w:val="22"/>
        </w:rPr>
        <w:t>64% of adults in treatment for substance misuse report being unemployed or economically inactive (NHS Digital, 2023).</w:t>
      </w:r>
    </w:p>
    <w:p w14:paraId="66F066CC" w14:textId="77777777" w:rsidR="00007F2C" w:rsidRPr="00901E26" w:rsidRDefault="00007F2C" w:rsidP="00303E61">
      <w:pPr>
        <w:numPr>
          <w:ilvl w:val="0"/>
          <w:numId w:val="11"/>
        </w:numPr>
        <w:spacing w:before="100" w:beforeAutospacing="1" w:after="100" w:afterAutospacing="1" w:line="360" w:lineRule="auto"/>
        <w:rPr>
          <w:rFonts w:cs="Arial"/>
          <w:color w:val="000000" w:themeColor="text1"/>
          <w:szCs w:val="22"/>
        </w:rPr>
      </w:pPr>
      <w:r w:rsidRPr="00901E26">
        <w:rPr>
          <w:rFonts w:cs="Arial"/>
          <w:color w:val="000000" w:themeColor="text1"/>
          <w:szCs w:val="22"/>
        </w:rPr>
        <w:t>Drug-related deaths reached 4,907 in 2022, the highest number since records began (ONS, 2023).</w:t>
      </w:r>
    </w:p>
    <w:p w14:paraId="2FA486D6" w14:textId="77777777" w:rsidR="00007F2C" w:rsidRPr="00901E26" w:rsidRDefault="00007F2C" w:rsidP="00901E26">
      <w:pPr>
        <w:spacing w:line="360" w:lineRule="auto"/>
        <w:rPr>
          <w:rFonts w:cs="Arial"/>
          <w:color w:val="000000" w:themeColor="text1"/>
          <w:szCs w:val="22"/>
        </w:rPr>
      </w:pPr>
    </w:p>
    <w:p w14:paraId="55D59AB4" w14:textId="77777777" w:rsidR="00007F2C" w:rsidRPr="00901E26" w:rsidRDefault="00007F2C" w:rsidP="00901E26">
      <w:pPr>
        <w:spacing w:line="360" w:lineRule="auto"/>
        <w:rPr>
          <w:rFonts w:cs="Arial"/>
          <w:color w:val="000000" w:themeColor="text1"/>
          <w:szCs w:val="22"/>
        </w:rPr>
      </w:pPr>
    </w:p>
    <w:p w14:paraId="7E9CD8DB" w14:textId="77777777" w:rsidR="00007F2C" w:rsidRPr="00901E26" w:rsidRDefault="00007F2C" w:rsidP="00901E26">
      <w:pPr>
        <w:spacing w:line="360" w:lineRule="auto"/>
        <w:rPr>
          <w:rFonts w:cs="Arial"/>
          <w:color w:val="000000" w:themeColor="text1"/>
          <w:szCs w:val="22"/>
        </w:rPr>
      </w:pPr>
    </w:p>
    <w:p w14:paraId="62385838" w14:textId="77777777" w:rsidR="00007F2C" w:rsidRPr="00901E26" w:rsidRDefault="00007F2C" w:rsidP="00901E26">
      <w:pPr>
        <w:spacing w:line="360" w:lineRule="auto"/>
        <w:rPr>
          <w:rFonts w:cs="Arial"/>
          <w:color w:val="000000" w:themeColor="text1"/>
          <w:szCs w:val="22"/>
        </w:rPr>
      </w:pPr>
    </w:p>
    <w:p w14:paraId="269D568E" w14:textId="65BCC5D6" w:rsidR="00007F2C" w:rsidRDefault="00007F2C" w:rsidP="00901E26">
      <w:pPr>
        <w:spacing w:line="360" w:lineRule="auto"/>
        <w:rPr>
          <w:rFonts w:cs="Arial"/>
          <w:color w:val="000000" w:themeColor="text1"/>
          <w:szCs w:val="22"/>
        </w:rPr>
      </w:pPr>
    </w:p>
    <w:p w14:paraId="15FEA0B3" w14:textId="77777777" w:rsidR="00433871" w:rsidRPr="00901E26" w:rsidRDefault="00433871" w:rsidP="00901E26">
      <w:pPr>
        <w:spacing w:line="360" w:lineRule="auto"/>
        <w:rPr>
          <w:rFonts w:cs="Arial"/>
          <w:color w:val="000000" w:themeColor="text1"/>
          <w:szCs w:val="22"/>
        </w:rPr>
      </w:pPr>
    </w:p>
    <w:p w14:paraId="7D0E42E0" w14:textId="77777777" w:rsidR="00007F2C" w:rsidRPr="00901E26" w:rsidRDefault="00007F2C" w:rsidP="00433871">
      <w:pPr>
        <w:pStyle w:val="Heading2"/>
      </w:pPr>
      <w:bookmarkStart w:id="39" w:name="_Toc214840470"/>
      <w:r w:rsidRPr="00901E26">
        <w:lastRenderedPageBreak/>
        <w:t>3.Relevance to Research Question</w:t>
      </w:r>
      <w:bookmarkEnd w:id="39"/>
    </w:p>
    <w:p w14:paraId="27287B8B"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directly supports the dissertation’s central question: Is there a correlation between low-income status and higher rates of substance misuse in England, and how does this intersect with levels of untreated mental health disorders?</w:t>
      </w:r>
      <w:r w:rsidRPr="00901E26">
        <w:rPr>
          <w:rFonts w:cs="Arial"/>
          <w:i/>
          <w:iCs/>
          <w:color w:val="000000" w:themeColor="text1"/>
          <w:szCs w:val="22"/>
        </w:rPr>
        <w:t xml:space="preserve"> </w:t>
      </w:r>
      <w:r w:rsidRPr="00901E26">
        <w:rPr>
          <w:rFonts w:cs="Arial"/>
          <w:color w:val="000000" w:themeColor="text1"/>
          <w:szCs w:val="22"/>
        </w:rPr>
        <w:t>By establishing the socioeconomic gradient of drug misuse, this section provides a foundation for analysing how income inequalities intersect with access to mental health services, as explored in later themes. Poverty not only increases vulnerability to addiction but also limits access to timely support, thereby entrenching the issue (Marmot, 2020; Pierce et al., 2020).</w:t>
      </w:r>
    </w:p>
    <w:p w14:paraId="57185A30" w14:textId="77777777" w:rsidR="00007F2C" w:rsidRPr="00901E26" w:rsidRDefault="00007F2C" w:rsidP="00433871">
      <w:pPr>
        <w:pStyle w:val="Heading2"/>
      </w:pPr>
      <w:bookmarkStart w:id="40" w:name="_Toc214840471"/>
      <w:r w:rsidRPr="00901E26">
        <w:t>4.Data and Statistics</w:t>
      </w:r>
      <w:bookmarkEnd w:id="40"/>
    </w:p>
    <w:p w14:paraId="5C48C35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Recent government data continues to show strong geographical and economic disparities. According to NHS Digital (2023), 53% of individuals entering drug treatment services in England reside in the lowest income quintile. These figures correlate closely with unemployment and housing instability, reflecting how deprivation drives vulnerability. ONS (2023) further reports that the </w:t>
      </w:r>
      <w:proofErr w:type="gramStart"/>
      <w:r w:rsidRPr="00901E26">
        <w:rPr>
          <w:rFonts w:cs="Arial"/>
          <w:color w:val="000000" w:themeColor="text1"/>
          <w:szCs w:val="22"/>
        </w:rPr>
        <w:t>North East</w:t>
      </w:r>
      <w:proofErr w:type="gramEnd"/>
      <w:r w:rsidRPr="00901E26">
        <w:rPr>
          <w:rFonts w:cs="Arial"/>
          <w:color w:val="000000" w:themeColor="text1"/>
          <w:szCs w:val="22"/>
        </w:rPr>
        <w:t xml:space="preserve"> consistently records the highest rates of drug misuse deaths, over 104 deaths per million people compared to 27 per million in London, highlighting how structural inequality manifests regionally.</w:t>
      </w:r>
    </w:p>
    <w:p w14:paraId="6E7AF3F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br/>
        <w:t xml:space="preserve">The Marmot Review (2020): 10 Years </w:t>
      </w:r>
      <w:proofErr w:type="gramStart"/>
      <w:r w:rsidRPr="00901E26">
        <w:rPr>
          <w:rFonts w:cs="Arial"/>
          <w:color w:val="000000" w:themeColor="text1"/>
          <w:szCs w:val="22"/>
        </w:rPr>
        <w:t>The</w:t>
      </w:r>
      <w:proofErr w:type="gramEnd"/>
      <w:r w:rsidRPr="00901E26">
        <w:rPr>
          <w:rFonts w:cs="Arial"/>
          <w:color w:val="000000" w:themeColor="text1"/>
          <w:szCs w:val="22"/>
        </w:rPr>
        <w:t xml:space="preserve"> Marmot Review concluded that austerity policies and cuts to local authority funding disproportionately harmed lower-income communities, thereby increasing health inequalities. It calls for a “whole-system approach” addressing poverty, employment, and education as root causes of poor health outcomes.</w:t>
      </w:r>
    </w:p>
    <w:p w14:paraId="7DEF15C3" w14:textId="77777777" w:rsidR="00007F2C" w:rsidRPr="00901E26" w:rsidRDefault="00007F2C" w:rsidP="00901E26">
      <w:pPr>
        <w:spacing w:line="360" w:lineRule="auto"/>
        <w:rPr>
          <w:rFonts w:cs="Arial"/>
          <w:color w:val="000000" w:themeColor="text1"/>
          <w:szCs w:val="22"/>
        </w:rPr>
      </w:pPr>
    </w:p>
    <w:p w14:paraId="5822C68F" w14:textId="77777777" w:rsidR="00007F2C" w:rsidRPr="00901E26" w:rsidRDefault="00007F2C" w:rsidP="00433871">
      <w:pPr>
        <w:pStyle w:val="Heading2"/>
      </w:pPr>
      <w:bookmarkStart w:id="41" w:name="_Toc214840472"/>
      <w:r w:rsidRPr="00901E26">
        <w:t>5.Theories, Policy, and Legislation</w:t>
      </w:r>
      <w:bookmarkEnd w:id="41"/>
    </w:p>
    <w:p w14:paraId="49284B5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Social Determinants of Health framework (Marmot, 2005; WHO, 2022) provides a theoretical lens to explain how income, employment, and environment influence substance misuse. It argues that socioeconomic conditions shape health outcomes long before individual choices come into play. Complementary theories, including structural violence (Farmer, 2004), underscore the ways in which economic and political systems sustain disadvantage and restrict access to support. Within England, the UK Drug Strategy (Home Office, 2021) and the Public Health Outcomes Framework both recognise poverty as a key determinant but have been criticised for underfunding community-based prevention programmes (Black, 2021).</w:t>
      </w:r>
    </w:p>
    <w:p w14:paraId="29E032CF" w14:textId="77777777" w:rsidR="00007F2C" w:rsidRPr="00901E26" w:rsidRDefault="00007F2C" w:rsidP="00433871">
      <w:pPr>
        <w:pStyle w:val="Heading2"/>
      </w:pPr>
      <w:bookmarkStart w:id="42" w:name="_Toc214840473"/>
      <w:r w:rsidRPr="00901E26">
        <w:lastRenderedPageBreak/>
        <w:t>6.Examples from Articles</w:t>
      </w:r>
      <w:bookmarkEnd w:id="42"/>
    </w:p>
    <w:p w14:paraId="190A0AFD" w14:textId="752B8DEB"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Molina and Whittaker (2022) discovered that adults with adverse childhood experiences (ACEs) and poor socioeconomic position exhibited a higher propensity for developing co-occurring substance use and trauma-related illnesses. Similarly, </w:t>
      </w:r>
      <w:proofErr w:type="spellStart"/>
      <w:r w:rsidRPr="00901E26">
        <w:rPr>
          <w:rFonts w:cs="Arial"/>
          <w:color w:val="000000" w:themeColor="text1"/>
          <w:szCs w:val="22"/>
        </w:rPr>
        <w:t>Karamanos</w:t>
      </w:r>
      <w:proofErr w:type="spellEnd"/>
      <w:r w:rsidRPr="00901E26">
        <w:rPr>
          <w:rFonts w:cs="Arial"/>
          <w:color w:val="000000" w:themeColor="text1"/>
          <w:szCs w:val="22"/>
        </w:rPr>
        <w:t xml:space="preserve"> et al. (2022) identified socioeconomic position and ethnicity as moderators in adolescent drug use, with deprivation amplifying risk. Research by Mind (2022) and Pierce et al. (2020) demonstrates that individuals in lower income brackets are not only more prone to substance misuse but also face delays in receiving mental health care, reinforcing a dual cycle of neglect and dependency.</w:t>
      </w:r>
    </w:p>
    <w:p w14:paraId="22F05587" w14:textId="790DD7E8" w:rsidR="00772E44" w:rsidRDefault="00772E44" w:rsidP="00901E26">
      <w:pPr>
        <w:spacing w:before="100" w:beforeAutospacing="1" w:after="100" w:afterAutospacing="1" w:line="360" w:lineRule="auto"/>
        <w:rPr>
          <w:rFonts w:cs="Arial"/>
          <w:color w:val="000000" w:themeColor="text1"/>
          <w:szCs w:val="22"/>
        </w:rPr>
      </w:pPr>
    </w:p>
    <w:p w14:paraId="2320E481"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315452F2" w14:textId="77777777" w:rsidR="00007F2C" w:rsidRPr="00901E26" w:rsidRDefault="00007F2C" w:rsidP="00433871">
      <w:pPr>
        <w:pStyle w:val="Heading2"/>
      </w:pPr>
      <w:bookmarkStart w:id="43" w:name="_Toc214840474"/>
      <w:r w:rsidRPr="00901E26">
        <w:t>7.Connections to Other Themes</w:t>
      </w:r>
      <w:bookmarkEnd w:id="43"/>
    </w:p>
    <w:p w14:paraId="0AFEC8E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connects directly to the next, which focuses on untreated mental health disorders. Low-income individuals often face limited access to mental health services, leading to self-medication and dependency on substances. The interplay between financial stress and emotional distress forms a key intersection explored further in Theme 2. Furthermore, this discussion links the policy failures and funding inequalities to Theme 4, which critically evaluates legislative frameworks.</w:t>
      </w:r>
    </w:p>
    <w:p w14:paraId="6B6D5E11" w14:textId="77777777" w:rsidR="00007F2C" w:rsidRPr="00901E26" w:rsidRDefault="00007F2C" w:rsidP="00901E26">
      <w:pPr>
        <w:spacing w:line="360" w:lineRule="auto"/>
        <w:rPr>
          <w:rFonts w:cs="Arial"/>
          <w:color w:val="000000" w:themeColor="text1"/>
          <w:szCs w:val="22"/>
        </w:rPr>
      </w:pPr>
    </w:p>
    <w:p w14:paraId="5DBE9574" w14:textId="77777777" w:rsidR="00007F2C" w:rsidRPr="00901E26" w:rsidRDefault="00007F2C" w:rsidP="00901E26">
      <w:pPr>
        <w:spacing w:line="360" w:lineRule="auto"/>
        <w:rPr>
          <w:rFonts w:cs="Arial"/>
          <w:color w:val="000000" w:themeColor="text1"/>
          <w:szCs w:val="22"/>
        </w:rPr>
      </w:pPr>
    </w:p>
    <w:p w14:paraId="737876E7" w14:textId="77777777" w:rsidR="00007F2C" w:rsidRPr="00901E26" w:rsidRDefault="00007F2C" w:rsidP="00901E26">
      <w:pPr>
        <w:spacing w:line="360" w:lineRule="auto"/>
        <w:rPr>
          <w:rFonts w:cs="Arial"/>
          <w:color w:val="000000" w:themeColor="text1"/>
          <w:szCs w:val="22"/>
        </w:rPr>
      </w:pPr>
    </w:p>
    <w:p w14:paraId="08F866B6" w14:textId="77777777" w:rsidR="00007F2C" w:rsidRPr="00901E26" w:rsidRDefault="00007F2C" w:rsidP="00901E26">
      <w:pPr>
        <w:spacing w:line="360" w:lineRule="auto"/>
        <w:rPr>
          <w:rFonts w:cs="Arial"/>
          <w:color w:val="000000" w:themeColor="text1"/>
          <w:szCs w:val="22"/>
        </w:rPr>
      </w:pPr>
    </w:p>
    <w:p w14:paraId="3C89118F" w14:textId="77777777" w:rsidR="00007F2C" w:rsidRPr="00433871" w:rsidRDefault="00007F2C" w:rsidP="00433871">
      <w:pPr>
        <w:pStyle w:val="Heading1"/>
      </w:pPr>
      <w:bookmarkStart w:id="44" w:name="_Toc214840475"/>
      <w:r w:rsidRPr="00433871">
        <w:t>4.3 Theme 2: Untreated Mental Health Disorders and Dual Diagnosis</w:t>
      </w:r>
      <w:bookmarkEnd w:id="44"/>
    </w:p>
    <w:p w14:paraId="717372B0" w14:textId="77777777" w:rsidR="00007F2C" w:rsidRPr="00901E26" w:rsidRDefault="00007F2C" w:rsidP="00433871">
      <w:pPr>
        <w:pStyle w:val="Heading2"/>
      </w:pPr>
      <w:bookmarkStart w:id="45" w:name="_Toc214840476"/>
      <w:r w:rsidRPr="00901E26">
        <w:t>1.Definition and Scope</w:t>
      </w:r>
      <w:bookmarkEnd w:id="45"/>
    </w:p>
    <w:p w14:paraId="7503BEA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In this study, untreated mental health illnesses denote psychological conditions, including anxiety, sadness, and post-traumatic stress disorder (PTSD), that are either undiagnosed or insufficiently addressed (Mind, 2022). 'Dual diagnosis' refers to the simultaneous presence of a mental health condition and a drug use disorder in an individual (Molina &amp; Whittaker, 2022). This overlap frequently leads to more severe consequences, such as increased relapse rates, social marginalisation, and diminished involvement with treatment programmes (Public Health England, 2021).</w:t>
      </w:r>
    </w:p>
    <w:p w14:paraId="2BB6CCB0" w14:textId="77777777" w:rsidR="00007F2C" w:rsidRPr="00901E26" w:rsidRDefault="00007F2C" w:rsidP="00433871">
      <w:pPr>
        <w:pStyle w:val="Heading2"/>
      </w:pPr>
      <w:bookmarkStart w:id="46" w:name="_Toc214840477"/>
      <w:r w:rsidRPr="00901E26">
        <w:lastRenderedPageBreak/>
        <w:t>2.Background</w:t>
      </w:r>
      <w:bookmarkEnd w:id="46"/>
      <w:r w:rsidRPr="00901E26">
        <w:t xml:space="preserve"> </w:t>
      </w:r>
    </w:p>
    <w:p w14:paraId="1ED74DB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correlation between substance usage and mental health issues is acknowledged as bidirectional: mental illness may precipitate substance abuse as a coping strategy, whereas sustained substance use can exacerbate or induce mental health symptoms (Pierce et al., 2020). Historically, services addressing these illnesses have functioned in isolation, resulting in fragmented care. Research indicates that approximately one-third of individuals who engage in drug use concurrently experience a mental health disorder (NHS Digital, 2023). The absence of cohesive support channels is especially pronounced in disadvantaged communities, where stigma, insufficient financing, and prolonged waiting periods further restrict access to assistance (Black, 2021; Marmot, 2020).</w:t>
      </w:r>
    </w:p>
    <w:p w14:paraId="44CC12EF" w14:textId="77777777" w:rsidR="00007F2C" w:rsidRPr="00901E26" w:rsidRDefault="00007F2C" w:rsidP="00901E26">
      <w:pPr>
        <w:spacing w:line="360" w:lineRule="auto"/>
        <w:rPr>
          <w:rFonts w:cs="Arial"/>
          <w:color w:val="000000" w:themeColor="text1"/>
          <w:szCs w:val="22"/>
        </w:rPr>
      </w:pPr>
    </w:p>
    <w:p w14:paraId="63FF24ED" w14:textId="77777777" w:rsidR="00007F2C" w:rsidRPr="00901E26" w:rsidRDefault="00007F2C" w:rsidP="00433871">
      <w:r w:rsidRPr="00901E26">
        <w:t>Key Statistics 2023</w:t>
      </w:r>
    </w:p>
    <w:p w14:paraId="4E388A96" w14:textId="77777777" w:rsidR="00007F2C" w:rsidRPr="00901E26" w:rsidRDefault="00007F2C" w:rsidP="00303E61">
      <w:pPr>
        <w:numPr>
          <w:ilvl w:val="0"/>
          <w:numId w:val="12"/>
        </w:numPr>
        <w:spacing w:before="100" w:beforeAutospacing="1" w:after="100" w:afterAutospacing="1" w:line="360" w:lineRule="auto"/>
        <w:rPr>
          <w:rFonts w:cs="Arial"/>
          <w:color w:val="000000" w:themeColor="text1"/>
          <w:szCs w:val="22"/>
        </w:rPr>
      </w:pPr>
      <w:r w:rsidRPr="00901E26">
        <w:rPr>
          <w:rFonts w:cs="Arial"/>
          <w:color w:val="000000" w:themeColor="text1"/>
          <w:szCs w:val="22"/>
        </w:rPr>
        <w:t>Around 60% of individuals in addiction treatment report symptoms of anxiety or depression (NHS Digital, 2023).</w:t>
      </w:r>
    </w:p>
    <w:p w14:paraId="6A298B4F" w14:textId="77777777" w:rsidR="00007F2C" w:rsidRPr="00901E26" w:rsidRDefault="00007F2C" w:rsidP="00303E61">
      <w:pPr>
        <w:numPr>
          <w:ilvl w:val="0"/>
          <w:numId w:val="12"/>
        </w:numPr>
        <w:spacing w:before="100" w:beforeAutospacing="1" w:after="100" w:afterAutospacing="1" w:line="360" w:lineRule="auto"/>
        <w:rPr>
          <w:rFonts w:cs="Arial"/>
          <w:color w:val="000000" w:themeColor="text1"/>
          <w:szCs w:val="22"/>
        </w:rPr>
      </w:pPr>
      <w:r w:rsidRPr="00901E26">
        <w:rPr>
          <w:rFonts w:cs="Arial"/>
          <w:color w:val="000000" w:themeColor="text1"/>
          <w:szCs w:val="22"/>
        </w:rPr>
        <w:t>Only 37% of people with co-occurring substance misuse and mental health problems receive integrated care (Public Health England, 2021).</w:t>
      </w:r>
    </w:p>
    <w:p w14:paraId="56D24857" w14:textId="77777777" w:rsidR="00007F2C" w:rsidRPr="00901E26" w:rsidRDefault="00007F2C" w:rsidP="00303E61">
      <w:pPr>
        <w:numPr>
          <w:ilvl w:val="0"/>
          <w:numId w:val="12"/>
        </w:numPr>
        <w:spacing w:before="100" w:beforeAutospacing="1" w:after="100" w:afterAutospacing="1" w:line="360" w:lineRule="auto"/>
        <w:rPr>
          <w:rFonts w:cs="Arial"/>
          <w:color w:val="000000" w:themeColor="text1"/>
          <w:szCs w:val="22"/>
        </w:rPr>
      </w:pPr>
      <w:r w:rsidRPr="00901E26">
        <w:rPr>
          <w:rFonts w:cs="Arial"/>
          <w:color w:val="000000" w:themeColor="text1"/>
          <w:szCs w:val="22"/>
        </w:rPr>
        <w:t>People in the lowest income bracket are twice as likely to experience chronic psychological distress (ONS, 2023).</w:t>
      </w:r>
    </w:p>
    <w:p w14:paraId="5C2E07FF"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27D5AC6A" w14:textId="77777777" w:rsidR="00007F2C" w:rsidRPr="00901E26" w:rsidRDefault="00007F2C" w:rsidP="00901E26">
      <w:pPr>
        <w:spacing w:line="360" w:lineRule="auto"/>
        <w:rPr>
          <w:rFonts w:cs="Arial"/>
          <w:color w:val="000000" w:themeColor="text1"/>
          <w:szCs w:val="22"/>
        </w:rPr>
      </w:pPr>
    </w:p>
    <w:p w14:paraId="4B441B93" w14:textId="77777777" w:rsidR="00007F2C" w:rsidRPr="00901E26" w:rsidRDefault="00007F2C" w:rsidP="00901E26">
      <w:pPr>
        <w:spacing w:line="360" w:lineRule="auto"/>
        <w:rPr>
          <w:rFonts w:cs="Arial"/>
          <w:color w:val="000000" w:themeColor="text1"/>
          <w:szCs w:val="22"/>
        </w:rPr>
      </w:pPr>
    </w:p>
    <w:p w14:paraId="0EE2B1AB" w14:textId="77777777" w:rsidR="00007F2C" w:rsidRPr="00901E26" w:rsidRDefault="00007F2C" w:rsidP="00433871">
      <w:pPr>
        <w:pStyle w:val="Heading2"/>
      </w:pPr>
      <w:bookmarkStart w:id="47" w:name="_Toc214840478"/>
      <w:r w:rsidRPr="00901E26">
        <w:t>3. Relevance to Research Question</w:t>
      </w:r>
      <w:bookmarkEnd w:id="47"/>
    </w:p>
    <w:p w14:paraId="29C6A9BD" w14:textId="69371C45"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deepens the central inquiry by examining how untreated mental health disorders intersect with low-income status and substance misuse in England. It explains why individuals experiencing poverty are at greater risk: limited mental health support leads many to self-medicate with alcohol or drugs, further worsening financial instability (</w:t>
      </w:r>
      <w:proofErr w:type="spellStart"/>
      <w:r w:rsidRPr="00901E26">
        <w:rPr>
          <w:rFonts w:cs="Arial"/>
          <w:color w:val="000000" w:themeColor="text1"/>
          <w:szCs w:val="22"/>
        </w:rPr>
        <w:t>Karamanos</w:t>
      </w:r>
      <w:proofErr w:type="spellEnd"/>
      <w:r w:rsidRPr="00901E26">
        <w:rPr>
          <w:rFonts w:cs="Arial"/>
          <w:color w:val="000000" w:themeColor="text1"/>
          <w:szCs w:val="22"/>
        </w:rPr>
        <w:t xml:space="preserve"> et al., 2022). Understanding this dual dynamic is crucial for designing equitable interventions that target both mental and social determinants simultaneously.</w:t>
      </w:r>
    </w:p>
    <w:p w14:paraId="02446B85" w14:textId="15DD88BD" w:rsidR="00772E44" w:rsidRDefault="00772E44" w:rsidP="00901E26">
      <w:pPr>
        <w:spacing w:before="100" w:beforeAutospacing="1" w:after="100" w:afterAutospacing="1" w:line="360" w:lineRule="auto"/>
        <w:rPr>
          <w:rFonts w:cs="Arial"/>
          <w:color w:val="000000" w:themeColor="text1"/>
          <w:szCs w:val="22"/>
        </w:rPr>
      </w:pPr>
    </w:p>
    <w:p w14:paraId="6ED36FB6"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456A8F7A" w14:textId="77777777" w:rsidR="00007F2C" w:rsidRPr="00901E26" w:rsidRDefault="00007F2C" w:rsidP="00433871">
      <w:pPr>
        <w:pStyle w:val="Heading2"/>
      </w:pPr>
      <w:bookmarkStart w:id="48" w:name="_Toc214840479"/>
      <w:r w:rsidRPr="00901E26">
        <w:lastRenderedPageBreak/>
        <w:t>4. Data and Statistics</w:t>
      </w:r>
      <w:bookmarkEnd w:id="48"/>
    </w:p>
    <w:p w14:paraId="240F10A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 2023 NHS Digital report found that co-occurring mental health and substance use disorders were most prevalent among unemployed adults aged 25 - 44. The Adult Psychiatric Morbidity Survey (APMS, 2022) revealed that over 70% of people with substance dependency reported experiencing at least one common mental disorder, compared with 17% in the general population. These data illustrate how untreated mental illness amplifies vulnerability, especially when compounded by socioeconomic hardship.</w:t>
      </w:r>
    </w:p>
    <w:p w14:paraId="70FF1F5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br/>
        <w:t>The NHS Long Term Plan (2019) pledged to expand integrated mental health and addiction services, emphasising “no wrong door” access for dual-diagnosis patients. However, recent evaluations show progress has been slow, particularly in deprived local authorities where workforce shortages persist (NHS England, 2023).</w:t>
      </w:r>
    </w:p>
    <w:p w14:paraId="06619DA1" w14:textId="77777777" w:rsidR="00007F2C" w:rsidRPr="00901E26" w:rsidRDefault="00007F2C" w:rsidP="00901E26">
      <w:pPr>
        <w:spacing w:line="360" w:lineRule="auto"/>
        <w:rPr>
          <w:rFonts w:cs="Arial"/>
          <w:color w:val="000000" w:themeColor="text1"/>
          <w:szCs w:val="22"/>
        </w:rPr>
      </w:pPr>
    </w:p>
    <w:p w14:paraId="69E8E14F" w14:textId="77777777" w:rsidR="00007F2C" w:rsidRPr="00901E26" w:rsidRDefault="00007F2C" w:rsidP="00433871">
      <w:pPr>
        <w:pStyle w:val="Heading2"/>
      </w:pPr>
      <w:bookmarkStart w:id="49" w:name="_Toc214840480"/>
      <w:r w:rsidRPr="00901E26">
        <w:t>5. Theories, Policy, and Legislation</w:t>
      </w:r>
      <w:bookmarkEnd w:id="49"/>
    </w:p>
    <w:p w14:paraId="261879E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biopsychosocial model (Engel, 1977) provides a useful framework for understanding dual diagnosis, integrating biological, psychological, and social dimensions of illness. It aligns with the Social Determinants of Health framework (Marmot, 2005), suggesting that external factors such as income and environment influence both mental and physical wellbeing. Additionally, trauma theory (Herman, 1992) explains how unresolved trauma, often linked to poverty and instability, can trigger both mental distress and substance use as maladaptive coping.</w:t>
      </w:r>
    </w:p>
    <w:p w14:paraId="14096378" w14:textId="39044DDB"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Policy-wise, England’s Drug Strategy (2021</w:t>
      </w:r>
      <w:r w:rsidR="00772E44">
        <w:rPr>
          <w:rFonts w:cs="Arial"/>
          <w:color w:val="000000" w:themeColor="text1"/>
          <w:szCs w:val="22"/>
        </w:rPr>
        <w:t xml:space="preserve"> - </w:t>
      </w:r>
      <w:r w:rsidRPr="00901E26">
        <w:rPr>
          <w:rFonts w:cs="Arial"/>
          <w:color w:val="000000" w:themeColor="text1"/>
          <w:szCs w:val="22"/>
        </w:rPr>
        <w:t>2026) and the Community Mental Health Framework (2021) emphasise that patients require integrated care. Nevertheless, studies such as Mind (2022) reveal that implementation remains inconsistent, with local commissioning gaps particularly evident in low-income boroughs.</w:t>
      </w:r>
    </w:p>
    <w:p w14:paraId="4739B02F" w14:textId="77777777" w:rsidR="00007F2C" w:rsidRPr="00901E26" w:rsidRDefault="00007F2C" w:rsidP="00433871">
      <w:pPr>
        <w:pStyle w:val="Heading2"/>
      </w:pPr>
      <w:bookmarkStart w:id="50" w:name="_Toc214840481"/>
      <w:r w:rsidRPr="00901E26">
        <w:t>6. Examples from Articles</w:t>
      </w:r>
      <w:bookmarkEnd w:id="50"/>
    </w:p>
    <w:p w14:paraId="0B28E0C1"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Molina and Whittaker (2022) demonstrated that adults with ACEs who lacked access to trauma-informed therapy were more likely to relapse into substance misuse. Pierce et al. (2020) discovered that stress associated with COVID-19 intensified pre-existing mental health inequities, disproportionately impacting individuals in poverty. Similarly, Black (2021) highlighted systemic under-investment in dual-diagnosis services, resulting in fragmented treatment and poorer outcomes for vulnerable populations.</w:t>
      </w:r>
    </w:p>
    <w:p w14:paraId="3A43123F" w14:textId="77777777" w:rsidR="00007F2C" w:rsidRPr="00901E26" w:rsidRDefault="00007F2C" w:rsidP="00433871">
      <w:pPr>
        <w:pStyle w:val="Heading2"/>
      </w:pPr>
      <w:bookmarkStart w:id="51" w:name="_Toc214840482"/>
      <w:r w:rsidRPr="00901E26">
        <w:lastRenderedPageBreak/>
        <w:t>7. Connections to Other Themes</w:t>
      </w:r>
      <w:bookmarkEnd w:id="51"/>
    </w:p>
    <w:p w14:paraId="3A1FD55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links back to Theme 1, where financial deprivation was shown to increase psychosocial stress and risk of substance misuse. The overlap between economic stress and mental distress underscores a vicious cycle: poverty limits access to therapy, while untreated illness reduces employability. It also connects forward to Theme 3, which examines how systemic barriers such as funding cuts and regional inequalities prevent access to integrated treatment.</w:t>
      </w:r>
    </w:p>
    <w:p w14:paraId="54860FD6" w14:textId="77777777" w:rsidR="00433871" w:rsidRPr="00901E26" w:rsidRDefault="00433871" w:rsidP="00901E26">
      <w:pPr>
        <w:spacing w:beforeAutospacing="1" w:afterAutospacing="1" w:line="360" w:lineRule="auto"/>
        <w:rPr>
          <w:rFonts w:cs="Arial"/>
          <w:color w:val="000000" w:themeColor="text1"/>
          <w:szCs w:val="22"/>
        </w:rPr>
      </w:pPr>
    </w:p>
    <w:p w14:paraId="2CB517BC" w14:textId="40682544" w:rsidR="00007F2C" w:rsidRDefault="00007F2C" w:rsidP="00901E26">
      <w:pPr>
        <w:spacing w:beforeAutospacing="1" w:afterAutospacing="1" w:line="360" w:lineRule="auto"/>
        <w:rPr>
          <w:rFonts w:cs="Arial"/>
          <w:color w:val="000000" w:themeColor="text1"/>
          <w:szCs w:val="22"/>
        </w:rPr>
      </w:pPr>
    </w:p>
    <w:p w14:paraId="766A6AAE" w14:textId="77777777" w:rsidR="00772E44" w:rsidRPr="00901E26" w:rsidRDefault="00772E44" w:rsidP="00901E26">
      <w:pPr>
        <w:spacing w:beforeAutospacing="1" w:afterAutospacing="1" w:line="360" w:lineRule="auto"/>
        <w:rPr>
          <w:rFonts w:cs="Arial"/>
          <w:color w:val="000000" w:themeColor="text1"/>
          <w:szCs w:val="22"/>
        </w:rPr>
      </w:pPr>
    </w:p>
    <w:p w14:paraId="3A5C4557" w14:textId="77777777" w:rsidR="00007F2C" w:rsidRPr="00433871" w:rsidRDefault="00007F2C" w:rsidP="00433871">
      <w:pPr>
        <w:pStyle w:val="Heading1"/>
      </w:pPr>
      <w:bookmarkStart w:id="52" w:name="_Toc214840483"/>
      <w:r w:rsidRPr="00433871">
        <w:t xml:space="preserve">4.4 </w:t>
      </w:r>
      <w:r w:rsidRPr="00433871">
        <w:rPr>
          <w:rFonts w:eastAsiaTheme="majorEastAsia"/>
        </w:rPr>
        <w:t>Theme 3: Socioeconomic Barriers to Treatment Access</w:t>
      </w:r>
      <w:bookmarkEnd w:id="52"/>
    </w:p>
    <w:p w14:paraId="00DCDD5F" w14:textId="77777777" w:rsidR="00007F2C" w:rsidRPr="00901E26" w:rsidRDefault="00007F2C" w:rsidP="00433871">
      <w:pPr>
        <w:pStyle w:val="Heading2"/>
      </w:pPr>
      <w:bookmarkStart w:id="53" w:name="_Toc214840484"/>
      <w:r w:rsidRPr="00901E26">
        <w:t>1. Definition and Scope</w:t>
      </w:r>
      <w:bookmarkEnd w:id="53"/>
    </w:p>
    <w:p w14:paraId="342532EB" w14:textId="64A30321"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Socioeconomic barriers refer to obstacles that prevent individuals, particularly those from low-income backgrounds, from accessing healthcare or treatment services. These barriers include financial hardship, digital exclusion, transportation expenses, social stigma, and long waiting times (NHS Digital, 2023). In the context of this research, such barriers play a central role in determining who receives timely help for substance misuse and mental health problems and who remains excluded from care.</w:t>
      </w:r>
    </w:p>
    <w:p w14:paraId="47FB35E0"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121F3E10" w14:textId="77777777" w:rsidR="00007F2C" w:rsidRPr="00901E26" w:rsidRDefault="00007F2C" w:rsidP="00433871">
      <w:pPr>
        <w:pStyle w:val="Heading2"/>
      </w:pPr>
      <w:bookmarkStart w:id="54" w:name="_Toc214840485"/>
      <w:r w:rsidRPr="00901E26">
        <w:t>2. Background</w:t>
      </w:r>
      <w:bookmarkEnd w:id="54"/>
      <w:r w:rsidRPr="00901E26">
        <w:t xml:space="preserve"> </w:t>
      </w:r>
    </w:p>
    <w:p w14:paraId="539C9EE0" w14:textId="6B8B9244"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Health inequalities in England have deepened in the past decade due to austerity and the restructuring of public services (Marmot, 2020). Local authorities have reduced their funding by over 40% since 2013, affecting many addiction and mental health treatment programmes (Black, 2021). Consequently, the reduction or centralisation of services in deprived areas has made them less accessible for those without transportation or digital means (Mind, 2022). The introduction of remote consultations during the pandemic also widened the digital divide; while improving access for some, it excluded others who lacked internet access or stable housing (NHS England, 2023).</w:t>
      </w:r>
    </w:p>
    <w:p w14:paraId="64771AAF"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3A87DC44" w14:textId="77777777" w:rsidR="00007F2C" w:rsidRPr="00901E26" w:rsidRDefault="00007F2C" w:rsidP="00901E26">
      <w:pPr>
        <w:spacing w:line="360" w:lineRule="auto"/>
        <w:rPr>
          <w:rFonts w:cs="Arial"/>
          <w:color w:val="000000" w:themeColor="text1"/>
          <w:szCs w:val="22"/>
        </w:rPr>
      </w:pPr>
    </w:p>
    <w:p w14:paraId="0919F99E" w14:textId="77777777" w:rsidR="00007F2C" w:rsidRPr="00901E26" w:rsidRDefault="00007F2C" w:rsidP="00433871">
      <w:r w:rsidRPr="00901E26">
        <w:t>Key Statistics 2023</w:t>
      </w:r>
    </w:p>
    <w:p w14:paraId="4489DEDE" w14:textId="77777777" w:rsidR="00007F2C" w:rsidRPr="00901E26" w:rsidRDefault="00007F2C" w:rsidP="00303E61">
      <w:pPr>
        <w:numPr>
          <w:ilvl w:val="0"/>
          <w:numId w:val="13"/>
        </w:numPr>
        <w:spacing w:before="100" w:beforeAutospacing="1" w:after="100" w:afterAutospacing="1" w:line="360" w:lineRule="auto"/>
        <w:rPr>
          <w:rFonts w:cs="Arial"/>
          <w:color w:val="000000" w:themeColor="text1"/>
          <w:szCs w:val="22"/>
        </w:rPr>
      </w:pPr>
      <w:r w:rsidRPr="00901E26">
        <w:rPr>
          <w:rFonts w:cs="Arial"/>
          <w:color w:val="000000" w:themeColor="text1"/>
          <w:szCs w:val="22"/>
        </w:rPr>
        <w:t>Funding for drug and alcohol treatment services in England fell by 26% between 2013 and 2020 (Black, 2021).</w:t>
      </w:r>
    </w:p>
    <w:p w14:paraId="7837B486" w14:textId="77777777" w:rsidR="00007F2C" w:rsidRPr="00901E26" w:rsidRDefault="00007F2C" w:rsidP="00303E61">
      <w:pPr>
        <w:numPr>
          <w:ilvl w:val="0"/>
          <w:numId w:val="13"/>
        </w:numPr>
        <w:spacing w:before="100" w:beforeAutospacing="1" w:after="100" w:afterAutospacing="1" w:line="360" w:lineRule="auto"/>
        <w:rPr>
          <w:rFonts w:cs="Arial"/>
          <w:color w:val="000000" w:themeColor="text1"/>
          <w:szCs w:val="22"/>
        </w:rPr>
      </w:pPr>
      <w:r w:rsidRPr="00901E26">
        <w:rPr>
          <w:rFonts w:cs="Arial"/>
          <w:color w:val="000000" w:themeColor="text1"/>
          <w:szCs w:val="22"/>
        </w:rPr>
        <w:t>Over one in three individuals seeking support report difficulty attending appointments due to travel costs (Mind, 2022).</w:t>
      </w:r>
    </w:p>
    <w:p w14:paraId="2F5B0162" w14:textId="1B98C58E" w:rsidR="00007F2C" w:rsidRPr="00433871" w:rsidRDefault="00007F2C" w:rsidP="00303E61">
      <w:pPr>
        <w:numPr>
          <w:ilvl w:val="0"/>
          <w:numId w:val="13"/>
        </w:numPr>
        <w:spacing w:before="100" w:beforeAutospacing="1" w:after="100" w:afterAutospacing="1" w:line="360" w:lineRule="auto"/>
        <w:rPr>
          <w:rFonts w:cs="Arial"/>
          <w:color w:val="000000" w:themeColor="text1"/>
          <w:szCs w:val="22"/>
        </w:rPr>
      </w:pPr>
      <w:r w:rsidRPr="00901E26">
        <w:rPr>
          <w:rFonts w:cs="Arial"/>
          <w:color w:val="000000" w:themeColor="text1"/>
          <w:szCs w:val="22"/>
        </w:rPr>
        <w:t>Nearly 50% of low-income households lack reliable internet access or digital literacy (ONS, 2023).</w:t>
      </w:r>
    </w:p>
    <w:p w14:paraId="5150DEB9" w14:textId="77777777" w:rsidR="00007F2C" w:rsidRPr="00901E26" w:rsidRDefault="00007F2C" w:rsidP="00433871">
      <w:pPr>
        <w:pStyle w:val="Heading2"/>
      </w:pPr>
      <w:bookmarkStart w:id="55" w:name="_Toc214840486"/>
      <w:r w:rsidRPr="00901E26">
        <w:t>3. Relevance to Research Question</w:t>
      </w:r>
      <w:bookmarkEnd w:id="55"/>
    </w:p>
    <w:p w14:paraId="267D3C0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directly addresses the question of how socioeconomic disadvantage intersects with substance misuse and untreated mental health disorders. Even when individuals recognise their need for support, barriers like transport costs, inflexible service hours, and waiting lists can prevent engagement (Marmot, 2020). These constraints lead to underdiagnosis and under-treatment of mental health conditions, increasing reliance on substances as a coping mechanism. In essence, the social determinants of health-such as income, employment, and housing serve as gatekeepers to recovery.</w:t>
      </w:r>
    </w:p>
    <w:p w14:paraId="2D754DDC" w14:textId="77777777" w:rsidR="00007F2C" w:rsidRPr="00901E26" w:rsidRDefault="00007F2C" w:rsidP="00433871">
      <w:pPr>
        <w:pStyle w:val="Heading2"/>
      </w:pPr>
      <w:bookmarkStart w:id="56" w:name="_Toc214840487"/>
      <w:r w:rsidRPr="00901E26">
        <w:t>4. Data and Statistics</w:t>
      </w:r>
      <w:bookmarkEnd w:id="56"/>
    </w:p>
    <w:p w14:paraId="0838BEE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NHS Digital (2023) reports that 45% of adults who discontinued substance misuse treatment cited logistical or financial barriers. The Adult Substance Misuse Treatment Statistics (PHE, 2021) show that completion rates are significantly lower in deprived areas (38%) than in affluent ones (59%). In addition, ONS (2023) data reveal that unemployment and insecure housing correlate strongly with treatment drop-out rates. These findings underline how socioeconomic disadvantage undermines both engagement and outcomes.</w:t>
      </w:r>
    </w:p>
    <w:p w14:paraId="040140F3" w14:textId="77777777" w:rsidR="00007F2C" w:rsidRPr="00901E26" w:rsidRDefault="00007F2C" w:rsidP="00901E26">
      <w:pPr>
        <w:spacing w:line="360" w:lineRule="auto"/>
        <w:rPr>
          <w:rFonts w:cs="Arial"/>
          <w:color w:val="000000" w:themeColor="text1"/>
          <w:szCs w:val="22"/>
        </w:rPr>
      </w:pPr>
    </w:p>
    <w:p w14:paraId="3F255C41"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From Harm to Hope (UK Drug Strategy 2021–2026)</w:t>
      </w:r>
      <w:r w:rsidRPr="00901E26">
        <w:rPr>
          <w:rFonts w:cs="Arial"/>
          <w:color w:val="000000" w:themeColor="text1"/>
          <w:szCs w:val="22"/>
        </w:rPr>
        <w:br/>
        <w:t>This national strategy aims to rebuild treatment capacity through funding increases of £780 million over three years (Home Office, 2021). However, analyses by the Institute for Fiscal Studies (2023) and the Health Foundation (2023) suggest that much of this funding only reverses previous cuts rather than expanding capacity. Local authorities continue to face high caseloads and workforce shortages, especially in deprived regions.</w:t>
      </w:r>
    </w:p>
    <w:p w14:paraId="17510960" w14:textId="77777777" w:rsidR="00007F2C" w:rsidRPr="00901E26" w:rsidRDefault="00007F2C" w:rsidP="00901E26">
      <w:pPr>
        <w:spacing w:line="360" w:lineRule="auto"/>
        <w:rPr>
          <w:rFonts w:cs="Arial"/>
          <w:color w:val="000000" w:themeColor="text1"/>
          <w:szCs w:val="22"/>
        </w:rPr>
      </w:pPr>
    </w:p>
    <w:p w14:paraId="1AE16099" w14:textId="77777777" w:rsidR="00007F2C" w:rsidRPr="00901E26" w:rsidRDefault="00007F2C" w:rsidP="00433871">
      <w:pPr>
        <w:pStyle w:val="Heading2"/>
      </w:pPr>
      <w:bookmarkStart w:id="57" w:name="_Toc214840488"/>
      <w:r w:rsidRPr="00901E26">
        <w:lastRenderedPageBreak/>
        <w:t>5. Theories, Policy, and Legislation</w:t>
      </w:r>
      <w:bookmarkEnd w:id="57"/>
    </w:p>
    <w:p w14:paraId="5343945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social gradient in health theory (Marmot, 2005) emphasises that health outcomes worsen step-by-step with each decline in socioeconomic status. Applying this theory here shows how individuals in low-income areas face cumulative disadvantage: they are more likely to experience stressors such as unemployment and housing instability and less likely to access consistent healthcare. In addition, the Access to Care Framework (Gulliford et al., 2002) highlights that access is multidimensional, encompassing not only availability and affordability but also cultural acceptability and appropriateness.</w:t>
      </w:r>
      <w:r w:rsidRPr="00901E26">
        <w:rPr>
          <w:rFonts w:cs="Arial"/>
          <w:color w:val="000000" w:themeColor="text1"/>
          <w:szCs w:val="22"/>
        </w:rPr>
        <w:br/>
        <w:t>Policies like the Care Act 2014 and NHS Constitution (2021) enshrine equal access as a principle, yet disparities remain stark, reflecting the gap between statutory rights and practical realities.</w:t>
      </w:r>
    </w:p>
    <w:p w14:paraId="629DACE2"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55FE428D"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164BFD02" w14:textId="77777777" w:rsidR="00007F2C" w:rsidRPr="00901E26" w:rsidRDefault="00007F2C" w:rsidP="00433871">
      <w:pPr>
        <w:pStyle w:val="Heading2"/>
      </w:pPr>
      <w:bookmarkStart w:id="58" w:name="_Toc214840489"/>
      <w:r w:rsidRPr="00901E26">
        <w:t>6. Examples from Articles</w:t>
      </w:r>
      <w:bookmarkEnd w:id="58"/>
    </w:p>
    <w:p w14:paraId="7C35EAC6" w14:textId="0C350B33"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Black (2021) documented that fragmented commissioning systems create postcode lotteries, where access to addiction services depends heavily on local budgets. Mind (2022) reported that financial hardship and stigma discouraged individuals from seeking help, with many feeling that services were “not for people like me.” Similarly, Molina and Whittaker (2022) found that individuals with dual diagnoses often encountered exclusion from mental health services until substance misuse was first addressed, perpetuating cycles of delay and relapse. The Health Foundation (2023) identified workforce burnout and high staff turnover as additional barriers in low-funded areas, further straining access.</w:t>
      </w:r>
    </w:p>
    <w:p w14:paraId="69FB62FD" w14:textId="6C117E57" w:rsidR="00433871" w:rsidRDefault="00433871" w:rsidP="00901E26">
      <w:pPr>
        <w:spacing w:before="100" w:beforeAutospacing="1" w:after="100" w:afterAutospacing="1" w:line="360" w:lineRule="auto"/>
        <w:rPr>
          <w:rFonts w:cs="Arial"/>
          <w:color w:val="000000" w:themeColor="text1"/>
          <w:szCs w:val="22"/>
        </w:rPr>
      </w:pPr>
    </w:p>
    <w:p w14:paraId="7628C82A" w14:textId="77777777" w:rsidR="00433871" w:rsidRPr="00901E26" w:rsidRDefault="00433871" w:rsidP="00901E26">
      <w:pPr>
        <w:spacing w:before="100" w:beforeAutospacing="1" w:after="100" w:afterAutospacing="1" w:line="360" w:lineRule="auto"/>
        <w:rPr>
          <w:rFonts w:cs="Arial"/>
          <w:color w:val="000000" w:themeColor="text1"/>
          <w:szCs w:val="22"/>
        </w:rPr>
      </w:pPr>
    </w:p>
    <w:p w14:paraId="3B7C9ED9" w14:textId="77777777" w:rsidR="00007F2C" w:rsidRPr="00901E26" w:rsidRDefault="00007F2C" w:rsidP="00433871">
      <w:pPr>
        <w:pStyle w:val="Heading2"/>
      </w:pPr>
      <w:bookmarkStart w:id="59" w:name="_Toc214840490"/>
      <w:r w:rsidRPr="00901E26">
        <w:t>7. Connections to Other Themes</w:t>
      </w:r>
      <w:bookmarkEnd w:id="59"/>
    </w:p>
    <w:p w14:paraId="54D1F0B2" w14:textId="48479FA3" w:rsidR="00007F2C" w:rsidRPr="00901E26" w:rsidRDefault="00007F2C" w:rsidP="00772E44">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reinforces findings from Themes 1 and 2, showing that low-income status and untreated mental health conditions are closely intertwined with poor access to services. It also prepares the ground for Theme 4, which examines the broader policy and legislative frameworks shaping these barriers. The inequities described here are not accidental; they are the cumulative results of policy decisions that prioritise cost-saving over prevention and support.</w:t>
      </w:r>
    </w:p>
    <w:p w14:paraId="638E44C8" w14:textId="77777777" w:rsidR="00007F2C" w:rsidRPr="00433871" w:rsidRDefault="00007F2C" w:rsidP="00433871">
      <w:pPr>
        <w:pStyle w:val="Heading1"/>
      </w:pPr>
      <w:bookmarkStart w:id="60" w:name="_Toc214840491"/>
      <w:r w:rsidRPr="00433871">
        <w:lastRenderedPageBreak/>
        <w:t>4.5 Theme 4: The Role of Policy, Legislation, and Social Determinants</w:t>
      </w:r>
      <w:bookmarkEnd w:id="60"/>
    </w:p>
    <w:p w14:paraId="63F18B4A" w14:textId="77777777" w:rsidR="00007F2C" w:rsidRPr="00901E26" w:rsidRDefault="00007F2C" w:rsidP="00433871">
      <w:pPr>
        <w:pStyle w:val="Heading2"/>
      </w:pPr>
      <w:bookmarkStart w:id="61" w:name="_Toc214840492"/>
      <w:r w:rsidRPr="00901E26">
        <w:t>1. Definition and Scope</w:t>
      </w:r>
      <w:bookmarkEnd w:id="61"/>
    </w:p>
    <w:p w14:paraId="44798AFF" w14:textId="64B7D18E"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 and legislation form the framework within which substance misuse and mental health services operate. In this theme, "policy" refers to government strategies, public health plans, and local authority directives that shape funding and service delivery.  Legislation refers to laws and statutory frameworks such as the Misuse of Drugs Act (1971), the Mental Health Act (1983, amended 2007), and the Care Act (2014), which define how substance misuse and mental health issues are managed. These interact closely with the social determinants of the health conditions in which people are born, live, and work, which directly influence health behaviours and access to treatment (Marmot, 2005; WHO, 2022).</w:t>
      </w:r>
    </w:p>
    <w:p w14:paraId="7AEF21C1" w14:textId="77777777" w:rsidR="00772E44" w:rsidRDefault="00772E44" w:rsidP="00901E26">
      <w:pPr>
        <w:spacing w:before="100" w:beforeAutospacing="1" w:after="100" w:afterAutospacing="1" w:line="360" w:lineRule="auto"/>
        <w:rPr>
          <w:rFonts w:cs="Arial"/>
          <w:color w:val="000000" w:themeColor="text1"/>
          <w:szCs w:val="22"/>
        </w:rPr>
      </w:pPr>
    </w:p>
    <w:p w14:paraId="0C80846B"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05D62ECF" w14:textId="77777777" w:rsidR="00007F2C" w:rsidRPr="00901E26" w:rsidRDefault="00007F2C" w:rsidP="00433871">
      <w:pPr>
        <w:pStyle w:val="Heading2"/>
      </w:pPr>
      <w:bookmarkStart w:id="62" w:name="_Toc214840493"/>
      <w:r w:rsidRPr="00901E26">
        <w:t>2. Background</w:t>
      </w:r>
      <w:bookmarkEnd w:id="62"/>
      <w:r w:rsidRPr="00901E26">
        <w:t xml:space="preserve"> </w:t>
      </w:r>
    </w:p>
    <w:p w14:paraId="1773985B" w14:textId="2D69C9C7" w:rsidR="00007F2C" w:rsidRPr="00901E26" w:rsidRDefault="00007F2C" w:rsidP="00772E44">
      <w:pPr>
        <w:spacing w:before="100" w:beforeAutospacing="1" w:after="100" w:afterAutospacing="1" w:line="360" w:lineRule="auto"/>
        <w:rPr>
          <w:rFonts w:cs="Arial"/>
          <w:color w:val="000000" w:themeColor="text1"/>
          <w:szCs w:val="22"/>
        </w:rPr>
      </w:pPr>
      <w:r w:rsidRPr="00901E26">
        <w:rPr>
          <w:rFonts w:cs="Arial"/>
          <w:color w:val="000000" w:themeColor="text1"/>
          <w:szCs w:val="22"/>
        </w:rPr>
        <w:t>Over the last two decades, UK drug policy has evolved from a largely criminal justice focus to a public health approach, though tensions remain. Early strategies such as the Tackling Drugs Strategy (Home Office, 1998) prioritised law enforcement over harm reduction. More recent initiatives, including From Harm to Hope (Home Office, 2021), have shifted towards prevention, treatment, and recovery. However, austerity-era budget cuts since 2010 significantly weakened local public health infrastructure, leading to uneven service provision (Black, 2021).</w:t>
      </w:r>
      <w:r w:rsidRPr="00901E26">
        <w:rPr>
          <w:rFonts w:cs="Arial"/>
          <w:color w:val="000000" w:themeColor="text1"/>
          <w:szCs w:val="22"/>
        </w:rPr>
        <w:br/>
        <w:t>The Marmot Reviews (2010; 2020) have consistently shown that policies affecting housing, employment, and education directly impact substance misuse outcomes, as these social factors create the stressors that lead to harmful coping behaviours.</w:t>
      </w:r>
    </w:p>
    <w:p w14:paraId="48A8986D" w14:textId="77777777" w:rsidR="00007F2C" w:rsidRPr="00901E26" w:rsidRDefault="00007F2C" w:rsidP="00901E26">
      <w:pPr>
        <w:spacing w:line="360" w:lineRule="auto"/>
        <w:rPr>
          <w:rFonts w:cs="Arial"/>
          <w:color w:val="000000" w:themeColor="text1"/>
          <w:szCs w:val="22"/>
        </w:rPr>
      </w:pPr>
    </w:p>
    <w:p w14:paraId="06EC5E60" w14:textId="77777777" w:rsidR="00007F2C" w:rsidRPr="00901E26" w:rsidRDefault="00007F2C" w:rsidP="00433871">
      <w:r w:rsidRPr="00901E26">
        <w:t>Key Statistics and Policy Trends</w:t>
      </w:r>
    </w:p>
    <w:p w14:paraId="34ED3502" w14:textId="77777777" w:rsidR="00007F2C" w:rsidRPr="00901E26" w:rsidRDefault="00007F2C" w:rsidP="00303E61">
      <w:pPr>
        <w:numPr>
          <w:ilvl w:val="0"/>
          <w:numId w:val="14"/>
        </w:numPr>
        <w:spacing w:before="100" w:beforeAutospacing="1" w:after="100" w:afterAutospacing="1" w:line="360" w:lineRule="auto"/>
        <w:rPr>
          <w:rFonts w:cs="Arial"/>
          <w:color w:val="000000" w:themeColor="text1"/>
          <w:szCs w:val="22"/>
        </w:rPr>
      </w:pPr>
      <w:r w:rsidRPr="00901E26">
        <w:rPr>
          <w:rFonts w:cs="Arial"/>
          <w:color w:val="000000" w:themeColor="text1"/>
          <w:szCs w:val="22"/>
        </w:rPr>
        <w:t>Public Health England (PHE, 2021) reported that only 57% of people with a substance use disorder are in treatment.</w:t>
      </w:r>
    </w:p>
    <w:p w14:paraId="0B17670B" w14:textId="77777777" w:rsidR="00007F2C" w:rsidRPr="00901E26" w:rsidRDefault="00007F2C" w:rsidP="00303E61">
      <w:pPr>
        <w:numPr>
          <w:ilvl w:val="0"/>
          <w:numId w:val="14"/>
        </w:numPr>
        <w:spacing w:before="100" w:beforeAutospacing="1" w:after="100" w:afterAutospacing="1" w:line="360" w:lineRule="auto"/>
        <w:rPr>
          <w:rFonts w:cs="Arial"/>
          <w:color w:val="000000" w:themeColor="text1"/>
          <w:szCs w:val="22"/>
        </w:rPr>
      </w:pPr>
      <w:r w:rsidRPr="00901E26">
        <w:rPr>
          <w:rFonts w:cs="Arial"/>
          <w:color w:val="000000" w:themeColor="text1"/>
          <w:szCs w:val="22"/>
        </w:rPr>
        <w:t>Between 2010 and 2020, funding for addiction services fell by £162 million in real terms (Health Foundation, 2023).</w:t>
      </w:r>
    </w:p>
    <w:p w14:paraId="68ED057C" w14:textId="2F3BEB5F" w:rsidR="00007F2C" w:rsidRPr="00433871" w:rsidRDefault="00007F2C" w:rsidP="00303E61">
      <w:pPr>
        <w:numPr>
          <w:ilvl w:val="0"/>
          <w:numId w:val="14"/>
        </w:numPr>
        <w:spacing w:before="100" w:beforeAutospacing="1" w:after="100" w:afterAutospacing="1" w:line="360" w:lineRule="auto"/>
        <w:rPr>
          <w:rFonts w:cs="Arial"/>
          <w:color w:val="000000" w:themeColor="text1"/>
          <w:szCs w:val="22"/>
        </w:rPr>
      </w:pPr>
      <w:r w:rsidRPr="00901E26">
        <w:rPr>
          <w:rFonts w:cs="Arial"/>
          <w:color w:val="000000" w:themeColor="text1"/>
          <w:szCs w:val="22"/>
        </w:rPr>
        <w:t>The Home Office (2021) announced £780 million in new investment, but analysis suggests this largely restores previous cuts rather than expanding new services (Institute for Fiscal Studies, 2023).</w:t>
      </w:r>
    </w:p>
    <w:p w14:paraId="67F85803" w14:textId="77777777" w:rsidR="00007F2C" w:rsidRPr="00901E26" w:rsidRDefault="00007F2C" w:rsidP="00433871">
      <w:pPr>
        <w:pStyle w:val="Heading2"/>
      </w:pPr>
      <w:bookmarkStart w:id="63" w:name="_Toc214840494"/>
      <w:r w:rsidRPr="00901E26">
        <w:lastRenderedPageBreak/>
        <w:t>3. Relevance to Research Question</w:t>
      </w:r>
      <w:bookmarkEnd w:id="63"/>
    </w:p>
    <w:p w14:paraId="3D554F7F"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 and legislation determine the scope of care available to low-income populations and thus shape the relationship between poverty, substance misuse, and untreated mental health. When funding cuts reduce community programmes, those most dependent on public services suffer the greatest harm (Marmot, 2020). Moreover, policies that separate drug and mental health services, rather than integrate them, perpetuate cycles of exclusion (Mind, 2022). Evaluating these frameworks helps explain why the correlation between deprivation and substance misuse remains persistent in England.</w:t>
      </w:r>
    </w:p>
    <w:p w14:paraId="0CD77DE7" w14:textId="77777777" w:rsidR="00007F2C" w:rsidRPr="00901E26" w:rsidRDefault="00007F2C" w:rsidP="00433871">
      <w:pPr>
        <w:pStyle w:val="Heading2"/>
      </w:pPr>
      <w:bookmarkStart w:id="64" w:name="_Toc214840495"/>
      <w:r w:rsidRPr="00901E26">
        <w:t>4. Theories, Policy, and Legislation</w:t>
      </w:r>
      <w:bookmarkEnd w:id="64"/>
    </w:p>
    <w:p w14:paraId="4205B45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Social Determinants of Health framework (Marmot, 2005; WHO, 2022) underpins this theme. It argues that inequities in income, housing, education, and social capital drive health inequalities. Political and economic decisions shape these structural factors, a phenomenon Farmer (2004) refers to as 'structural violence'. Applying these theories highlights how austerity policies and the shift to local authority commissioning created systemic barriers, disproportionately affecting deprived areas (Black, 2021).</w:t>
      </w:r>
      <w:r w:rsidRPr="00901E26">
        <w:rPr>
          <w:rFonts w:cs="Arial"/>
          <w:color w:val="000000" w:themeColor="text1"/>
          <w:szCs w:val="22"/>
        </w:rPr>
        <w:br/>
        <w:t>The Care Act (2014) aimed to strengthen equality in social care access but has been criticised for inadequate enforcement. Similarly, the Drug Strategy (2021–2026) focuses on recovery and employment outcomes, yet lacks mechanisms for sustainable prevention (Home Office, 2021). The Public Health Outcomes Framework (2022) calls for joined-up local partnerships, but progress has been uneven due to fragmented governance and resource disparities.</w:t>
      </w:r>
    </w:p>
    <w:p w14:paraId="6FE3B0D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0D03F609" w14:textId="77777777" w:rsidR="00007F2C" w:rsidRPr="00901E26" w:rsidRDefault="00007F2C"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Public Health Reorganisation 2021</w:t>
      </w:r>
      <w:r w:rsidRPr="00901E26">
        <w:rPr>
          <w:rFonts w:ascii="Arial" w:hAnsi="Arial" w:cs="Arial"/>
          <w:color w:val="000000" w:themeColor="text1"/>
          <w:szCs w:val="22"/>
        </w:rPr>
        <w:br/>
        <w:t>Following the replacement of Public Health England by the UK Health Security Agency (UKHSA) and the Office for Health Improvement and Disparities (OHID), apprehensions emerged regarding a diminished emphasis on inequalities. Analysts from the King’s Fund (2022) contend that this restructure diminished local accountability, resulting in councils being inadequately equipped to properly tackle addiction and mental health challenges.</w:t>
      </w:r>
    </w:p>
    <w:p w14:paraId="6C026725"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333BF944"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26C23F57" w14:textId="77777777" w:rsidR="00007F2C" w:rsidRPr="00901E26" w:rsidRDefault="00007F2C" w:rsidP="00901E26">
      <w:pPr>
        <w:spacing w:line="360" w:lineRule="auto"/>
        <w:rPr>
          <w:rFonts w:cs="Arial"/>
          <w:color w:val="000000" w:themeColor="text1"/>
          <w:szCs w:val="22"/>
        </w:rPr>
      </w:pPr>
    </w:p>
    <w:p w14:paraId="0504BFB4" w14:textId="77777777" w:rsidR="00007F2C" w:rsidRPr="00901E26" w:rsidRDefault="00007F2C" w:rsidP="00433871">
      <w:pPr>
        <w:pStyle w:val="Heading2"/>
      </w:pPr>
      <w:bookmarkStart w:id="65" w:name="_Toc214840496"/>
      <w:r w:rsidRPr="00901E26">
        <w:lastRenderedPageBreak/>
        <w:t>5. Examples from Articles</w:t>
      </w:r>
      <w:bookmarkEnd w:id="65"/>
    </w:p>
    <w:p w14:paraId="223B20B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Black (2021) concluded that inconsistent funding and lack of workforce investment undermined national drug policy reforms. Marmot (2020) argued that government policies had "failed to prioritise fairness," leading to wider health gaps. Mind (2022) said that differences between local authorities meant that some areas had full integration of mental health and substance abuse services, while others didn't even have basic coordination.</w:t>
      </w:r>
      <w:r w:rsidRPr="00901E26">
        <w:rPr>
          <w:rFonts w:cs="Arial"/>
          <w:color w:val="000000" w:themeColor="text1"/>
          <w:szCs w:val="22"/>
        </w:rPr>
        <w:br/>
        <w:t xml:space="preserve">International comparisons support these findings: WHO (2022) highlights </w:t>
      </w:r>
      <w:proofErr w:type="gramStart"/>
      <w:r w:rsidRPr="00901E26">
        <w:rPr>
          <w:rFonts w:cs="Arial"/>
          <w:color w:val="000000" w:themeColor="text1"/>
          <w:szCs w:val="22"/>
        </w:rPr>
        <w:t>that countries</w:t>
      </w:r>
      <w:proofErr w:type="gramEnd"/>
      <w:r w:rsidRPr="00901E26">
        <w:rPr>
          <w:rFonts w:cs="Arial"/>
          <w:color w:val="000000" w:themeColor="text1"/>
          <w:szCs w:val="22"/>
        </w:rPr>
        <w:t xml:space="preserve"> with strong welfare safety nets, such as Norway and Finland, report lower substance misuse-related mortality than the UK, reinforcing the role of social policy in shaping outcomes.</w:t>
      </w:r>
    </w:p>
    <w:p w14:paraId="51634C39" w14:textId="77777777" w:rsidR="00007F2C" w:rsidRPr="00901E26" w:rsidRDefault="00007F2C" w:rsidP="00433871">
      <w:pPr>
        <w:pStyle w:val="Heading2"/>
      </w:pPr>
      <w:bookmarkStart w:id="66" w:name="_Toc214840497"/>
      <w:r w:rsidRPr="00901E26">
        <w:t>6. Connections to Other Themes</w:t>
      </w:r>
      <w:bookmarkEnd w:id="66"/>
    </w:p>
    <w:p w14:paraId="696FF99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ties directly to Theme 3, which examined access barriers shaped by socioeconomic inequality. Policy frameworks either reinforce or mitigate these barriers. It also connects to Theme 5, which explores how the COVID-19 pandemic further exposed the fragility of England’s health and social systems. Together, these themes highlight that substance misuse and untreated mental illness are not isolated problems but products of broader social and political contexts.</w:t>
      </w:r>
    </w:p>
    <w:p w14:paraId="07C67890" w14:textId="77777777" w:rsidR="00007F2C" w:rsidRPr="00901E26" w:rsidRDefault="00007F2C" w:rsidP="00901E26">
      <w:pPr>
        <w:spacing w:line="360" w:lineRule="auto"/>
        <w:rPr>
          <w:rFonts w:cs="Arial"/>
          <w:color w:val="000000" w:themeColor="text1"/>
          <w:szCs w:val="22"/>
        </w:rPr>
      </w:pPr>
    </w:p>
    <w:p w14:paraId="640BDEF6" w14:textId="77777777" w:rsidR="00007F2C" w:rsidRPr="00901E26" w:rsidRDefault="00007F2C" w:rsidP="00901E26">
      <w:pPr>
        <w:spacing w:beforeAutospacing="1" w:afterAutospacing="1" w:line="360" w:lineRule="auto"/>
        <w:rPr>
          <w:rFonts w:cs="Arial"/>
          <w:color w:val="000000" w:themeColor="text1"/>
          <w:szCs w:val="22"/>
        </w:rPr>
      </w:pPr>
    </w:p>
    <w:p w14:paraId="2E55C6E4" w14:textId="77777777" w:rsidR="00433871" w:rsidRPr="00901E26" w:rsidRDefault="00433871" w:rsidP="00901E26">
      <w:pPr>
        <w:spacing w:beforeAutospacing="1" w:afterAutospacing="1" w:line="360" w:lineRule="auto"/>
        <w:rPr>
          <w:rFonts w:cs="Arial"/>
          <w:color w:val="000000" w:themeColor="text1"/>
          <w:szCs w:val="22"/>
        </w:rPr>
      </w:pPr>
    </w:p>
    <w:p w14:paraId="5874F850" w14:textId="77777777" w:rsidR="00007F2C" w:rsidRPr="00433871" w:rsidRDefault="00007F2C" w:rsidP="00433871">
      <w:pPr>
        <w:pStyle w:val="Heading1"/>
      </w:pPr>
      <w:bookmarkStart w:id="67" w:name="_Toc214840498"/>
      <w:r w:rsidRPr="00433871">
        <w:t>4.6 Theme 5: The Impact of COVID-19 on Substance Misuse and Mental Health Inequalities</w:t>
      </w:r>
      <w:bookmarkEnd w:id="67"/>
    </w:p>
    <w:p w14:paraId="1A67078E" w14:textId="77777777" w:rsidR="00007F2C" w:rsidRPr="00901E26" w:rsidRDefault="00007F2C" w:rsidP="00433871">
      <w:pPr>
        <w:pStyle w:val="Heading2"/>
      </w:pPr>
      <w:bookmarkStart w:id="68" w:name="_Toc214840499"/>
      <w:r w:rsidRPr="00901E26">
        <w:t>1. Definition and Scope</w:t>
      </w:r>
      <w:bookmarkEnd w:id="68"/>
    </w:p>
    <w:p w14:paraId="7D999B0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The COVID-19 pandemic refers to the global health crisis that began in early 2020, which profoundly disrupted social, economic, and healthcare systems. In the context of this study, it represents both a magnifier and an accelerator of existing inequalities. The pandemic not only raised levels of anxiety, depression, and trauma but also exacerbated disparities in service access for individuals already impacted by substance misuse (Pierce et al., 2020; </w:t>
      </w:r>
      <w:proofErr w:type="spellStart"/>
      <w:r w:rsidRPr="00901E26">
        <w:rPr>
          <w:rFonts w:cs="Arial"/>
          <w:color w:val="000000" w:themeColor="text1"/>
          <w:szCs w:val="22"/>
        </w:rPr>
        <w:t>Kwong</w:t>
      </w:r>
      <w:proofErr w:type="spellEnd"/>
      <w:r w:rsidRPr="00901E26">
        <w:rPr>
          <w:rFonts w:cs="Arial"/>
          <w:color w:val="000000" w:themeColor="text1"/>
          <w:szCs w:val="22"/>
        </w:rPr>
        <w:t xml:space="preserve"> et al., 2020). Lockdowns, social isolation, and unemployment collectively deepened stress and dependency, particularly among low-income populations in England (Mind, 2022).</w:t>
      </w:r>
    </w:p>
    <w:p w14:paraId="08DDC147"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3E4C70F9" w14:textId="77777777" w:rsidR="00007F2C" w:rsidRPr="00901E26" w:rsidRDefault="00007F2C" w:rsidP="00433871">
      <w:pPr>
        <w:pStyle w:val="Heading2"/>
      </w:pPr>
      <w:bookmarkStart w:id="69" w:name="_Toc214840500"/>
      <w:r w:rsidRPr="00901E26">
        <w:lastRenderedPageBreak/>
        <w:t>2. Background Information</w:t>
      </w:r>
      <w:bookmarkEnd w:id="69"/>
    </w:p>
    <w:p w14:paraId="1596D26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Before COVID-19, England already faced a decade of health inequality growth (Marmot, 2020). When the pandemic struck, it further exposed systemic vulnerabilities in mental health and addiction services. Social distancing measures forced the closing of in-person recovery groups, community outreach programmes, and day centres. These services were vital lifelines for people with substance misuse problems (Public Health England, 2021). For many, this disruption led to relapse or increased dependence on substances as coping mechanisms for isolation and anxiety.</w:t>
      </w:r>
      <w:r w:rsidRPr="00901E26">
        <w:rPr>
          <w:rFonts w:cs="Arial"/>
          <w:color w:val="000000" w:themeColor="text1"/>
          <w:szCs w:val="22"/>
        </w:rPr>
        <w:br/>
        <w:t>At the same time, the pandemic’s economic consequences, such as job loss and income insecurity, disproportionately affected people in deprived communities, who were already at higher risk of both addiction and untreated mental illness (Pierce et al., 2020; ONS, 2022).</w:t>
      </w:r>
    </w:p>
    <w:p w14:paraId="561394DC" w14:textId="77777777" w:rsidR="00007F2C" w:rsidRPr="00901E26" w:rsidRDefault="00007F2C" w:rsidP="00901E26">
      <w:pPr>
        <w:spacing w:line="360" w:lineRule="auto"/>
        <w:rPr>
          <w:rFonts w:cs="Arial"/>
          <w:color w:val="000000" w:themeColor="text1"/>
          <w:szCs w:val="22"/>
        </w:rPr>
      </w:pPr>
    </w:p>
    <w:p w14:paraId="4842A007" w14:textId="77777777" w:rsidR="00007F2C" w:rsidRPr="00901E26" w:rsidRDefault="00007F2C" w:rsidP="00433871">
      <w:r w:rsidRPr="00901E26">
        <w:t>Key Statistics 2022–2023</w:t>
      </w:r>
    </w:p>
    <w:p w14:paraId="3F01F9CB" w14:textId="77777777" w:rsidR="00007F2C" w:rsidRPr="00901E26"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During the first year of the pandemic, alcohol-specific deaths increased by 20%, reaching the highest rate since records began (ONS, 2022).</w:t>
      </w:r>
    </w:p>
    <w:p w14:paraId="49D8C500" w14:textId="77777777" w:rsidR="00007F2C" w:rsidRPr="00901E26"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Mental health referrals to NHS Talking Therapies rose by 31% between 2020 and 2022 (NHS Digital, 2023).</w:t>
      </w:r>
    </w:p>
    <w:p w14:paraId="1C0A6C31" w14:textId="77777777" w:rsidR="00007F2C" w:rsidRPr="00901E26"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People in the most deprived areas were twice as likely to experience pandemic-related job loss or income reduction (JRF, 2023).</w:t>
      </w:r>
    </w:p>
    <w:p w14:paraId="56E54973" w14:textId="662859E7" w:rsidR="00007F2C" w:rsidRDefault="00007F2C" w:rsidP="00303E61">
      <w:pPr>
        <w:numPr>
          <w:ilvl w:val="0"/>
          <w:numId w:val="15"/>
        </w:num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A Mind (2022) survey found 65% of respondents with existing mental health </w:t>
      </w:r>
      <w:r w:rsidRPr="00772E44">
        <w:rPr>
          <w:rFonts w:cs="Arial"/>
          <w:color w:val="000000" w:themeColor="text1"/>
          <w:szCs w:val="22"/>
        </w:rPr>
        <w:t>conditions reported worsening symptoms due to reduced service access.</w:t>
      </w:r>
      <w:r w:rsidR="00772E44">
        <w:rPr>
          <w:rFonts w:cs="Arial"/>
          <w:color w:val="000000" w:themeColor="text1"/>
          <w:szCs w:val="22"/>
        </w:rPr>
        <w:t xml:space="preserve">   </w:t>
      </w:r>
    </w:p>
    <w:p w14:paraId="350DEB2E" w14:textId="77777777" w:rsidR="00772E44" w:rsidRPr="00772E44" w:rsidRDefault="00772E44" w:rsidP="00772E44">
      <w:pPr>
        <w:spacing w:before="100" w:beforeAutospacing="1" w:after="100" w:afterAutospacing="1" w:line="360" w:lineRule="auto"/>
        <w:rPr>
          <w:rFonts w:cs="Arial"/>
          <w:color w:val="000000" w:themeColor="text1"/>
          <w:szCs w:val="22"/>
        </w:rPr>
      </w:pPr>
    </w:p>
    <w:p w14:paraId="353F9CB7" w14:textId="77777777" w:rsidR="00007F2C" w:rsidRPr="00901E26" w:rsidRDefault="00007F2C" w:rsidP="00433871">
      <w:pPr>
        <w:pStyle w:val="Heading2"/>
      </w:pPr>
      <w:bookmarkStart w:id="70" w:name="_Toc214840501"/>
      <w:r w:rsidRPr="00901E26">
        <w:t>3. Relevance to Research Question</w:t>
      </w:r>
      <w:bookmarkEnd w:id="70"/>
    </w:p>
    <w:p w14:paraId="646BED7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is central to the dissertation’s question, as it demonstrates how external crises amplify the connection between poverty, substance misuse, and untreated mental health conditions. COVID-19 did not create these inequalities; it exposed and intensified them. The loss of community contact, limited access to treatment, and increased social stress deepened the cycle of disadvantage, particularly in low-income regions (</w:t>
      </w:r>
      <w:proofErr w:type="spellStart"/>
      <w:r w:rsidRPr="00901E26">
        <w:rPr>
          <w:rFonts w:cs="Arial"/>
          <w:color w:val="000000" w:themeColor="text1"/>
          <w:szCs w:val="22"/>
        </w:rPr>
        <w:t>Kwong</w:t>
      </w:r>
      <w:proofErr w:type="spellEnd"/>
      <w:r w:rsidRPr="00901E26">
        <w:rPr>
          <w:rFonts w:cs="Arial"/>
          <w:color w:val="000000" w:themeColor="text1"/>
          <w:szCs w:val="22"/>
        </w:rPr>
        <w:t xml:space="preserve"> et al., 2020). By analysing this period, the research highlights how structural inequities, rather than individual behaviours, largely determine health outcomes.</w:t>
      </w:r>
    </w:p>
    <w:p w14:paraId="1B812DDF" w14:textId="7EC417E9" w:rsidR="00007F2C" w:rsidRDefault="00007F2C" w:rsidP="00901E26">
      <w:pPr>
        <w:spacing w:before="100" w:beforeAutospacing="1" w:after="100" w:afterAutospacing="1" w:line="360" w:lineRule="auto"/>
        <w:rPr>
          <w:rFonts w:cs="Arial"/>
          <w:color w:val="000000" w:themeColor="text1"/>
          <w:szCs w:val="22"/>
        </w:rPr>
      </w:pPr>
    </w:p>
    <w:p w14:paraId="4B8F3341" w14:textId="77777777" w:rsidR="00772E44" w:rsidRPr="00901E26" w:rsidRDefault="00772E44" w:rsidP="00901E26">
      <w:pPr>
        <w:spacing w:before="100" w:beforeAutospacing="1" w:after="100" w:afterAutospacing="1" w:line="360" w:lineRule="auto"/>
        <w:rPr>
          <w:rFonts w:cs="Arial"/>
          <w:color w:val="000000" w:themeColor="text1"/>
          <w:szCs w:val="22"/>
        </w:rPr>
      </w:pPr>
    </w:p>
    <w:p w14:paraId="45C9765D" w14:textId="77777777" w:rsidR="00007F2C" w:rsidRPr="00901E26" w:rsidRDefault="00007F2C" w:rsidP="00433871">
      <w:pPr>
        <w:pStyle w:val="Heading2"/>
      </w:pPr>
      <w:bookmarkStart w:id="71" w:name="_Toc214840502"/>
      <w:r w:rsidRPr="00901E26">
        <w:lastRenderedPageBreak/>
        <w:t>4. Data and Statistics</w:t>
      </w:r>
      <w:bookmarkEnd w:id="71"/>
    </w:p>
    <w:p w14:paraId="5CCEAA05"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According to NHS Digital (2023), over 60% of local treatment services reported a decline in client engagement during the lockdowns, mainly due to technology barriers and mental health deterioration. ONS (2022) data revealed that individuals reporting high psychological distress doubled from 10% to 20% between 2019 and 2021. During lockdowns, alcohol sales in supermarkets went up by 24%, which suggests that people drank more at home (Public Health England, 2021).</w:t>
      </w:r>
      <w:r w:rsidRPr="00901E26">
        <w:rPr>
          <w:rFonts w:cs="Arial"/>
          <w:color w:val="000000" w:themeColor="text1"/>
          <w:szCs w:val="22"/>
        </w:rPr>
        <w:br/>
        <w:t>These findings underline that the pandemic not only heightened immediate risks but also created long-term effects, such as increased treatment demand and chronic mental distress among vulnerable groups.</w:t>
      </w:r>
    </w:p>
    <w:p w14:paraId="7F5D72A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3F04860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COVID-19 Mental Health and Wellbeing Recovery Action Plan (2021)</w:t>
      </w:r>
      <w:r w:rsidRPr="00901E26">
        <w:rPr>
          <w:rFonts w:cs="Arial"/>
          <w:color w:val="000000" w:themeColor="text1"/>
          <w:szCs w:val="22"/>
        </w:rPr>
        <w:br/>
        <w:t>The UK government’s recovery action plan (Department of Health and Social Care, 2021) sought to rebuild services, by prioritising early intervention and digital therapy expansion. However, the Centre for Mental Health (2022) found that funding and workforce shortages prevented equitable delivery. Local authorities in deprived regions struggled to meet increased demand, while digital-only models excluded those without internet access.</w:t>
      </w:r>
    </w:p>
    <w:p w14:paraId="15956B08"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2037BC05" w14:textId="77777777" w:rsidR="00007F2C" w:rsidRPr="00901E26" w:rsidRDefault="00007F2C" w:rsidP="00901E26">
      <w:pPr>
        <w:spacing w:line="360" w:lineRule="auto"/>
        <w:rPr>
          <w:rFonts w:cs="Arial"/>
          <w:color w:val="000000" w:themeColor="text1"/>
          <w:szCs w:val="22"/>
        </w:rPr>
      </w:pPr>
    </w:p>
    <w:p w14:paraId="1534C271" w14:textId="77777777" w:rsidR="00007F2C" w:rsidRPr="00901E26" w:rsidRDefault="00007F2C" w:rsidP="00433871">
      <w:pPr>
        <w:pStyle w:val="Heading2"/>
      </w:pPr>
      <w:bookmarkStart w:id="72" w:name="_Toc214840503"/>
      <w:r w:rsidRPr="00901E26">
        <w:t>5. Theories, Policy, and Legislation</w:t>
      </w:r>
      <w:bookmarkEnd w:id="72"/>
    </w:p>
    <w:p w14:paraId="24142C7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Resilience Theory (Rutter, 2012) offers insight into how individuals respond differently to crisis. It suggests that social and economic resources, not just personal traits, determine one’s capacity to adapt. Applying this framework shows why low-income communities, already deprived of safety nets, suffered disproportionately during COVID-19.</w:t>
      </w:r>
      <w:r w:rsidRPr="00901E26">
        <w:rPr>
          <w:rFonts w:cs="Arial"/>
          <w:color w:val="000000" w:themeColor="text1"/>
          <w:szCs w:val="22"/>
        </w:rPr>
        <w:br/>
        <w:t>The Social Determinants of Health model (Marmot, 2005; WHO, 2022) also applies here, as the pandemic magnified pre-existing inequalities in housing, income, and access to care. The Coronavirus Act 2020 made it easier for councils to cut back on non-urgent services, which the Equality and Human Rights Commission (2021) said made inequality worse.</w:t>
      </w:r>
    </w:p>
    <w:p w14:paraId="34FB7D2B"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2EFDB895" w14:textId="77777777" w:rsidR="00007F2C" w:rsidRPr="00901E26" w:rsidRDefault="00007F2C" w:rsidP="00901E26">
      <w:pPr>
        <w:spacing w:before="100" w:beforeAutospacing="1" w:after="100" w:afterAutospacing="1" w:line="360" w:lineRule="auto"/>
        <w:rPr>
          <w:rFonts w:cs="Arial"/>
          <w:color w:val="000000" w:themeColor="text1"/>
          <w:szCs w:val="22"/>
        </w:rPr>
      </w:pPr>
    </w:p>
    <w:p w14:paraId="569EFD6D" w14:textId="77777777" w:rsidR="00007F2C" w:rsidRPr="00901E26" w:rsidRDefault="00007F2C" w:rsidP="00433871">
      <w:pPr>
        <w:pStyle w:val="Heading2"/>
      </w:pPr>
      <w:bookmarkStart w:id="73" w:name="_Toc214840504"/>
      <w:r w:rsidRPr="00901E26">
        <w:lastRenderedPageBreak/>
        <w:t>6. Examples from Articles</w:t>
      </w:r>
      <w:bookmarkEnd w:id="73"/>
    </w:p>
    <w:p w14:paraId="2C6D1B8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Pierce et al. (2020) conducted one of the largest longitudinal surveys in the UK, finding sharp rises in anxiety and depression, particularly among low-income adults and women. </w:t>
      </w:r>
      <w:proofErr w:type="spellStart"/>
      <w:r w:rsidRPr="00901E26">
        <w:rPr>
          <w:rFonts w:cs="Arial"/>
          <w:color w:val="000000" w:themeColor="text1"/>
          <w:szCs w:val="22"/>
        </w:rPr>
        <w:t>Kwong</w:t>
      </w:r>
      <w:proofErr w:type="spellEnd"/>
      <w:r w:rsidRPr="00901E26">
        <w:rPr>
          <w:rFonts w:cs="Arial"/>
          <w:color w:val="000000" w:themeColor="text1"/>
          <w:szCs w:val="22"/>
        </w:rPr>
        <w:t xml:space="preserve"> et al. (2020) demonstrated analogous trends in two extensive population cohorts, indicating enduring mental distress even </w:t>
      </w:r>
      <w:proofErr w:type="gramStart"/>
      <w:r w:rsidRPr="00901E26">
        <w:rPr>
          <w:rFonts w:cs="Arial"/>
          <w:color w:val="000000" w:themeColor="text1"/>
          <w:szCs w:val="22"/>
        </w:rPr>
        <w:t>subsequent to</w:t>
      </w:r>
      <w:proofErr w:type="gramEnd"/>
      <w:r w:rsidRPr="00901E26">
        <w:rPr>
          <w:rFonts w:cs="Arial"/>
          <w:color w:val="000000" w:themeColor="text1"/>
          <w:szCs w:val="22"/>
        </w:rPr>
        <w:t xml:space="preserve"> the cessation of lockdowns. Mind (2022) reported that many people with substance misuse issues lost contact with support workers, with some turning to self-medication. The Health Foundation (2023) also found that mental health service backlogs increased wait times for psychological therapy by up to six months, particularly in deprived boroughs.</w:t>
      </w:r>
    </w:p>
    <w:p w14:paraId="70C52D0E" w14:textId="77777777" w:rsidR="00007F2C" w:rsidRPr="00901E26" w:rsidRDefault="00007F2C" w:rsidP="00433871">
      <w:pPr>
        <w:pStyle w:val="Heading2"/>
      </w:pPr>
      <w:bookmarkStart w:id="74" w:name="_Toc214840505"/>
      <w:r w:rsidRPr="00901E26">
        <w:t>7. Connections to Other Themes</w:t>
      </w:r>
      <w:bookmarkEnd w:id="74"/>
    </w:p>
    <w:p w14:paraId="575E6254" w14:textId="26A10AB8"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theme links closely to Theme 2, as the rise in untreated mental health disorders during the pandemic directly influenced substance misuse rates. It also connects to Theme 3, where service accessibility barriers were discussed; these worsened under lockdown conditions. Finally, it feeds into Theme 4, illustrating how policy responses to crises must prioritise equity and preparedness to prevent widening inequality in future emergencies.</w:t>
      </w:r>
    </w:p>
    <w:p w14:paraId="0B2506E5" w14:textId="26862EB3" w:rsidR="00433871" w:rsidRDefault="00433871" w:rsidP="00901E26">
      <w:pPr>
        <w:spacing w:before="100" w:beforeAutospacing="1" w:after="100" w:afterAutospacing="1" w:line="360" w:lineRule="auto"/>
        <w:rPr>
          <w:rFonts w:cs="Arial"/>
          <w:color w:val="000000" w:themeColor="text1"/>
          <w:szCs w:val="22"/>
        </w:rPr>
      </w:pPr>
    </w:p>
    <w:p w14:paraId="04BA42A7" w14:textId="01EA8CA7" w:rsidR="00433871" w:rsidRDefault="00433871" w:rsidP="00901E26">
      <w:pPr>
        <w:spacing w:before="100" w:beforeAutospacing="1" w:after="100" w:afterAutospacing="1" w:line="360" w:lineRule="auto"/>
        <w:rPr>
          <w:rFonts w:cs="Arial"/>
          <w:color w:val="000000" w:themeColor="text1"/>
          <w:szCs w:val="22"/>
        </w:rPr>
      </w:pPr>
    </w:p>
    <w:p w14:paraId="1E229DCA" w14:textId="77777777" w:rsidR="00433871" w:rsidRPr="00901E26" w:rsidRDefault="00433871" w:rsidP="00901E26">
      <w:pPr>
        <w:spacing w:before="100" w:beforeAutospacing="1" w:after="100" w:afterAutospacing="1" w:line="360" w:lineRule="auto"/>
        <w:rPr>
          <w:rFonts w:cs="Arial"/>
          <w:color w:val="000000" w:themeColor="text1"/>
          <w:szCs w:val="22"/>
        </w:rPr>
      </w:pPr>
    </w:p>
    <w:p w14:paraId="5AEF0E40" w14:textId="40553EBD" w:rsidR="00007F2C" w:rsidRPr="00433871" w:rsidRDefault="00007F2C" w:rsidP="00433871">
      <w:pPr>
        <w:pStyle w:val="Heading1"/>
      </w:pPr>
      <w:bookmarkStart w:id="75" w:name="_Toc214840506"/>
      <w:r w:rsidRPr="00433871">
        <w:rPr>
          <w:rStyle w:val="Strong"/>
          <w:b/>
          <w:bCs/>
        </w:rPr>
        <w:t xml:space="preserve">4.7 </w:t>
      </w:r>
      <w:r w:rsidRPr="00433871">
        <w:rPr>
          <w:rStyle w:val="Strong"/>
          <w:rFonts w:eastAsiaTheme="majorEastAsia"/>
          <w:b/>
          <w:bCs/>
        </w:rPr>
        <w:t>Conclusion</w:t>
      </w:r>
      <w:bookmarkEnd w:id="75"/>
    </w:p>
    <w:p w14:paraId="2002900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chapter examined five interconnected themes that show how low income, substance abuse, and untreated mental health disorders intersect in England. Each theme has demonstrated that social and economic systems are the root cause of these health issues.</w:t>
      </w:r>
    </w:p>
    <w:p w14:paraId="1D5B5FA4"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Theme 1 demonstrates that poverty causes and results in substance misuse. Addiction is more likely in low-income communities due to chronic stress, unemployment, and housing instability. Theme 2 reveals how untreated mental health disorders, like depression, anxiety, and trauma, worsen substance abuse and perpetuate distress. Theme 3 explored socioeconomic barriers to treatment, such as cost, transportation, digital exclusion, and long wait times. These obstacles keep help from reaching those who need it most. Theme 4 evaluated policy and legislation, revealing that England's drug strategy has shifted to a public health approach, but underfunding and fragmented systems hinder progress. Theme </w:t>
      </w:r>
      <w:r w:rsidRPr="00901E26">
        <w:rPr>
          <w:rFonts w:cs="Arial"/>
          <w:color w:val="000000" w:themeColor="text1"/>
          <w:szCs w:val="22"/>
        </w:rPr>
        <w:lastRenderedPageBreak/>
        <w:t>5 showed how the COVID-19 pandemic worsened inequalities, leading to higher rates of mental distress and substance abuse and decreased access to care.</w:t>
      </w:r>
    </w:p>
    <w:p w14:paraId="5570D1E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All themes revealed inequality as the primary cause of substance abuse and untreated mental health issues. Individual interventions will be ineffective without addressing poverty, unstable housing, and underfunded services, according to the evidence.</w:t>
      </w:r>
    </w:p>
    <w:p w14:paraId="64321F2D" w14:textId="476E112B"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Integration and trauma-informed care are crucial conclusions. Systems that treat mental health and addiction separately fail individuals with dual diagnoses, as the literature repeatedly demonstrates (Mind, 2022; Molina &amp; Whittaker, 2022). The NHS Long Term Plan (2019) and From Harm to Hope (2021</w:t>
      </w:r>
      <w:r w:rsidR="00772E44">
        <w:rPr>
          <w:rFonts w:cs="Arial"/>
          <w:color w:val="000000" w:themeColor="text1"/>
          <w:szCs w:val="22"/>
        </w:rPr>
        <w:t xml:space="preserve"> - </w:t>
      </w:r>
      <w:r w:rsidRPr="00901E26">
        <w:rPr>
          <w:rFonts w:cs="Arial"/>
          <w:color w:val="000000" w:themeColor="text1"/>
          <w:szCs w:val="22"/>
        </w:rPr>
        <w:t>2026) recommend integrating these services to reduce duplication and improve recovery.</w:t>
      </w:r>
    </w:p>
    <w:p w14:paraId="71E2F66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Policymakers should invest, plan, and collaborate across sectors to achieve health equity, according to the research. Education, employment, housing, and community support should be public health priorities, not external ones.</w:t>
      </w:r>
    </w:p>
    <w:p w14:paraId="33115DB9" w14:textId="4BD18283" w:rsidR="00007F2C" w:rsidRDefault="00007F2C" w:rsidP="003D23D0">
      <w:pPr>
        <w:spacing w:before="100" w:beforeAutospacing="1" w:after="100" w:afterAutospacing="1" w:line="360" w:lineRule="auto"/>
        <w:rPr>
          <w:rFonts w:cs="Arial"/>
          <w:color w:val="000000" w:themeColor="text1"/>
          <w:szCs w:val="22"/>
        </w:rPr>
      </w:pPr>
      <w:r w:rsidRPr="00901E26">
        <w:rPr>
          <w:rFonts w:cs="Arial"/>
          <w:color w:val="000000" w:themeColor="text1"/>
          <w:szCs w:val="22"/>
        </w:rPr>
        <w:t>In Chapter 5, findings will inform evidence-based recommendations for public health policy and practice. It will combine these themes into prevention, accessibility, and social support strategies to reduce health inequalities in England.</w:t>
      </w:r>
    </w:p>
    <w:p w14:paraId="3F88B61B" w14:textId="7ABEED77" w:rsidR="00772E44" w:rsidRDefault="00772E44" w:rsidP="003D23D0">
      <w:pPr>
        <w:spacing w:before="100" w:beforeAutospacing="1" w:after="100" w:afterAutospacing="1" w:line="360" w:lineRule="auto"/>
        <w:rPr>
          <w:rFonts w:cs="Arial"/>
          <w:color w:val="000000" w:themeColor="text1"/>
          <w:szCs w:val="22"/>
        </w:rPr>
      </w:pPr>
    </w:p>
    <w:p w14:paraId="09A8EF43" w14:textId="45F5A459" w:rsidR="00772E44" w:rsidRDefault="00772E44" w:rsidP="003D23D0">
      <w:pPr>
        <w:spacing w:before="100" w:beforeAutospacing="1" w:after="100" w:afterAutospacing="1" w:line="360" w:lineRule="auto"/>
        <w:rPr>
          <w:rFonts w:cs="Arial"/>
          <w:color w:val="000000" w:themeColor="text1"/>
          <w:szCs w:val="22"/>
        </w:rPr>
      </w:pPr>
    </w:p>
    <w:p w14:paraId="7BAEB27C" w14:textId="6EB93E43" w:rsidR="00772E44" w:rsidRDefault="00772E44" w:rsidP="003D23D0">
      <w:pPr>
        <w:spacing w:before="100" w:beforeAutospacing="1" w:after="100" w:afterAutospacing="1" w:line="360" w:lineRule="auto"/>
        <w:rPr>
          <w:rFonts w:cs="Arial"/>
          <w:color w:val="000000" w:themeColor="text1"/>
          <w:szCs w:val="22"/>
        </w:rPr>
      </w:pPr>
    </w:p>
    <w:p w14:paraId="53968AC6" w14:textId="21DF7FA3" w:rsidR="00772E44" w:rsidRDefault="00772E44" w:rsidP="003D23D0">
      <w:pPr>
        <w:spacing w:before="100" w:beforeAutospacing="1" w:after="100" w:afterAutospacing="1" w:line="360" w:lineRule="auto"/>
        <w:rPr>
          <w:rFonts w:cs="Arial"/>
          <w:color w:val="000000" w:themeColor="text1"/>
          <w:szCs w:val="22"/>
        </w:rPr>
      </w:pPr>
    </w:p>
    <w:p w14:paraId="1630480A" w14:textId="3439C471" w:rsidR="00772E44" w:rsidRDefault="00772E44" w:rsidP="003D23D0">
      <w:pPr>
        <w:spacing w:before="100" w:beforeAutospacing="1" w:after="100" w:afterAutospacing="1" w:line="360" w:lineRule="auto"/>
        <w:rPr>
          <w:rFonts w:cs="Arial"/>
          <w:color w:val="000000" w:themeColor="text1"/>
          <w:szCs w:val="22"/>
        </w:rPr>
      </w:pPr>
    </w:p>
    <w:p w14:paraId="2731FD7E" w14:textId="66849B55" w:rsidR="00772E44" w:rsidRDefault="00772E44" w:rsidP="003D23D0">
      <w:pPr>
        <w:spacing w:before="100" w:beforeAutospacing="1" w:after="100" w:afterAutospacing="1" w:line="360" w:lineRule="auto"/>
        <w:rPr>
          <w:rFonts w:cs="Arial"/>
          <w:color w:val="000000" w:themeColor="text1"/>
          <w:szCs w:val="22"/>
        </w:rPr>
      </w:pPr>
    </w:p>
    <w:p w14:paraId="0847FBC0" w14:textId="551F96EA" w:rsidR="00772E44" w:rsidRDefault="00772E44" w:rsidP="003D23D0">
      <w:pPr>
        <w:spacing w:before="100" w:beforeAutospacing="1" w:after="100" w:afterAutospacing="1" w:line="360" w:lineRule="auto"/>
        <w:rPr>
          <w:rFonts w:cs="Arial"/>
          <w:color w:val="000000" w:themeColor="text1"/>
          <w:szCs w:val="22"/>
        </w:rPr>
      </w:pPr>
    </w:p>
    <w:p w14:paraId="37ED847F" w14:textId="350CB23F" w:rsidR="00772E44" w:rsidRDefault="00772E44" w:rsidP="003D23D0">
      <w:pPr>
        <w:spacing w:before="100" w:beforeAutospacing="1" w:after="100" w:afterAutospacing="1" w:line="360" w:lineRule="auto"/>
        <w:rPr>
          <w:rFonts w:cs="Arial"/>
          <w:color w:val="000000" w:themeColor="text1"/>
          <w:szCs w:val="22"/>
        </w:rPr>
      </w:pPr>
    </w:p>
    <w:p w14:paraId="431EF853" w14:textId="6055A8B5" w:rsidR="00772E44" w:rsidRDefault="00772E44" w:rsidP="003D23D0">
      <w:pPr>
        <w:spacing w:before="100" w:beforeAutospacing="1" w:after="100" w:afterAutospacing="1" w:line="360" w:lineRule="auto"/>
        <w:rPr>
          <w:rFonts w:cs="Arial"/>
          <w:color w:val="000000" w:themeColor="text1"/>
          <w:szCs w:val="22"/>
        </w:rPr>
      </w:pPr>
    </w:p>
    <w:p w14:paraId="513615D3" w14:textId="77777777" w:rsidR="00772E44" w:rsidRPr="00901E26" w:rsidRDefault="00772E44" w:rsidP="003D23D0">
      <w:pPr>
        <w:spacing w:before="100" w:beforeAutospacing="1" w:after="100" w:afterAutospacing="1" w:line="360" w:lineRule="auto"/>
        <w:rPr>
          <w:rFonts w:cs="Arial"/>
          <w:color w:val="000000" w:themeColor="text1"/>
          <w:szCs w:val="22"/>
        </w:rPr>
      </w:pPr>
    </w:p>
    <w:p w14:paraId="3C454FAF" w14:textId="77777777" w:rsidR="00007F2C" w:rsidRPr="00433871" w:rsidRDefault="00007F2C" w:rsidP="00433871">
      <w:pPr>
        <w:pStyle w:val="Heading1"/>
      </w:pPr>
      <w:bookmarkStart w:id="76" w:name="_Toc214840507"/>
      <w:r w:rsidRPr="00433871">
        <w:rPr>
          <w:rStyle w:val="Strong"/>
          <w:rFonts w:eastAsiaTheme="majorEastAsia"/>
          <w:b/>
          <w:bCs/>
        </w:rPr>
        <w:lastRenderedPageBreak/>
        <w:t>Chapter 5: Conclusions and Recommendations</w:t>
      </w:r>
      <w:bookmarkEnd w:id="76"/>
      <w:r w:rsidRPr="00433871">
        <w:rPr>
          <w:rStyle w:val="Strong"/>
          <w:rFonts w:eastAsiaTheme="majorEastAsia"/>
          <w:b/>
          <w:bCs/>
        </w:rPr>
        <w:t xml:space="preserve"> </w:t>
      </w:r>
    </w:p>
    <w:p w14:paraId="4A0EBF5F" w14:textId="77777777" w:rsidR="00007F2C" w:rsidRPr="00901E26" w:rsidRDefault="00007F2C" w:rsidP="00433871">
      <w:pPr>
        <w:pStyle w:val="Heading2"/>
        <w:rPr>
          <w:b/>
        </w:rPr>
      </w:pPr>
      <w:bookmarkStart w:id="77" w:name="_Toc214840508"/>
      <w:r w:rsidRPr="00901E26">
        <w:rPr>
          <w:rStyle w:val="Strong"/>
          <w:rFonts w:eastAsiaTheme="majorEastAsia" w:cs="Arial"/>
          <w:b w:val="0"/>
          <w:color w:val="000000" w:themeColor="text1"/>
          <w:szCs w:val="22"/>
        </w:rPr>
        <w:t>5.1 Introduction</w:t>
      </w:r>
      <w:bookmarkEnd w:id="77"/>
    </w:p>
    <w:p w14:paraId="32D06E5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final chapter brings together everything explored throughout the dissertation. It reflects on what the research has revealed about the complex link between </w:t>
      </w:r>
      <w:r w:rsidRPr="00901E26">
        <w:rPr>
          <w:rFonts w:eastAsiaTheme="majorEastAsia" w:cs="Arial"/>
          <w:color w:val="000000" w:themeColor="text1"/>
          <w:szCs w:val="22"/>
        </w:rPr>
        <w:t>low-income status, substance misuse, and untreated mental health disorders in England and</w:t>
      </w:r>
      <w:r w:rsidRPr="00901E26">
        <w:rPr>
          <w:rFonts w:cs="Arial"/>
          <w:color w:val="000000" w:themeColor="text1"/>
          <w:szCs w:val="22"/>
        </w:rPr>
        <w:t> considers what these findings mean for policy, practice, and future research.</w:t>
      </w:r>
    </w:p>
    <w:p w14:paraId="0125B662"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chapter begins by summarising the main conclusions drawn from the five thematic areas identified in Chapter 4. It then discusses their theoretical and practical implications before presenting a set of </w:t>
      </w:r>
      <w:r w:rsidRPr="00901E26">
        <w:rPr>
          <w:rFonts w:eastAsiaTheme="majorEastAsia" w:cs="Arial"/>
          <w:color w:val="000000" w:themeColor="text1"/>
          <w:szCs w:val="22"/>
        </w:rPr>
        <w:t>evidence-based recommendations</w:t>
      </w:r>
      <w:r w:rsidRPr="00901E26">
        <w:rPr>
          <w:rFonts w:cs="Arial"/>
          <w:color w:val="000000" w:themeColor="text1"/>
          <w:szCs w:val="22"/>
        </w:rPr>
        <w:t>. The chapter closes with reflections on the research process and the study’s limitations.</w:t>
      </w:r>
    </w:p>
    <w:p w14:paraId="1ED2789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Ultimately, this work reinforces a simple truth: </w:t>
      </w:r>
      <w:r w:rsidRPr="00901E26">
        <w:rPr>
          <w:rFonts w:eastAsiaTheme="majorEastAsia" w:cs="Arial"/>
          <w:color w:val="000000" w:themeColor="text1"/>
          <w:szCs w:val="22"/>
        </w:rPr>
        <w:t>addiction and poor mental health are not isolated personal struggles; they are deeply social issues, shaped by poverty, inequality, and systems that too often fail the people who need them most.</w:t>
      </w:r>
    </w:p>
    <w:p w14:paraId="0B69DC8E" w14:textId="77777777" w:rsidR="00007F2C" w:rsidRPr="00901E26" w:rsidRDefault="00007F2C" w:rsidP="00901E26">
      <w:pPr>
        <w:spacing w:line="360" w:lineRule="auto"/>
        <w:rPr>
          <w:rFonts w:cs="Arial"/>
          <w:color w:val="000000" w:themeColor="text1"/>
          <w:szCs w:val="22"/>
        </w:rPr>
      </w:pPr>
    </w:p>
    <w:p w14:paraId="773EF76E" w14:textId="77777777" w:rsidR="00007F2C" w:rsidRPr="00433871" w:rsidRDefault="00007F2C" w:rsidP="00433871">
      <w:pPr>
        <w:pStyle w:val="Heading1"/>
      </w:pPr>
      <w:bookmarkStart w:id="78" w:name="_Toc214840509"/>
      <w:r w:rsidRPr="00433871">
        <w:rPr>
          <w:rStyle w:val="Strong"/>
          <w:rFonts w:eastAsiaTheme="majorEastAsia"/>
          <w:b/>
          <w:bCs/>
        </w:rPr>
        <w:t>5.2 Summary of Key Findings</w:t>
      </w:r>
      <w:bookmarkEnd w:id="78"/>
    </w:p>
    <w:p w14:paraId="45A7363A"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thematic analysis from Chapter 4 produced a clear picture of how inequality shapes substance misuse and mental health outcomes in England.</w:t>
      </w:r>
    </w:p>
    <w:p w14:paraId="3AD829A9" w14:textId="77777777" w:rsidR="00007F2C" w:rsidRPr="00901E26" w:rsidRDefault="00007F2C" w:rsidP="00433871">
      <w:r w:rsidRPr="00901E26">
        <w:rPr>
          <w:rFonts w:eastAsiaTheme="majorEastAsia"/>
        </w:rPr>
        <w:t>5.2.1 Low-Income Status and Substance Misuse</w:t>
      </w:r>
    </w:p>
    <w:p w14:paraId="11C3030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People on lower incomes face </w:t>
      </w:r>
      <w:r w:rsidRPr="00901E26">
        <w:rPr>
          <w:rFonts w:eastAsiaTheme="majorEastAsia" w:cs="Arial"/>
          <w:color w:val="000000" w:themeColor="text1"/>
          <w:szCs w:val="22"/>
        </w:rPr>
        <w:t>much higher risks of substance misuse and drug-related death</w:t>
      </w:r>
      <w:r w:rsidRPr="00901E26">
        <w:rPr>
          <w:rFonts w:cs="Arial"/>
          <w:color w:val="000000" w:themeColor="text1"/>
          <w:szCs w:val="22"/>
        </w:rPr>
        <w:t> (ONS, 2023). Poverty drives stress, hopelessness, and social exclusion, all of which make substance use more likely. At the same time, addiction deepens economic instability, trapping people in a self-reinforcing cycle (Marmot, 2020; Black, 2021). Stable housing, employment, and community support emerge as protective factors, but these are precisely what deprived communities often lack.</w:t>
      </w:r>
    </w:p>
    <w:p w14:paraId="0157D3BA" w14:textId="77777777" w:rsidR="00007F2C" w:rsidRPr="00901E26" w:rsidRDefault="00007F2C" w:rsidP="00433871">
      <w:r w:rsidRPr="00901E26">
        <w:rPr>
          <w:rFonts w:eastAsiaTheme="majorEastAsia"/>
        </w:rPr>
        <w:t>5.2.2 Mental Health Disorders That Aren't Treated and Dual Diagnosis</w:t>
      </w:r>
    </w:p>
    <w:p w14:paraId="2162322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A significant discovery reveals that mental health and substance misuse frequently coexist</w:t>
      </w:r>
      <w:r w:rsidRPr="00901E26">
        <w:rPr>
          <w:rFonts w:eastAsiaTheme="majorEastAsia" w:cs="Arial"/>
          <w:b/>
          <w:bCs/>
          <w:color w:val="000000" w:themeColor="text1"/>
          <w:szCs w:val="22"/>
        </w:rPr>
        <w:t>.</w:t>
      </w:r>
      <w:r w:rsidRPr="00901E26">
        <w:rPr>
          <w:rFonts w:cs="Arial"/>
          <w:color w:val="000000" w:themeColor="text1"/>
          <w:szCs w:val="22"/>
        </w:rPr>
        <w:t xml:space="preserve"> Anxiety, depression, and trauma are widespread among people who use substances, and many turn to drugs or alcohol as coping mechanisms when professional help is unavailable (Mind, 2022; Molina &amp; Whittaker, 2022). Despite strong policy guidance </w:t>
      </w:r>
      <w:r w:rsidRPr="00901E26">
        <w:rPr>
          <w:rFonts w:cs="Arial"/>
          <w:color w:val="000000" w:themeColor="text1"/>
          <w:szCs w:val="22"/>
        </w:rPr>
        <w:lastRenderedPageBreak/>
        <w:t>(NICE, 2022), mental health and addiction services often operate in silos, leaving those with dual diagnoses unsupported.</w:t>
      </w:r>
    </w:p>
    <w:p w14:paraId="4F2BDD9C" w14:textId="77777777" w:rsidR="00007F2C" w:rsidRPr="00901E26" w:rsidRDefault="00007F2C" w:rsidP="00433871">
      <w:r w:rsidRPr="00901E26">
        <w:rPr>
          <w:rFonts w:eastAsiaTheme="majorEastAsia"/>
        </w:rPr>
        <w:t>5.2.3 Barriers to Access and Service Inequality</w:t>
      </w:r>
    </w:p>
    <w:p w14:paraId="60E19947"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Many people can't gain access to services even when they are available. Poverty, stigma, transport expenses, and waiting times create invisible barriers that stop those most in need from getting help. This situation reflects the </w:t>
      </w:r>
      <w:r w:rsidRPr="00901E26">
        <w:rPr>
          <w:rFonts w:eastAsiaTheme="majorEastAsia" w:cs="Arial"/>
          <w:color w:val="000000" w:themeColor="text1"/>
          <w:szCs w:val="22"/>
        </w:rPr>
        <w:t>Inverse Care Law</w:t>
      </w:r>
      <w:r w:rsidRPr="00901E26">
        <w:rPr>
          <w:rFonts w:cs="Arial"/>
          <w:color w:val="000000" w:themeColor="text1"/>
          <w:szCs w:val="22"/>
        </w:rPr>
        <w:t> (Hart, 1971): people in the greatest need of healthcare often have the least access. Funding cuts and postcode inequalities mean that treatment quality still depends too heavily on where a person lives (PHE, 2021; NHS Digital, 2023).</w:t>
      </w:r>
    </w:p>
    <w:p w14:paraId="49C214A8" w14:textId="77777777" w:rsidR="00007F2C" w:rsidRPr="00901E26" w:rsidRDefault="00007F2C" w:rsidP="00433871">
      <w:r w:rsidRPr="00901E26">
        <w:rPr>
          <w:rFonts w:eastAsiaTheme="majorEastAsia"/>
        </w:rPr>
        <w:t>5.2.4 Policy, Legislation, and Public Health Frameworks</w:t>
      </w:r>
    </w:p>
    <w:p w14:paraId="359F3F0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Policy awareness of these problems has grown. The </w:t>
      </w:r>
      <w:r w:rsidRPr="00901E26">
        <w:rPr>
          <w:rFonts w:eastAsiaTheme="majorEastAsia" w:cs="Arial"/>
          <w:color w:val="000000" w:themeColor="text1"/>
          <w:szCs w:val="22"/>
        </w:rPr>
        <w:t>Dame Carol Black Review (2021)</w:t>
      </w:r>
      <w:r w:rsidRPr="00901E26">
        <w:rPr>
          <w:rFonts w:cs="Arial"/>
          <w:color w:val="000000" w:themeColor="text1"/>
          <w:szCs w:val="22"/>
        </w:rPr>
        <w:t> and the </w:t>
      </w:r>
      <w:r w:rsidRPr="00901E26">
        <w:rPr>
          <w:rFonts w:eastAsiaTheme="majorEastAsia" w:cs="Arial"/>
          <w:color w:val="000000" w:themeColor="text1"/>
          <w:szCs w:val="22"/>
        </w:rPr>
        <w:t>UK Drug Strategy (2021)</w:t>
      </w:r>
      <w:r w:rsidRPr="00901E26">
        <w:rPr>
          <w:rFonts w:cs="Arial"/>
          <w:color w:val="000000" w:themeColor="text1"/>
          <w:szCs w:val="22"/>
        </w:rPr>
        <w:t> represent real steps forward, yet implementation and funding remain inconsistent. Policies often focus on enforcement rather than prevention. Without addressing the deeper social inequalities that drive addiction, the same cycles will continue (Marmot, 2020; WHO, 2022).</w:t>
      </w:r>
    </w:p>
    <w:p w14:paraId="3941F31E" w14:textId="77777777" w:rsidR="00007F2C" w:rsidRPr="00901E26" w:rsidRDefault="00007F2C" w:rsidP="00433871">
      <w:r w:rsidRPr="00901E26">
        <w:rPr>
          <w:rFonts w:eastAsiaTheme="majorEastAsia"/>
        </w:rPr>
        <w:t>5.2.5 The Impact of COVID-19 on Health Inequalities</w:t>
      </w:r>
    </w:p>
    <w:p w14:paraId="32189E3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COVID-19 magnified these issues. Lockdowns increased loneliness, unemployment, and housing insecurity, while access to support services declined. People already struggling with mental health or addiction suffered most (Pierce et al., 2020; </w:t>
      </w:r>
      <w:proofErr w:type="spellStart"/>
      <w:r w:rsidRPr="00901E26">
        <w:rPr>
          <w:rFonts w:cs="Arial"/>
          <w:color w:val="000000" w:themeColor="text1"/>
          <w:szCs w:val="22"/>
        </w:rPr>
        <w:t>Kwong</w:t>
      </w:r>
      <w:proofErr w:type="spellEnd"/>
      <w:r w:rsidRPr="00901E26">
        <w:rPr>
          <w:rFonts w:cs="Arial"/>
          <w:color w:val="000000" w:themeColor="text1"/>
          <w:szCs w:val="22"/>
        </w:rPr>
        <w:t xml:space="preserve"> et al., 2020). The pandemic didn’t create inequality; it exposed it.</w:t>
      </w:r>
    </w:p>
    <w:p w14:paraId="757B69EA" w14:textId="77777777" w:rsidR="00007F2C" w:rsidRPr="00901E26" w:rsidRDefault="00007F2C" w:rsidP="00901E26">
      <w:pPr>
        <w:spacing w:before="100" w:beforeAutospacing="1" w:after="100" w:afterAutospacing="1" w:line="360" w:lineRule="auto"/>
        <w:rPr>
          <w:rFonts w:cs="Arial"/>
          <w:color w:val="000000" w:themeColor="text1"/>
          <w:szCs w:val="22"/>
        </w:rPr>
      </w:pPr>
      <w:r w:rsidRPr="00433871">
        <w:rPr>
          <w:rFonts w:eastAsiaTheme="majorEastAsia"/>
        </w:rPr>
        <w:t>In summary:</w:t>
      </w:r>
      <w:r w:rsidRPr="00433871">
        <w:br/>
      </w:r>
      <w:r w:rsidRPr="00901E26">
        <w:rPr>
          <w:rFonts w:cs="Arial"/>
          <w:color w:val="000000" w:themeColor="text1"/>
          <w:szCs w:val="22"/>
        </w:rPr>
        <w:t>Substance misuse and untreated mental illness in England are symptoms of deeper social and economic problems. Without addressing these root causes, progress will remain limited.</w:t>
      </w:r>
    </w:p>
    <w:p w14:paraId="1A9B3B75" w14:textId="77777777" w:rsidR="00007F2C" w:rsidRPr="00901E26" w:rsidRDefault="00007F2C" w:rsidP="00901E26">
      <w:pPr>
        <w:spacing w:line="360" w:lineRule="auto"/>
        <w:rPr>
          <w:rFonts w:cs="Arial"/>
          <w:color w:val="000000" w:themeColor="text1"/>
          <w:szCs w:val="22"/>
        </w:rPr>
      </w:pPr>
    </w:p>
    <w:p w14:paraId="5044BE4F" w14:textId="77777777" w:rsidR="00007F2C" w:rsidRPr="00901E26" w:rsidRDefault="00007F2C" w:rsidP="00901E26">
      <w:pPr>
        <w:spacing w:line="360" w:lineRule="auto"/>
        <w:rPr>
          <w:rFonts w:cs="Arial"/>
          <w:color w:val="000000" w:themeColor="text1"/>
          <w:szCs w:val="22"/>
        </w:rPr>
      </w:pPr>
    </w:p>
    <w:p w14:paraId="7845CF7C" w14:textId="77777777" w:rsidR="00007F2C" w:rsidRPr="00901E26" w:rsidRDefault="00007F2C" w:rsidP="00901E26">
      <w:pPr>
        <w:spacing w:line="360" w:lineRule="auto"/>
        <w:rPr>
          <w:rFonts w:cs="Arial"/>
          <w:color w:val="000000" w:themeColor="text1"/>
          <w:szCs w:val="22"/>
        </w:rPr>
      </w:pPr>
    </w:p>
    <w:p w14:paraId="2935D2BE" w14:textId="77777777" w:rsidR="00007F2C" w:rsidRPr="00901E26" w:rsidRDefault="00007F2C" w:rsidP="00901E26">
      <w:pPr>
        <w:spacing w:line="360" w:lineRule="auto"/>
        <w:rPr>
          <w:rFonts w:cs="Arial"/>
          <w:color w:val="000000" w:themeColor="text1"/>
          <w:szCs w:val="22"/>
        </w:rPr>
      </w:pPr>
    </w:p>
    <w:p w14:paraId="10E27EE5" w14:textId="77777777" w:rsidR="00007F2C" w:rsidRPr="00901E26" w:rsidRDefault="00007F2C" w:rsidP="00901E26">
      <w:pPr>
        <w:spacing w:line="360" w:lineRule="auto"/>
        <w:rPr>
          <w:rFonts w:cs="Arial"/>
          <w:color w:val="000000" w:themeColor="text1"/>
          <w:szCs w:val="22"/>
        </w:rPr>
      </w:pPr>
    </w:p>
    <w:p w14:paraId="5C2ACFB0" w14:textId="19A95862" w:rsidR="00007F2C" w:rsidRDefault="00007F2C" w:rsidP="00901E26">
      <w:pPr>
        <w:spacing w:line="360" w:lineRule="auto"/>
        <w:rPr>
          <w:rFonts w:cs="Arial"/>
          <w:color w:val="000000" w:themeColor="text1"/>
          <w:szCs w:val="22"/>
        </w:rPr>
      </w:pPr>
    </w:p>
    <w:p w14:paraId="10B0601A" w14:textId="59637745" w:rsidR="00433871" w:rsidRDefault="00433871" w:rsidP="00901E26">
      <w:pPr>
        <w:spacing w:line="360" w:lineRule="auto"/>
        <w:rPr>
          <w:rFonts w:cs="Arial"/>
          <w:color w:val="000000" w:themeColor="text1"/>
          <w:szCs w:val="22"/>
        </w:rPr>
      </w:pPr>
    </w:p>
    <w:p w14:paraId="57E38A40" w14:textId="77777777" w:rsidR="00433871" w:rsidRPr="00901E26" w:rsidRDefault="00433871" w:rsidP="00901E26">
      <w:pPr>
        <w:spacing w:line="360" w:lineRule="auto"/>
        <w:rPr>
          <w:rFonts w:cs="Arial"/>
          <w:color w:val="000000" w:themeColor="text1"/>
          <w:szCs w:val="22"/>
        </w:rPr>
      </w:pPr>
    </w:p>
    <w:p w14:paraId="716E6B20" w14:textId="77777777" w:rsidR="00007F2C" w:rsidRPr="00433871" w:rsidRDefault="00007F2C" w:rsidP="00433871">
      <w:pPr>
        <w:pStyle w:val="Heading1"/>
      </w:pPr>
      <w:bookmarkStart w:id="79" w:name="_Toc214840510"/>
      <w:r w:rsidRPr="00433871">
        <w:rPr>
          <w:rStyle w:val="Strong"/>
          <w:rFonts w:eastAsiaTheme="majorEastAsia"/>
          <w:b/>
          <w:bCs/>
        </w:rPr>
        <w:lastRenderedPageBreak/>
        <w:t>5.3 Theoretical and Practical Implications</w:t>
      </w:r>
      <w:bookmarkEnd w:id="79"/>
    </w:p>
    <w:p w14:paraId="3410A2D0" w14:textId="77777777" w:rsidR="00007F2C" w:rsidRPr="00901E26" w:rsidRDefault="00007F2C" w:rsidP="00433871">
      <w:r w:rsidRPr="00901E26">
        <w:rPr>
          <w:rFonts w:eastAsiaTheme="majorEastAsia"/>
        </w:rPr>
        <w:t>5.3.1 Theoretical Implications</w:t>
      </w:r>
    </w:p>
    <w:p w14:paraId="7D42C68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research reinforces several established theories. </w:t>
      </w:r>
      <w:r w:rsidRPr="00901E26">
        <w:rPr>
          <w:rFonts w:eastAsiaTheme="majorEastAsia" w:cs="Arial"/>
          <w:color w:val="000000" w:themeColor="text1"/>
          <w:szCs w:val="22"/>
        </w:rPr>
        <w:t>Marmot’s (2020)</w:t>
      </w:r>
      <w:r w:rsidRPr="00901E26">
        <w:rPr>
          <w:rFonts w:cs="Arial"/>
          <w:color w:val="000000" w:themeColor="text1"/>
          <w:szCs w:val="22"/>
        </w:rPr>
        <w:t> concept of the social gradient in health repeatedly shows that people with fewer resources experience worse outcomes in every measure of wellbeing. The </w:t>
      </w:r>
      <w:r w:rsidRPr="00901E26">
        <w:rPr>
          <w:rFonts w:eastAsiaTheme="majorEastAsia" w:cs="Arial"/>
          <w:color w:val="000000" w:themeColor="text1"/>
          <w:szCs w:val="22"/>
        </w:rPr>
        <w:t>biopsychosocial model (Engel, 1977)</w:t>
      </w:r>
      <w:r w:rsidRPr="00901E26">
        <w:rPr>
          <w:rFonts w:cs="Arial"/>
          <w:color w:val="000000" w:themeColor="text1"/>
          <w:szCs w:val="22"/>
        </w:rPr>
        <w:t> also proved relevant, illustrating how biological vulnerabilities, psychological stress, and social disadvantage combine to shape health. Finally, </w:t>
      </w:r>
      <w:r w:rsidRPr="00901E26">
        <w:rPr>
          <w:rFonts w:eastAsiaTheme="majorEastAsia" w:cs="Arial"/>
          <w:color w:val="000000" w:themeColor="text1"/>
          <w:szCs w:val="22"/>
        </w:rPr>
        <w:t>NICE’s (2022)</w:t>
      </w:r>
      <w:r w:rsidRPr="00901E26">
        <w:rPr>
          <w:rFonts w:cs="Arial"/>
          <w:color w:val="000000" w:themeColor="text1"/>
          <w:szCs w:val="22"/>
        </w:rPr>
        <w:t> dual diagnosis framework confirms that fragmented care is ineffective; coordinated, holistic support is essential.</w:t>
      </w:r>
    </w:p>
    <w:p w14:paraId="05C6EF08"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Together, these frameworks underline an important idea: </w:t>
      </w:r>
      <w:r w:rsidRPr="00901E26">
        <w:rPr>
          <w:rFonts w:eastAsiaTheme="majorEastAsia" w:cs="Arial"/>
          <w:color w:val="000000" w:themeColor="text1"/>
          <w:szCs w:val="22"/>
        </w:rPr>
        <w:t>addiction and mental illness are not moral failings; they are predictable responses to unequal social conditions.</w:t>
      </w:r>
    </w:p>
    <w:p w14:paraId="3BCCAC32" w14:textId="77777777" w:rsidR="00007F2C" w:rsidRPr="00901E26" w:rsidRDefault="00007F2C" w:rsidP="00433871">
      <w:r w:rsidRPr="00901E26">
        <w:rPr>
          <w:rFonts w:eastAsiaTheme="majorEastAsia"/>
        </w:rPr>
        <w:t>5.3.2 Practical Implications</w:t>
      </w:r>
    </w:p>
    <w:p w14:paraId="35F6CD09"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findings have strong practical relevance for public health. England’s system must move from </w:t>
      </w:r>
      <w:r w:rsidRPr="00901E26">
        <w:rPr>
          <w:rFonts w:eastAsiaTheme="majorEastAsia" w:cs="Arial"/>
          <w:color w:val="000000" w:themeColor="text1"/>
          <w:szCs w:val="22"/>
        </w:rPr>
        <w:t>reactive to preventive</w:t>
      </w:r>
      <w:r w:rsidRPr="00901E26">
        <w:rPr>
          <w:rFonts w:cs="Arial"/>
          <w:color w:val="000000" w:themeColor="text1"/>
          <w:szCs w:val="22"/>
        </w:rPr>
        <w:t>, focusing less on punishment and more on social protection. Economic inequality should be treated as a public health priority. Mental health and addiction teams need to work together more often, and they need to do so with the help of shared budgets and data-sharing systems.</w:t>
      </w:r>
    </w:p>
    <w:p w14:paraId="5824A81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In practice, this means redesigning services around people, not processes, and building empathy, cultural understanding, and trauma awareness into every stage of care (Molina &amp; Whittaker, 2022). These are not just policy aspirations; they are moral imperatives for a fairer and healthier society.</w:t>
      </w:r>
    </w:p>
    <w:p w14:paraId="115046D5" w14:textId="77777777" w:rsidR="00007F2C" w:rsidRPr="00901E26" w:rsidRDefault="00007F2C" w:rsidP="00901E26">
      <w:pPr>
        <w:spacing w:line="360" w:lineRule="auto"/>
        <w:rPr>
          <w:rFonts w:cs="Arial"/>
          <w:color w:val="000000" w:themeColor="text1"/>
          <w:szCs w:val="22"/>
        </w:rPr>
      </w:pPr>
    </w:p>
    <w:p w14:paraId="4FBA04C3" w14:textId="57247FF5" w:rsidR="00007F2C" w:rsidRDefault="00007F2C" w:rsidP="00901E26">
      <w:pPr>
        <w:spacing w:line="360" w:lineRule="auto"/>
        <w:rPr>
          <w:rFonts w:cs="Arial"/>
          <w:color w:val="000000" w:themeColor="text1"/>
          <w:szCs w:val="22"/>
        </w:rPr>
      </w:pPr>
    </w:p>
    <w:p w14:paraId="2E4DBE7C" w14:textId="779164C6" w:rsidR="00433871" w:rsidRDefault="00433871" w:rsidP="00901E26">
      <w:pPr>
        <w:spacing w:line="360" w:lineRule="auto"/>
        <w:rPr>
          <w:rFonts w:cs="Arial"/>
          <w:color w:val="000000" w:themeColor="text1"/>
          <w:szCs w:val="22"/>
        </w:rPr>
      </w:pPr>
    </w:p>
    <w:p w14:paraId="1FD3F5F2" w14:textId="4E225893" w:rsidR="00433871" w:rsidRDefault="00433871" w:rsidP="00901E26">
      <w:pPr>
        <w:spacing w:line="360" w:lineRule="auto"/>
        <w:rPr>
          <w:rFonts w:cs="Arial"/>
          <w:color w:val="000000" w:themeColor="text1"/>
          <w:szCs w:val="22"/>
        </w:rPr>
      </w:pPr>
    </w:p>
    <w:p w14:paraId="16ACD978" w14:textId="0C694B4C" w:rsidR="00433871" w:rsidRDefault="00433871" w:rsidP="00901E26">
      <w:pPr>
        <w:spacing w:line="360" w:lineRule="auto"/>
        <w:rPr>
          <w:rFonts w:cs="Arial"/>
          <w:color w:val="000000" w:themeColor="text1"/>
          <w:szCs w:val="22"/>
        </w:rPr>
      </w:pPr>
    </w:p>
    <w:p w14:paraId="3E7A4AC5" w14:textId="4D052C48" w:rsidR="00433871" w:rsidRDefault="00433871" w:rsidP="00901E26">
      <w:pPr>
        <w:spacing w:line="360" w:lineRule="auto"/>
        <w:rPr>
          <w:rFonts w:cs="Arial"/>
          <w:color w:val="000000" w:themeColor="text1"/>
          <w:szCs w:val="22"/>
        </w:rPr>
      </w:pPr>
    </w:p>
    <w:p w14:paraId="5A80997A" w14:textId="7F809B37" w:rsidR="00433871" w:rsidRDefault="00433871" w:rsidP="00901E26">
      <w:pPr>
        <w:spacing w:line="360" w:lineRule="auto"/>
        <w:rPr>
          <w:rFonts w:cs="Arial"/>
          <w:color w:val="000000" w:themeColor="text1"/>
          <w:szCs w:val="22"/>
        </w:rPr>
      </w:pPr>
    </w:p>
    <w:p w14:paraId="03CF8AB7" w14:textId="6D353C57" w:rsidR="00433871" w:rsidRDefault="00433871" w:rsidP="00901E26">
      <w:pPr>
        <w:spacing w:line="360" w:lineRule="auto"/>
        <w:rPr>
          <w:rFonts w:cs="Arial"/>
          <w:color w:val="000000" w:themeColor="text1"/>
          <w:szCs w:val="22"/>
        </w:rPr>
      </w:pPr>
    </w:p>
    <w:p w14:paraId="2E58C28D" w14:textId="42E86D6D" w:rsidR="00433871" w:rsidRDefault="00433871" w:rsidP="00901E26">
      <w:pPr>
        <w:spacing w:line="360" w:lineRule="auto"/>
        <w:rPr>
          <w:rFonts w:cs="Arial"/>
          <w:color w:val="000000" w:themeColor="text1"/>
          <w:szCs w:val="22"/>
        </w:rPr>
      </w:pPr>
    </w:p>
    <w:p w14:paraId="69BAB793" w14:textId="74B8F6BD" w:rsidR="00433871" w:rsidRDefault="00433871" w:rsidP="00901E26">
      <w:pPr>
        <w:spacing w:line="360" w:lineRule="auto"/>
        <w:rPr>
          <w:rFonts w:cs="Arial"/>
          <w:color w:val="000000" w:themeColor="text1"/>
          <w:szCs w:val="22"/>
        </w:rPr>
      </w:pPr>
    </w:p>
    <w:p w14:paraId="76DEB86D" w14:textId="5A42B35B" w:rsidR="00433871" w:rsidRDefault="00433871" w:rsidP="00901E26">
      <w:pPr>
        <w:spacing w:line="360" w:lineRule="auto"/>
        <w:rPr>
          <w:rFonts w:cs="Arial"/>
          <w:color w:val="000000" w:themeColor="text1"/>
          <w:szCs w:val="22"/>
        </w:rPr>
      </w:pPr>
    </w:p>
    <w:p w14:paraId="4BE784CC" w14:textId="77777777" w:rsidR="00433871" w:rsidRPr="00901E26" w:rsidRDefault="00433871" w:rsidP="00901E26">
      <w:pPr>
        <w:spacing w:line="360" w:lineRule="auto"/>
        <w:rPr>
          <w:rFonts w:cs="Arial"/>
          <w:color w:val="000000" w:themeColor="text1"/>
          <w:szCs w:val="22"/>
        </w:rPr>
      </w:pPr>
    </w:p>
    <w:p w14:paraId="2E558D33" w14:textId="77777777" w:rsidR="00007F2C" w:rsidRPr="00433871" w:rsidRDefault="00007F2C" w:rsidP="00433871">
      <w:pPr>
        <w:pStyle w:val="Heading1"/>
      </w:pPr>
      <w:bookmarkStart w:id="80" w:name="_Toc214840511"/>
      <w:r w:rsidRPr="00433871">
        <w:rPr>
          <w:rStyle w:val="Strong"/>
          <w:rFonts w:eastAsiaTheme="majorEastAsia"/>
          <w:b/>
          <w:bCs/>
        </w:rPr>
        <w:lastRenderedPageBreak/>
        <w:t>5.4 Recommendations</w:t>
      </w:r>
      <w:bookmarkEnd w:id="80"/>
    </w:p>
    <w:p w14:paraId="1AC075DC" w14:textId="18AD1BD0" w:rsidR="00007F2C" w:rsidRPr="00433871" w:rsidRDefault="00007F2C" w:rsidP="00901E26">
      <w:pPr>
        <w:spacing w:before="100" w:beforeAutospacing="1" w:after="100" w:afterAutospacing="1" w:line="360" w:lineRule="auto"/>
        <w:rPr>
          <w:rFonts w:eastAsiaTheme="majorEastAsia" w:cs="Arial"/>
          <w:color w:val="000000" w:themeColor="text1"/>
          <w:szCs w:val="22"/>
        </w:rPr>
      </w:pPr>
      <w:r w:rsidRPr="00901E26">
        <w:rPr>
          <w:rFonts w:cs="Arial"/>
          <w:color w:val="000000" w:themeColor="text1"/>
          <w:szCs w:val="22"/>
        </w:rPr>
        <w:t>Drawing from these findings, the following recommendations are divided into three levels: </w:t>
      </w:r>
      <w:r w:rsidRPr="00901E26">
        <w:rPr>
          <w:rFonts w:eastAsiaTheme="majorEastAsia" w:cs="Arial"/>
          <w:color w:val="000000" w:themeColor="text1"/>
          <w:szCs w:val="22"/>
        </w:rPr>
        <w:t>policy, service</w:t>
      </w:r>
      <w:r w:rsidRPr="00901E26">
        <w:rPr>
          <w:rFonts w:cs="Arial"/>
          <w:color w:val="000000" w:themeColor="text1"/>
          <w:szCs w:val="22"/>
        </w:rPr>
        <w:t>, and </w:t>
      </w:r>
      <w:r w:rsidRPr="00901E26">
        <w:rPr>
          <w:rFonts w:eastAsiaTheme="majorEastAsia" w:cs="Arial"/>
          <w:color w:val="000000" w:themeColor="text1"/>
          <w:szCs w:val="22"/>
        </w:rPr>
        <w:t>research.</w:t>
      </w:r>
    </w:p>
    <w:p w14:paraId="647628F3" w14:textId="77777777" w:rsidR="00007F2C" w:rsidRPr="00901E26" w:rsidRDefault="00007F2C" w:rsidP="00433871">
      <w:r w:rsidRPr="00901E26">
        <w:rPr>
          <w:rFonts w:eastAsiaTheme="majorEastAsia"/>
        </w:rPr>
        <w:t>5.4.1 Policy-Level Recommendations</w:t>
      </w:r>
    </w:p>
    <w:p w14:paraId="240DDCAD" w14:textId="77777777" w:rsidR="00007F2C" w:rsidRPr="00901E26" w:rsidRDefault="00007F2C" w:rsidP="00901E26">
      <w:pPr>
        <w:spacing w:before="100" w:beforeAutospacing="1" w:after="100" w:afterAutospacing="1" w:line="360" w:lineRule="auto"/>
        <w:rPr>
          <w:rFonts w:cs="Arial"/>
          <w:color w:val="000000" w:themeColor="text1"/>
          <w:szCs w:val="22"/>
        </w:rPr>
      </w:pPr>
      <w:r w:rsidRPr="00433871">
        <w:t xml:space="preserve">1. </w:t>
      </w:r>
      <w:r w:rsidRPr="00433871">
        <w:rPr>
          <w:rFonts w:eastAsiaTheme="majorEastAsia"/>
        </w:rPr>
        <w:t>Tackle Poverty as a Public Health Issue</w:t>
      </w:r>
      <w:r w:rsidRPr="00433871">
        <w:br/>
      </w:r>
      <w:r w:rsidRPr="00901E26">
        <w:rPr>
          <w:rFonts w:cs="Arial"/>
          <w:color w:val="000000" w:themeColor="text1"/>
          <w:szCs w:val="22"/>
        </w:rPr>
        <w:t>Poverty is the strongest predictor of substance misuse. Government policy must address wages, housing, and social security as health interventions (Marmot, 2020). Expanding access to affordable housing, childcare, and employment support would reduce stressors that contribute to addiction.</w:t>
      </w:r>
    </w:p>
    <w:p w14:paraId="42D7AFFD"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2. </w:t>
      </w:r>
      <w:r w:rsidRPr="00901E26">
        <w:rPr>
          <w:rFonts w:eastAsiaTheme="majorEastAsia" w:cs="Arial"/>
          <w:color w:val="000000" w:themeColor="text1"/>
          <w:szCs w:val="22"/>
        </w:rPr>
        <w:t>Create an Integrated National Strategy for Dual Diagnosis</w:t>
      </w:r>
      <w:r w:rsidRPr="00901E26">
        <w:rPr>
          <w:rFonts w:cs="Arial"/>
          <w:color w:val="000000" w:themeColor="text1"/>
          <w:szCs w:val="22"/>
        </w:rPr>
        <w:br/>
        <w:t>National leadership should ensure that mental health and substance misuse services operate under a unified strategy (NICE, 2022). Shared care plans and joint funding models between NHS trusts and local authorities could prevent people from falling through service gaps.</w:t>
      </w:r>
    </w:p>
    <w:p w14:paraId="67876043"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3. </w:t>
      </w:r>
      <w:r w:rsidRPr="00901E26">
        <w:rPr>
          <w:rFonts w:eastAsiaTheme="majorEastAsia" w:cs="Arial"/>
          <w:color w:val="000000" w:themeColor="text1"/>
          <w:szCs w:val="22"/>
        </w:rPr>
        <w:t>Reform Drug Policy Toward Prevention and Harm Reduction</w:t>
      </w:r>
      <w:r w:rsidRPr="00901E26">
        <w:rPr>
          <w:rFonts w:cs="Arial"/>
          <w:color w:val="000000" w:themeColor="text1"/>
          <w:szCs w:val="22"/>
        </w:rPr>
        <w:br/>
        <w:t>Rebalance the UK Drug Strategy (2021) to prioritise prevention, harm reduction, and recovery over criminalisation. Research has demonstrated that community-based rehabilitation and social reintegration programmes effectively mitigate long-term harm (Black, 2021).</w:t>
      </w:r>
    </w:p>
    <w:p w14:paraId="4F84E4FF" w14:textId="0682AA01"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4. </w:t>
      </w:r>
      <w:r w:rsidRPr="00901E26">
        <w:rPr>
          <w:rFonts w:eastAsiaTheme="majorEastAsia" w:cs="Arial"/>
          <w:color w:val="000000" w:themeColor="text1"/>
          <w:szCs w:val="22"/>
        </w:rPr>
        <w:t>Invest in Post-Pandemic Recovery and Resilience</w:t>
      </w:r>
      <w:r w:rsidRPr="00901E26">
        <w:rPr>
          <w:rFonts w:cs="Arial"/>
          <w:color w:val="000000" w:themeColor="text1"/>
          <w:szCs w:val="22"/>
        </w:rPr>
        <w:br/>
        <w:t>The mental health crisis triggered by COVID-19 needs sustained investment. Policies should prioritise the most affected groups: low-income families, young adults, and minority communities (Pierce et al., 2020).</w:t>
      </w:r>
    </w:p>
    <w:p w14:paraId="5DC0AF9E" w14:textId="441E36A3" w:rsidR="000C2547" w:rsidRDefault="000C2547" w:rsidP="00901E26">
      <w:pPr>
        <w:spacing w:before="100" w:beforeAutospacing="1" w:after="100" w:afterAutospacing="1" w:line="360" w:lineRule="auto"/>
        <w:rPr>
          <w:rFonts w:cs="Arial"/>
          <w:color w:val="000000" w:themeColor="text1"/>
          <w:szCs w:val="22"/>
        </w:rPr>
      </w:pPr>
    </w:p>
    <w:p w14:paraId="5622D6D1" w14:textId="1197F455" w:rsidR="000C2547" w:rsidRDefault="000C2547" w:rsidP="00901E26">
      <w:pPr>
        <w:spacing w:before="100" w:beforeAutospacing="1" w:after="100" w:afterAutospacing="1" w:line="360" w:lineRule="auto"/>
        <w:rPr>
          <w:rFonts w:cs="Arial"/>
          <w:color w:val="000000" w:themeColor="text1"/>
          <w:szCs w:val="22"/>
        </w:rPr>
      </w:pPr>
    </w:p>
    <w:p w14:paraId="0D8523A5" w14:textId="47B51E59" w:rsidR="000C2547" w:rsidRDefault="000C2547" w:rsidP="00901E26">
      <w:pPr>
        <w:spacing w:before="100" w:beforeAutospacing="1" w:after="100" w:afterAutospacing="1" w:line="360" w:lineRule="auto"/>
        <w:rPr>
          <w:rFonts w:cs="Arial"/>
          <w:color w:val="000000" w:themeColor="text1"/>
          <w:szCs w:val="22"/>
        </w:rPr>
      </w:pPr>
    </w:p>
    <w:p w14:paraId="0A5A1906" w14:textId="3D7EA2BE" w:rsidR="000C2547" w:rsidRDefault="000C2547" w:rsidP="00901E26">
      <w:pPr>
        <w:spacing w:before="100" w:beforeAutospacing="1" w:after="100" w:afterAutospacing="1" w:line="360" w:lineRule="auto"/>
        <w:rPr>
          <w:rFonts w:cs="Arial"/>
          <w:color w:val="000000" w:themeColor="text1"/>
          <w:szCs w:val="22"/>
        </w:rPr>
      </w:pPr>
    </w:p>
    <w:p w14:paraId="3E362944" w14:textId="77777777" w:rsidR="000C2547" w:rsidRPr="00901E26" w:rsidRDefault="000C2547" w:rsidP="00901E26">
      <w:pPr>
        <w:spacing w:before="100" w:beforeAutospacing="1" w:after="100" w:afterAutospacing="1" w:line="360" w:lineRule="auto"/>
        <w:rPr>
          <w:rFonts w:cs="Arial"/>
          <w:color w:val="000000" w:themeColor="text1"/>
          <w:szCs w:val="22"/>
        </w:rPr>
      </w:pPr>
    </w:p>
    <w:p w14:paraId="3851F1BD" w14:textId="77777777" w:rsidR="00007F2C" w:rsidRPr="00433871" w:rsidRDefault="00007F2C" w:rsidP="00433871">
      <w:pPr>
        <w:rPr>
          <w:color w:val="000000" w:themeColor="text1"/>
        </w:rPr>
      </w:pPr>
      <w:r w:rsidRPr="00433871">
        <w:rPr>
          <w:rFonts w:eastAsiaTheme="majorEastAsia"/>
          <w:color w:val="000000" w:themeColor="text1"/>
        </w:rPr>
        <w:lastRenderedPageBreak/>
        <w:t>5.4.2 Service-Level Recommendations</w:t>
      </w:r>
    </w:p>
    <w:p w14:paraId="3AB3B71A" w14:textId="4555CCA5" w:rsidR="00007F2C"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1. </w:t>
      </w:r>
      <w:r w:rsidRPr="00901E26">
        <w:rPr>
          <w:rFonts w:eastAsiaTheme="majorEastAsia" w:cs="Arial"/>
          <w:color w:val="000000" w:themeColor="text1"/>
          <w:szCs w:val="22"/>
        </w:rPr>
        <w:t>Expand Access to Community-Based Services</w:t>
      </w:r>
      <w:r w:rsidRPr="00901E26">
        <w:rPr>
          <w:rFonts w:cs="Arial"/>
          <w:b/>
          <w:bCs/>
          <w:color w:val="000000" w:themeColor="text1"/>
          <w:szCs w:val="22"/>
        </w:rPr>
        <w:br/>
      </w:r>
      <w:r w:rsidRPr="00901E26">
        <w:rPr>
          <w:rFonts w:cs="Arial"/>
          <w:color w:val="000000" w:themeColor="text1"/>
          <w:szCs w:val="22"/>
        </w:rPr>
        <w:t>Local treatment centres and outreach programmes should be strengthened, especially in deprived areas. Services must be low-threshold, flexible, and co-designed with community input.</w:t>
      </w:r>
    </w:p>
    <w:p w14:paraId="0798A871" w14:textId="77777777" w:rsidR="000C2547" w:rsidRPr="00901E26" w:rsidRDefault="000C2547" w:rsidP="00901E26">
      <w:pPr>
        <w:spacing w:before="100" w:beforeAutospacing="1" w:after="100" w:afterAutospacing="1" w:line="360" w:lineRule="auto"/>
        <w:rPr>
          <w:rFonts w:cs="Arial"/>
          <w:color w:val="000000" w:themeColor="text1"/>
          <w:szCs w:val="22"/>
        </w:rPr>
      </w:pPr>
    </w:p>
    <w:p w14:paraId="1B84395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2. </w:t>
      </w:r>
      <w:r w:rsidRPr="00901E26">
        <w:rPr>
          <w:rFonts w:eastAsiaTheme="majorEastAsia" w:cs="Arial"/>
          <w:color w:val="000000" w:themeColor="text1"/>
          <w:szCs w:val="22"/>
        </w:rPr>
        <w:t>Embed Trauma-Informed and Culturally Sensitive Care</w:t>
      </w:r>
      <w:r w:rsidRPr="00901E26">
        <w:rPr>
          <w:rFonts w:cs="Arial"/>
          <w:color w:val="000000" w:themeColor="text1"/>
          <w:szCs w:val="22"/>
        </w:rPr>
        <w:br/>
        <w:t>All staff should be trained to understand trauma and its impact on addiction (Molina &amp; Whittaker, 2022). Services must also reflect cultural diversity and be inclusive of minority and migrant groups.</w:t>
      </w:r>
    </w:p>
    <w:p w14:paraId="3A9775E0"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xml:space="preserve">3. </w:t>
      </w:r>
      <w:r w:rsidRPr="00901E26">
        <w:rPr>
          <w:rFonts w:eastAsiaTheme="majorEastAsia" w:cs="Arial"/>
          <w:color w:val="000000" w:themeColor="text1"/>
          <w:szCs w:val="22"/>
        </w:rPr>
        <w:t>Reduce Stigma Through Education and Advocacy</w:t>
      </w:r>
      <w:r w:rsidRPr="00901E26">
        <w:rPr>
          <w:rFonts w:cs="Arial"/>
          <w:b/>
          <w:bCs/>
          <w:color w:val="000000" w:themeColor="text1"/>
          <w:szCs w:val="22"/>
        </w:rPr>
        <w:br/>
      </w:r>
      <w:r w:rsidRPr="00901E26">
        <w:rPr>
          <w:rFonts w:cs="Arial"/>
          <w:color w:val="000000" w:themeColor="text1"/>
          <w:szCs w:val="22"/>
        </w:rPr>
        <w:t>National campaigns can shift public perception, showing that addiction is a health condition, not a failure of willpower. Peer mentors and lived-experience advocates can play vital roles in service design and delivery (Mind, 2022).</w:t>
      </w:r>
    </w:p>
    <w:p w14:paraId="5F91D49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4. Support and maintain the workforce.</w:t>
      </w:r>
      <w:r w:rsidRPr="00901E26">
        <w:rPr>
          <w:rFonts w:cs="Arial"/>
          <w:color w:val="000000" w:themeColor="text1"/>
          <w:szCs w:val="22"/>
        </w:rPr>
        <w:br/>
        <w:t>Frontline workers need proper training, fair pay, and manageable caseloads. Integrated multidisciplinary teams should combine mental health, addiction, and social care expertise to offer holistic support.</w:t>
      </w:r>
    </w:p>
    <w:p w14:paraId="78965463" w14:textId="77777777" w:rsidR="00007F2C" w:rsidRPr="00901E26" w:rsidRDefault="00007F2C" w:rsidP="00901E26">
      <w:pPr>
        <w:spacing w:line="360" w:lineRule="auto"/>
        <w:rPr>
          <w:rFonts w:cs="Arial"/>
          <w:color w:val="000000" w:themeColor="text1"/>
          <w:szCs w:val="22"/>
        </w:rPr>
      </w:pPr>
    </w:p>
    <w:p w14:paraId="3A305380" w14:textId="1CAACAB8" w:rsidR="00007F2C" w:rsidRPr="006C0B1F" w:rsidRDefault="006C0B1F" w:rsidP="006C0B1F">
      <w:pPr>
        <w:rPr>
          <w:b/>
          <w:bCs/>
        </w:rPr>
      </w:pPr>
      <w:r w:rsidRPr="00433871">
        <w:rPr>
          <w:rFonts w:eastAsiaTheme="majorEastAsia"/>
          <w:color w:val="000000" w:themeColor="text1"/>
        </w:rPr>
        <w:t>5.4.</w:t>
      </w:r>
      <w:r>
        <w:rPr>
          <w:rFonts w:eastAsiaTheme="majorEastAsia"/>
          <w:color w:val="000000" w:themeColor="text1"/>
        </w:rPr>
        <w:t>3</w:t>
      </w:r>
      <w:r w:rsidRPr="00433871">
        <w:rPr>
          <w:rFonts w:eastAsiaTheme="majorEastAsia"/>
          <w:color w:val="000000" w:themeColor="text1"/>
        </w:rPr>
        <w:t xml:space="preserve"> </w:t>
      </w:r>
      <w:r w:rsidR="00007F2C" w:rsidRPr="006C0B1F">
        <w:rPr>
          <w:rStyle w:val="Strong"/>
          <w:rFonts w:cs="Arial"/>
          <w:b w:val="0"/>
          <w:bCs w:val="0"/>
          <w:color w:val="000000" w:themeColor="text1"/>
          <w:szCs w:val="22"/>
        </w:rPr>
        <w:t>Research-Level Recommendations</w:t>
      </w:r>
    </w:p>
    <w:p w14:paraId="6B0020F3" w14:textId="64129B4A" w:rsidR="00007F2C" w:rsidRPr="006C0B1F"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Long-Term Studies on Inequality and Addiction</w:t>
      </w:r>
      <w:r w:rsidRPr="006C0B1F">
        <w:rPr>
          <w:rFonts w:ascii="Arial" w:hAnsi="Arial" w:cs="Arial"/>
          <w:b/>
          <w:bCs/>
          <w:color w:val="000000" w:themeColor="text1"/>
          <w:szCs w:val="22"/>
        </w:rPr>
        <w:br/>
      </w:r>
      <w:r w:rsidRPr="006C0B1F">
        <w:rPr>
          <w:rFonts w:ascii="Arial" w:hAnsi="Arial" w:cs="Arial"/>
          <w:color w:val="000000" w:themeColor="text1"/>
          <w:szCs w:val="22"/>
        </w:rPr>
        <w:t>Future research should explore how economic policies affect health outcomes over time, using longitudinal data to reveal causal patterns (Aveyard, 20</w:t>
      </w:r>
      <w:r w:rsidR="00433871" w:rsidRPr="006C0B1F">
        <w:rPr>
          <w:rFonts w:ascii="Arial" w:hAnsi="Arial" w:cs="Arial"/>
          <w:color w:val="000000" w:themeColor="text1"/>
          <w:szCs w:val="22"/>
        </w:rPr>
        <w:t>23</w:t>
      </w:r>
      <w:r w:rsidRPr="006C0B1F">
        <w:rPr>
          <w:rFonts w:ascii="Arial" w:hAnsi="Arial" w:cs="Arial"/>
          <w:color w:val="000000" w:themeColor="text1"/>
          <w:szCs w:val="22"/>
        </w:rPr>
        <w:t>).</w:t>
      </w:r>
    </w:p>
    <w:p w14:paraId="7EFD071B" w14:textId="77777777" w:rsidR="00007F2C" w:rsidRPr="006C0B1F"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Evaluate Integrated Care Models</w:t>
      </w:r>
      <w:r w:rsidRPr="006C0B1F">
        <w:rPr>
          <w:rFonts w:ascii="Arial" w:hAnsi="Arial" w:cs="Arial"/>
          <w:color w:val="000000" w:themeColor="text1"/>
          <w:szCs w:val="22"/>
        </w:rPr>
        <w:br/>
        <w:t>Comparative studies should measure how joint service delivery improves outcomes for people with dual diagnoses (NICE, 2022).</w:t>
      </w:r>
    </w:p>
    <w:p w14:paraId="4C068853" w14:textId="77777777" w:rsidR="00007F2C" w:rsidRPr="006C0B1F"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Investigate Regional and Demographic Variations</w:t>
      </w:r>
      <w:r w:rsidRPr="006C0B1F">
        <w:rPr>
          <w:rFonts w:ascii="Arial" w:hAnsi="Arial" w:cs="Arial"/>
          <w:color w:val="000000" w:themeColor="text1"/>
          <w:szCs w:val="22"/>
        </w:rPr>
        <w:br/>
        <w:t>More research is needed on gender, ethnicity, and regional inequalities in substance misuse. This will support equitable distribution of resources (ONS, 2023).</w:t>
      </w:r>
    </w:p>
    <w:p w14:paraId="432501C6" w14:textId="0E615D1F" w:rsidR="006C0B1F" w:rsidRPr="000C2547" w:rsidRDefault="00007F2C" w:rsidP="00303E61">
      <w:pPr>
        <w:pStyle w:val="NormalWeb"/>
        <w:numPr>
          <w:ilvl w:val="0"/>
          <w:numId w:val="20"/>
        </w:numPr>
        <w:spacing w:line="360" w:lineRule="auto"/>
        <w:rPr>
          <w:rFonts w:ascii="Arial" w:hAnsi="Arial" w:cs="Arial"/>
          <w:color w:val="000000" w:themeColor="text1"/>
          <w:szCs w:val="22"/>
        </w:rPr>
      </w:pPr>
      <w:r w:rsidRPr="006C0B1F">
        <w:rPr>
          <w:rFonts w:ascii="Arial" w:eastAsiaTheme="majorEastAsia" w:hAnsi="Arial" w:cs="Arial"/>
        </w:rPr>
        <w:t>Explore Digital Health Innovation</w:t>
      </w:r>
      <w:r w:rsidRPr="006C0B1F">
        <w:rPr>
          <w:rFonts w:ascii="Arial" w:hAnsi="Arial" w:cs="Arial"/>
          <w:b/>
          <w:bCs/>
          <w:color w:val="000000" w:themeColor="text1"/>
          <w:szCs w:val="22"/>
        </w:rPr>
        <w:br/>
      </w:r>
      <w:r w:rsidRPr="006C0B1F">
        <w:rPr>
          <w:rFonts w:ascii="Arial" w:hAnsi="Arial" w:cs="Arial"/>
          <w:color w:val="000000" w:themeColor="text1"/>
          <w:szCs w:val="22"/>
        </w:rPr>
        <w:t>Remote and online treatment models can improve access for those in rural or under-resourced areas, but digital exclusion must be addressed.</w:t>
      </w:r>
    </w:p>
    <w:p w14:paraId="7B9A88CE" w14:textId="77777777" w:rsidR="00007F2C" w:rsidRPr="006C0B1F" w:rsidRDefault="00007F2C" w:rsidP="006C0B1F">
      <w:pPr>
        <w:pStyle w:val="Heading1"/>
      </w:pPr>
      <w:bookmarkStart w:id="81" w:name="_Toc214840512"/>
      <w:r w:rsidRPr="006C0B1F">
        <w:rPr>
          <w:rStyle w:val="Strong"/>
          <w:rFonts w:eastAsiaTheme="majorEastAsia"/>
          <w:b/>
          <w:bCs/>
        </w:rPr>
        <w:lastRenderedPageBreak/>
        <w:t>5.5 Reflection on the Research Process</w:t>
      </w:r>
      <w:bookmarkEnd w:id="81"/>
    </w:p>
    <w:p w14:paraId="727F3906"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Carrying out this project has been both intellectually challenging and personally meaningful. By using a </w:t>
      </w:r>
      <w:r w:rsidRPr="00901E26">
        <w:rPr>
          <w:rFonts w:eastAsiaTheme="majorEastAsia" w:cs="Arial"/>
          <w:color w:val="000000" w:themeColor="text1"/>
          <w:szCs w:val="22"/>
        </w:rPr>
        <w:t>desk-based, literature-based approach</w:t>
      </w:r>
      <w:r w:rsidRPr="00901E26">
        <w:rPr>
          <w:rFonts w:cs="Arial"/>
          <w:color w:val="000000" w:themeColor="text1"/>
          <w:szCs w:val="22"/>
        </w:rPr>
        <w:t>, the study drew together a broad range of perspectives to understand a deeply complex social issue. Following </w:t>
      </w:r>
      <w:r w:rsidRPr="00901E26">
        <w:rPr>
          <w:rFonts w:eastAsiaTheme="majorEastAsia" w:cs="Arial"/>
          <w:color w:val="000000" w:themeColor="text1"/>
          <w:szCs w:val="22"/>
        </w:rPr>
        <w:t>Aveyard’s (2023)</w:t>
      </w:r>
      <w:r w:rsidRPr="00901E26">
        <w:rPr>
          <w:rFonts w:cs="Arial"/>
          <w:color w:val="000000" w:themeColor="text1"/>
          <w:szCs w:val="22"/>
        </w:rPr>
        <w:t> systematic review process ensured that every stage from search strategy to critical appraisal was transparent and replicable.</w:t>
      </w:r>
    </w:p>
    <w:p w14:paraId="15BB947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Using </w:t>
      </w:r>
      <w:r w:rsidRPr="00901E26">
        <w:rPr>
          <w:rFonts w:eastAsiaTheme="majorEastAsia" w:cs="Arial"/>
          <w:color w:val="000000" w:themeColor="text1"/>
          <w:szCs w:val="22"/>
        </w:rPr>
        <w:t>Braun and Clarke’s (2006)</w:t>
      </w:r>
      <w:r w:rsidRPr="00901E26">
        <w:rPr>
          <w:rFonts w:cs="Arial"/>
          <w:color w:val="000000" w:themeColor="text1"/>
          <w:szCs w:val="22"/>
        </w:rPr>
        <w:t> thematic analysis gave structure and depth to the interpretation of sources, while </w:t>
      </w:r>
      <w:r w:rsidRPr="00901E26">
        <w:rPr>
          <w:rFonts w:eastAsiaTheme="majorEastAsia" w:cs="Arial"/>
          <w:color w:val="000000" w:themeColor="text1"/>
          <w:szCs w:val="22"/>
        </w:rPr>
        <w:t>Cottrell’s (2017)</w:t>
      </w:r>
      <w:r w:rsidRPr="00901E26">
        <w:rPr>
          <w:rFonts w:cs="Arial"/>
          <w:color w:val="000000" w:themeColor="text1"/>
          <w:szCs w:val="22"/>
        </w:rPr>
        <w:t> guidance on critical thinking encouraged reflection and careful questioning of assumptions. These combined frameworks helped transform a large body of secondary data into a coherent, evidence-driven argument.</w:t>
      </w:r>
    </w:p>
    <w:p w14:paraId="583C5C3F"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Working with literature on addiction and poverty also required emotional sensitivity. Many studies reveal human suffering behind the statistics. Recognising these realities reminded me that behind every dataset are people, families, communities, and individuals who deserve compassion, as well as support. This awareness shaped how I interpreted findings and reinforced the importance of ethical, respectful research practice.</w:t>
      </w:r>
    </w:p>
    <w:p w14:paraId="1EABB8C0" w14:textId="77777777" w:rsidR="00007F2C" w:rsidRPr="00901E26" w:rsidRDefault="00007F2C" w:rsidP="00901E26">
      <w:pPr>
        <w:spacing w:line="360" w:lineRule="auto"/>
        <w:rPr>
          <w:rFonts w:cs="Arial"/>
          <w:color w:val="000000" w:themeColor="text1"/>
          <w:szCs w:val="22"/>
        </w:rPr>
      </w:pPr>
    </w:p>
    <w:p w14:paraId="3CDB6BC0" w14:textId="77777777" w:rsidR="00007F2C" w:rsidRPr="006C0B1F" w:rsidRDefault="00007F2C" w:rsidP="006C0B1F">
      <w:pPr>
        <w:pStyle w:val="Heading1"/>
      </w:pPr>
      <w:bookmarkStart w:id="82" w:name="_Toc214840513"/>
      <w:r w:rsidRPr="006C0B1F">
        <w:rPr>
          <w:rStyle w:val="Strong"/>
          <w:rFonts w:eastAsiaTheme="majorEastAsia"/>
          <w:b/>
          <w:bCs/>
        </w:rPr>
        <w:t>5.6 Study Limitations</w:t>
      </w:r>
      <w:bookmarkEnd w:id="82"/>
    </w:p>
    <w:p w14:paraId="48C181F6" w14:textId="77777777" w:rsidR="00007F2C" w:rsidRPr="00901E26" w:rsidRDefault="00007F2C"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While the study offers valuable insights, some limitations remain.</w:t>
      </w:r>
    </w:p>
    <w:p w14:paraId="42A392B5"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Dependence on Secondary Data:</w:t>
      </w:r>
      <w:r w:rsidRPr="006C0B1F">
        <w:rPr>
          <w:rStyle w:val="apple-converted-space"/>
          <w:rFonts w:ascii="Arial" w:hAnsi="Arial" w:cs="Arial"/>
          <w:b/>
          <w:bCs/>
          <w:color w:val="000000" w:themeColor="text1"/>
          <w:szCs w:val="22"/>
        </w:rPr>
        <w:t> </w:t>
      </w:r>
      <w:r w:rsidRPr="00901E26">
        <w:rPr>
          <w:rFonts w:ascii="Arial" w:hAnsi="Arial" w:cs="Arial"/>
          <w:color w:val="000000" w:themeColor="text1"/>
          <w:szCs w:val="22"/>
        </w:rPr>
        <w:t>Without primary data collection, individual voices could not be captured directly. Future research could involve interviews with service users to gain richer, lived perspectives.</w:t>
      </w:r>
    </w:p>
    <w:p w14:paraId="18400984"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Geographical Focus:</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The study focused on England; results may differ in Scotland, Wales, or Northern Ireland due to variations in health policy.</w:t>
      </w:r>
    </w:p>
    <w:p w14:paraId="6BB9C5AC"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Inconsistent Data Quality:</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Different studies used different definitions and measures, making direct comparison difficult.</w:t>
      </w:r>
    </w:p>
    <w:p w14:paraId="50E14494" w14:textId="77777777" w:rsidR="00007F2C" w:rsidRPr="00901E26" w:rsidRDefault="00007F2C" w:rsidP="00303E61">
      <w:pPr>
        <w:pStyle w:val="NormalWeb"/>
        <w:numPr>
          <w:ilvl w:val="0"/>
          <w:numId w:val="16"/>
        </w:numPr>
        <w:spacing w:line="360" w:lineRule="auto"/>
        <w:rPr>
          <w:rFonts w:ascii="Arial" w:hAnsi="Arial" w:cs="Arial"/>
          <w:color w:val="000000" w:themeColor="text1"/>
          <w:szCs w:val="22"/>
        </w:rPr>
      </w:pPr>
      <w:r w:rsidRPr="006C0B1F">
        <w:rPr>
          <w:rStyle w:val="Strong"/>
          <w:rFonts w:ascii="Arial" w:eastAsiaTheme="majorEastAsia" w:hAnsi="Arial" w:cs="Arial"/>
          <w:b w:val="0"/>
          <w:bCs w:val="0"/>
          <w:color w:val="000000" w:themeColor="text1"/>
          <w:szCs w:val="22"/>
        </w:rPr>
        <w:t>Time Constraints:</w:t>
      </w:r>
      <w:r w:rsidRPr="00901E26">
        <w:rPr>
          <w:rStyle w:val="apple-converted-space"/>
          <w:rFonts w:ascii="Arial" w:hAnsi="Arial" w:cs="Arial"/>
          <w:color w:val="000000" w:themeColor="text1"/>
          <w:szCs w:val="22"/>
        </w:rPr>
        <w:t> </w:t>
      </w:r>
      <w:r w:rsidRPr="00901E26">
        <w:rPr>
          <w:rFonts w:ascii="Arial" w:hAnsi="Arial" w:cs="Arial"/>
          <w:color w:val="000000" w:themeColor="text1"/>
          <w:szCs w:val="22"/>
        </w:rPr>
        <w:t>The 12-week timeframe limited the exploration of emerging areas such as gender-specific addiction or youth vulnerability.</w:t>
      </w:r>
    </w:p>
    <w:p w14:paraId="6D10CD96" w14:textId="7D9814A2" w:rsidR="00007F2C" w:rsidRDefault="00007F2C" w:rsidP="00901E26">
      <w:pPr>
        <w:pStyle w:val="NormalWeb"/>
        <w:spacing w:line="360" w:lineRule="auto"/>
        <w:rPr>
          <w:rFonts w:ascii="Arial" w:hAnsi="Arial" w:cs="Arial"/>
          <w:color w:val="000000" w:themeColor="text1"/>
          <w:szCs w:val="22"/>
        </w:rPr>
      </w:pPr>
      <w:r w:rsidRPr="00901E26">
        <w:rPr>
          <w:rFonts w:ascii="Arial" w:hAnsi="Arial" w:cs="Arial"/>
          <w:color w:val="000000" w:themeColor="text1"/>
          <w:szCs w:val="22"/>
        </w:rPr>
        <w:t>Despite these limits, the systematic design and transparent analysis enhance the study’s credibility and ensure its findings remain relevant for academic and policy audiences.</w:t>
      </w:r>
    </w:p>
    <w:p w14:paraId="4E5C971E" w14:textId="77777777" w:rsidR="006C0B1F" w:rsidRPr="00901E26" w:rsidRDefault="006C0B1F" w:rsidP="00901E26">
      <w:pPr>
        <w:pStyle w:val="NormalWeb"/>
        <w:spacing w:line="360" w:lineRule="auto"/>
        <w:rPr>
          <w:rFonts w:ascii="Arial" w:hAnsi="Arial" w:cs="Arial"/>
          <w:color w:val="000000" w:themeColor="text1"/>
          <w:szCs w:val="22"/>
        </w:rPr>
      </w:pPr>
    </w:p>
    <w:p w14:paraId="38ABDBF1" w14:textId="4C9027E8" w:rsidR="00007F2C" w:rsidRPr="006C0B1F" w:rsidRDefault="00007F2C" w:rsidP="006C0B1F">
      <w:pPr>
        <w:pStyle w:val="Heading1"/>
      </w:pPr>
      <w:bookmarkStart w:id="83" w:name="_Toc214840514"/>
      <w:r w:rsidRPr="006C0B1F">
        <w:rPr>
          <w:rStyle w:val="Strong"/>
          <w:rFonts w:eastAsiaTheme="majorEastAsia"/>
          <w:b/>
          <w:bCs/>
        </w:rPr>
        <w:lastRenderedPageBreak/>
        <w:t>5.7 Conclusion</w:t>
      </w:r>
      <w:bookmarkEnd w:id="83"/>
    </w:p>
    <w:p w14:paraId="34218E7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This dissertation concludes that </w:t>
      </w:r>
      <w:r w:rsidRPr="00901E26">
        <w:rPr>
          <w:rFonts w:eastAsiaTheme="majorEastAsia" w:cs="Arial"/>
          <w:color w:val="000000" w:themeColor="text1"/>
          <w:szCs w:val="22"/>
        </w:rPr>
        <w:t>poverty and inequality are the strongest determinants of substance misuse and untreated mental health disorders in England.</w:t>
      </w:r>
      <w:r w:rsidRPr="00901E26">
        <w:rPr>
          <w:rFonts w:cs="Arial"/>
          <w:color w:val="000000" w:themeColor="text1"/>
          <w:szCs w:val="22"/>
        </w:rPr>
        <w:t> These are not personal weaknesses; they are predictable outcomes of social systems that leave people behind.</w:t>
      </w:r>
    </w:p>
    <w:p w14:paraId="0663EE09"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Breaking this cycle requires courage and compassion:</w:t>
      </w:r>
    </w:p>
    <w:p w14:paraId="42AF9195" w14:textId="77777777" w:rsidR="00007F2C" w:rsidRPr="00901E26" w:rsidRDefault="00007F2C" w:rsidP="00303E61">
      <w:pPr>
        <w:pStyle w:val="ListParagraph"/>
        <w:numPr>
          <w:ilvl w:val="0"/>
          <w:numId w:val="19"/>
        </w:numPr>
        <w:spacing w:before="100" w:beforeAutospacing="1" w:after="100" w:afterAutospacing="1" w:line="360" w:lineRule="auto"/>
        <w:rPr>
          <w:rFonts w:cs="Arial"/>
          <w:color w:val="000000" w:themeColor="text1"/>
          <w:szCs w:val="22"/>
        </w:rPr>
      </w:pPr>
      <w:r w:rsidRPr="00901E26">
        <w:rPr>
          <w:rFonts w:cs="Arial"/>
          <w:color w:val="000000" w:themeColor="text1"/>
          <w:szCs w:val="22"/>
        </w:rPr>
        <w:t>Recognising that poverty is a public health issue.</w:t>
      </w:r>
    </w:p>
    <w:p w14:paraId="6470D173" w14:textId="77777777" w:rsidR="00007F2C" w:rsidRPr="00901E26" w:rsidRDefault="00007F2C" w:rsidP="00303E61">
      <w:pPr>
        <w:pStyle w:val="ListParagraph"/>
        <w:numPr>
          <w:ilvl w:val="0"/>
          <w:numId w:val="19"/>
        </w:numPr>
        <w:spacing w:before="100" w:beforeAutospacing="1" w:after="100" w:afterAutospacing="1" w:line="360" w:lineRule="auto"/>
        <w:rPr>
          <w:rFonts w:cs="Arial"/>
          <w:color w:val="000000" w:themeColor="text1"/>
          <w:szCs w:val="22"/>
        </w:rPr>
      </w:pPr>
      <w:r w:rsidRPr="00901E26">
        <w:rPr>
          <w:rFonts w:cs="Arial"/>
          <w:color w:val="000000" w:themeColor="text1"/>
          <w:szCs w:val="22"/>
        </w:rPr>
        <w:t>Embedding trauma-informed, integrated care into every service.</w:t>
      </w:r>
    </w:p>
    <w:p w14:paraId="57201E30" w14:textId="77777777" w:rsidR="00007F2C" w:rsidRPr="00901E26" w:rsidRDefault="00007F2C" w:rsidP="00303E61">
      <w:pPr>
        <w:pStyle w:val="ListParagraph"/>
        <w:numPr>
          <w:ilvl w:val="0"/>
          <w:numId w:val="19"/>
        </w:numPr>
        <w:spacing w:before="100" w:beforeAutospacing="1" w:after="100" w:afterAutospacing="1" w:line="360" w:lineRule="auto"/>
        <w:rPr>
          <w:rFonts w:cs="Arial"/>
          <w:color w:val="000000" w:themeColor="text1"/>
          <w:szCs w:val="22"/>
        </w:rPr>
      </w:pPr>
      <w:r w:rsidRPr="00901E26">
        <w:rPr>
          <w:rFonts w:cs="Arial"/>
          <w:color w:val="000000" w:themeColor="text1"/>
          <w:szCs w:val="22"/>
        </w:rPr>
        <w:t>Invest in people and communities, not just programmes.</w:t>
      </w:r>
    </w:p>
    <w:p w14:paraId="0633097B"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The evidence indicates that meaningful progress depends on collaboration between policymakers, healthcare providers, and the public. Echoing </w:t>
      </w:r>
      <w:r w:rsidRPr="00901E26">
        <w:rPr>
          <w:rFonts w:eastAsiaTheme="majorEastAsia" w:cs="Arial"/>
          <w:color w:val="000000" w:themeColor="text1"/>
          <w:szCs w:val="22"/>
        </w:rPr>
        <w:t>Marmot (2020)</w:t>
      </w:r>
      <w:r w:rsidRPr="00901E26">
        <w:rPr>
          <w:rFonts w:cs="Arial"/>
          <w:color w:val="000000" w:themeColor="text1"/>
          <w:szCs w:val="22"/>
        </w:rPr>
        <w:t> and </w:t>
      </w:r>
      <w:r w:rsidRPr="00901E26">
        <w:rPr>
          <w:rFonts w:eastAsiaTheme="majorEastAsia" w:cs="Arial"/>
          <w:color w:val="000000" w:themeColor="text1"/>
          <w:szCs w:val="22"/>
        </w:rPr>
        <w:t>Black (2021)</w:t>
      </w:r>
      <w:r w:rsidRPr="00901E26">
        <w:rPr>
          <w:rFonts w:cs="Arial"/>
          <w:color w:val="000000" w:themeColor="text1"/>
          <w:szCs w:val="22"/>
        </w:rPr>
        <w:t>, building a fairer society means ensuring that health equity is at the heart of every decision.</w:t>
      </w:r>
    </w:p>
    <w:p w14:paraId="6EFF78B1" w14:textId="77777777" w:rsidR="00007F2C" w:rsidRPr="00901E26" w:rsidRDefault="00007F2C" w:rsidP="00901E26">
      <w:pPr>
        <w:spacing w:before="100" w:beforeAutospacing="1" w:after="100" w:afterAutospacing="1" w:line="360" w:lineRule="auto"/>
        <w:rPr>
          <w:rFonts w:cs="Arial"/>
          <w:color w:val="000000" w:themeColor="text1"/>
          <w:szCs w:val="22"/>
        </w:rPr>
      </w:pPr>
      <w:r w:rsidRPr="006C0B1F">
        <w:rPr>
          <w:rFonts w:eastAsiaTheme="majorEastAsia" w:cs="Arial"/>
          <w:color w:val="000000" w:themeColor="text1"/>
          <w:szCs w:val="22"/>
        </w:rPr>
        <w:t>Final Reflection:</w:t>
      </w:r>
      <w:r w:rsidRPr="00901E26">
        <w:rPr>
          <w:rFonts w:cs="Arial"/>
          <w:color w:val="000000" w:themeColor="text1"/>
          <w:szCs w:val="22"/>
        </w:rPr>
        <w:br/>
        <w:t>This research began as an academic project, but it became a human story about resilience, injustice, and hope. The findings call not only for reform but for empathy: to see addiction and mental distress as conditions that thrive in inequality and to respond with fairness, inclusion, and understanding.</w:t>
      </w:r>
    </w:p>
    <w:p w14:paraId="59C6034E"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1C799B7C" w14:textId="77777777" w:rsidR="00007F2C" w:rsidRPr="00901E26" w:rsidRDefault="00007F2C" w:rsidP="00901E26">
      <w:pPr>
        <w:spacing w:before="100" w:beforeAutospacing="1" w:after="100" w:afterAutospacing="1" w:line="360" w:lineRule="auto"/>
        <w:rPr>
          <w:rFonts w:cs="Arial"/>
          <w:color w:val="000000" w:themeColor="text1"/>
          <w:szCs w:val="22"/>
        </w:rPr>
      </w:pPr>
      <w:r w:rsidRPr="00901E26">
        <w:rPr>
          <w:rFonts w:cs="Arial"/>
          <w:color w:val="000000" w:themeColor="text1"/>
          <w:szCs w:val="22"/>
        </w:rPr>
        <w:t> </w:t>
      </w:r>
    </w:p>
    <w:p w14:paraId="004E96DA" w14:textId="77777777" w:rsidR="00007F2C" w:rsidRPr="00901E26" w:rsidRDefault="00007F2C" w:rsidP="00901E26">
      <w:pPr>
        <w:spacing w:line="360" w:lineRule="auto"/>
        <w:rPr>
          <w:rFonts w:cs="Arial"/>
          <w:color w:val="000000" w:themeColor="text1"/>
          <w:szCs w:val="22"/>
        </w:rPr>
      </w:pPr>
    </w:p>
    <w:p w14:paraId="61FDE284" w14:textId="77777777" w:rsidR="00007F2C" w:rsidRPr="00901E26" w:rsidRDefault="00007F2C" w:rsidP="00901E26">
      <w:pPr>
        <w:spacing w:line="360" w:lineRule="auto"/>
        <w:rPr>
          <w:rFonts w:cs="Arial"/>
          <w:color w:val="000000" w:themeColor="text1"/>
          <w:szCs w:val="22"/>
        </w:rPr>
      </w:pPr>
    </w:p>
    <w:p w14:paraId="63E7BA12" w14:textId="77777777" w:rsidR="00007F2C" w:rsidRPr="00901E26" w:rsidRDefault="00007F2C" w:rsidP="00901E26">
      <w:pPr>
        <w:spacing w:line="360" w:lineRule="auto"/>
        <w:rPr>
          <w:rFonts w:cs="Arial"/>
          <w:color w:val="000000" w:themeColor="text1"/>
          <w:szCs w:val="22"/>
        </w:rPr>
      </w:pPr>
    </w:p>
    <w:p w14:paraId="4BDA1DC7" w14:textId="77777777" w:rsidR="00007F2C" w:rsidRPr="00901E26" w:rsidRDefault="00007F2C" w:rsidP="00901E26">
      <w:pPr>
        <w:spacing w:line="360" w:lineRule="auto"/>
        <w:rPr>
          <w:rFonts w:cs="Arial"/>
          <w:color w:val="000000" w:themeColor="text1"/>
          <w:szCs w:val="22"/>
        </w:rPr>
      </w:pPr>
    </w:p>
    <w:p w14:paraId="09B541F3" w14:textId="107DFD42" w:rsidR="00007F2C" w:rsidRDefault="00007F2C" w:rsidP="00901E26">
      <w:pPr>
        <w:spacing w:line="360" w:lineRule="auto"/>
        <w:rPr>
          <w:rFonts w:cs="Arial"/>
          <w:color w:val="000000" w:themeColor="text1"/>
          <w:szCs w:val="22"/>
        </w:rPr>
      </w:pPr>
    </w:p>
    <w:p w14:paraId="4C6984F3" w14:textId="5F9FDCD7" w:rsidR="003D23D0" w:rsidRDefault="003D23D0" w:rsidP="00901E26">
      <w:pPr>
        <w:spacing w:line="360" w:lineRule="auto"/>
        <w:rPr>
          <w:rFonts w:cs="Arial"/>
          <w:color w:val="000000" w:themeColor="text1"/>
          <w:szCs w:val="22"/>
        </w:rPr>
      </w:pPr>
    </w:p>
    <w:p w14:paraId="12E80A50" w14:textId="4F91B963" w:rsidR="003D23D0" w:rsidRDefault="003D23D0" w:rsidP="00901E26">
      <w:pPr>
        <w:spacing w:line="360" w:lineRule="auto"/>
        <w:rPr>
          <w:rFonts w:cs="Arial"/>
          <w:color w:val="000000" w:themeColor="text1"/>
          <w:szCs w:val="22"/>
        </w:rPr>
      </w:pPr>
    </w:p>
    <w:p w14:paraId="2481EEC5" w14:textId="7CCBB237" w:rsidR="003D23D0" w:rsidRDefault="003D23D0" w:rsidP="00901E26">
      <w:pPr>
        <w:spacing w:line="360" w:lineRule="auto"/>
        <w:rPr>
          <w:rFonts w:cs="Arial"/>
          <w:color w:val="000000" w:themeColor="text1"/>
          <w:szCs w:val="22"/>
        </w:rPr>
      </w:pPr>
    </w:p>
    <w:p w14:paraId="2D80DEBE" w14:textId="4B7355AC" w:rsidR="003D23D0" w:rsidRDefault="003D23D0" w:rsidP="00901E26">
      <w:pPr>
        <w:spacing w:line="360" w:lineRule="auto"/>
        <w:rPr>
          <w:rFonts w:cs="Arial"/>
          <w:color w:val="000000" w:themeColor="text1"/>
          <w:szCs w:val="22"/>
        </w:rPr>
      </w:pPr>
    </w:p>
    <w:p w14:paraId="22AA9448" w14:textId="32A8C22D" w:rsidR="003D23D0" w:rsidRDefault="003D23D0" w:rsidP="00901E26">
      <w:pPr>
        <w:spacing w:line="360" w:lineRule="auto"/>
        <w:rPr>
          <w:rFonts w:cs="Arial"/>
          <w:color w:val="000000" w:themeColor="text1"/>
          <w:szCs w:val="22"/>
        </w:rPr>
      </w:pPr>
    </w:p>
    <w:p w14:paraId="0F2E006F" w14:textId="77777777" w:rsidR="003D23D0" w:rsidRPr="00901E26" w:rsidRDefault="003D23D0" w:rsidP="00901E26">
      <w:pPr>
        <w:spacing w:line="360" w:lineRule="auto"/>
        <w:rPr>
          <w:rFonts w:cs="Arial"/>
          <w:color w:val="000000" w:themeColor="text1"/>
          <w:szCs w:val="22"/>
        </w:rPr>
      </w:pPr>
    </w:p>
    <w:p w14:paraId="74E84E35" w14:textId="21AFAF7B" w:rsidR="00334658" w:rsidRPr="00334658" w:rsidRDefault="00656CF3" w:rsidP="00334658">
      <w:pPr>
        <w:pStyle w:val="Heading1"/>
      </w:pPr>
      <w:bookmarkStart w:id="84" w:name="_Toc214840515"/>
      <w:r w:rsidRPr="00901E26">
        <w:lastRenderedPageBreak/>
        <w:t>References</w:t>
      </w:r>
      <w:bookmarkEnd w:id="84"/>
    </w:p>
    <w:p w14:paraId="0F0D2B23" w14:textId="77777777" w:rsidR="00334658" w:rsidRPr="003D23D0" w:rsidRDefault="00334658" w:rsidP="003D23D0">
      <w:pPr>
        <w:spacing w:after="240" w:line="360" w:lineRule="auto"/>
        <w:rPr>
          <w:rFonts w:cs="Arial"/>
          <w:color w:val="000000" w:themeColor="text1"/>
          <w:szCs w:val="22"/>
        </w:rPr>
      </w:pPr>
      <w:proofErr w:type="spellStart"/>
      <w:r w:rsidRPr="003D23D0">
        <w:rPr>
          <w:rFonts w:cs="Arial"/>
          <w:color w:val="000000" w:themeColor="text1"/>
          <w:szCs w:val="22"/>
        </w:rPr>
        <w:t>Aday</w:t>
      </w:r>
      <w:proofErr w:type="spellEnd"/>
      <w:r w:rsidRPr="003D23D0">
        <w:rPr>
          <w:rFonts w:cs="Arial"/>
          <w:color w:val="000000" w:themeColor="text1"/>
          <w:szCs w:val="22"/>
        </w:rPr>
        <w:t>, L.A. and Andersen, R. (</w:t>
      </w:r>
      <w:r>
        <w:rPr>
          <w:rFonts w:cs="Arial"/>
          <w:color w:val="000000" w:themeColor="text1"/>
          <w:szCs w:val="22"/>
        </w:rPr>
        <w:t>1974</w:t>
      </w:r>
      <w:r w:rsidRPr="003D23D0">
        <w:rPr>
          <w:rFonts w:cs="Arial"/>
          <w:color w:val="000000" w:themeColor="text1"/>
          <w:szCs w:val="22"/>
        </w:rPr>
        <w:t>). A Framework for the Study of Access to Medical Care. </w:t>
      </w:r>
      <w:r w:rsidRPr="003D23D0">
        <w:rPr>
          <w:rFonts w:cs="Arial"/>
          <w:i/>
          <w:iCs/>
          <w:color w:val="000000" w:themeColor="text1"/>
          <w:szCs w:val="22"/>
        </w:rPr>
        <w:t>Health Services Research</w:t>
      </w:r>
      <w:r w:rsidRPr="003D23D0">
        <w:rPr>
          <w:rFonts w:cs="Arial"/>
          <w:color w:val="000000" w:themeColor="text1"/>
          <w:szCs w:val="22"/>
        </w:rPr>
        <w:t>,</w:t>
      </w:r>
      <w:r>
        <w:rPr>
          <w:rFonts w:cs="Arial"/>
          <w:color w:val="000000" w:themeColor="text1"/>
          <w:szCs w:val="22"/>
        </w:rPr>
        <w:t xml:space="preserve"> </w:t>
      </w:r>
      <w:r w:rsidRPr="003D23D0">
        <w:rPr>
          <w:rFonts w:cs="Arial"/>
          <w:color w:val="000000" w:themeColor="text1"/>
          <w:szCs w:val="22"/>
        </w:rPr>
        <w:t xml:space="preserve">9(3), p.208. Available at: </w:t>
      </w:r>
      <w:hyperlink r:id="rId9" w:history="1">
        <w:r w:rsidRPr="003D23D0">
          <w:rPr>
            <w:rStyle w:val="Hyperlink"/>
            <w:rFonts w:cs="Arial"/>
            <w:color w:val="000000" w:themeColor="text1"/>
            <w:szCs w:val="22"/>
          </w:rPr>
          <w:t>https://pmc.ncbi.nlm.nih.gov/articles/PMC1071804/</w:t>
        </w:r>
      </w:hyperlink>
      <w:r w:rsidRPr="003D23D0">
        <w:rPr>
          <w:rFonts w:cs="Arial"/>
          <w:color w:val="000000" w:themeColor="text1"/>
          <w:szCs w:val="22"/>
        </w:rPr>
        <w:t xml:space="preserve">. </w:t>
      </w:r>
      <w:r w:rsidRPr="00935115">
        <w:rPr>
          <w:rFonts w:cs="Arial"/>
          <w:color w:val="000000" w:themeColor="text1"/>
          <w:szCs w:val="22"/>
        </w:rPr>
        <w:t>(Accessed: 20 June 2025).</w:t>
      </w:r>
    </w:p>
    <w:p w14:paraId="073C9624" w14:textId="77777777" w:rsidR="00334658" w:rsidRDefault="00334658" w:rsidP="003D23D0">
      <w:pPr>
        <w:spacing w:after="240" w:line="360" w:lineRule="auto"/>
        <w:rPr>
          <w:rFonts w:cs="Arial"/>
          <w:color w:val="000000"/>
          <w:szCs w:val="22"/>
        </w:rPr>
      </w:pPr>
      <w:r w:rsidRPr="003D23D0">
        <w:rPr>
          <w:rFonts w:cs="Arial"/>
          <w:color w:val="000000"/>
          <w:szCs w:val="22"/>
        </w:rPr>
        <w:t xml:space="preserve">Adler, N.E. and Newman, K. (2002). Socioeconomic Disparities </w:t>
      </w:r>
      <w:proofErr w:type="gramStart"/>
      <w:r w:rsidRPr="003D23D0">
        <w:rPr>
          <w:rFonts w:cs="Arial"/>
          <w:color w:val="000000"/>
          <w:szCs w:val="22"/>
        </w:rPr>
        <w:t>In</w:t>
      </w:r>
      <w:proofErr w:type="gramEnd"/>
      <w:r w:rsidRPr="003D23D0">
        <w:rPr>
          <w:rFonts w:cs="Arial"/>
          <w:color w:val="000000"/>
          <w:szCs w:val="22"/>
        </w:rPr>
        <w:t xml:space="preserve"> Health: Pathways And Policies. </w:t>
      </w:r>
      <w:r w:rsidRPr="003D23D0">
        <w:rPr>
          <w:rFonts w:cs="Arial"/>
          <w:i/>
          <w:iCs/>
          <w:color w:val="000000"/>
          <w:szCs w:val="22"/>
        </w:rPr>
        <w:t>Health Affairs</w:t>
      </w:r>
      <w:r w:rsidRPr="003D23D0">
        <w:rPr>
          <w:rFonts w:cs="Arial"/>
          <w:color w:val="000000"/>
          <w:szCs w:val="22"/>
        </w:rPr>
        <w:t>, [online] 21(2), pp.60–76.</w:t>
      </w:r>
      <w:r>
        <w:rPr>
          <w:rFonts w:cs="Arial"/>
          <w:color w:val="000000"/>
          <w:szCs w:val="22"/>
        </w:rPr>
        <w:t xml:space="preserve"> Available at:</w:t>
      </w:r>
      <w:r w:rsidRPr="003D23D0">
        <w:rPr>
          <w:rFonts w:cs="Arial"/>
          <w:color w:val="000000"/>
          <w:szCs w:val="22"/>
        </w:rPr>
        <w:t xml:space="preserve"> </w:t>
      </w:r>
      <w:proofErr w:type="gramStart"/>
      <w:r w:rsidRPr="003D23D0">
        <w:rPr>
          <w:rFonts w:cs="Arial"/>
          <w:color w:val="000000"/>
          <w:szCs w:val="22"/>
        </w:rPr>
        <w:t>doi:https://doi.org/10.1377/hlthaff.21.2.60</w:t>
      </w:r>
      <w:proofErr w:type="gramEnd"/>
      <w:r w:rsidRPr="003D23D0">
        <w:rPr>
          <w:rFonts w:cs="Arial"/>
          <w:color w:val="000000"/>
          <w:szCs w:val="22"/>
        </w:rPr>
        <w:t>.</w:t>
      </w:r>
      <w:r>
        <w:rPr>
          <w:rFonts w:cs="Arial"/>
          <w:color w:val="000000"/>
          <w:szCs w:val="22"/>
        </w:rPr>
        <w:t xml:space="preserve"> </w:t>
      </w:r>
    </w:p>
    <w:p w14:paraId="3A588DF0" w14:textId="77777777" w:rsidR="00334658" w:rsidRPr="003D23D0" w:rsidRDefault="00334658" w:rsidP="003D23D0">
      <w:pPr>
        <w:spacing w:after="240" w:line="360" w:lineRule="auto"/>
        <w:rPr>
          <w:rFonts w:cs="Arial"/>
          <w:color w:val="000000"/>
          <w:szCs w:val="22"/>
        </w:rPr>
      </w:pPr>
      <w:r w:rsidRPr="00935115">
        <w:rPr>
          <w:rFonts w:cs="Arial"/>
          <w:color w:val="000000" w:themeColor="text1"/>
          <w:szCs w:val="22"/>
        </w:rPr>
        <w:t>Alcohol Change UK (2022) </w:t>
      </w:r>
      <w:r w:rsidRPr="00935115">
        <w:rPr>
          <w:rFonts w:cs="Arial"/>
          <w:i/>
          <w:iCs/>
          <w:color w:val="000000" w:themeColor="text1"/>
          <w:szCs w:val="22"/>
        </w:rPr>
        <w:t>Alcohol Statistics 2022.</w:t>
      </w:r>
      <w:r w:rsidRPr="00935115">
        <w:rPr>
          <w:rFonts w:cs="Arial"/>
          <w:color w:val="000000" w:themeColor="text1"/>
          <w:szCs w:val="22"/>
        </w:rPr>
        <w:t> Available at: </w:t>
      </w:r>
      <w:hyperlink r:id="rId10" w:history="1">
        <w:r w:rsidRPr="00935115">
          <w:rPr>
            <w:rStyle w:val="Hyperlink"/>
            <w:rFonts w:cs="Arial"/>
            <w:color w:val="000000" w:themeColor="text1"/>
            <w:szCs w:val="22"/>
          </w:rPr>
          <w:t>https://alcoholchange.org.uk/facts-faqs/facts</w:t>
        </w:r>
      </w:hyperlink>
      <w:r w:rsidRPr="003D23D0">
        <w:rPr>
          <w:rFonts w:cs="Arial"/>
          <w:color w:val="000000" w:themeColor="text1"/>
          <w:szCs w:val="22"/>
        </w:rPr>
        <w:t xml:space="preserve"> </w:t>
      </w:r>
      <w:r w:rsidRPr="00935115">
        <w:rPr>
          <w:rFonts w:cs="Arial"/>
          <w:color w:val="000000" w:themeColor="text1"/>
          <w:szCs w:val="22"/>
        </w:rPr>
        <w:t>(Accessed: 20 June 2025).</w:t>
      </w:r>
    </w:p>
    <w:p w14:paraId="724A0621" w14:textId="77777777" w:rsidR="00334658" w:rsidRPr="003D23D0" w:rsidRDefault="00334658" w:rsidP="003D23D0">
      <w:pPr>
        <w:spacing w:line="360" w:lineRule="auto"/>
        <w:rPr>
          <w:rFonts w:cs="Arial"/>
          <w:color w:val="000000" w:themeColor="text1"/>
          <w:szCs w:val="22"/>
          <w:shd w:val="clear" w:color="auto" w:fill="FFFFFF"/>
        </w:rPr>
      </w:pPr>
      <w:r w:rsidRPr="00543333">
        <w:rPr>
          <w:rFonts w:cs="Arial"/>
          <w:color w:val="000000" w:themeColor="text1"/>
          <w:szCs w:val="22"/>
          <w:shd w:val="clear" w:color="auto" w:fill="FFFFFF"/>
        </w:rPr>
        <w:t>Alexander, M. (2020) </w:t>
      </w:r>
      <w:r w:rsidRPr="00543333">
        <w:rPr>
          <w:rFonts w:cs="Arial"/>
          <w:i/>
          <w:iCs/>
          <w:color w:val="000000" w:themeColor="text1"/>
          <w:szCs w:val="22"/>
        </w:rPr>
        <w:t xml:space="preserve">The new Jim </w:t>
      </w:r>
      <w:proofErr w:type="gramStart"/>
      <w:r w:rsidRPr="00543333">
        <w:rPr>
          <w:rFonts w:cs="Arial"/>
          <w:i/>
          <w:iCs/>
          <w:color w:val="000000" w:themeColor="text1"/>
          <w:szCs w:val="22"/>
        </w:rPr>
        <w:t>Crow :</w:t>
      </w:r>
      <w:proofErr w:type="gramEnd"/>
      <w:r w:rsidRPr="00543333">
        <w:rPr>
          <w:rFonts w:cs="Arial"/>
          <w:i/>
          <w:iCs/>
          <w:color w:val="000000" w:themeColor="text1"/>
          <w:szCs w:val="22"/>
        </w:rPr>
        <w:t xml:space="preserve"> mass incarceration in the age of </w:t>
      </w:r>
      <w:proofErr w:type="spellStart"/>
      <w:r w:rsidRPr="00543333">
        <w:rPr>
          <w:rFonts w:cs="Arial"/>
          <w:i/>
          <w:iCs/>
          <w:color w:val="000000" w:themeColor="text1"/>
          <w:szCs w:val="22"/>
        </w:rPr>
        <w:t>colorblindness</w:t>
      </w:r>
      <w:proofErr w:type="spellEnd"/>
      <w:r w:rsidRPr="00543333">
        <w:rPr>
          <w:rFonts w:cs="Arial"/>
          <w:i/>
          <w:iCs/>
          <w:color w:val="000000" w:themeColor="text1"/>
          <w:szCs w:val="22"/>
        </w:rPr>
        <w:t xml:space="preserve"> /</w:t>
      </w:r>
      <w:r w:rsidRPr="00543333">
        <w:rPr>
          <w:rFonts w:cs="Arial"/>
          <w:color w:val="000000" w:themeColor="text1"/>
          <w:szCs w:val="22"/>
          <w:shd w:val="clear" w:color="auto" w:fill="FFFFFF"/>
        </w:rPr>
        <w:t xml:space="preserve">. New </w:t>
      </w:r>
      <w:proofErr w:type="gramStart"/>
      <w:r w:rsidRPr="00543333">
        <w:rPr>
          <w:rFonts w:cs="Arial"/>
          <w:color w:val="000000" w:themeColor="text1"/>
          <w:szCs w:val="22"/>
          <w:shd w:val="clear" w:color="auto" w:fill="FFFFFF"/>
        </w:rPr>
        <w:t>York :</w:t>
      </w:r>
      <w:proofErr w:type="gramEnd"/>
      <w:r w:rsidRPr="00543333">
        <w:rPr>
          <w:rFonts w:cs="Arial"/>
          <w:color w:val="000000" w:themeColor="text1"/>
          <w:szCs w:val="22"/>
          <w:shd w:val="clear" w:color="auto" w:fill="FFFFFF"/>
        </w:rPr>
        <w:t xml:space="preserve"> The New Press,. Available at: </w:t>
      </w:r>
      <w:hyperlink r:id="rId11" w:history="1">
        <w:r w:rsidRPr="00543333">
          <w:rPr>
            <w:rStyle w:val="Hyperlink"/>
            <w:rFonts w:cs="Arial"/>
            <w:color w:val="000000" w:themeColor="text1"/>
            <w:szCs w:val="22"/>
            <w:shd w:val="clear" w:color="auto" w:fill="FFFFFF"/>
          </w:rPr>
          <w:t>https://doi.org/10.2307/jj.26193249</w:t>
        </w:r>
      </w:hyperlink>
      <w:r w:rsidRPr="00543333">
        <w:rPr>
          <w:rFonts w:cs="Arial"/>
          <w:color w:val="000000" w:themeColor="text1"/>
          <w:szCs w:val="22"/>
          <w:shd w:val="clear" w:color="auto" w:fill="FFFFFF"/>
        </w:rPr>
        <w:t>.</w:t>
      </w:r>
    </w:p>
    <w:p w14:paraId="1CDA06F1"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br/>
        <w:t>American Psychiatric Association (APA), 2022. </w:t>
      </w:r>
      <w:r w:rsidRPr="003D23D0">
        <w:rPr>
          <w:rFonts w:cs="Arial"/>
          <w:i/>
          <w:iCs/>
          <w:color w:val="000000" w:themeColor="text1"/>
          <w:szCs w:val="22"/>
        </w:rPr>
        <w:t>Diagnostic and Statistical Manual of Mental Disorders (5th ed., Text Revision)</w:t>
      </w:r>
      <w:r w:rsidRPr="003D23D0">
        <w:rPr>
          <w:rFonts w:cs="Arial"/>
          <w:color w:val="000000" w:themeColor="text1"/>
          <w:szCs w:val="22"/>
        </w:rPr>
        <w:t>. Washington, DC: APA Publishing.</w:t>
      </w:r>
    </w:p>
    <w:p w14:paraId="73491534" w14:textId="77777777" w:rsidR="00334658" w:rsidRDefault="00334658" w:rsidP="003D23D0">
      <w:pPr>
        <w:spacing w:line="360" w:lineRule="auto"/>
        <w:rPr>
          <w:rFonts w:cs="Arial"/>
          <w:color w:val="000000" w:themeColor="text1"/>
          <w:szCs w:val="22"/>
          <w:shd w:val="clear" w:color="auto" w:fill="FFFFFF"/>
        </w:rPr>
      </w:pPr>
      <w:r w:rsidRPr="008B3B6B">
        <w:rPr>
          <w:rFonts w:cs="Arial"/>
          <w:color w:val="000000" w:themeColor="text1"/>
          <w:szCs w:val="22"/>
          <w:shd w:val="clear" w:color="auto" w:fill="FFFFFF"/>
        </w:rPr>
        <w:t>Aveyard, H. (2014) </w:t>
      </w:r>
      <w:r w:rsidRPr="008B3B6B">
        <w:rPr>
          <w:rFonts w:cs="Arial"/>
          <w:i/>
          <w:iCs/>
          <w:color w:val="000000" w:themeColor="text1"/>
          <w:szCs w:val="22"/>
        </w:rPr>
        <w:t xml:space="preserve">Doing a literature review in health and social </w:t>
      </w:r>
      <w:proofErr w:type="gramStart"/>
      <w:r w:rsidRPr="008B3B6B">
        <w:rPr>
          <w:rFonts w:cs="Arial"/>
          <w:i/>
          <w:iCs/>
          <w:color w:val="000000" w:themeColor="text1"/>
          <w:szCs w:val="22"/>
        </w:rPr>
        <w:t>care :</w:t>
      </w:r>
      <w:proofErr w:type="gramEnd"/>
      <w:r w:rsidRPr="008B3B6B">
        <w:rPr>
          <w:rFonts w:cs="Arial"/>
          <w:i/>
          <w:iCs/>
          <w:color w:val="000000" w:themeColor="text1"/>
          <w:szCs w:val="22"/>
        </w:rPr>
        <w:t xml:space="preserve"> a practical guide</w:t>
      </w:r>
      <w:r w:rsidRPr="008B3B6B">
        <w:rPr>
          <w:rFonts w:cs="Arial"/>
          <w:color w:val="000000" w:themeColor="text1"/>
          <w:szCs w:val="22"/>
          <w:shd w:val="clear" w:color="auto" w:fill="FFFFFF"/>
        </w:rPr>
        <w:t>. Third edition. Maidenhead, England: McGraw -Hill Education/Open University Press.</w:t>
      </w:r>
    </w:p>
    <w:p w14:paraId="55BF5AEF" w14:textId="77777777" w:rsidR="00334658" w:rsidRPr="003D23D0" w:rsidRDefault="00334658" w:rsidP="003D23D0">
      <w:pPr>
        <w:spacing w:after="240" w:line="360" w:lineRule="auto"/>
        <w:rPr>
          <w:rFonts w:cs="Arial"/>
          <w:color w:val="000000" w:themeColor="text1"/>
          <w:szCs w:val="22"/>
        </w:rPr>
      </w:pPr>
      <w:r w:rsidRPr="00152064">
        <w:rPr>
          <w:rFonts w:cs="Arial"/>
          <w:color w:val="000000" w:themeColor="text1"/>
          <w:szCs w:val="22"/>
        </w:rPr>
        <w:t>Aveyard, H. (2023). </w:t>
      </w:r>
      <w:r w:rsidRPr="00152064">
        <w:rPr>
          <w:rFonts w:cs="Arial"/>
          <w:i/>
          <w:iCs/>
          <w:color w:val="000000" w:themeColor="text1"/>
          <w:szCs w:val="22"/>
        </w:rPr>
        <w:t>Doing a Literature Review in Health and Social Care: A Practical Guide 5e</w:t>
      </w:r>
      <w:r w:rsidRPr="003D23D0">
        <w:rPr>
          <w:rFonts w:cs="Arial"/>
          <w:color w:val="000000" w:themeColor="text1"/>
          <w:szCs w:val="22"/>
        </w:rPr>
        <w:t xml:space="preserve">. </w:t>
      </w:r>
      <w:r w:rsidRPr="00152064">
        <w:rPr>
          <w:rFonts w:cs="Arial"/>
          <w:i/>
          <w:iCs/>
          <w:color w:val="000000" w:themeColor="text1"/>
          <w:szCs w:val="22"/>
        </w:rPr>
        <w:t>Google Books</w:t>
      </w:r>
      <w:r w:rsidRPr="00152064">
        <w:rPr>
          <w:rFonts w:cs="Arial"/>
          <w:color w:val="000000" w:themeColor="text1"/>
          <w:szCs w:val="22"/>
        </w:rPr>
        <w:t>. McGraw-Hill Education (UK). Available at:</w:t>
      </w:r>
      <w:r w:rsidRPr="003D23D0">
        <w:rPr>
          <w:rFonts w:cs="Arial"/>
          <w:color w:val="000000" w:themeColor="text1"/>
          <w:szCs w:val="22"/>
        </w:rPr>
        <w:t xml:space="preserve"> </w:t>
      </w:r>
      <w:hyperlink r:id="rId12" w:history="1">
        <w:r w:rsidRPr="00152064">
          <w:rPr>
            <w:rStyle w:val="Hyperlink"/>
            <w:rFonts w:cs="Arial"/>
            <w:color w:val="000000" w:themeColor="text1"/>
            <w:szCs w:val="22"/>
          </w:rPr>
          <w:t>https://books.google.co.uk/books?hl=en&amp;lr=&amp;id=65W1EAAAQBAJ&amp;oi=fnd&amp;pg=PR11&amp;dq=Aveyard</w:t>
        </w:r>
      </w:hyperlink>
      <w:r w:rsidRPr="003D23D0">
        <w:rPr>
          <w:rFonts w:cs="Arial"/>
          <w:color w:val="000000" w:themeColor="text1"/>
          <w:szCs w:val="22"/>
        </w:rPr>
        <w:t xml:space="preserve"> (</w:t>
      </w:r>
      <w:r w:rsidRPr="00152064">
        <w:rPr>
          <w:rFonts w:cs="Arial"/>
          <w:color w:val="000000" w:themeColor="text1"/>
          <w:szCs w:val="22"/>
        </w:rPr>
        <w:t>Accessed 12 Sep. 2025</w:t>
      </w:r>
      <w:r w:rsidRPr="003D23D0">
        <w:rPr>
          <w:rFonts w:cs="Arial"/>
          <w:color w:val="000000" w:themeColor="text1"/>
          <w:szCs w:val="22"/>
        </w:rPr>
        <w:t>)</w:t>
      </w:r>
      <w:r w:rsidRPr="00152064">
        <w:rPr>
          <w:rFonts w:cs="Arial"/>
          <w:color w:val="000000" w:themeColor="text1"/>
          <w:szCs w:val="22"/>
        </w:rPr>
        <w:t>.</w:t>
      </w:r>
    </w:p>
    <w:p w14:paraId="29106428"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Bambra, C., Lynch, J. &amp; Smith, K. E. (2020). </w:t>
      </w:r>
      <w:r w:rsidRPr="003D23D0">
        <w:rPr>
          <w:rFonts w:cs="Arial"/>
          <w:i/>
          <w:iCs/>
          <w:color w:val="000000" w:themeColor="text1"/>
          <w:szCs w:val="22"/>
        </w:rPr>
        <w:t>The Unequal Pandemic: COVID-19 and Health Inequalities.</w:t>
      </w:r>
      <w:r w:rsidRPr="003D23D0">
        <w:rPr>
          <w:rFonts w:cs="Arial"/>
          <w:color w:val="000000" w:themeColor="text1"/>
          <w:szCs w:val="22"/>
        </w:rPr>
        <w:t> Bristol: Policy Press.</w:t>
      </w:r>
      <w:r w:rsidRPr="003D23D0">
        <w:rPr>
          <w:rFonts w:cs="Arial"/>
          <w:color w:val="000000" w:themeColor="text1"/>
          <w:szCs w:val="22"/>
        </w:rPr>
        <w:br/>
        <w:t>Available at: </w:t>
      </w:r>
      <w:hyperlink r:id="rId13" w:tgtFrame="_new" w:history="1">
        <w:r w:rsidRPr="003D23D0">
          <w:rPr>
            <w:rFonts w:cs="Arial"/>
            <w:color w:val="000000" w:themeColor="text1"/>
            <w:szCs w:val="22"/>
            <w:u w:val="single"/>
          </w:rPr>
          <w:t>https://policy.bristoluniversitypress.co.uk/the-unequal-pandemic</w:t>
        </w:r>
      </w:hyperlink>
      <w:r w:rsidRPr="003D23D0">
        <w:rPr>
          <w:rFonts w:cs="Arial"/>
          <w:color w:val="000000" w:themeColor="text1"/>
          <w:szCs w:val="22"/>
        </w:rPr>
        <w:t> (</w:t>
      </w:r>
      <w:r w:rsidRPr="00152064">
        <w:rPr>
          <w:rFonts w:cs="Arial"/>
          <w:color w:val="000000" w:themeColor="text1"/>
          <w:szCs w:val="22"/>
        </w:rPr>
        <w:t>Accessed 12 Sep. 2025</w:t>
      </w:r>
      <w:r w:rsidRPr="003D23D0">
        <w:rPr>
          <w:rFonts w:cs="Arial"/>
          <w:color w:val="000000" w:themeColor="text1"/>
          <w:szCs w:val="22"/>
        </w:rPr>
        <w:t>)</w:t>
      </w:r>
      <w:r w:rsidRPr="00152064">
        <w:rPr>
          <w:rFonts w:cs="Arial"/>
          <w:color w:val="000000" w:themeColor="text1"/>
          <w:szCs w:val="22"/>
        </w:rPr>
        <w:t>.</w:t>
      </w:r>
    </w:p>
    <w:p w14:paraId="74DF2A7F" w14:textId="77777777" w:rsidR="00334658" w:rsidRPr="003D23D0" w:rsidRDefault="00334658" w:rsidP="003D23D0">
      <w:pPr>
        <w:spacing w:after="240" w:line="360" w:lineRule="auto"/>
        <w:rPr>
          <w:rFonts w:cs="Arial"/>
          <w:color w:val="000000" w:themeColor="text1"/>
          <w:szCs w:val="22"/>
        </w:rPr>
      </w:pPr>
      <w:r w:rsidRPr="003D23D0">
        <w:rPr>
          <w:rFonts w:cs="Arial"/>
          <w:color w:val="000000"/>
          <w:szCs w:val="22"/>
        </w:rPr>
        <w:t>Becker, H. (1963). </w:t>
      </w:r>
      <w:r w:rsidRPr="003D23D0">
        <w:rPr>
          <w:rFonts w:cs="Arial"/>
          <w:i/>
          <w:iCs/>
          <w:color w:val="000000"/>
          <w:szCs w:val="22"/>
        </w:rPr>
        <w:t xml:space="preserve">Outsiders: Studies </w:t>
      </w:r>
      <w:proofErr w:type="gramStart"/>
      <w:r w:rsidRPr="003D23D0">
        <w:rPr>
          <w:rFonts w:cs="Arial"/>
          <w:i/>
          <w:iCs/>
          <w:color w:val="000000"/>
          <w:szCs w:val="22"/>
        </w:rPr>
        <w:t>In</w:t>
      </w:r>
      <w:proofErr w:type="gramEnd"/>
      <w:r w:rsidRPr="003D23D0">
        <w:rPr>
          <w:rFonts w:cs="Arial"/>
          <w:i/>
          <w:iCs/>
          <w:color w:val="000000"/>
          <w:szCs w:val="22"/>
        </w:rPr>
        <w:t xml:space="preserve"> The Sociology Of Deviance</w:t>
      </w:r>
      <w:r w:rsidRPr="003D23D0">
        <w:rPr>
          <w:rFonts w:cs="Arial"/>
          <w:color w:val="000000"/>
          <w:szCs w:val="22"/>
        </w:rPr>
        <w:t xml:space="preserve">. New York: The Free </w:t>
      </w:r>
      <w:r w:rsidRPr="003D23D0">
        <w:rPr>
          <w:rFonts w:cs="Arial"/>
          <w:color w:val="000000" w:themeColor="text1"/>
          <w:szCs w:val="22"/>
        </w:rPr>
        <w:t xml:space="preserve">Press. Available at: </w:t>
      </w:r>
      <w:hyperlink r:id="rId14" w:history="1">
        <w:r w:rsidRPr="003D23D0">
          <w:rPr>
            <w:rStyle w:val="Hyperlink"/>
            <w:rFonts w:cs="Arial"/>
            <w:color w:val="000000" w:themeColor="text1"/>
            <w:szCs w:val="22"/>
          </w:rPr>
          <w:t>https://monoskop.org/images/2/2b/Becker_Howard_Outsiders_Studies_In_The_Sociogy_Of_Deviance_1963.pdf</w:t>
        </w:r>
      </w:hyperlink>
      <w:r w:rsidRPr="003D23D0">
        <w:rPr>
          <w:rFonts w:cs="Arial"/>
          <w:color w:val="000000" w:themeColor="text1"/>
          <w:szCs w:val="22"/>
        </w:rPr>
        <w:t>. (</w:t>
      </w:r>
      <w:r w:rsidRPr="00152064">
        <w:rPr>
          <w:rFonts w:cs="Arial"/>
          <w:color w:val="000000" w:themeColor="text1"/>
          <w:szCs w:val="22"/>
        </w:rPr>
        <w:t xml:space="preserve">Accessed </w:t>
      </w:r>
      <w:r w:rsidRPr="003D23D0">
        <w:rPr>
          <w:rFonts w:cs="Arial"/>
          <w:color w:val="000000" w:themeColor="text1"/>
          <w:szCs w:val="22"/>
        </w:rPr>
        <w:t>02</w:t>
      </w:r>
      <w:r w:rsidRPr="00152064">
        <w:rPr>
          <w:rFonts w:cs="Arial"/>
          <w:color w:val="000000" w:themeColor="text1"/>
          <w:szCs w:val="22"/>
        </w:rPr>
        <w:t xml:space="preserve"> Sep. 2025</w:t>
      </w:r>
      <w:r w:rsidRPr="003D23D0">
        <w:rPr>
          <w:rFonts w:cs="Arial"/>
          <w:color w:val="000000" w:themeColor="text1"/>
          <w:szCs w:val="22"/>
        </w:rPr>
        <w:t>)</w:t>
      </w:r>
      <w:r w:rsidRPr="00152064">
        <w:rPr>
          <w:rFonts w:cs="Arial"/>
          <w:color w:val="000000" w:themeColor="text1"/>
          <w:szCs w:val="22"/>
        </w:rPr>
        <w:t>.</w:t>
      </w:r>
    </w:p>
    <w:p w14:paraId="306E2D6B" w14:textId="77777777" w:rsidR="00334658" w:rsidRDefault="00334658" w:rsidP="003D23D0">
      <w:pPr>
        <w:spacing w:line="360" w:lineRule="auto"/>
        <w:rPr>
          <w:rFonts w:cs="Arial"/>
          <w:color w:val="000000" w:themeColor="text1"/>
          <w:szCs w:val="22"/>
        </w:rPr>
      </w:pPr>
      <w:proofErr w:type="spellStart"/>
      <w:r w:rsidRPr="003D23D0">
        <w:rPr>
          <w:rFonts w:cs="Arial"/>
          <w:color w:val="000000" w:themeColor="text1"/>
          <w:szCs w:val="22"/>
        </w:rPr>
        <w:t>Berridge</w:t>
      </w:r>
      <w:proofErr w:type="spellEnd"/>
      <w:r w:rsidRPr="003D23D0">
        <w:rPr>
          <w:rFonts w:cs="Arial"/>
          <w:color w:val="000000" w:themeColor="text1"/>
          <w:szCs w:val="22"/>
        </w:rPr>
        <w:t xml:space="preserve">, V. (2013). </w:t>
      </w:r>
      <w:r w:rsidRPr="003D23D0">
        <w:rPr>
          <w:rFonts w:cs="Arial"/>
          <w:i/>
          <w:iCs/>
          <w:color w:val="000000" w:themeColor="text1"/>
          <w:szCs w:val="22"/>
        </w:rPr>
        <w:t>Demons: Our Changing Attitudes to Alcohol</w:t>
      </w:r>
      <w:r w:rsidRPr="003D23D0">
        <w:rPr>
          <w:rFonts w:cs="Arial"/>
          <w:color w:val="000000" w:themeColor="text1"/>
          <w:szCs w:val="22"/>
        </w:rPr>
        <w:t>, Tobacco, and Drugs. Oxford: Oxford University Press. doi:10.1093/</w:t>
      </w:r>
      <w:proofErr w:type="spellStart"/>
      <w:proofErr w:type="gramStart"/>
      <w:r w:rsidRPr="003D23D0">
        <w:rPr>
          <w:rFonts w:cs="Arial"/>
          <w:color w:val="000000" w:themeColor="text1"/>
          <w:szCs w:val="22"/>
        </w:rPr>
        <w:t>acprof:oso</w:t>
      </w:r>
      <w:proofErr w:type="spellEnd"/>
      <w:proofErr w:type="gramEnd"/>
      <w:r w:rsidRPr="003D23D0">
        <w:rPr>
          <w:rFonts w:cs="Arial"/>
          <w:color w:val="000000" w:themeColor="text1"/>
          <w:szCs w:val="22"/>
        </w:rPr>
        <w:t xml:space="preserve">/9780199604982.001.0001. Available at: </w:t>
      </w:r>
      <w:hyperlink r:id="rId15" w:history="1">
        <w:r w:rsidRPr="003D23D0">
          <w:rPr>
            <w:rStyle w:val="Hyperlink"/>
            <w:rFonts w:cs="Arial"/>
            <w:color w:val="000000" w:themeColor="text1"/>
            <w:szCs w:val="22"/>
          </w:rPr>
          <w:t>https://academic.oup.com/book/9780199604982</w:t>
        </w:r>
      </w:hyperlink>
      <w:r w:rsidRPr="003D23D0">
        <w:rPr>
          <w:rFonts w:cs="Arial"/>
          <w:color w:val="000000" w:themeColor="text1"/>
          <w:szCs w:val="22"/>
        </w:rPr>
        <w:t xml:space="preserve"> (Accessed: 6 Aug. 2025).</w:t>
      </w:r>
    </w:p>
    <w:p w14:paraId="0DD12F47" w14:textId="77777777" w:rsidR="00334658" w:rsidRPr="00677A5C" w:rsidRDefault="00334658" w:rsidP="003D23D0">
      <w:pPr>
        <w:spacing w:after="240" w:line="360" w:lineRule="auto"/>
        <w:rPr>
          <w:rFonts w:cs="Arial"/>
          <w:color w:val="000000" w:themeColor="text1"/>
          <w:szCs w:val="22"/>
        </w:rPr>
      </w:pPr>
      <w:r w:rsidRPr="00677A5C">
        <w:rPr>
          <w:rFonts w:cs="Arial"/>
          <w:color w:val="000000" w:themeColor="text1"/>
          <w:szCs w:val="22"/>
        </w:rPr>
        <w:t>Black, D.C. (2021). </w:t>
      </w:r>
      <w:r w:rsidRPr="00677A5C">
        <w:rPr>
          <w:rFonts w:cs="Arial"/>
          <w:i/>
          <w:iCs/>
          <w:color w:val="000000" w:themeColor="text1"/>
          <w:szCs w:val="22"/>
        </w:rPr>
        <w:t xml:space="preserve">Dame Carol Black’s Independent Review of Drugs Review of drugs part two: prevention, </w:t>
      </w:r>
      <w:proofErr w:type="gramStart"/>
      <w:r w:rsidRPr="00677A5C">
        <w:rPr>
          <w:rFonts w:cs="Arial"/>
          <w:i/>
          <w:iCs/>
          <w:color w:val="000000" w:themeColor="text1"/>
          <w:szCs w:val="22"/>
        </w:rPr>
        <w:t>treatment</w:t>
      </w:r>
      <w:proofErr w:type="gramEnd"/>
      <w:r w:rsidRPr="00677A5C">
        <w:rPr>
          <w:rFonts w:cs="Arial"/>
          <w:i/>
          <w:iCs/>
          <w:color w:val="000000" w:themeColor="text1"/>
          <w:szCs w:val="22"/>
        </w:rPr>
        <w:t xml:space="preserve"> and recovery: annexes Dame Carol Black</w:t>
      </w:r>
      <w:r w:rsidRPr="00677A5C">
        <w:rPr>
          <w:rFonts w:cs="Arial"/>
          <w:color w:val="000000" w:themeColor="text1"/>
          <w:szCs w:val="22"/>
        </w:rPr>
        <w:t>.</w:t>
      </w:r>
      <w:r w:rsidRPr="003D23D0">
        <w:rPr>
          <w:rFonts w:cs="Arial"/>
          <w:color w:val="000000" w:themeColor="text1"/>
          <w:szCs w:val="22"/>
        </w:rPr>
        <w:t xml:space="preserve"> </w:t>
      </w:r>
      <w:r w:rsidRPr="00677A5C">
        <w:rPr>
          <w:rFonts w:cs="Arial"/>
          <w:color w:val="000000" w:themeColor="text1"/>
          <w:szCs w:val="22"/>
        </w:rPr>
        <w:t xml:space="preserve">Available at: </w:t>
      </w:r>
      <w:hyperlink r:id="rId16" w:history="1">
        <w:r w:rsidRPr="00677A5C">
          <w:rPr>
            <w:rStyle w:val="Hyperlink"/>
            <w:rFonts w:cs="Arial"/>
            <w:color w:val="000000" w:themeColor="text1"/>
            <w:szCs w:val="22"/>
          </w:rPr>
          <w:t>https://assets.publishing.service.gov.uk/media/60eef5588fa8f50c768386fd/independent-review-of-drugs-part-2-annexes.pdf</w:t>
        </w:r>
      </w:hyperlink>
      <w:r w:rsidRPr="00677A5C">
        <w:rPr>
          <w:rFonts w:cs="Arial"/>
          <w:color w:val="000000" w:themeColor="text1"/>
          <w:szCs w:val="22"/>
        </w:rPr>
        <w:t>.</w:t>
      </w:r>
      <w:r w:rsidRPr="003D23D0">
        <w:rPr>
          <w:rFonts w:cs="Arial"/>
          <w:color w:val="000000" w:themeColor="text1"/>
          <w:szCs w:val="22"/>
        </w:rPr>
        <w:t xml:space="preserve"> (</w:t>
      </w:r>
      <w:r w:rsidRPr="001D1EB8">
        <w:rPr>
          <w:rFonts w:cs="Arial"/>
          <w:color w:val="000000" w:themeColor="text1"/>
          <w:szCs w:val="22"/>
        </w:rPr>
        <w:t xml:space="preserve">Accessed: 6 </w:t>
      </w:r>
      <w:r w:rsidRPr="003D23D0">
        <w:rPr>
          <w:rFonts w:cs="Arial"/>
          <w:color w:val="000000" w:themeColor="text1"/>
          <w:szCs w:val="22"/>
        </w:rPr>
        <w:t>Sep</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p>
    <w:p w14:paraId="2D0F5C42" w14:textId="77777777" w:rsidR="00334658" w:rsidRPr="003D23D0" w:rsidRDefault="00334658" w:rsidP="003D23D0">
      <w:pPr>
        <w:spacing w:before="100" w:beforeAutospacing="1" w:after="100" w:afterAutospacing="1" w:line="360" w:lineRule="auto"/>
        <w:rPr>
          <w:rFonts w:cs="Arial"/>
          <w:color w:val="000000" w:themeColor="text1"/>
          <w:szCs w:val="22"/>
        </w:rPr>
      </w:pPr>
      <w:r w:rsidRPr="001D1EB8">
        <w:rPr>
          <w:rFonts w:cs="Arial"/>
          <w:color w:val="000000" w:themeColor="text1"/>
          <w:szCs w:val="22"/>
        </w:rPr>
        <w:t>Blakeslee, S.</w:t>
      </w:r>
      <w:r w:rsidRPr="003D23D0">
        <w:rPr>
          <w:rFonts w:cs="Arial"/>
          <w:color w:val="000000" w:themeColor="text1"/>
          <w:szCs w:val="22"/>
        </w:rPr>
        <w:t xml:space="preserve"> (</w:t>
      </w:r>
      <w:r w:rsidRPr="001D1EB8">
        <w:rPr>
          <w:rFonts w:cs="Arial"/>
          <w:color w:val="000000" w:themeColor="text1"/>
          <w:szCs w:val="22"/>
        </w:rPr>
        <w:t>2004</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The CRAAP Test: Evaluating Sources for Credibility.</w:t>
      </w:r>
      <w:r w:rsidRPr="001D1EB8">
        <w:rPr>
          <w:rFonts w:cs="Arial"/>
          <w:color w:val="000000" w:themeColor="text1"/>
          <w:szCs w:val="22"/>
        </w:rPr>
        <w:t> California State University, Chico. Available at: </w:t>
      </w:r>
      <w:hyperlink r:id="rId17" w:tgtFrame="_new" w:history="1">
        <w:r w:rsidRPr="001D1EB8">
          <w:rPr>
            <w:rFonts w:cs="Arial"/>
            <w:color w:val="000000" w:themeColor="text1"/>
            <w:szCs w:val="22"/>
            <w:u w:val="single"/>
          </w:rPr>
          <w:t>https://library.csuchico.edu/sites/default/files/craap-test.pdf</w:t>
        </w:r>
      </w:hyperlink>
      <w:r w:rsidRPr="001D1EB8">
        <w:rPr>
          <w:rFonts w:cs="Arial"/>
          <w:color w:val="000000" w:themeColor="text1"/>
          <w:szCs w:val="22"/>
        </w:rPr>
        <w:t> </w:t>
      </w:r>
      <w:r w:rsidRPr="003D23D0">
        <w:rPr>
          <w:rFonts w:cs="Arial"/>
          <w:color w:val="000000" w:themeColor="text1"/>
          <w:szCs w:val="22"/>
        </w:rPr>
        <w:t>(</w:t>
      </w:r>
      <w:r w:rsidRPr="001D1EB8">
        <w:rPr>
          <w:rFonts w:cs="Arial"/>
          <w:color w:val="000000" w:themeColor="text1"/>
          <w:szCs w:val="22"/>
        </w:rPr>
        <w:t xml:space="preserve">Accessed: 6 </w:t>
      </w:r>
      <w:r w:rsidRPr="003D23D0">
        <w:rPr>
          <w:rFonts w:cs="Arial"/>
          <w:color w:val="000000" w:themeColor="text1"/>
          <w:szCs w:val="22"/>
        </w:rPr>
        <w:t>Sep</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p>
    <w:p w14:paraId="2D6F947F" w14:textId="6BEBCD0F" w:rsidR="00334658" w:rsidRPr="003D23D0" w:rsidRDefault="00334658" w:rsidP="00334658">
      <w:pPr>
        <w:spacing w:line="360" w:lineRule="auto"/>
        <w:rPr>
          <w:rFonts w:cs="Arial"/>
          <w:color w:val="000000" w:themeColor="text1"/>
          <w:szCs w:val="22"/>
        </w:rPr>
      </w:pPr>
      <w:r w:rsidRPr="003D23D0">
        <w:rPr>
          <w:rFonts w:cs="Arial"/>
          <w:color w:val="000000" w:themeColor="text1"/>
          <w:szCs w:val="22"/>
          <w:shd w:val="clear" w:color="auto" w:fill="FFFFFF"/>
        </w:rPr>
        <w:t>Boland, A.</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(2020) ‘Doing A Systematic Review: A Student’s Guide’,</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International coaching psychology review</w:t>
      </w:r>
      <w:r w:rsidRPr="003D23D0">
        <w:rPr>
          <w:rFonts w:cs="Arial"/>
          <w:color w:val="000000" w:themeColor="text1"/>
          <w:szCs w:val="22"/>
          <w:shd w:val="clear" w:color="auto" w:fill="FFFFFF"/>
        </w:rPr>
        <w:t xml:space="preserve">. Leicester: British Psychological Society, pp. 119–120. Available at: </w:t>
      </w:r>
      <w:hyperlink r:id="rId18" w:history="1">
        <w:r w:rsidRPr="003D23D0">
          <w:rPr>
            <w:rStyle w:val="Hyperlink"/>
            <w:rFonts w:cs="Arial"/>
            <w:color w:val="000000" w:themeColor="text1"/>
            <w:szCs w:val="22"/>
            <w:shd w:val="clear" w:color="auto" w:fill="FFFFFF"/>
          </w:rPr>
          <w:t>https://doi.org/10.53841/bpsicpr.2020.15.2.119</w:t>
        </w:r>
      </w:hyperlink>
      <w:r w:rsidRPr="003D23D0">
        <w:rPr>
          <w:rFonts w:cs="Arial"/>
          <w:color w:val="000000" w:themeColor="text1"/>
          <w:szCs w:val="22"/>
          <w:shd w:val="clear" w:color="auto" w:fill="FFFFFF"/>
        </w:rPr>
        <w:t xml:space="preserve">. </w:t>
      </w:r>
      <w:r w:rsidRPr="001D1EB8">
        <w:rPr>
          <w:rFonts w:cs="Arial"/>
          <w:color w:val="000000" w:themeColor="text1"/>
          <w:szCs w:val="22"/>
        </w:rPr>
        <w:br/>
        <w:t>Boland, A., Cherry, M. and Dickson, R.,</w:t>
      </w:r>
      <w:r w:rsidRPr="003D23D0">
        <w:rPr>
          <w:rFonts w:cs="Arial"/>
          <w:color w:val="000000" w:themeColor="text1"/>
          <w:szCs w:val="22"/>
        </w:rPr>
        <w:t xml:space="preserve"> (</w:t>
      </w:r>
      <w:r w:rsidRPr="001D1EB8">
        <w:rPr>
          <w:rFonts w:cs="Arial"/>
          <w:color w:val="000000" w:themeColor="text1"/>
          <w:szCs w:val="22"/>
        </w:rPr>
        <w:t>2017</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Doing a Systematic Review: A Student’s Guide.</w:t>
      </w:r>
      <w:r w:rsidRPr="001D1EB8">
        <w:rPr>
          <w:rFonts w:cs="Arial"/>
          <w:color w:val="000000" w:themeColor="text1"/>
          <w:szCs w:val="22"/>
        </w:rPr>
        <w:t> 2nd ed.</w:t>
      </w:r>
      <w:r w:rsidRPr="003D23D0">
        <w:rPr>
          <w:rFonts w:cs="Arial"/>
          <w:color w:val="000000" w:themeColor="text1"/>
          <w:szCs w:val="22"/>
        </w:rPr>
        <w:t xml:space="preserve"> Available at: </w:t>
      </w:r>
      <w:hyperlink r:id="rId19" w:anchor="v=onepage&amp;q&amp;f=false" w:history="1">
        <w:r w:rsidRPr="003D23D0">
          <w:rPr>
            <w:rStyle w:val="Hyperlink"/>
            <w:rFonts w:cs="Arial"/>
            <w:color w:val="000000" w:themeColor="text1"/>
            <w:szCs w:val="22"/>
          </w:rPr>
          <w:t>https://books.google.co.uk/books?hl=en&amp;lr=&amp;id=Zpc3DwAAQBAJ&amp;oi=fnd&amp;pg=PP1&amp;dq=Doing+a+Systematic+Review:+A+Student’s+Guide.+2nd+ed.&amp;ots=KjI78ALSA5&amp;sig=URTqa_rqi5W6MNNWmUbT6vimRHY&amp;redir_esc=y#v=onepage&amp;q&amp;f=false</w:t>
        </w:r>
      </w:hyperlink>
      <w:r w:rsidRPr="003D23D0">
        <w:rPr>
          <w:rFonts w:cs="Arial"/>
          <w:color w:val="000000" w:themeColor="text1"/>
          <w:szCs w:val="22"/>
        </w:rPr>
        <w:t xml:space="preserve"> </w:t>
      </w:r>
      <w:r w:rsidRPr="00935115">
        <w:rPr>
          <w:rFonts w:cs="Arial"/>
          <w:color w:val="000000" w:themeColor="text1"/>
          <w:szCs w:val="22"/>
        </w:rPr>
        <w:t>(Accessed: 20 June 2025).</w:t>
      </w:r>
    </w:p>
    <w:p w14:paraId="2CA0A108" w14:textId="77777777" w:rsidR="00334658" w:rsidRPr="003D23D0" w:rsidRDefault="00334658" w:rsidP="003D23D0">
      <w:pPr>
        <w:spacing w:before="100" w:beforeAutospacing="1" w:after="100" w:afterAutospacing="1" w:line="360" w:lineRule="auto"/>
        <w:rPr>
          <w:rFonts w:cs="Arial"/>
          <w:color w:val="000000" w:themeColor="text1"/>
          <w:szCs w:val="22"/>
        </w:rPr>
      </w:pPr>
      <w:r w:rsidRPr="001D1EB8">
        <w:rPr>
          <w:rFonts w:cs="Arial"/>
          <w:color w:val="000000" w:themeColor="text1"/>
          <w:szCs w:val="22"/>
        </w:rPr>
        <w:br/>
        <w:t xml:space="preserve">Booth, A., Sutton, A. and </w:t>
      </w:r>
      <w:proofErr w:type="spellStart"/>
      <w:r w:rsidRPr="001D1EB8">
        <w:rPr>
          <w:rFonts w:cs="Arial"/>
          <w:color w:val="000000" w:themeColor="text1"/>
          <w:szCs w:val="22"/>
        </w:rPr>
        <w:t>Papaioannou</w:t>
      </w:r>
      <w:proofErr w:type="spellEnd"/>
      <w:r w:rsidRPr="001D1EB8">
        <w:rPr>
          <w:rFonts w:cs="Arial"/>
          <w:color w:val="000000" w:themeColor="text1"/>
          <w:szCs w:val="22"/>
        </w:rPr>
        <w:t xml:space="preserve">, D., </w:t>
      </w:r>
      <w:r w:rsidRPr="003D23D0">
        <w:rPr>
          <w:rFonts w:cs="Arial"/>
          <w:color w:val="000000" w:themeColor="text1"/>
          <w:szCs w:val="22"/>
        </w:rPr>
        <w:t>(</w:t>
      </w:r>
      <w:r w:rsidRPr="001D1EB8">
        <w:rPr>
          <w:rFonts w:cs="Arial"/>
          <w:color w:val="000000" w:themeColor="text1"/>
          <w:szCs w:val="22"/>
        </w:rPr>
        <w:t>2016</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Systematic Approaches to a Successful Literature Review.</w:t>
      </w:r>
      <w:r w:rsidRPr="001D1EB8">
        <w:rPr>
          <w:rFonts w:cs="Arial"/>
          <w:color w:val="000000" w:themeColor="text1"/>
          <w:szCs w:val="22"/>
        </w:rPr>
        <w:t> 2nd ed. London: SAGE.</w:t>
      </w:r>
    </w:p>
    <w:p w14:paraId="43DF2361" w14:textId="00873401" w:rsidR="00334658" w:rsidRPr="003D23D0" w:rsidRDefault="00334658" w:rsidP="00334658">
      <w:pPr>
        <w:spacing w:line="360" w:lineRule="auto"/>
        <w:rPr>
          <w:rFonts w:cs="Arial"/>
          <w:color w:val="000000" w:themeColor="text1"/>
          <w:szCs w:val="22"/>
        </w:rPr>
      </w:pPr>
      <w:r w:rsidRPr="003D23D0">
        <w:rPr>
          <w:rFonts w:cs="Arial"/>
          <w:color w:val="000000" w:themeColor="text1"/>
          <w:szCs w:val="22"/>
          <w:shd w:val="clear" w:color="auto" w:fill="FFFFFF"/>
        </w:rPr>
        <w:t>Braun, V. and Clarke, V. (2006) ‘Using thematic analysis in psychology’,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Qualitative research in psychology</w:t>
      </w:r>
      <w:r w:rsidRPr="003D23D0">
        <w:rPr>
          <w:rFonts w:cs="Arial"/>
          <w:color w:val="000000" w:themeColor="text1"/>
          <w:szCs w:val="22"/>
          <w:shd w:val="clear" w:color="auto" w:fill="FFFFFF"/>
        </w:rPr>
        <w:t xml:space="preserve">, 3(2), pp. 77–101. Available at: </w:t>
      </w:r>
      <w:hyperlink r:id="rId20" w:history="1">
        <w:r w:rsidRPr="003D23D0">
          <w:rPr>
            <w:rStyle w:val="Hyperlink"/>
            <w:rFonts w:cs="Arial"/>
            <w:color w:val="000000" w:themeColor="text1"/>
            <w:szCs w:val="22"/>
            <w:shd w:val="clear" w:color="auto" w:fill="FFFFFF"/>
          </w:rPr>
          <w:t>https://doi.org/10.1191/1478088706qp063oa</w:t>
        </w:r>
      </w:hyperlink>
      <w:r w:rsidRPr="003D23D0">
        <w:rPr>
          <w:rFonts w:cs="Arial"/>
          <w:color w:val="000000" w:themeColor="text1"/>
          <w:szCs w:val="22"/>
          <w:shd w:val="clear" w:color="auto" w:fill="FFFFFF"/>
        </w:rPr>
        <w:t xml:space="preserve">. </w:t>
      </w:r>
      <w:r w:rsidRPr="001D1EB8">
        <w:rPr>
          <w:rFonts w:cs="Arial"/>
          <w:color w:val="000000" w:themeColor="text1"/>
          <w:szCs w:val="22"/>
        </w:rPr>
        <w:br/>
        <w:t xml:space="preserve">Braun, V. and Clarke, V., </w:t>
      </w:r>
      <w:r w:rsidRPr="003D23D0">
        <w:rPr>
          <w:rFonts w:cs="Arial"/>
          <w:color w:val="000000" w:themeColor="text1"/>
          <w:szCs w:val="22"/>
        </w:rPr>
        <w:t>(</w:t>
      </w:r>
      <w:r w:rsidRPr="001D1EB8">
        <w:rPr>
          <w:rFonts w:cs="Arial"/>
          <w:color w:val="000000" w:themeColor="text1"/>
          <w:szCs w:val="22"/>
        </w:rPr>
        <w:t>2022</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Thematic Analysis: A Practical Guide.</w:t>
      </w:r>
      <w:r w:rsidRPr="001D1EB8">
        <w:rPr>
          <w:rFonts w:cs="Arial"/>
          <w:color w:val="000000" w:themeColor="text1"/>
          <w:szCs w:val="22"/>
        </w:rPr>
        <w:t> </w:t>
      </w:r>
      <w:r w:rsidRPr="003D23D0">
        <w:rPr>
          <w:rFonts w:cs="Arial"/>
          <w:color w:val="000000" w:themeColor="text1"/>
          <w:szCs w:val="22"/>
          <w:shd w:val="clear" w:color="auto" w:fill="FFFFFF"/>
        </w:rPr>
        <w:t xml:space="preserve">Available at: </w:t>
      </w:r>
      <w:hyperlink r:id="rId21" w:history="1">
        <w:r w:rsidRPr="003D23D0">
          <w:rPr>
            <w:rStyle w:val="Hyperlink"/>
            <w:rFonts w:cs="Arial"/>
            <w:color w:val="000000" w:themeColor="text1"/>
            <w:szCs w:val="22"/>
            <w:shd w:val="clear" w:color="auto" w:fill="FFFFFF"/>
          </w:rPr>
          <w:t>https://www.researchgate.net/profile/David-Morgan-43/post/How_to_teach_and_or_supervise_qualitatve_data_analysis/attachment/5d448bd33843b0b9825d91e4/AS%3A787530584698880%401564773331825/download/Braun+12+APA+Handbook.pdf</w:t>
        </w:r>
      </w:hyperlink>
      <w:r w:rsidRPr="003D23D0">
        <w:rPr>
          <w:rFonts w:cs="Arial"/>
          <w:color w:val="000000" w:themeColor="text1"/>
          <w:szCs w:val="22"/>
          <w:shd w:val="clear" w:color="auto" w:fill="FFFFFF"/>
        </w:rPr>
        <w:t xml:space="preserve"> </w:t>
      </w:r>
      <w:r w:rsidRPr="003D23D0">
        <w:rPr>
          <w:rFonts w:cs="Arial"/>
          <w:color w:val="000000" w:themeColor="text1"/>
          <w:szCs w:val="22"/>
        </w:rPr>
        <w:t>(</w:t>
      </w:r>
      <w:r w:rsidRPr="001D1EB8">
        <w:rPr>
          <w:rFonts w:cs="Arial"/>
          <w:color w:val="000000" w:themeColor="text1"/>
          <w:szCs w:val="22"/>
        </w:rPr>
        <w:t xml:space="preserve">Accessed: 6 </w:t>
      </w:r>
      <w:r w:rsidRPr="003D23D0">
        <w:rPr>
          <w:rFonts w:cs="Arial"/>
          <w:color w:val="000000" w:themeColor="text1"/>
          <w:szCs w:val="22"/>
        </w:rPr>
        <w:t>Sep</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p>
    <w:p w14:paraId="625D1C19"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 xml:space="preserve">BROWN, P.J., STOUT, R.L. and GANNON-ROWLEY, J. (1998) ‘Substance use disorder-PTSD </w:t>
      </w:r>
      <w:proofErr w:type="gramStart"/>
      <w:r w:rsidRPr="003D23D0">
        <w:rPr>
          <w:rFonts w:cs="Arial"/>
          <w:color w:val="000000" w:themeColor="text1"/>
          <w:szCs w:val="22"/>
          <w:shd w:val="clear" w:color="auto" w:fill="FFFFFF"/>
        </w:rPr>
        <w:t>comorbidity :</w:t>
      </w:r>
      <w:proofErr w:type="gramEnd"/>
      <w:r w:rsidRPr="003D23D0">
        <w:rPr>
          <w:rFonts w:cs="Arial"/>
          <w:color w:val="000000" w:themeColor="text1"/>
          <w:szCs w:val="22"/>
          <w:shd w:val="clear" w:color="auto" w:fill="FFFFFF"/>
        </w:rPr>
        <w:t xml:space="preserve"> Patients’ perceptions of symptom interplay and treatment issues’,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Journal of substance abuse treatment</w:t>
      </w:r>
      <w:r w:rsidRPr="003D23D0">
        <w:rPr>
          <w:rFonts w:cs="Arial"/>
          <w:color w:val="000000" w:themeColor="text1"/>
          <w:szCs w:val="22"/>
          <w:shd w:val="clear" w:color="auto" w:fill="FFFFFF"/>
        </w:rPr>
        <w:t xml:space="preserve">, 15(5), pp. 445–448. Available at: </w:t>
      </w:r>
      <w:hyperlink r:id="rId22" w:history="1">
        <w:r w:rsidRPr="003D23D0">
          <w:rPr>
            <w:rStyle w:val="Hyperlink"/>
            <w:rFonts w:cs="Arial"/>
            <w:color w:val="000000" w:themeColor="text1"/>
            <w:szCs w:val="22"/>
            <w:shd w:val="clear" w:color="auto" w:fill="FFFFFF"/>
          </w:rPr>
          <w:t>https://doi.org/10.1016/S0740-5472(97)00286-9</w:t>
        </w:r>
      </w:hyperlink>
      <w:r w:rsidRPr="003D23D0">
        <w:rPr>
          <w:rFonts w:cs="Arial"/>
          <w:color w:val="000000" w:themeColor="text1"/>
          <w:szCs w:val="22"/>
          <w:shd w:val="clear" w:color="auto" w:fill="FFFFFF"/>
        </w:rPr>
        <w:t xml:space="preserve">. </w:t>
      </w:r>
    </w:p>
    <w:p w14:paraId="290BDF73"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 xml:space="preserve">Clark, I. (2016) ‘Book Review: </w:t>
      </w:r>
      <w:r w:rsidRPr="003D23D0">
        <w:rPr>
          <w:rFonts w:cs="Arial"/>
          <w:i/>
          <w:iCs/>
          <w:color w:val="000000" w:themeColor="text1"/>
          <w:szCs w:val="22"/>
          <w:shd w:val="clear" w:color="auto" w:fill="FFFFFF"/>
        </w:rPr>
        <w:t>Systematic Approaches to a Successful Literature Review</w:t>
      </w:r>
      <w:r w:rsidRPr="003D23D0">
        <w:rPr>
          <w:rFonts w:cs="Arial"/>
          <w:color w:val="000000" w:themeColor="text1"/>
          <w:szCs w:val="22"/>
          <w:shd w:val="clear" w:color="auto" w:fill="FFFFFF"/>
        </w:rPr>
        <w:t xml:space="preserve">’. School of Psychology, University of East London. Available at: </w:t>
      </w:r>
      <w:hyperlink r:id="rId23" w:history="1">
        <w:r w:rsidRPr="003D23D0">
          <w:rPr>
            <w:rStyle w:val="Hyperlink"/>
            <w:rFonts w:cs="Arial"/>
            <w:color w:val="000000" w:themeColor="text1"/>
            <w:szCs w:val="22"/>
            <w:shd w:val="clear" w:color="auto" w:fill="FFFFFF"/>
          </w:rPr>
          <w:t>https://doi.org/10.15123/uel.84y7v</w:t>
        </w:r>
      </w:hyperlink>
      <w:r w:rsidRPr="003D23D0">
        <w:rPr>
          <w:rFonts w:cs="Arial"/>
          <w:color w:val="000000" w:themeColor="text1"/>
          <w:szCs w:val="22"/>
          <w:shd w:val="clear" w:color="auto" w:fill="FFFFFF"/>
        </w:rPr>
        <w:t xml:space="preserve">. </w:t>
      </w:r>
    </w:p>
    <w:p w14:paraId="4787F5A0" w14:textId="77777777" w:rsidR="00334658" w:rsidRPr="003D23D0" w:rsidRDefault="00334658" w:rsidP="003D23D0">
      <w:pPr>
        <w:spacing w:after="240" w:line="360" w:lineRule="auto"/>
        <w:rPr>
          <w:rFonts w:cs="Arial"/>
          <w:color w:val="000000" w:themeColor="text1"/>
          <w:szCs w:val="22"/>
        </w:rPr>
      </w:pPr>
      <w:r w:rsidRPr="008B3B6B">
        <w:rPr>
          <w:rFonts w:cs="Arial"/>
          <w:color w:val="000000" w:themeColor="text1"/>
          <w:szCs w:val="22"/>
        </w:rPr>
        <w:t>Clarke, V. and Braun, V. (2017). Thematic Analysis. </w:t>
      </w:r>
      <w:r w:rsidRPr="008B3B6B">
        <w:rPr>
          <w:rFonts w:cs="Arial"/>
          <w:i/>
          <w:iCs/>
          <w:color w:val="000000" w:themeColor="text1"/>
          <w:szCs w:val="22"/>
        </w:rPr>
        <w:t>The Journal of Positive Psychology</w:t>
      </w:r>
      <w:r w:rsidRPr="008B3B6B">
        <w:rPr>
          <w:rFonts w:cs="Arial"/>
          <w:color w:val="000000" w:themeColor="text1"/>
          <w:szCs w:val="22"/>
        </w:rPr>
        <w:t xml:space="preserve">, 12(3), pp.297–298. </w:t>
      </w:r>
      <w:r w:rsidRPr="003D23D0">
        <w:rPr>
          <w:rFonts w:cs="Arial"/>
          <w:color w:val="000000" w:themeColor="text1"/>
          <w:szCs w:val="22"/>
        </w:rPr>
        <w:t xml:space="preserve">Available at: </w:t>
      </w:r>
      <w:hyperlink r:id="rId24" w:history="1">
        <w:r w:rsidRPr="008B3B6B">
          <w:rPr>
            <w:rStyle w:val="Hyperlink"/>
            <w:rFonts w:cs="Arial"/>
            <w:color w:val="000000" w:themeColor="text1"/>
            <w:szCs w:val="22"/>
          </w:rPr>
          <w:t>https://doi.org/10.1080/17439760.2016.1262613</w:t>
        </w:r>
      </w:hyperlink>
      <w:r w:rsidRPr="008B3B6B">
        <w:rPr>
          <w:rFonts w:cs="Arial"/>
          <w:color w:val="000000" w:themeColor="text1"/>
          <w:szCs w:val="22"/>
        </w:rPr>
        <w:t>.</w:t>
      </w:r>
      <w:r w:rsidRPr="003D23D0">
        <w:rPr>
          <w:rFonts w:cs="Arial"/>
          <w:color w:val="000000" w:themeColor="text1"/>
          <w:szCs w:val="22"/>
        </w:rPr>
        <w:t xml:space="preserve"> </w:t>
      </w:r>
      <w:r w:rsidRPr="001D1EB8">
        <w:rPr>
          <w:rFonts w:cs="Arial"/>
          <w:color w:val="000000" w:themeColor="text1"/>
          <w:szCs w:val="22"/>
        </w:rPr>
        <w:br/>
        <w:t>Cottrell, S.</w:t>
      </w:r>
      <w:r w:rsidRPr="003D23D0">
        <w:rPr>
          <w:rFonts w:cs="Arial"/>
          <w:color w:val="000000" w:themeColor="text1"/>
          <w:szCs w:val="22"/>
        </w:rPr>
        <w:t xml:space="preserve"> (</w:t>
      </w:r>
      <w:r w:rsidRPr="001D1EB8">
        <w:rPr>
          <w:rFonts w:cs="Arial"/>
          <w:color w:val="000000" w:themeColor="text1"/>
          <w:szCs w:val="22"/>
        </w:rPr>
        <w:t>2017</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Critical Thinking Skills: Developing Effective Analysis, Argument and Reflection.</w:t>
      </w:r>
      <w:r w:rsidRPr="001D1EB8">
        <w:rPr>
          <w:rFonts w:cs="Arial"/>
          <w:color w:val="000000" w:themeColor="text1"/>
          <w:szCs w:val="22"/>
        </w:rPr>
        <w:t> 3rd ed. London: Palgrave Macmillan.</w:t>
      </w:r>
      <w:r w:rsidRPr="003D23D0">
        <w:rPr>
          <w:rFonts w:cs="Arial"/>
          <w:color w:val="000000" w:themeColor="text1"/>
          <w:szCs w:val="22"/>
        </w:rPr>
        <w:t xml:space="preserve"> </w:t>
      </w:r>
      <w:r w:rsidRPr="001D1EB8">
        <w:rPr>
          <w:rFonts w:cs="Arial"/>
          <w:color w:val="000000" w:themeColor="text1"/>
          <w:szCs w:val="22"/>
        </w:rPr>
        <w:t xml:space="preserve">Available </w:t>
      </w:r>
      <w:r w:rsidRPr="001D1EB8">
        <w:rPr>
          <w:rFonts w:cs="Arial"/>
          <w:color w:val="000000" w:themeColor="text1"/>
          <w:szCs w:val="22"/>
        </w:rPr>
        <w:lastRenderedPageBreak/>
        <w:t>at: </w:t>
      </w:r>
      <w:hyperlink r:id="rId25" w:history="1">
        <w:r w:rsidRPr="001D1EB8">
          <w:rPr>
            <w:rStyle w:val="Hyperlink"/>
            <w:rFonts w:cs="Arial"/>
            <w:color w:val="000000" w:themeColor="text1"/>
            <w:szCs w:val="22"/>
          </w:rPr>
          <w:t>https://www.macmillanihe.com/page/detail/Critical-Thinking-Skills/?K=9781137550507</w:t>
        </w:r>
      </w:hyperlink>
      <w:r w:rsidRPr="003D23D0">
        <w:rPr>
          <w:rFonts w:cs="Arial"/>
          <w:color w:val="000000" w:themeColor="text1"/>
          <w:szCs w:val="22"/>
        </w:rPr>
        <w:t xml:space="preserve"> (</w:t>
      </w:r>
      <w:r w:rsidRPr="001D1EB8">
        <w:rPr>
          <w:rFonts w:cs="Arial"/>
          <w:color w:val="000000" w:themeColor="text1"/>
          <w:szCs w:val="22"/>
        </w:rPr>
        <w:t>Accessed: 6 Nov. 2025</w:t>
      </w:r>
      <w:r w:rsidRPr="003D23D0">
        <w:rPr>
          <w:rFonts w:cs="Arial"/>
          <w:color w:val="000000" w:themeColor="text1"/>
          <w:szCs w:val="22"/>
        </w:rPr>
        <w:t>)</w:t>
      </w:r>
      <w:r w:rsidRPr="001D1EB8">
        <w:rPr>
          <w:rFonts w:cs="Arial"/>
          <w:color w:val="000000" w:themeColor="text1"/>
          <w:szCs w:val="22"/>
        </w:rPr>
        <w:t>.</w:t>
      </w:r>
    </w:p>
    <w:p w14:paraId="45E6D377"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 xml:space="preserve">Creswell, J.W. and </w:t>
      </w:r>
      <w:proofErr w:type="spellStart"/>
      <w:r w:rsidRPr="003D23D0">
        <w:rPr>
          <w:rFonts w:cs="Arial"/>
          <w:color w:val="000000" w:themeColor="text1"/>
          <w:szCs w:val="22"/>
        </w:rPr>
        <w:t>Poth</w:t>
      </w:r>
      <w:proofErr w:type="spellEnd"/>
      <w:r w:rsidRPr="003D23D0">
        <w:rPr>
          <w:rFonts w:cs="Arial"/>
          <w:color w:val="000000" w:themeColor="text1"/>
          <w:szCs w:val="22"/>
        </w:rPr>
        <w:t>, C.N. (2018). </w:t>
      </w:r>
      <w:r w:rsidRPr="003D23D0">
        <w:rPr>
          <w:rFonts w:cs="Arial"/>
          <w:i/>
          <w:iCs/>
          <w:color w:val="000000" w:themeColor="text1"/>
          <w:szCs w:val="22"/>
        </w:rPr>
        <w:t xml:space="preserve">Creswell and </w:t>
      </w:r>
      <w:proofErr w:type="spellStart"/>
      <w:r w:rsidRPr="003D23D0">
        <w:rPr>
          <w:rFonts w:cs="Arial"/>
          <w:i/>
          <w:iCs/>
          <w:color w:val="000000" w:themeColor="text1"/>
          <w:szCs w:val="22"/>
        </w:rPr>
        <w:t>Poth</w:t>
      </w:r>
      <w:proofErr w:type="spellEnd"/>
      <w:r w:rsidRPr="003D23D0">
        <w:rPr>
          <w:rFonts w:cs="Arial"/>
          <w:i/>
          <w:iCs/>
          <w:color w:val="000000" w:themeColor="text1"/>
          <w:szCs w:val="22"/>
        </w:rPr>
        <w:t xml:space="preserve">, 2018, </w:t>
      </w:r>
      <w:r w:rsidRPr="003D23D0">
        <w:rPr>
          <w:rStyle w:val="Emphasis"/>
          <w:rFonts w:cs="Arial"/>
          <w:color w:val="000000" w:themeColor="text1"/>
          <w:szCs w:val="22"/>
        </w:rPr>
        <w:t xml:space="preserve">Qualitative Inquiry and </w:t>
      </w:r>
      <w:r w:rsidRPr="00772E44">
        <w:rPr>
          <w:rStyle w:val="Emphasis"/>
          <w:rFonts w:cs="Arial"/>
          <w:color w:val="000000" w:themeColor="text1"/>
          <w:szCs w:val="22"/>
        </w:rPr>
        <w:t>Research Design: Choosing Among Five Approaches.</w:t>
      </w:r>
      <w:r w:rsidRPr="00772E44">
        <w:rPr>
          <w:rStyle w:val="apple-converted-space"/>
          <w:rFonts w:cs="Arial"/>
          <w:color w:val="000000" w:themeColor="text1"/>
          <w:szCs w:val="22"/>
        </w:rPr>
        <w:t> </w:t>
      </w:r>
      <w:r w:rsidRPr="00772E44">
        <w:rPr>
          <w:rFonts w:cs="Arial"/>
          <w:color w:val="000000" w:themeColor="text1"/>
          <w:szCs w:val="22"/>
        </w:rPr>
        <w:t>4th</w:t>
      </w:r>
      <w:r w:rsidRPr="003D23D0">
        <w:rPr>
          <w:rFonts w:cs="Arial"/>
          <w:color w:val="000000" w:themeColor="text1"/>
          <w:szCs w:val="22"/>
        </w:rPr>
        <w:t xml:space="preserve">. Available at: </w:t>
      </w:r>
      <w:hyperlink r:id="rId26" w:history="1">
        <w:r w:rsidRPr="003D23D0">
          <w:rPr>
            <w:rStyle w:val="Hyperlink"/>
            <w:rFonts w:cs="Arial"/>
            <w:color w:val="000000" w:themeColor="text1"/>
            <w:szCs w:val="22"/>
          </w:rPr>
          <w:t>https://pubhtml5.com/enuk/cykh/Creswell_and_Poth%2C_2018%2C_Qualitative_Inquiry_4th/</w:t>
        </w:r>
      </w:hyperlink>
      <w:r w:rsidRPr="003D23D0">
        <w:rPr>
          <w:rFonts w:cs="Arial"/>
          <w:color w:val="000000" w:themeColor="text1"/>
          <w:szCs w:val="22"/>
        </w:rPr>
        <w:t>.</w:t>
      </w:r>
      <w:r w:rsidRPr="00772E44">
        <w:rPr>
          <w:rFonts w:cs="Arial"/>
          <w:color w:val="000000" w:themeColor="text1"/>
          <w:szCs w:val="22"/>
        </w:rPr>
        <w:t xml:space="preserve"> (</w:t>
      </w:r>
      <w:r w:rsidRPr="001D1EB8">
        <w:rPr>
          <w:rFonts w:cs="Arial"/>
          <w:color w:val="000000" w:themeColor="text1"/>
          <w:szCs w:val="22"/>
        </w:rPr>
        <w:t xml:space="preserve">Accessed: </w:t>
      </w:r>
      <w:r w:rsidRPr="00772E44">
        <w:rPr>
          <w:rFonts w:cs="Arial"/>
          <w:color w:val="000000" w:themeColor="text1"/>
          <w:szCs w:val="22"/>
        </w:rPr>
        <w:t>19 Aug</w:t>
      </w:r>
      <w:r w:rsidRPr="001D1EB8">
        <w:rPr>
          <w:rFonts w:cs="Arial"/>
          <w:color w:val="000000" w:themeColor="text1"/>
          <w:szCs w:val="22"/>
        </w:rPr>
        <w:t>. 2025</w:t>
      </w:r>
      <w:r w:rsidRPr="00772E44">
        <w:rPr>
          <w:rFonts w:cs="Arial"/>
          <w:color w:val="000000" w:themeColor="text1"/>
          <w:szCs w:val="22"/>
        </w:rPr>
        <w:t>)</w:t>
      </w:r>
      <w:r w:rsidRPr="001D1EB8">
        <w:rPr>
          <w:rFonts w:cs="Arial"/>
          <w:color w:val="000000" w:themeColor="text1"/>
          <w:szCs w:val="22"/>
        </w:rPr>
        <w:t>.</w:t>
      </w:r>
    </w:p>
    <w:p w14:paraId="434B5BFD"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 xml:space="preserve">Dasgupta, N., </w:t>
      </w:r>
      <w:proofErr w:type="spellStart"/>
      <w:r w:rsidRPr="003D23D0">
        <w:rPr>
          <w:rFonts w:cs="Arial"/>
          <w:color w:val="000000" w:themeColor="text1"/>
          <w:szCs w:val="22"/>
        </w:rPr>
        <w:t>Beletsky</w:t>
      </w:r>
      <w:proofErr w:type="spellEnd"/>
      <w:r w:rsidRPr="003D23D0">
        <w:rPr>
          <w:rFonts w:cs="Arial"/>
          <w:color w:val="000000" w:themeColor="text1"/>
          <w:szCs w:val="22"/>
        </w:rPr>
        <w:t xml:space="preserve">, L. &amp; </w:t>
      </w:r>
      <w:proofErr w:type="spellStart"/>
      <w:r w:rsidRPr="003D23D0">
        <w:rPr>
          <w:rFonts w:cs="Arial"/>
          <w:color w:val="000000" w:themeColor="text1"/>
          <w:szCs w:val="22"/>
        </w:rPr>
        <w:t>Ciccarone</w:t>
      </w:r>
      <w:proofErr w:type="spellEnd"/>
      <w:r w:rsidRPr="003D23D0">
        <w:rPr>
          <w:rFonts w:cs="Arial"/>
          <w:color w:val="000000" w:themeColor="text1"/>
          <w:szCs w:val="22"/>
        </w:rPr>
        <w:t>, D., (2018). ‘Opioid crisis: No easy fix to its social and economic determinants.’ </w:t>
      </w:r>
      <w:r w:rsidRPr="003D23D0">
        <w:rPr>
          <w:rFonts w:cs="Arial"/>
          <w:i/>
          <w:iCs/>
          <w:color w:val="000000" w:themeColor="text1"/>
          <w:szCs w:val="22"/>
        </w:rPr>
        <w:t>American Journal of Public Health</w:t>
      </w:r>
      <w:r w:rsidRPr="003D23D0">
        <w:rPr>
          <w:rFonts w:cs="Arial"/>
          <w:color w:val="000000" w:themeColor="text1"/>
          <w:szCs w:val="22"/>
        </w:rPr>
        <w:t xml:space="preserve">, 108(2), pp.182-186. </w:t>
      </w:r>
      <w:r w:rsidRPr="003D23D0">
        <w:rPr>
          <w:rFonts w:cs="Arial"/>
          <w:color w:val="000000" w:themeColor="text1"/>
          <w:szCs w:val="22"/>
        </w:rPr>
        <w:br/>
        <w:t>Available at: </w:t>
      </w:r>
      <w:hyperlink r:id="rId27" w:tgtFrame="_new" w:history="1">
        <w:r w:rsidRPr="003D23D0">
          <w:rPr>
            <w:rFonts w:cs="Arial"/>
            <w:color w:val="000000" w:themeColor="text1"/>
            <w:szCs w:val="22"/>
            <w:u w:val="single"/>
          </w:rPr>
          <w:t>https://ajph.aphapublications.org/doi/full/10.2105/AJPH.2017.304187</w:t>
        </w:r>
      </w:hyperlink>
      <w:r>
        <w:rPr>
          <w:rFonts w:cs="Arial"/>
          <w:color w:val="000000" w:themeColor="text1"/>
          <w:szCs w:val="22"/>
        </w:rPr>
        <w:t xml:space="preserve">. </w:t>
      </w:r>
      <w:r w:rsidRPr="003D23D0">
        <w:rPr>
          <w:rFonts w:cs="Arial"/>
          <w:color w:val="000000" w:themeColor="text1"/>
          <w:szCs w:val="22"/>
        </w:rPr>
        <w:t>(</w:t>
      </w:r>
      <w:r w:rsidRPr="001D1EB8">
        <w:rPr>
          <w:rFonts w:cs="Arial"/>
          <w:color w:val="000000" w:themeColor="text1"/>
          <w:szCs w:val="22"/>
        </w:rPr>
        <w:t xml:space="preserve">Accessed: </w:t>
      </w:r>
      <w:r>
        <w:rPr>
          <w:rFonts w:cs="Arial"/>
          <w:color w:val="000000" w:themeColor="text1"/>
          <w:szCs w:val="22"/>
        </w:rPr>
        <w:t>19 Aug</w:t>
      </w:r>
      <w:r w:rsidRPr="001D1EB8">
        <w:rPr>
          <w:rFonts w:cs="Arial"/>
          <w:color w:val="000000" w:themeColor="text1"/>
          <w:szCs w:val="22"/>
        </w:rPr>
        <w:t>. 2025</w:t>
      </w:r>
      <w:r w:rsidRPr="003D23D0">
        <w:rPr>
          <w:rFonts w:cs="Arial"/>
          <w:color w:val="000000" w:themeColor="text1"/>
          <w:szCs w:val="22"/>
        </w:rPr>
        <w:t>)</w:t>
      </w:r>
      <w:r w:rsidRPr="001D1EB8">
        <w:rPr>
          <w:rFonts w:cs="Arial"/>
          <w:color w:val="000000" w:themeColor="text1"/>
          <w:szCs w:val="22"/>
        </w:rPr>
        <w:t>.</w:t>
      </w:r>
      <w:r w:rsidRPr="003D23D0">
        <w:rPr>
          <w:rFonts w:cs="Arial"/>
          <w:color w:val="000000" w:themeColor="text1"/>
          <w:szCs w:val="22"/>
        </w:rPr>
        <w:br/>
        <w:t xml:space="preserve">Department for Work and Pensions (DWP), </w:t>
      </w:r>
      <w:r>
        <w:rPr>
          <w:rFonts w:cs="Arial"/>
          <w:color w:val="000000" w:themeColor="text1"/>
          <w:szCs w:val="22"/>
        </w:rPr>
        <w:t>(</w:t>
      </w:r>
      <w:r w:rsidRPr="003D23D0">
        <w:rPr>
          <w:rFonts w:cs="Arial"/>
          <w:color w:val="000000" w:themeColor="text1"/>
          <w:szCs w:val="22"/>
        </w:rPr>
        <w:t>2023</w:t>
      </w:r>
      <w:r>
        <w:rPr>
          <w:rFonts w:cs="Arial"/>
          <w:color w:val="000000" w:themeColor="text1"/>
          <w:szCs w:val="22"/>
        </w:rPr>
        <w:t>)</w:t>
      </w:r>
      <w:r w:rsidRPr="003D23D0">
        <w:rPr>
          <w:rFonts w:cs="Arial"/>
          <w:color w:val="000000" w:themeColor="text1"/>
          <w:szCs w:val="22"/>
        </w:rPr>
        <w:t>. </w:t>
      </w:r>
      <w:r w:rsidRPr="003D23D0">
        <w:rPr>
          <w:rFonts w:cs="Arial"/>
          <w:i/>
          <w:iCs/>
          <w:color w:val="000000" w:themeColor="text1"/>
          <w:szCs w:val="22"/>
        </w:rPr>
        <w:t>Households Below Average Income: Analysis of the UK Income Distribution</w:t>
      </w:r>
      <w:r w:rsidRPr="003D23D0">
        <w:rPr>
          <w:rFonts w:cs="Arial"/>
          <w:color w:val="000000" w:themeColor="text1"/>
          <w:szCs w:val="22"/>
        </w:rPr>
        <w:t xml:space="preserve">. London: DWP. Available at: </w:t>
      </w:r>
      <w:hyperlink r:id="rId28" w:history="1">
        <w:r w:rsidRPr="003D23D0">
          <w:rPr>
            <w:rStyle w:val="Hyperlink"/>
            <w:rFonts w:cs="Arial"/>
            <w:color w:val="000000" w:themeColor="text1"/>
            <w:szCs w:val="22"/>
          </w:rPr>
          <w:t>https://www.gov.uk/government/statistics/households-below-average-income-for-financial-years-ending-1995-to-2023/households-below-average-income-an-analysis-of-the-uk-income-distribution-fye-1995-to-fye-2023</w:t>
        </w:r>
      </w:hyperlink>
      <w:r w:rsidRPr="003D23D0">
        <w:rPr>
          <w:rFonts w:cs="Arial"/>
          <w:color w:val="000000" w:themeColor="text1"/>
          <w:szCs w:val="22"/>
        </w:rPr>
        <w:t xml:space="preserve"> (Accessed: 6 Nov. 2025).</w:t>
      </w:r>
    </w:p>
    <w:p w14:paraId="3D14D7FF"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Department for Work and Pensions (2023)</w:t>
      </w:r>
      <w:r w:rsidRPr="009C72BD">
        <w:rPr>
          <w:rStyle w:val="apple-converted-space"/>
          <w:rFonts w:cs="Arial"/>
          <w:color w:val="000000" w:themeColor="text1"/>
          <w:szCs w:val="22"/>
        </w:rPr>
        <w:t> </w:t>
      </w:r>
      <w:r w:rsidRPr="009C72BD">
        <w:rPr>
          <w:rStyle w:val="Emphasis"/>
          <w:rFonts w:cs="Arial"/>
          <w:color w:val="000000" w:themeColor="text1"/>
          <w:szCs w:val="22"/>
        </w:rPr>
        <w:t>Households below average income: An analysis of the income distribution 1994/95 to 2021/22.</w:t>
      </w:r>
      <w:r w:rsidRPr="009C72BD">
        <w:rPr>
          <w:rStyle w:val="apple-converted-space"/>
          <w:rFonts w:cs="Arial"/>
          <w:color w:val="000000" w:themeColor="text1"/>
          <w:szCs w:val="22"/>
        </w:rPr>
        <w:t> </w:t>
      </w:r>
      <w:r w:rsidRPr="009C72BD">
        <w:rPr>
          <w:rFonts w:cs="Arial"/>
          <w:color w:val="000000" w:themeColor="text1"/>
          <w:szCs w:val="22"/>
        </w:rPr>
        <w:t>DWP. Available at:</w:t>
      </w:r>
      <w:r w:rsidRPr="009C72BD">
        <w:rPr>
          <w:rStyle w:val="apple-converted-space"/>
          <w:rFonts w:cs="Arial"/>
          <w:color w:val="000000" w:themeColor="text1"/>
          <w:szCs w:val="22"/>
        </w:rPr>
        <w:t> </w:t>
      </w:r>
      <w:hyperlink r:id="rId29" w:tgtFrame="_new" w:history="1">
        <w:r w:rsidRPr="009C72BD">
          <w:rPr>
            <w:rStyle w:val="Hyperlink"/>
            <w:rFonts w:cs="Arial"/>
            <w:color w:val="000000" w:themeColor="text1"/>
            <w:szCs w:val="22"/>
          </w:rPr>
          <w:t>https://www.gov.uk/government/statistics</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10</w:t>
      </w:r>
      <w:r w:rsidRPr="009C72BD">
        <w:rPr>
          <w:rFonts w:cs="Arial"/>
          <w:color w:val="000000" w:themeColor="text1"/>
          <w:szCs w:val="22"/>
        </w:rPr>
        <w:t xml:space="preserve"> Nov 202</w:t>
      </w:r>
      <w:r>
        <w:rPr>
          <w:rFonts w:cs="Arial"/>
          <w:color w:val="000000" w:themeColor="text1"/>
          <w:szCs w:val="22"/>
        </w:rPr>
        <w:t>5</w:t>
      </w:r>
      <w:r w:rsidRPr="009C72BD">
        <w:rPr>
          <w:rFonts w:cs="Arial"/>
          <w:color w:val="000000" w:themeColor="text1"/>
          <w:szCs w:val="22"/>
        </w:rPr>
        <w:t>).</w:t>
      </w:r>
    </w:p>
    <w:p w14:paraId="63AF185E"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 xml:space="preserve">EMCDDA (2022). </w:t>
      </w:r>
      <w:r w:rsidRPr="003D23D0">
        <w:rPr>
          <w:rFonts w:cs="Arial"/>
          <w:i/>
          <w:iCs/>
          <w:color w:val="000000" w:themeColor="text1"/>
          <w:szCs w:val="22"/>
        </w:rPr>
        <w:t>European Drug Report 2022:</w:t>
      </w:r>
      <w:r w:rsidRPr="003D23D0">
        <w:rPr>
          <w:rFonts w:cs="Arial"/>
          <w:color w:val="000000" w:themeColor="text1"/>
          <w:szCs w:val="22"/>
        </w:rPr>
        <w:t xml:space="preserve"> </w:t>
      </w:r>
      <w:r w:rsidRPr="003D23D0">
        <w:rPr>
          <w:rFonts w:cs="Arial"/>
          <w:i/>
          <w:iCs/>
          <w:color w:val="000000" w:themeColor="text1"/>
          <w:szCs w:val="22"/>
        </w:rPr>
        <w:t>Trends and Developments</w:t>
      </w:r>
      <w:r w:rsidRPr="003D23D0">
        <w:rPr>
          <w:rFonts w:cs="Arial"/>
          <w:color w:val="000000" w:themeColor="text1"/>
          <w:szCs w:val="22"/>
        </w:rPr>
        <w:t xml:space="preserve">. Luxembourg: Publications Office of the European Union. Available at: </w:t>
      </w:r>
      <w:hyperlink r:id="rId30" w:history="1">
        <w:r w:rsidRPr="003D23D0">
          <w:rPr>
            <w:rStyle w:val="Hyperlink"/>
            <w:rFonts w:cs="Arial"/>
            <w:color w:val="000000" w:themeColor="text1"/>
            <w:szCs w:val="22"/>
          </w:rPr>
          <w:t>https://www.emcdda.europa.eu/publications/edr/trends-developments/2022_en</w:t>
        </w:r>
      </w:hyperlink>
      <w:r w:rsidRPr="003D23D0">
        <w:rPr>
          <w:rFonts w:cs="Arial"/>
          <w:color w:val="000000" w:themeColor="text1"/>
          <w:szCs w:val="22"/>
        </w:rPr>
        <w:t xml:space="preserve"> (Accessed: 6 Nov. 2025). </w:t>
      </w:r>
    </w:p>
    <w:p w14:paraId="4F46B9F8"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EMCDDA (2023) </w:t>
      </w:r>
      <w:r w:rsidRPr="00935115">
        <w:rPr>
          <w:rFonts w:cs="Arial"/>
          <w:i/>
          <w:iCs/>
          <w:color w:val="000000" w:themeColor="text1"/>
          <w:szCs w:val="22"/>
        </w:rPr>
        <w:t>European Drug Report 2023: Trends and Developments.</w:t>
      </w:r>
      <w:r w:rsidRPr="00935115">
        <w:rPr>
          <w:rFonts w:cs="Arial"/>
          <w:color w:val="000000" w:themeColor="text1"/>
          <w:szCs w:val="22"/>
        </w:rPr>
        <w:t> Lisbon: European Monitoring Centre for Drugs and Drug Addiction. Available at: </w:t>
      </w:r>
      <w:hyperlink r:id="rId31" w:tgtFrame="_new" w:history="1">
        <w:r w:rsidRPr="00935115">
          <w:rPr>
            <w:rFonts w:cs="Arial"/>
            <w:color w:val="000000" w:themeColor="text1"/>
            <w:szCs w:val="22"/>
            <w:u w:val="single"/>
          </w:rPr>
          <w:t>https://www.emcdda.europa.eu</w:t>
        </w:r>
      </w:hyperlink>
      <w:r w:rsidRPr="00935115">
        <w:rPr>
          <w:rFonts w:cs="Arial"/>
          <w:color w:val="000000" w:themeColor="text1"/>
          <w:szCs w:val="22"/>
        </w:rPr>
        <w:t> (Accessed: 2 July 2025).</w:t>
      </w:r>
    </w:p>
    <w:p w14:paraId="6759478B" w14:textId="77777777" w:rsidR="00334658" w:rsidRPr="009C72BD" w:rsidRDefault="00334658" w:rsidP="00334658">
      <w:pPr>
        <w:spacing w:line="360" w:lineRule="auto"/>
        <w:rPr>
          <w:rFonts w:cs="Arial"/>
          <w:color w:val="000000" w:themeColor="text1"/>
          <w:szCs w:val="22"/>
        </w:rPr>
      </w:pPr>
      <w:r w:rsidRPr="009C72BD">
        <w:rPr>
          <w:rFonts w:cs="Arial"/>
          <w:color w:val="000000" w:themeColor="text1"/>
          <w:szCs w:val="22"/>
        </w:rPr>
        <w:t>Engel, G.L. (1977) </w:t>
      </w:r>
      <w:r w:rsidRPr="009C72BD">
        <w:rPr>
          <w:rFonts w:cs="Arial"/>
          <w:i/>
          <w:iCs/>
          <w:color w:val="000000" w:themeColor="text1"/>
          <w:szCs w:val="22"/>
        </w:rPr>
        <w:t>The need for a new medical model: A challenge for biomedicine.</w:t>
      </w:r>
      <w:r w:rsidRPr="009C72BD">
        <w:rPr>
          <w:rFonts w:cs="Arial"/>
          <w:color w:val="000000" w:themeColor="text1"/>
          <w:szCs w:val="22"/>
        </w:rPr>
        <w:t> Science, 196(4286), pp.129–136.</w:t>
      </w:r>
    </w:p>
    <w:p w14:paraId="671A8147"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Farmer, P. (2004) ‘An Anthropology of Structural Violence’,</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Current anthropology</w:t>
      </w:r>
      <w:r w:rsidRPr="003D23D0">
        <w:rPr>
          <w:rFonts w:cs="Arial"/>
          <w:color w:val="000000" w:themeColor="text1"/>
          <w:szCs w:val="22"/>
          <w:shd w:val="clear" w:color="auto" w:fill="FFFFFF"/>
        </w:rPr>
        <w:t xml:space="preserve">, 45(3), pp. 305–325. Available at: </w:t>
      </w:r>
      <w:hyperlink r:id="rId32" w:history="1">
        <w:r w:rsidRPr="003D23D0">
          <w:rPr>
            <w:rStyle w:val="Hyperlink"/>
            <w:rFonts w:cs="Arial"/>
            <w:color w:val="000000" w:themeColor="text1"/>
            <w:szCs w:val="22"/>
            <w:shd w:val="clear" w:color="auto" w:fill="FFFFFF"/>
          </w:rPr>
          <w:t>https://doi.org/10.1086/382250</w:t>
        </w:r>
      </w:hyperlink>
      <w:r w:rsidRPr="003D23D0">
        <w:rPr>
          <w:rFonts w:cs="Arial"/>
          <w:color w:val="000000" w:themeColor="text1"/>
          <w:szCs w:val="22"/>
          <w:shd w:val="clear" w:color="auto" w:fill="FFFFFF"/>
        </w:rPr>
        <w:t xml:space="preserve">. </w:t>
      </w:r>
    </w:p>
    <w:p w14:paraId="6B7B9EC7"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Finlay, L., (2012). Debating phenomenological methods. In</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Hermeneutic phenomenology in education: Method and practice</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 xml:space="preserve">(pp. 17-37). Rotterdam: </w:t>
      </w:r>
      <w:proofErr w:type="spellStart"/>
      <w:r w:rsidRPr="003D23D0">
        <w:rPr>
          <w:rFonts w:cs="Arial"/>
          <w:color w:val="000000" w:themeColor="text1"/>
          <w:szCs w:val="22"/>
          <w:shd w:val="clear" w:color="auto" w:fill="FFFFFF"/>
        </w:rPr>
        <w:t>SensePublishers</w:t>
      </w:r>
      <w:proofErr w:type="spellEnd"/>
      <w:r w:rsidRPr="003D23D0">
        <w:rPr>
          <w:rFonts w:cs="Arial"/>
          <w:color w:val="000000" w:themeColor="text1"/>
          <w:szCs w:val="22"/>
          <w:shd w:val="clear" w:color="auto" w:fill="FFFFFF"/>
        </w:rPr>
        <w:t xml:space="preserve">. Available at: </w:t>
      </w:r>
      <w:hyperlink r:id="rId33" w:history="1">
        <w:r w:rsidRPr="003D23D0">
          <w:rPr>
            <w:rStyle w:val="Hyperlink"/>
            <w:rFonts w:cs="Arial"/>
            <w:color w:val="000000" w:themeColor="text1"/>
            <w:szCs w:val="22"/>
            <w:shd w:val="clear" w:color="auto" w:fill="FFFFFF"/>
          </w:rPr>
          <w:t>https://journals.library.ualberta.ca/pandpr/index.php/pandpr/article/download/19818/15336</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6 Nov. 2025).</w:t>
      </w:r>
    </w:p>
    <w:p w14:paraId="338427CF" w14:textId="6CB4B473" w:rsidR="00334658" w:rsidRPr="00334658" w:rsidRDefault="00334658" w:rsidP="003D23D0">
      <w:pPr>
        <w:spacing w:line="360" w:lineRule="auto"/>
        <w:rPr>
          <w:rFonts w:cs="Arial"/>
          <w:color w:val="000000" w:themeColor="text1"/>
          <w:szCs w:val="22"/>
          <w:shd w:val="clear" w:color="auto" w:fill="FFFFFF"/>
        </w:rPr>
      </w:pPr>
      <w:r w:rsidRPr="001D1EB8">
        <w:rPr>
          <w:rFonts w:cs="Arial"/>
          <w:color w:val="000000" w:themeColor="text1"/>
          <w:szCs w:val="22"/>
        </w:rPr>
        <w:lastRenderedPageBreak/>
        <w:br/>
        <w:t xml:space="preserve">Greenhalgh, T. </w:t>
      </w:r>
      <w:r w:rsidRPr="003D23D0">
        <w:rPr>
          <w:rFonts w:cs="Arial"/>
          <w:color w:val="000000" w:themeColor="text1"/>
          <w:szCs w:val="22"/>
        </w:rPr>
        <w:t>(</w:t>
      </w:r>
      <w:r w:rsidRPr="001D1EB8">
        <w:rPr>
          <w:rFonts w:cs="Arial"/>
          <w:color w:val="000000" w:themeColor="text1"/>
          <w:szCs w:val="22"/>
        </w:rPr>
        <w:t>2019</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How to Read a Paper: The Basics of Evidence-Based Medicine and Healthcare.</w:t>
      </w:r>
      <w:r w:rsidRPr="001D1EB8">
        <w:rPr>
          <w:rFonts w:cs="Arial"/>
          <w:color w:val="000000" w:themeColor="text1"/>
          <w:szCs w:val="22"/>
        </w:rPr>
        <w:t> 6th ed. Chichester: Wiley-Blackwell.</w:t>
      </w:r>
      <w:r w:rsidRPr="003D23D0">
        <w:rPr>
          <w:rFonts w:cs="Arial"/>
          <w:color w:val="000000" w:themeColor="text1"/>
          <w:szCs w:val="22"/>
        </w:rPr>
        <w:t xml:space="preserve"> </w:t>
      </w:r>
      <w:r w:rsidRPr="003D23D0">
        <w:rPr>
          <w:rFonts w:cs="Arial"/>
          <w:color w:val="000000" w:themeColor="text1"/>
          <w:szCs w:val="22"/>
          <w:shd w:val="clear" w:color="auto" w:fill="FFFFFF"/>
        </w:rPr>
        <w:t xml:space="preserve">Available at: </w:t>
      </w:r>
      <w:hyperlink r:id="rId34" w:history="1">
        <w:r w:rsidRPr="003D23D0">
          <w:rPr>
            <w:rStyle w:val="Hyperlink"/>
            <w:rFonts w:cs="Arial"/>
            <w:color w:val="000000" w:themeColor="text1"/>
            <w:szCs w:val="22"/>
            <w:shd w:val="clear" w:color="auto" w:fill="FFFFFF"/>
          </w:rPr>
          <w:t>https://content.e-bookshelf.de/media/reading/L-12549069-30fab85148.pdf</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10 Aug. 2025).</w:t>
      </w:r>
    </w:p>
    <w:p w14:paraId="6FF7FFD8"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Greenhalgh, T.M. and Dijkstra, P. (2024).</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How to Read a Paper: The Basics of Evidence-based Healthcare</w:t>
      </w:r>
      <w:r w:rsidRPr="003D23D0">
        <w:rPr>
          <w:rFonts w:cs="Arial"/>
          <w:color w:val="000000" w:themeColor="text1"/>
          <w:szCs w:val="22"/>
          <w:shd w:val="clear" w:color="auto" w:fill="FFFFFF"/>
        </w:rPr>
        <w:t xml:space="preserve">. John Wiley &amp; Sons. Available at: </w:t>
      </w:r>
      <w:hyperlink r:id="rId35" w:anchor="v=onepage&amp;q&amp;f=false" w:history="1">
        <w:r w:rsidRPr="003D23D0">
          <w:rPr>
            <w:rStyle w:val="Hyperlink"/>
            <w:rFonts w:cs="Arial"/>
            <w:color w:val="000000" w:themeColor="text1"/>
            <w:szCs w:val="22"/>
            <w:shd w:val="clear" w:color="auto" w:fill="FFFFFF"/>
          </w:rPr>
          <w:t>https://books.google.co.uk/books?hl=en&amp;lr=&amp;id=L_YvEQAAQBAJ&amp;oi=fnd&amp;pg=PR12&amp;dq=How+to+Read+a+Paper:+the+Basics+of+Evidence-Based+Healthcare,+7th+Edition&amp;ots=F28FSKoKI1&amp;sig=c4bPEIMzeXz-DpLKNnoKfaTiYSQ&amp;redir_esc=y#v=onepage&amp;q&amp;f=false</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20 Aug. 2025).</w:t>
      </w:r>
    </w:p>
    <w:p w14:paraId="181F04E5"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 xml:space="preserve">Greenwald, G. (2009). </w:t>
      </w:r>
      <w:r w:rsidRPr="003D23D0">
        <w:rPr>
          <w:rFonts w:cs="Arial"/>
          <w:i/>
          <w:iCs/>
          <w:color w:val="000000" w:themeColor="text1"/>
          <w:szCs w:val="22"/>
        </w:rPr>
        <w:t>Drug Decriminalization in Portugal: Lessons for Creating Fair and Successful Drug Policies.</w:t>
      </w:r>
      <w:r w:rsidRPr="003D23D0">
        <w:rPr>
          <w:rFonts w:cs="Arial"/>
          <w:color w:val="000000" w:themeColor="text1"/>
          <w:szCs w:val="22"/>
        </w:rPr>
        <w:t xml:space="preserve"> Washington DC: Cato Institute. Available at: </w:t>
      </w:r>
      <w:hyperlink r:id="rId36" w:history="1">
        <w:r w:rsidRPr="003D23D0">
          <w:rPr>
            <w:rStyle w:val="Hyperlink"/>
            <w:rFonts w:cs="Arial"/>
            <w:color w:val="000000" w:themeColor="text1"/>
            <w:szCs w:val="22"/>
          </w:rPr>
          <w:t>https://www.cato.org/publications/white-paper/drug-decriminalization-portugal-lessons-creating-fair-successful</w:t>
        </w:r>
      </w:hyperlink>
      <w:r w:rsidRPr="003D23D0">
        <w:rPr>
          <w:rFonts w:cs="Arial"/>
          <w:color w:val="000000" w:themeColor="text1"/>
          <w:szCs w:val="22"/>
        </w:rPr>
        <w:t xml:space="preserve"> (Accessed: 6 Nov. 2025). </w:t>
      </w:r>
    </w:p>
    <w:p w14:paraId="4384F427" w14:textId="77777777" w:rsidR="00334658" w:rsidRDefault="00334658" w:rsidP="00334658">
      <w:pPr>
        <w:spacing w:before="100" w:beforeAutospacing="1" w:after="100" w:afterAutospacing="1" w:line="360" w:lineRule="auto"/>
        <w:rPr>
          <w:rFonts w:cs="Arial"/>
          <w:color w:val="000000" w:themeColor="text1"/>
          <w:szCs w:val="22"/>
        </w:rPr>
      </w:pPr>
      <w:r w:rsidRPr="009C72BD">
        <w:rPr>
          <w:rFonts w:cs="Arial"/>
          <w:color w:val="000000" w:themeColor="text1"/>
          <w:szCs w:val="22"/>
        </w:rPr>
        <w:t>Hart, J.T. (1971) </w:t>
      </w:r>
      <w:r w:rsidRPr="009C72BD">
        <w:rPr>
          <w:rFonts w:cs="Arial"/>
          <w:i/>
          <w:iCs/>
          <w:color w:val="000000" w:themeColor="text1"/>
          <w:szCs w:val="22"/>
        </w:rPr>
        <w:t>The inverse care law.</w:t>
      </w:r>
      <w:r w:rsidRPr="009C72BD">
        <w:rPr>
          <w:rFonts w:cs="Arial"/>
          <w:color w:val="000000" w:themeColor="text1"/>
          <w:szCs w:val="22"/>
        </w:rPr>
        <w:t> The Lancet, 297(7696), pp.405–412.</w:t>
      </w:r>
    </w:p>
    <w:p w14:paraId="4B9661F6" w14:textId="665AC6AE" w:rsidR="00334658" w:rsidRPr="00334658" w:rsidRDefault="00334658" w:rsidP="00334658">
      <w:pPr>
        <w:spacing w:before="100" w:beforeAutospacing="1" w:after="100" w:afterAutospacing="1" w:line="360" w:lineRule="auto"/>
        <w:rPr>
          <w:rFonts w:cs="Arial"/>
          <w:color w:val="000000" w:themeColor="text1"/>
          <w:szCs w:val="22"/>
        </w:rPr>
      </w:pPr>
      <w:r w:rsidRPr="003D23D0">
        <w:rPr>
          <w:rFonts w:cs="Arial"/>
          <w:color w:val="000000" w:themeColor="text1"/>
          <w:szCs w:val="22"/>
          <w:shd w:val="clear" w:color="auto" w:fill="FFFFFF"/>
        </w:rPr>
        <w:t>Hartung, F.E. (1965) ‘Outsiders: Studies in the Sociology of Deviance’,</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Journal of criminal law, criminology &amp; police science</w:t>
      </w:r>
      <w:r w:rsidRPr="003D23D0">
        <w:rPr>
          <w:rFonts w:cs="Arial"/>
          <w:color w:val="000000" w:themeColor="text1"/>
          <w:szCs w:val="22"/>
          <w:shd w:val="clear" w:color="auto" w:fill="FFFFFF"/>
        </w:rPr>
        <w:t xml:space="preserve">. Williams &amp; Wilkins Company, pp. 230–231. Available at: </w:t>
      </w:r>
      <w:hyperlink r:id="rId37" w:history="1">
        <w:r w:rsidRPr="003D23D0">
          <w:rPr>
            <w:rStyle w:val="Hyperlink"/>
            <w:rFonts w:cs="Arial"/>
            <w:color w:val="000000" w:themeColor="text1"/>
            <w:szCs w:val="22"/>
            <w:shd w:val="clear" w:color="auto" w:fill="FFFFFF"/>
          </w:rPr>
          <w:t>https://doi.org/10.2307/1140513</w:t>
        </w:r>
      </w:hyperlink>
      <w:r w:rsidRPr="003D23D0">
        <w:rPr>
          <w:rFonts w:cs="Arial"/>
          <w:color w:val="000000" w:themeColor="text1"/>
          <w:szCs w:val="22"/>
          <w:shd w:val="clear" w:color="auto" w:fill="FFFFFF"/>
        </w:rPr>
        <w:t xml:space="preserve">. </w:t>
      </w:r>
      <w:r>
        <w:rPr>
          <w:rFonts w:cs="Arial"/>
          <w:color w:val="000000" w:themeColor="text1"/>
          <w:szCs w:val="22"/>
          <w:shd w:val="clear" w:color="auto" w:fill="FFFFFF"/>
        </w:rPr>
        <w:t xml:space="preserve"> </w:t>
      </w:r>
    </w:p>
    <w:p w14:paraId="6338F09C" w14:textId="77777777" w:rsidR="00334658" w:rsidRDefault="00334658" w:rsidP="003D23D0">
      <w:pPr>
        <w:spacing w:line="360" w:lineRule="auto"/>
        <w:rPr>
          <w:rFonts w:cs="Arial"/>
          <w:color w:val="000000" w:themeColor="text1"/>
          <w:szCs w:val="22"/>
        </w:rPr>
      </w:pPr>
      <w:proofErr w:type="spellStart"/>
      <w:r w:rsidRPr="003D23D0">
        <w:rPr>
          <w:rFonts w:cs="Arial"/>
          <w:color w:val="000000" w:themeColor="text1"/>
          <w:szCs w:val="22"/>
        </w:rPr>
        <w:t>Hatzenbuehler</w:t>
      </w:r>
      <w:proofErr w:type="spellEnd"/>
      <w:r w:rsidRPr="003D23D0">
        <w:rPr>
          <w:rFonts w:cs="Arial"/>
          <w:color w:val="000000" w:themeColor="text1"/>
          <w:szCs w:val="22"/>
        </w:rPr>
        <w:t>, M. L., Phelan, J.C. &amp; Link, B.G., (2013). ‘Stigma as a fundamental cause of population health inequalities.’ </w:t>
      </w:r>
      <w:r w:rsidRPr="003D23D0">
        <w:rPr>
          <w:rFonts w:cs="Arial"/>
          <w:i/>
          <w:iCs/>
          <w:color w:val="000000" w:themeColor="text1"/>
          <w:szCs w:val="22"/>
        </w:rPr>
        <w:t>American Journal of Public Health</w:t>
      </w:r>
      <w:r w:rsidRPr="003D23D0">
        <w:rPr>
          <w:rFonts w:cs="Arial"/>
          <w:color w:val="000000" w:themeColor="text1"/>
          <w:szCs w:val="22"/>
        </w:rPr>
        <w:t xml:space="preserve">, 103(5), pp.813-821. </w:t>
      </w:r>
      <w:r w:rsidRPr="003D23D0">
        <w:rPr>
          <w:rFonts w:cs="Arial"/>
          <w:color w:val="000000" w:themeColor="text1"/>
          <w:szCs w:val="22"/>
        </w:rPr>
        <w:br/>
        <w:t>Available at: </w:t>
      </w:r>
      <w:hyperlink r:id="rId38" w:tgtFrame="_new" w:history="1">
        <w:r w:rsidRPr="003D23D0">
          <w:rPr>
            <w:rFonts w:cs="Arial"/>
            <w:color w:val="000000" w:themeColor="text1"/>
            <w:szCs w:val="22"/>
            <w:u w:val="single"/>
          </w:rPr>
          <w:t>https://ajph.aphapublications.org/doi/10.2105/AJPH.2012.301069</w:t>
        </w:r>
      </w:hyperlink>
      <w:r w:rsidRPr="003D23D0">
        <w:rPr>
          <w:rFonts w:cs="Arial"/>
          <w:color w:val="000000" w:themeColor="text1"/>
          <w:szCs w:val="22"/>
        </w:rPr>
        <w:t> (Accessed: 6 Nov. 2025).</w:t>
      </w:r>
    </w:p>
    <w:p w14:paraId="592E90BC"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Home Office, (2025). </w:t>
      </w:r>
      <w:r w:rsidRPr="003D23D0">
        <w:rPr>
          <w:rFonts w:cs="Arial"/>
          <w:i/>
          <w:iCs/>
          <w:color w:val="000000" w:themeColor="text1"/>
          <w:szCs w:val="22"/>
        </w:rPr>
        <w:t>Misuse of Drugs Act 1971.</w:t>
      </w:r>
      <w:r w:rsidRPr="003D23D0">
        <w:rPr>
          <w:rFonts w:cs="Arial"/>
          <w:color w:val="000000" w:themeColor="text1"/>
          <w:szCs w:val="22"/>
        </w:rPr>
        <w:t> London: HMSO.</w:t>
      </w:r>
      <w:r w:rsidRPr="003D23D0">
        <w:rPr>
          <w:rFonts w:cs="Arial"/>
          <w:color w:val="000000" w:themeColor="text1"/>
          <w:szCs w:val="22"/>
        </w:rPr>
        <w:br/>
        <w:t>Available at: </w:t>
      </w:r>
      <w:hyperlink r:id="rId39" w:tgtFrame="_new" w:history="1">
        <w:r w:rsidRPr="003D23D0">
          <w:rPr>
            <w:rFonts w:cs="Arial"/>
            <w:color w:val="000000" w:themeColor="text1"/>
            <w:szCs w:val="22"/>
            <w:u w:val="single"/>
          </w:rPr>
          <w:t>https://www.legislation.gov.uk/ukpga/1971/38/contents/enacted</w:t>
        </w:r>
      </w:hyperlink>
      <w:r w:rsidRPr="003D23D0">
        <w:rPr>
          <w:rFonts w:cs="Arial"/>
          <w:color w:val="000000" w:themeColor="text1"/>
          <w:szCs w:val="22"/>
        </w:rPr>
        <w:t> (Accessed: 6 Nov. 2025).</w:t>
      </w:r>
    </w:p>
    <w:p w14:paraId="670C9F41" w14:textId="3C33FEAE"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Hughes, C. E. &amp; Stevens, A., (2010). ‘What can we learn from the Portuguese decriminalization of illicit drugs?’ </w:t>
      </w:r>
      <w:r w:rsidRPr="003D23D0">
        <w:rPr>
          <w:rFonts w:cs="Arial"/>
          <w:i/>
          <w:iCs/>
          <w:color w:val="000000" w:themeColor="text1"/>
          <w:szCs w:val="22"/>
        </w:rPr>
        <w:t>British Journal of Criminology</w:t>
      </w:r>
      <w:r w:rsidRPr="003D23D0">
        <w:rPr>
          <w:rFonts w:cs="Arial"/>
          <w:color w:val="000000" w:themeColor="text1"/>
          <w:szCs w:val="22"/>
        </w:rPr>
        <w:t xml:space="preserve">, 50(6), pp.999-1022. </w:t>
      </w:r>
      <w:r w:rsidRPr="003D23D0">
        <w:rPr>
          <w:rFonts w:cs="Arial"/>
          <w:color w:val="000000" w:themeColor="text1"/>
          <w:szCs w:val="22"/>
        </w:rPr>
        <w:br/>
        <w:t>Available at: </w:t>
      </w:r>
      <w:hyperlink r:id="rId40" w:history="1">
        <w:r w:rsidRPr="003D23D0">
          <w:rPr>
            <w:rStyle w:val="Hyperlink"/>
            <w:rFonts w:cs="Arial"/>
            <w:color w:val="000000" w:themeColor="text1"/>
            <w:szCs w:val="22"/>
          </w:rPr>
          <w:t>https://academic.oup.com/bjc/article/50/6/999/608687</w:t>
        </w:r>
      </w:hyperlink>
      <w:r w:rsidRPr="003D23D0">
        <w:rPr>
          <w:rFonts w:cs="Arial"/>
          <w:color w:val="000000" w:themeColor="text1"/>
          <w:szCs w:val="22"/>
        </w:rPr>
        <w:t xml:space="preserve"> (Accessed: 6 Nov. 2025).</w:t>
      </w:r>
      <w:r w:rsidRPr="002D4C10">
        <w:rPr>
          <w:rFonts w:cs="Arial"/>
          <w:color w:val="000000" w:themeColor="text1"/>
          <w:szCs w:val="22"/>
        </w:rPr>
        <w:br/>
        <w:t>Hughes, K. et al., 2017. ‘The effect of multiple adverse childhood experiences on health: a systematic review and meta-analysis’, </w:t>
      </w:r>
      <w:r w:rsidRPr="002D4C10">
        <w:rPr>
          <w:rFonts w:cs="Arial"/>
          <w:i/>
          <w:iCs/>
          <w:color w:val="000000" w:themeColor="text1"/>
          <w:szCs w:val="22"/>
        </w:rPr>
        <w:t>The Lancet Public Health</w:t>
      </w:r>
      <w:r w:rsidRPr="002D4C10">
        <w:rPr>
          <w:rFonts w:cs="Arial"/>
          <w:color w:val="000000" w:themeColor="text1"/>
          <w:szCs w:val="22"/>
        </w:rPr>
        <w:t xml:space="preserve">, 2(8), e356–e366. </w:t>
      </w:r>
      <w:hyperlink r:id="rId41" w:history="1">
        <w:r w:rsidRPr="003D23D0">
          <w:rPr>
            <w:rStyle w:val="Hyperlink"/>
            <w:rFonts w:cs="Arial"/>
            <w:color w:val="000000" w:themeColor="text1"/>
            <w:szCs w:val="22"/>
          </w:rPr>
          <w:t>https://</w:t>
        </w:r>
        <w:r w:rsidRPr="002D4C10">
          <w:rPr>
            <w:rStyle w:val="Hyperlink"/>
            <w:rFonts w:cs="Arial"/>
            <w:color w:val="000000" w:themeColor="text1"/>
            <w:szCs w:val="22"/>
          </w:rPr>
          <w:t>doi:10.1016/S2468-2667</w:t>
        </w:r>
        <w:r w:rsidRPr="003D23D0">
          <w:rPr>
            <w:rStyle w:val="Hyperlink"/>
            <w:rFonts w:cs="Arial"/>
            <w:color w:val="000000" w:themeColor="text1"/>
            <w:szCs w:val="22"/>
          </w:rPr>
          <w:t xml:space="preserve"> </w:t>
        </w:r>
        <w:r w:rsidRPr="002D4C10">
          <w:rPr>
            <w:rStyle w:val="Hyperlink"/>
            <w:rFonts w:cs="Arial"/>
            <w:color w:val="000000" w:themeColor="text1"/>
            <w:szCs w:val="22"/>
          </w:rPr>
          <w:t>(17)30118-4</w:t>
        </w:r>
      </w:hyperlink>
      <w:r w:rsidRPr="002D4C10">
        <w:rPr>
          <w:rFonts w:cs="Arial"/>
          <w:color w:val="000000" w:themeColor="text1"/>
          <w:szCs w:val="22"/>
        </w:rPr>
        <w:t>.</w:t>
      </w:r>
      <w:r w:rsidRPr="003D23D0">
        <w:rPr>
          <w:rFonts w:cs="Arial"/>
          <w:color w:val="000000" w:themeColor="text1"/>
          <w:szCs w:val="22"/>
        </w:rPr>
        <w:t xml:space="preserve"> </w:t>
      </w:r>
    </w:p>
    <w:p w14:paraId="6A466A8F"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Hughes, K., Bellis, M.A., Hardcastle, K.A., et al. (2017) </w:t>
      </w:r>
      <w:r w:rsidRPr="009C72BD">
        <w:rPr>
          <w:rFonts w:cs="Arial"/>
          <w:i/>
          <w:iCs/>
          <w:color w:val="000000" w:themeColor="text1"/>
          <w:szCs w:val="22"/>
        </w:rPr>
        <w:t>The effect of multiple adverse childhood experiences on health: A systematic review and meta-analysis.</w:t>
      </w:r>
      <w:r w:rsidRPr="009C72BD">
        <w:rPr>
          <w:rFonts w:cs="Arial"/>
          <w:color w:val="000000" w:themeColor="text1"/>
          <w:szCs w:val="22"/>
        </w:rPr>
        <w:t xml:space="preserve"> The Lancet Public Health, 2(8), </w:t>
      </w:r>
      <w:proofErr w:type="gramStart"/>
      <w:r w:rsidRPr="009C72BD">
        <w:rPr>
          <w:rFonts w:cs="Arial"/>
          <w:color w:val="000000" w:themeColor="text1"/>
          <w:szCs w:val="22"/>
        </w:rPr>
        <w:t>pp.e</w:t>
      </w:r>
      <w:proofErr w:type="gramEnd"/>
      <w:r w:rsidRPr="009C72BD">
        <w:rPr>
          <w:rFonts w:cs="Arial"/>
          <w:color w:val="000000" w:themeColor="text1"/>
          <w:szCs w:val="22"/>
        </w:rPr>
        <w:t>356–e366.</w:t>
      </w:r>
    </w:p>
    <w:p w14:paraId="2A72EA02"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lastRenderedPageBreak/>
        <w:br/>
        <w:t xml:space="preserve">Hughes, K., Bellis, M.A., Hardcastle, K.A., Sethi, D., Butchart, A., </w:t>
      </w:r>
      <w:proofErr w:type="spellStart"/>
      <w:r w:rsidRPr="003D23D0">
        <w:rPr>
          <w:rFonts w:cs="Arial"/>
          <w:color w:val="000000" w:themeColor="text1"/>
          <w:szCs w:val="22"/>
        </w:rPr>
        <w:t>Mikton</w:t>
      </w:r>
      <w:proofErr w:type="spellEnd"/>
      <w:r w:rsidRPr="003D23D0">
        <w:rPr>
          <w:rFonts w:cs="Arial"/>
          <w:color w:val="000000" w:themeColor="text1"/>
          <w:szCs w:val="22"/>
        </w:rPr>
        <w:t>, C., Jones, L. &amp; Dunne, M.P., (2017). The effect of multiple adverse childhood experiences on health: a systematic review and meta-analysis. </w:t>
      </w:r>
      <w:r w:rsidRPr="003D23D0">
        <w:rPr>
          <w:rFonts w:cs="Arial"/>
          <w:i/>
          <w:iCs/>
          <w:color w:val="000000" w:themeColor="text1"/>
          <w:szCs w:val="22"/>
        </w:rPr>
        <w:t>The Lancet Public Health</w:t>
      </w:r>
      <w:r w:rsidRPr="003D23D0">
        <w:rPr>
          <w:rFonts w:cs="Arial"/>
          <w:color w:val="000000" w:themeColor="text1"/>
          <w:szCs w:val="22"/>
        </w:rPr>
        <w:t>, 2(8), e356-e366. doi:10.1016/S2468-2667(17)30118-4. Available at: </w:t>
      </w:r>
      <w:hyperlink r:id="rId42" w:history="1">
        <w:r w:rsidRPr="003D23D0">
          <w:rPr>
            <w:rStyle w:val="Hyperlink"/>
            <w:rFonts w:cs="Arial"/>
            <w:color w:val="000000" w:themeColor="text1"/>
            <w:szCs w:val="22"/>
          </w:rPr>
          <w:t>https://www.thelancet.com/journals/lanpub/article/PIIS2468-2667(17)30118-4/fulltext</w:t>
        </w:r>
      </w:hyperlink>
      <w:r w:rsidRPr="003D23D0">
        <w:rPr>
          <w:rFonts w:cs="Arial"/>
          <w:color w:val="000000" w:themeColor="text1"/>
          <w:szCs w:val="22"/>
        </w:rPr>
        <w:t xml:space="preserve"> (Accessed 5 Nov. 2025).</w:t>
      </w:r>
    </w:p>
    <w:p w14:paraId="15882473" w14:textId="77777777" w:rsidR="00334658" w:rsidRPr="003D23D0"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Institute of Health Equity (2023) </w:t>
      </w:r>
      <w:r w:rsidRPr="00935115">
        <w:rPr>
          <w:rFonts w:cs="Arial"/>
          <w:i/>
          <w:iCs/>
          <w:color w:val="000000" w:themeColor="text1"/>
          <w:szCs w:val="22"/>
        </w:rPr>
        <w:t>Health Equity in England: The Marmot Review 10 Years On – Update.</w:t>
      </w:r>
      <w:r w:rsidRPr="00935115">
        <w:rPr>
          <w:rFonts w:cs="Arial"/>
          <w:color w:val="000000" w:themeColor="text1"/>
          <w:szCs w:val="22"/>
        </w:rPr>
        <w:t> London: UCL.</w:t>
      </w:r>
      <w:r w:rsidRPr="003D23D0">
        <w:rPr>
          <w:rFonts w:cs="Arial"/>
          <w:color w:val="000000" w:themeColor="text1"/>
          <w:szCs w:val="22"/>
        </w:rPr>
        <w:t xml:space="preserve"> Available at: </w:t>
      </w:r>
      <w:hyperlink r:id="rId43" w:history="1">
        <w:r w:rsidRPr="003D23D0">
          <w:rPr>
            <w:rStyle w:val="Hyperlink"/>
            <w:rFonts w:cs="Arial"/>
            <w:color w:val="000000" w:themeColor="text1"/>
            <w:szCs w:val="22"/>
          </w:rPr>
          <w:t>https://www.instituteofhealthequity.org/resources-reports/fair-society-healthy-lives-the-marmot-review</w:t>
        </w:r>
      </w:hyperlink>
      <w:r w:rsidRPr="003D23D0">
        <w:rPr>
          <w:rFonts w:cs="Arial"/>
          <w:color w:val="000000" w:themeColor="text1"/>
          <w:szCs w:val="22"/>
        </w:rPr>
        <w:t xml:space="preserve"> (Accessed 16 Sep. 2025).</w:t>
      </w:r>
    </w:p>
    <w:p w14:paraId="22EAFB76"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Joseph Rowntree Foundation (2023) </w:t>
      </w:r>
      <w:r w:rsidRPr="009C72BD">
        <w:rPr>
          <w:rFonts w:cs="Arial"/>
          <w:i/>
          <w:iCs/>
          <w:color w:val="000000" w:themeColor="text1"/>
          <w:szCs w:val="22"/>
        </w:rPr>
        <w:t>UK Poverty 2023: The essential overview.</w:t>
      </w:r>
      <w:r w:rsidRPr="009C72BD">
        <w:rPr>
          <w:rFonts w:cs="Arial"/>
          <w:color w:val="000000" w:themeColor="text1"/>
          <w:szCs w:val="22"/>
        </w:rPr>
        <w:t xml:space="preserve"> JRF. Available at: https://www.jrf.org.uk/report/UK-poverty-2023 (Accessed: </w:t>
      </w:r>
      <w:r>
        <w:rPr>
          <w:rFonts w:cs="Arial"/>
          <w:color w:val="000000" w:themeColor="text1"/>
          <w:szCs w:val="22"/>
        </w:rPr>
        <w:t>10</w:t>
      </w:r>
      <w:r w:rsidRPr="009C72BD">
        <w:rPr>
          <w:rFonts w:cs="Arial"/>
          <w:color w:val="000000" w:themeColor="text1"/>
          <w:szCs w:val="22"/>
        </w:rPr>
        <w:t xml:space="preserve"> Nov 202</w:t>
      </w:r>
      <w:r>
        <w:rPr>
          <w:rFonts w:cs="Arial"/>
          <w:color w:val="000000" w:themeColor="text1"/>
          <w:szCs w:val="22"/>
        </w:rPr>
        <w:t>5</w:t>
      </w:r>
      <w:r w:rsidRPr="009C72BD">
        <w:rPr>
          <w:rFonts w:cs="Arial"/>
          <w:color w:val="000000" w:themeColor="text1"/>
          <w:szCs w:val="22"/>
        </w:rPr>
        <w:t>).</w:t>
      </w:r>
    </w:p>
    <w:p w14:paraId="2BBDB3BD" w14:textId="77777777" w:rsidR="00334658" w:rsidRDefault="00334658" w:rsidP="003D23D0">
      <w:pPr>
        <w:spacing w:line="360" w:lineRule="auto"/>
        <w:rPr>
          <w:rFonts w:cs="Arial"/>
          <w:color w:val="000000" w:themeColor="text1"/>
          <w:szCs w:val="22"/>
          <w:shd w:val="clear" w:color="auto" w:fill="FFFFFF"/>
        </w:rPr>
      </w:pPr>
      <w:proofErr w:type="spellStart"/>
      <w:r w:rsidRPr="003D23D0">
        <w:rPr>
          <w:rFonts w:cs="Arial"/>
          <w:color w:val="000000" w:themeColor="text1"/>
          <w:szCs w:val="22"/>
          <w:shd w:val="clear" w:color="auto" w:fill="FFFFFF"/>
        </w:rPr>
        <w:t>Karamanos</w:t>
      </w:r>
      <w:proofErr w:type="spellEnd"/>
      <w:r w:rsidRPr="003D23D0">
        <w:rPr>
          <w:rFonts w:cs="Arial"/>
          <w:color w:val="000000" w:themeColor="text1"/>
          <w:szCs w:val="22"/>
          <w:shd w:val="clear" w:color="auto" w:fill="FFFFFF"/>
        </w:rPr>
        <w:t>, A.</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(2022) ‘Adverse childhood experiences and adolescent drug use in the UK: The moderating role of socioeconomic position and ethnicity’,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SSM - population health</w:t>
      </w:r>
      <w:r w:rsidRPr="003D23D0">
        <w:rPr>
          <w:rFonts w:cs="Arial"/>
          <w:color w:val="000000" w:themeColor="text1"/>
          <w:szCs w:val="22"/>
          <w:shd w:val="clear" w:color="auto" w:fill="FFFFFF"/>
        </w:rPr>
        <w:t xml:space="preserve">, 19. Available at: </w:t>
      </w:r>
      <w:hyperlink r:id="rId44" w:history="1">
        <w:r w:rsidRPr="003D23D0">
          <w:rPr>
            <w:rStyle w:val="Hyperlink"/>
            <w:rFonts w:cs="Arial"/>
            <w:color w:val="000000" w:themeColor="text1"/>
            <w:szCs w:val="22"/>
            <w:shd w:val="clear" w:color="auto" w:fill="FFFFFF"/>
          </w:rPr>
          <w:t>https://doi.org/10.1016/j.ssmph.2022.101142</w:t>
        </w:r>
      </w:hyperlink>
      <w:r w:rsidRPr="003D23D0">
        <w:rPr>
          <w:rFonts w:cs="Arial"/>
          <w:color w:val="000000" w:themeColor="text1"/>
          <w:szCs w:val="22"/>
          <w:shd w:val="clear" w:color="auto" w:fill="FFFFFF"/>
        </w:rPr>
        <w:t xml:space="preserve">. </w:t>
      </w:r>
    </w:p>
    <w:p w14:paraId="27A51348"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Kerr, T., Mitra, S., Kennedy, M. C. &amp; McNeil, R., (2017). ‘Supervised injection facilities in Canada: past, present, and future.’ </w:t>
      </w:r>
      <w:r w:rsidRPr="003D23D0">
        <w:rPr>
          <w:rFonts w:cs="Arial"/>
          <w:i/>
          <w:iCs/>
          <w:color w:val="000000" w:themeColor="text1"/>
          <w:szCs w:val="22"/>
        </w:rPr>
        <w:t>Harm Reduction Journal</w:t>
      </w:r>
      <w:r w:rsidRPr="003D23D0">
        <w:rPr>
          <w:rFonts w:cs="Arial"/>
          <w:color w:val="000000" w:themeColor="text1"/>
          <w:szCs w:val="22"/>
        </w:rPr>
        <w:t>, 14(28). doi:10.1186/s12954-017-0154-1. Available at: </w:t>
      </w:r>
      <w:hyperlink r:id="rId45" w:tgtFrame="_new" w:history="1">
        <w:r w:rsidRPr="003D23D0">
          <w:rPr>
            <w:rFonts w:cs="Arial"/>
            <w:color w:val="000000" w:themeColor="text1"/>
            <w:szCs w:val="22"/>
            <w:u w:val="single"/>
          </w:rPr>
          <w:t>https://harmreductionjournal.biomedcentral.com/articles/10.1186/s12954-017-0154-1</w:t>
        </w:r>
      </w:hyperlink>
      <w:r w:rsidRPr="003D23D0">
        <w:rPr>
          <w:rFonts w:cs="Arial"/>
          <w:color w:val="000000" w:themeColor="text1"/>
          <w:szCs w:val="22"/>
        </w:rPr>
        <w:t> (Accessed: 6 Nov. 2025).</w:t>
      </w:r>
    </w:p>
    <w:p w14:paraId="02E17EC9" w14:textId="77777777" w:rsidR="00334658" w:rsidRPr="003D23D0" w:rsidRDefault="00334658" w:rsidP="003D23D0">
      <w:pPr>
        <w:spacing w:after="240" w:line="360" w:lineRule="auto"/>
        <w:rPr>
          <w:rFonts w:cs="Arial"/>
          <w:color w:val="000000" w:themeColor="text1"/>
          <w:szCs w:val="22"/>
        </w:rPr>
      </w:pPr>
      <w:proofErr w:type="spellStart"/>
      <w:r w:rsidRPr="00BA4FAC">
        <w:rPr>
          <w:rFonts w:cs="Arial"/>
          <w:color w:val="000000" w:themeColor="text1"/>
          <w:szCs w:val="22"/>
        </w:rPr>
        <w:t>Khantzian</w:t>
      </w:r>
      <w:proofErr w:type="spellEnd"/>
      <w:r w:rsidRPr="00BA4FAC">
        <w:rPr>
          <w:rFonts w:cs="Arial"/>
          <w:color w:val="000000" w:themeColor="text1"/>
          <w:szCs w:val="22"/>
        </w:rPr>
        <w:t>, E.J. (1997). The self-medication Hypothesis of Substance Use disorders: a Reconsideration and Recent Applications. </w:t>
      </w:r>
      <w:r w:rsidRPr="00BA4FAC">
        <w:rPr>
          <w:rFonts w:cs="Arial"/>
          <w:i/>
          <w:iCs/>
          <w:color w:val="000000" w:themeColor="text1"/>
          <w:szCs w:val="22"/>
        </w:rPr>
        <w:t>Harvard Review of Psychiatry</w:t>
      </w:r>
      <w:r w:rsidRPr="00BA4FAC">
        <w:rPr>
          <w:rFonts w:cs="Arial"/>
          <w:color w:val="000000" w:themeColor="text1"/>
          <w:szCs w:val="22"/>
        </w:rPr>
        <w:t xml:space="preserve">, 4(5), pp.231–244. </w:t>
      </w:r>
      <w:r w:rsidRPr="003D23D0">
        <w:rPr>
          <w:rFonts w:cs="Arial"/>
          <w:color w:val="000000" w:themeColor="text1"/>
          <w:szCs w:val="22"/>
        </w:rPr>
        <w:t xml:space="preserve">Available at: </w:t>
      </w:r>
      <w:proofErr w:type="gramStart"/>
      <w:r w:rsidRPr="00BA4FAC">
        <w:rPr>
          <w:rFonts w:cs="Arial"/>
          <w:color w:val="000000" w:themeColor="text1"/>
          <w:szCs w:val="22"/>
        </w:rPr>
        <w:t>doi:https://doi.org/10.3109/10673229709030550</w:t>
      </w:r>
      <w:proofErr w:type="gramEnd"/>
      <w:r w:rsidRPr="00BA4FAC">
        <w:rPr>
          <w:rFonts w:cs="Arial"/>
          <w:color w:val="000000" w:themeColor="text1"/>
          <w:szCs w:val="22"/>
        </w:rPr>
        <w:t>.</w:t>
      </w:r>
      <w:r w:rsidRPr="003D23D0">
        <w:rPr>
          <w:rFonts w:cs="Arial"/>
          <w:color w:val="000000" w:themeColor="text1"/>
          <w:szCs w:val="22"/>
        </w:rPr>
        <w:t xml:space="preserve"> </w:t>
      </w:r>
    </w:p>
    <w:p w14:paraId="1FC99F64" w14:textId="77777777" w:rsidR="00334658" w:rsidRDefault="00334658" w:rsidP="003D23D0">
      <w:pPr>
        <w:spacing w:line="360" w:lineRule="auto"/>
        <w:rPr>
          <w:rFonts w:cs="Arial"/>
          <w:color w:val="000000" w:themeColor="text1"/>
          <w:szCs w:val="22"/>
          <w:shd w:val="clear" w:color="auto" w:fill="FFFFFF"/>
        </w:rPr>
      </w:pPr>
      <w:proofErr w:type="spellStart"/>
      <w:r w:rsidRPr="003D23D0">
        <w:rPr>
          <w:rFonts w:cs="Arial"/>
          <w:color w:val="000000" w:themeColor="text1"/>
          <w:szCs w:val="22"/>
          <w:shd w:val="clear" w:color="auto" w:fill="FFFFFF"/>
        </w:rPr>
        <w:t>Kwong</w:t>
      </w:r>
      <w:proofErr w:type="spellEnd"/>
      <w:r w:rsidRPr="003D23D0">
        <w:rPr>
          <w:rFonts w:cs="Arial"/>
          <w:color w:val="000000" w:themeColor="text1"/>
          <w:szCs w:val="22"/>
          <w:shd w:val="clear" w:color="auto" w:fill="FFFFFF"/>
        </w:rPr>
        <w:t>, A.S.F.</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(2021) ‘Mental health before and during the COVID-19 pandemic in two longitudinal UK population cohorts’,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British journal of psychiatry</w:t>
      </w:r>
      <w:r w:rsidRPr="003D23D0">
        <w:rPr>
          <w:rFonts w:cs="Arial"/>
          <w:color w:val="000000" w:themeColor="text1"/>
          <w:szCs w:val="22"/>
          <w:shd w:val="clear" w:color="auto" w:fill="FFFFFF"/>
        </w:rPr>
        <w:t xml:space="preserve">, 218(6), pp. 334–343. Available at: </w:t>
      </w:r>
      <w:hyperlink r:id="rId46" w:history="1">
        <w:r w:rsidRPr="003D23D0">
          <w:rPr>
            <w:rStyle w:val="Hyperlink"/>
            <w:rFonts w:cs="Arial"/>
            <w:color w:val="000000" w:themeColor="text1"/>
            <w:szCs w:val="22"/>
            <w:shd w:val="clear" w:color="auto" w:fill="FFFFFF"/>
          </w:rPr>
          <w:t>https://doi.org/10.1192/bjp.2020.242</w:t>
        </w:r>
      </w:hyperlink>
      <w:r w:rsidRPr="003D23D0">
        <w:rPr>
          <w:rFonts w:cs="Arial"/>
          <w:color w:val="000000" w:themeColor="text1"/>
          <w:szCs w:val="22"/>
          <w:shd w:val="clear" w:color="auto" w:fill="FFFFFF"/>
        </w:rPr>
        <w:t>.</w:t>
      </w:r>
    </w:p>
    <w:p w14:paraId="14F485EA"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Lister, R. and Deacon, A. (2004) ‘Poverty’,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 xml:space="preserve">Social policy and </w:t>
      </w:r>
      <w:proofErr w:type="gramStart"/>
      <w:r w:rsidRPr="003D23D0">
        <w:rPr>
          <w:rFonts w:cs="Arial"/>
          <w:i/>
          <w:iCs/>
          <w:color w:val="000000" w:themeColor="text1"/>
          <w:szCs w:val="22"/>
        </w:rPr>
        <w:t>society :</w:t>
      </w:r>
      <w:proofErr w:type="gramEnd"/>
      <w:r w:rsidRPr="003D23D0">
        <w:rPr>
          <w:rFonts w:cs="Arial"/>
          <w:i/>
          <w:iCs/>
          <w:color w:val="000000" w:themeColor="text1"/>
          <w:szCs w:val="22"/>
        </w:rPr>
        <w:t xml:space="preserve"> a journal of the Social Policy Association</w:t>
      </w:r>
      <w:r w:rsidRPr="003D23D0">
        <w:rPr>
          <w:rFonts w:cs="Arial"/>
          <w:color w:val="000000" w:themeColor="text1"/>
          <w:szCs w:val="22"/>
          <w:shd w:val="clear" w:color="auto" w:fill="FFFFFF"/>
        </w:rPr>
        <w:t>, pp. 447–455.</w:t>
      </w:r>
    </w:p>
    <w:p w14:paraId="03C23089"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Lloyd, C., King, R. and Moore, L. (2019) </w:t>
      </w:r>
      <w:r w:rsidRPr="009C72BD">
        <w:rPr>
          <w:rFonts w:cs="Arial"/>
          <w:i/>
          <w:iCs/>
          <w:color w:val="000000" w:themeColor="text1"/>
          <w:szCs w:val="22"/>
        </w:rPr>
        <w:t xml:space="preserve">Subjective barriers to accessing mental health services: A qualitative </w:t>
      </w:r>
      <w:proofErr w:type="spellStart"/>
      <w:proofErr w:type="gramStart"/>
      <w:r w:rsidRPr="009C72BD">
        <w:rPr>
          <w:rFonts w:cs="Arial"/>
          <w:i/>
          <w:iCs/>
          <w:color w:val="000000" w:themeColor="text1"/>
          <w:szCs w:val="22"/>
        </w:rPr>
        <w:t>review.</w:t>
      </w:r>
      <w:r w:rsidRPr="009C72BD">
        <w:rPr>
          <w:rFonts w:cs="Arial"/>
          <w:color w:val="000000" w:themeColor="text1"/>
          <w:szCs w:val="22"/>
        </w:rPr>
        <w:t>Journal</w:t>
      </w:r>
      <w:proofErr w:type="spellEnd"/>
      <w:proofErr w:type="gramEnd"/>
      <w:r w:rsidRPr="009C72BD">
        <w:rPr>
          <w:rFonts w:cs="Arial"/>
          <w:color w:val="000000" w:themeColor="text1"/>
          <w:szCs w:val="22"/>
        </w:rPr>
        <w:t xml:space="preserve"> of Mental Health, 28(3), pp.234–245.</w:t>
      </w:r>
    </w:p>
    <w:p w14:paraId="07E349C4" w14:textId="5026AE50" w:rsidR="00334658" w:rsidRDefault="00334658" w:rsidP="00334658">
      <w:pPr>
        <w:spacing w:before="100" w:beforeAutospacing="1" w:after="100" w:afterAutospacing="1" w:line="360" w:lineRule="auto"/>
        <w:rPr>
          <w:rFonts w:cs="Arial"/>
          <w:color w:val="000000" w:themeColor="text1"/>
          <w:szCs w:val="22"/>
        </w:rPr>
      </w:pPr>
      <w:r w:rsidRPr="00935115">
        <w:rPr>
          <w:rFonts w:cs="Arial"/>
          <w:color w:val="000000" w:themeColor="text1"/>
          <w:szCs w:val="22"/>
        </w:rPr>
        <w:t>Lloyd, C., Steadman, K., and Murphy, H. (2019) </w:t>
      </w:r>
      <w:r w:rsidRPr="00935115">
        <w:rPr>
          <w:rFonts w:cs="Arial"/>
          <w:i/>
          <w:iCs/>
          <w:color w:val="000000" w:themeColor="text1"/>
          <w:szCs w:val="22"/>
        </w:rPr>
        <w:t>Insecure Work and Mental Health: Evidence Review.</w:t>
      </w:r>
      <w:r w:rsidRPr="00935115">
        <w:rPr>
          <w:rFonts w:cs="Arial"/>
          <w:color w:val="000000" w:themeColor="text1"/>
          <w:szCs w:val="22"/>
        </w:rPr>
        <w:t> The Work Foundation. Available at: </w:t>
      </w:r>
      <w:hyperlink r:id="rId47" w:tgtFrame="_new" w:history="1">
        <w:r w:rsidRPr="00935115">
          <w:rPr>
            <w:rFonts w:cs="Arial"/>
            <w:color w:val="000000" w:themeColor="text1"/>
            <w:szCs w:val="22"/>
            <w:u w:val="single"/>
          </w:rPr>
          <w:t>https://www.theworkfoundation.com</w:t>
        </w:r>
      </w:hyperlink>
      <w:r w:rsidRPr="00935115">
        <w:rPr>
          <w:rFonts w:cs="Arial"/>
          <w:color w:val="000000" w:themeColor="text1"/>
          <w:szCs w:val="22"/>
        </w:rPr>
        <w:t> (Accessed: 5 June 2025).</w:t>
      </w:r>
      <w:r w:rsidRPr="002D4C10">
        <w:rPr>
          <w:rFonts w:cs="Arial"/>
          <w:color w:val="000000" w:themeColor="text1"/>
          <w:szCs w:val="22"/>
        </w:rPr>
        <w:br/>
        <w:t xml:space="preserve">Lloyd, C., Waghorn, G. &amp; Williams, P.L., </w:t>
      </w:r>
      <w:r w:rsidRPr="003D23D0">
        <w:rPr>
          <w:rFonts w:cs="Arial"/>
          <w:color w:val="000000" w:themeColor="text1"/>
          <w:szCs w:val="22"/>
        </w:rPr>
        <w:t>(</w:t>
      </w:r>
      <w:r w:rsidRPr="002D4C10">
        <w:rPr>
          <w:rFonts w:cs="Arial"/>
          <w:color w:val="000000" w:themeColor="text1"/>
          <w:szCs w:val="22"/>
        </w:rPr>
        <w:t>2019</w:t>
      </w:r>
      <w:r w:rsidRPr="003D23D0">
        <w:rPr>
          <w:rFonts w:cs="Arial"/>
          <w:color w:val="000000" w:themeColor="text1"/>
          <w:szCs w:val="22"/>
        </w:rPr>
        <w:t>)</w:t>
      </w:r>
      <w:r w:rsidRPr="002D4C10">
        <w:rPr>
          <w:rFonts w:cs="Arial"/>
          <w:color w:val="000000" w:themeColor="text1"/>
          <w:szCs w:val="22"/>
        </w:rPr>
        <w:t xml:space="preserve">. ‘The role of social and economic factors in </w:t>
      </w:r>
      <w:r w:rsidRPr="002D4C10">
        <w:rPr>
          <w:rFonts w:cs="Arial"/>
          <w:color w:val="000000" w:themeColor="text1"/>
          <w:szCs w:val="22"/>
        </w:rPr>
        <w:lastRenderedPageBreak/>
        <w:t>recovery from addiction’, </w:t>
      </w:r>
      <w:r w:rsidRPr="002D4C10">
        <w:rPr>
          <w:rFonts w:cs="Arial"/>
          <w:i/>
          <w:iCs/>
          <w:color w:val="000000" w:themeColor="text1"/>
          <w:szCs w:val="22"/>
        </w:rPr>
        <w:t>Addiction Research &amp; Theory</w:t>
      </w:r>
      <w:r w:rsidRPr="002D4C10">
        <w:rPr>
          <w:rFonts w:cs="Arial"/>
          <w:color w:val="000000" w:themeColor="text1"/>
          <w:szCs w:val="22"/>
        </w:rPr>
        <w:t xml:space="preserve">, 27(1), pp.1–9. </w:t>
      </w:r>
      <w:r w:rsidRPr="003D23D0">
        <w:rPr>
          <w:rFonts w:cs="Arial"/>
          <w:color w:val="000000" w:themeColor="text1"/>
          <w:szCs w:val="22"/>
        </w:rPr>
        <w:t>Available at: </w:t>
      </w:r>
      <w:hyperlink r:id="rId48" w:history="1">
        <w:r w:rsidRPr="003D23D0">
          <w:rPr>
            <w:rStyle w:val="Hyperlink"/>
            <w:rFonts w:cs="Arial"/>
            <w:color w:val="000000" w:themeColor="text1"/>
            <w:szCs w:val="22"/>
          </w:rPr>
          <w:t>https://</w:t>
        </w:r>
        <w:r w:rsidRPr="002D4C10">
          <w:rPr>
            <w:rStyle w:val="Hyperlink"/>
            <w:rFonts w:cs="Arial"/>
            <w:color w:val="000000" w:themeColor="text1"/>
            <w:szCs w:val="22"/>
          </w:rPr>
          <w:t>doi:10.1080/16066359.2018.1478429</w:t>
        </w:r>
      </w:hyperlink>
      <w:r w:rsidRPr="002D4C10">
        <w:rPr>
          <w:rFonts w:cs="Arial"/>
          <w:color w:val="000000" w:themeColor="text1"/>
          <w:szCs w:val="22"/>
        </w:rPr>
        <w:t>.</w:t>
      </w:r>
      <w:r w:rsidRPr="003D23D0">
        <w:rPr>
          <w:rFonts w:cs="Arial"/>
          <w:color w:val="000000" w:themeColor="text1"/>
          <w:szCs w:val="22"/>
        </w:rPr>
        <w:t xml:space="preserve"> </w:t>
      </w:r>
    </w:p>
    <w:p w14:paraId="3591A039" w14:textId="77777777" w:rsidR="00334658" w:rsidRPr="003D23D0" w:rsidRDefault="00334658" w:rsidP="003D23D0">
      <w:pPr>
        <w:spacing w:after="240" w:line="360" w:lineRule="auto"/>
        <w:rPr>
          <w:rFonts w:cs="Arial"/>
          <w:color w:val="000000" w:themeColor="text1"/>
          <w:szCs w:val="22"/>
        </w:rPr>
      </w:pPr>
      <w:r w:rsidRPr="00353708">
        <w:rPr>
          <w:rFonts w:cs="Arial"/>
          <w:color w:val="000000" w:themeColor="text1"/>
          <w:szCs w:val="22"/>
        </w:rPr>
        <w:t>Marmot, M., Allen, J., Boyce, T., Goldblatt, P. and Morrison, J. (2020). </w:t>
      </w:r>
      <w:r w:rsidRPr="00353708">
        <w:rPr>
          <w:rFonts w:cs="Arial"/>
          <w:i/>
          <w:iCs/>
          <w:color w:val="000000" w:themeColor="text1"/>
          <w:szCs w:val="22"/>
        </w:rPr>
        <w:t xml:space="preserve">Health Equity in England: </w:t>
      </w:r>
      <w:proofErr w:type="gramStart"/>
      <w:r w:rsidRPr="00353708">
        <w:rPr>
          <w:rFonts w:cs="Arial"/>
          <w:i/>
          <w:iCs/>
          <w:color w:val="000000" w:themeColor="text1"/>
          <w:szCs w:val="22"/>
        </w:rPr>
        <w:t>the</w:t>
      </w:r>
      <w:proofErr w:type="gramEnd"/>
      <w:r w:rsidRPr="00353708">
        <w:rPr>
          <w:rFonts w:cs="Arial"/>
          <w:i/>
          <w:iCs/>
          <w:color w:val="000000" w:themeColor="text1"/>
          <w:szCs w:val="22"/>
        </w:rPr>
        <w:t xml:space="preserve"> Marmot Review 10 Years On</w:t>
      </w:r>
      <w:r w:rsidRPr="00353708">
        <w:rPr>
          <w:rFonts w:cs="Arial"/>
          <w:color w:val="000000" w:themeColor="text1"/>
          <w:szCs w:val="22"/>
        </w:rPr>
        <w:t xml:space="preserve">. Institute of Health Equity. Available at: </w:t>
      </w:r>
      <w:hyperlink r:id="rId49" w:history="1">
        <w:r w:rsidRPr="00353708">
          <w:rPr>
            <w:rStyle w:val="Hyperlink"/>
            <w:rFonts w:cs="Arial"/>
            <w:color w:val="000000" w:themeColor="text1"/>
            <w:szCs w:val="22"/>
          </w:rPr>
          <w:t>https://www.instituteofhealthequity.org/resources-reports/marmot-review-10-years-on/the-marmot-review-10-years-on-full-report.pdf</w:t>
        </w:r>
      </w:hyperlink>
      <w:r w:rsidRPr="00353708">
        <w:rPr>
          <w:rFonts w:cs="Arial"/>
          <w:color w:val="000000" w:themeColor="text1"/>
          <w:szCs w:val="22"/>
        </w:rPr>
        <w:t>.</w:t>
      </w:r>
      <w:r w:rsidRPr="003D23D0">
        <w:rPr>
          <w:rFonts w:cs="Arial"/>
          <w:color w:val="000000" w:themeColor="text1"/>
          <w:szCs w:val="22"/>
        </w:rPr>
        <w:t xml:space="preserve"> (Accessed: 6 Sep. 2025).</w:t>
      </w:r>
    </w:p>
    <w:p w14:paraId="2EBC7124"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Meadows, D.H. (2008) </w:t>
      </w:r>
      <w:r w:rsidRPr="003D23D0">
        <w:rPr>
          <w:rFonts w:cs="Arial"/>
          <w:i/>
          <w:iCs/>
          <w:color w:val="000000" w:themeColor="text1"/>
          <w:szCs w:val="22"/>
        </w:rPr>
        <w:t xml:space="preserve">Thinking in </w:t>
      </w:r>
      <w:proofErr w:type="gramStart"/>
      <w:r w:rsidRPr="003D23D0">
        <w:rPr>
          <w:rFonts w:cs="Arial"/>
          <w:i/>
          <w:iCs/>
          <w:color w:val="000000" w:themeColor="text1"/>
          <w:szCs w:val="22"/>
        </w:rPr>
        <w:t>systems :</w:t>
      </w:r>
      <w:proofErr w:type="gramEnd"/>
      <w:r w:rsidRPr="003D23D0">
        <w:rPr>
          <w:rFonts w:cs="Arial"/>
          <w:i/>
          <w:iCs/>
          <w:color w:val="000000" w:themeColor="text1"/>
          <w:szCs w:val="22"/>
        </w:rPr>
        <w:t xml:space="preserve"> a primer</w:t>
      </w:r>
      <w:r w:rsidRPr="003D23D0">
        <w:rPr>
          <w:rFonts w:cs="Arial"/>
          <w:color w:val="000000" w:themeColor="text1"/>
          <w:szCs w:val="22"/>
          <w:shd w:val="clear" w:color="auto" w:fill="FFFFFF"/>
        </w:rPr>
        <w:t>. Edited by D. Wright. White River Junction, Vt: Chelsea Green Pub.</w:t>
      </w:r>
    </w:p>
    <w:p w14:paraId="0E4D4208" w14:textId="77777777" w:rsidR="00334658"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Mind (2022) </w:t>
      </w:r>
      <w:r w:rsidRPr="00935115">
        <w:rPr>
          <w:rFonts w:cs="Arial"/>
          <w:i/>
          <w:iCs/>
          <w:color w:val="000000" w:themeColor="text1"/>
          <w:szCs w:val="22"/>
        </w:rPr>
        <w:t>Mental Health in the Pandemic: Inequality and Recovery.</w:t>
      </w:r>
      <w:r w:rsidRPr="00935115">
        <w:rPr>
          <w:rFonts w:cs="Arial"/>
          <w:color w:val="000000" w:themeColor="text1"/>
          <w:szCs w:val="22"/>
        </w:rPr>
        <w:t> London: Mind. Available at: </w:t>
      </w:r>
      <w:hyperlink r:id="rId50" w:tgtFrame="_new" w:history="1">
        <w:r w:rsidRPr="00935115">
          <w:rPr>
            <w:rFonts w:cs="Arial"/>
            <w:color w:val="000000" w:themeColor="text1"/>
            <w:szCs w:val="22"/>
            <w:u w:val="single"/>
          </w:rPr>
          <w:t>https://www.mind.org.uk</w:t>
        </w:r>
      </w:hyperlink>
      <w:r w:rsidRPr="00935115">
        <w:rPr>
          <w:rFonts w:cs="Arial"/>
          <w:color w:val="000000" w:themeColor="text1"/>
          <w:szCs w:val="22"/>
        </w:rPr>
        <w:t> (Accessed: 10 June 2025).</w:t>
      </w:r>
    </w:p>
    <w:p w14:paraId="6456F46C" w14:textId="1884DD8C" w:rsidR="00334658" w:rsidRDefault="00334658" w:rsidP="00334658">
      <w:pPr>
        <w:spacing w:line="360" w:lineRule="auto"/>
        <w:rPr>
          <w:rFonts w:cs="Arial"/>
          <w:color w:val="000000" w:themeColor="text1"/>
          <w:szCs w:val="22"/>
        </w:rPr>
      </w:pPr>
      <w:r w:rsidRPr="009C72BD">
        <w:rPr>
          <w:rFonts w:cs="Arial"/>
          <w:color w:val="000000" w:themeColor="text1"/>
          <w:szCs w:val="22"/>
        </w:rPr>
        <w:t>Mind (2023)</w:t>
      </w:r>
      <w:r w:rsidRPr="009C72BD">
        <w:rPr>
          <w:rStyle w:val="apple-converted-space"/>
          <w:rFonts w:cs="Arial"/>
          <w:color w:val="000000" w:themeColor="text1"/>
          <w:szCs w:val="22"/>
        </w:rPr>
        <w:t> </w:t>
      </w:r>
      <w:r w:rsidRPr="009C72BD">
        <w:rPr>
          <w:rStyle w:val="Emphasis"/>
          <w:rFonts w:cs="Arial"/>
          <w:color w:val="000000" w:themeColor="text1"/>
          <w:szCs w:val="22"/>
        </w:rPr>
        <w:t>Mental health problems: An introduction.</w:t>
      </w:r>
      <w:r w:rsidRPr="009C72BD">
        <w:rPr>
          <w:rStyle w:val="apple-converted-space"/>
          <w:rFonts w:cs="Arial"/>
          <w:color w:val="000000" w:themeColor="text1"/>
          <w:szCs w:val="22"/>
        </w:rPr>
        <w:t> </w:t>
      </w:r>
      <w:r w:rsidRPr="009C72BD">
        <w:rPr>
          <w:rFonts w:cs="Arial"/>
          <w:color w:val="000000" w:themeColor="text1"/>
          <w:szCs w:val="22"/>
        </w:rPr>
        <w:t>Available at:</w:t>
      </w:r>
      <w:r w:rsidRPr="009C72BD">
        <w:rPr>
          <w:rStyle w:val="apple-converted-space"/>
          <w:rFonts w:cs="Arial"/>
          <w:color w:val="000000" w:themeColor="text1"/>
          <w:szCs w:val="22"/>
        </w:rPr>
        <w:t> </w:t>
      </w:r>
      <w:hyperlink r:id="rId51" w:tgtFrame="_new" w:history="1">
        <w:r w:rsidRPr="009C72BD">
          <w:rPr>
            <w:rStyle w:val="Hyperlink"/>
            <w:rFonts w:cs="Arial"/>
            <w:color w:val="000000" w:themeColor="text1"/>
            <w:szCs w:val="22"/>
          </w:rPr>
          <w:t>https://www.mind.org.uk</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10</w:t>
      </w:r>
      <w:r w:rsidRPr="009C72BD">
        <w:rPr>
          <w:rFonts w:cs="Arial"/>
          <w:color w:val="000000" w:themeColor="text1"/>
          <w:szCs w:val="22"/>
        </w:rPr>
        <w:t xml:space="preserve"> November 202</w:t>
      </w:r>
      <w:r>
        <w:rPr>
          <w:rFonts w:cs="Arial"/>
          <w:color w:val="000000" w:themeColor="text1"/>
          <w:szCs w:val="22"/>
        </w:rPr>
        <w:t>5</w:t>
      </w:r>
      <w:r w:rsidRPr="009C72BD">
        <w:rPr>
          <w:rFonts w:cs="Arial"/>
          <w:color w:val="000000" w:themeColor="text1"/>
          <w:szCs w:val="22"/>
        </w:rPr>
        <w:t>).</w:t>
      </w:r>
      <w:r w:rsidRPr="003D23D0">
        <w:rPr>
          <w:rFonts w:cs="Arial"/>
          <w:color w:val="000000" w:themeColor="text1"/>
          <w:szCs w:val="22"/>
        </w:rPr>
        <w:br/>
        <w:t>Mind, (2023). </w:t>
      </w:r>
      <w:r w:rsidRPr="003D23D0">
        <w:rPr>
          <w:rFonts w:cs="Arial"/>
          <w:i/>
          <w:iCs/>
          <w:color w:val="000000" w:themeColor="text1"/>
          <w:szCs w:val="22"/>
        </w:rPr>
        <w:t>Mental Health in the UK: Barriers to Accessing Support.</w:t>
      </w:r>
      <w:r w:rsidRPr="003D23D0">
        <w:rPr>
          <w:rFonts w:cs="Arial"/>
          <w:color w:val="000000" w:themeColor="text1"/>
          <w:szCs w:val="22"/>
        </w:rPr>
        <w:t> London: Mind. Available at: </w:t>
      </w:r>
      <w:hyperlink r:id="rId52" w:tgtFrame="_new" w:history="1">
        <w:r w:rsidRPr="003D23D0">
          <w:rPr>
            <w:rFonts w:cs="Arial"/>
            <w:color w:val="000000" w:themeColor="text1"/>
            <w:szCs w:val="22"/>
            <w:u w:val="single"/>
          </w:rPr>
          <w:t>https://www.mind.org.uk/information-support/guides-to-support-and-services/seeking-help-for-a-mental-health-problem/facing-and-overcoming-barriers/</w:t>
        </w:r>
      </w:hyperlink>
      <w:r w:rsidRPr="003D23D0">
        <w:rPr>
          <w:rFonts w:cs="Arial"/>
          <w:color w:val="000000" w:themeColor="text1"/>
          <w:szCs w:val="22"/>
        </w:rPr>
        <w:t> (Accessed 5 Nov. 2025).</w:t>
      </w:r>
      <w:r w:rsidRPr="002D4C10">
        <w:rPr>
          <w:rFonts w:cs="Arial"/>
          <w:color w:val="000000" w:themeColor="text1"/>
          <w:szCs w:val="22"/>
        </w:rPr>
        <w:br/>
        <w:t xml:space="preserve">Molina, G. &amp; Whittaker, A., </w:t>
      </w:r>
      <w:r w:rsidRPr="003D23D0">
        <w:rPr>
          <w:rFonts w:cs="Arial"/>
          <w:color w:val="000000" w:themeColor="text1"/>
          <w:szCs w:val="22"/>
        </w:rPr>
        <w:t>(</w:t>
      </w:r>
      <w:r w:rsidRPr="002D4C10">
        <w:rPr>
          <w:rFonts w:cs="Arial"/>
          <w:color w:val="000000" w:themeColor="text1"/>
          <w:szCs w:val="22"/>
        </w:rPr>
        <w:t>2022</w:t>
      </w:r>
      <w:r w:rsidRPr="003D23D0">
        <w:rPr>
          <w:rFonts w:cs="Arial"/>
          <w:color w:val="000000" w:themeColor="text1"/>
          <w:szCs w:val="22"/>
        </w:rPr>
        <w:t>)</w:t>
      </w:r>
      <w:r w:rsidRPr="002D4C10">
        <w:rPr>
          <w:rFonts w:cs="Arial"/>
          <w:color w:val="000000" w:themeColor="text1"/>
          <w:szCs w:val="22"/>
        </w:rPr>
        <w:t>. ‘Treatment of PTSD and substance use disorder in adults with a history of ACEs: A systematic review’, </w:t>
      </w:r>
      <w:r w:rsidRPr="002D4C10">
        <w:rPr>
          <w:rFonts w:cs="Arial"/>
          <w:i/>
          <w:iCs/>
          <w:color w:val="000000" w:themeColor="text1"/>
          <w:szCs w:val="22"/>
        </w:rPr>
        <w:t>Drug and Alcohol Dependence Reports</w:t>
      </w:r>
      <w:r w:rsidRPr="002D4C10">
        <w:rPr>
          <w:rFonts w:cs="Arial"/>
          <w:color w:val="000000" w:themeColor="text1"/>
          <w:szCs w:val="22"/>
        </w:rPr>
        <w:t>, 2, 100028.</w:t>
      </w:r>
      <w:r w:rsidRPr="003D23D0">
        <w:rPr>
          <w:rFonts w:cs="Arial"/>
          <w:color w:val="000000" w:themeColor="text1"/>
          <w:szCs w:val="22"/>
        </w:rPr>
        <w:t xml:space="preserve"> Available at:</w:t>
      </w:r>
      <w:r w:rsidRPr="002D4C10">
        <w:rPr>
          <w:rFonts w:cs="Arial"/>
          <w:color w:val="000000" w:themeColor="text1"/>
          <w:szCs w:val="22"/>
        </w:rPr>
        <w:t xml:space="preserve"> </w:t>
      </w:r>
      <w:hyperlink r:id="rId53" w:history="1">
        <w:r w:rsidRPr="003D23D0">
          <w:rPr>
            <w:rStyle w:val="Hyperlink"/>
            <w:rFonts w:cs="Arial"/>
            <w:color w:val="000000" w:themeColor="text1"/>
            <w:szCs w:val="22"/>
          </w:rPr>
          <w:t>https://</w:t>
        </w:r>
        <w:r w:rsidRPr="002D4C10">
          <w:rPr>
            <w:rStyle w:val="Hyperlink"/>
            <w:rFonts w:cs="Arial"/>
            <w:color w:val="000000" w:themeColor="text1"/>
            <w:szCs w:val="22"/>
          </w:rPr>
          <w:t>doi:10.1016/j.dadr.2022.100028</w:t>
        </w:r>
      </w:hyperlink>
      <w:r w:rsidRPr="002D4C10">
        <w:rPr>
          <w:rFonts w:cs="Arial"/>
          <w:color w:val="000000" w:themeColor="text1"/>
          <w:szCs w:val="22"/>
        </w:rPr>
        <w:t>.</w:t>
      </w:r>
      <w:r w:rsidRPr="003D23D0">
        <w:rPr>
          <w:rFonts w:cs="Arial"/>
          <w:color w:val="000000" w:themeColor="text1"/>
          <w:szCs w:val="22"/>
        </w:rPr>
        <w:t xml:space="preserve">   </w:t>
      </w:r>
    </w:p>
    <w:p w14:paraId="76EBC9D8" w14:textId="77777777" w:rsidR="00334658" w:rsidRPr="003D23D0"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Molina, G. and Whittaker, A. (2022) ‘Treatment of post-traumatic stress disorder and substance use disorder in adults with a history of adverse childhood experiences: A systematic review of psychological interventions’,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Drug and alcohol dependence reports</w:t>
      </w:r>
      <w:r w:rsidRPr="003D23D0">
        <w:rPr>
          <w:rFonts w:cs="Arial"/>
          <w:color w:val="000000" w:themeColor="text1"/>
          <w:szCs w:val="22"/>
          <w:shd w:val="clear" w:color="auto" w:fill="FFFFFF"/>
        </w:rPr>
        <w:t xml:space="preserve">, 2. Available at: </w:t>
      </w:r>
      <w:hyperlink r:id="rId54" w:history="1">
        <w:r w:rsidRPr="003D23D0">
          <w:rPr>
            <w:rStyle w:val="Hyperlink"/>
            <w:rFonts w:cs="Arial"/>
            <w:color w:val="000000" w:themeColor="text1"/>
            <w:szCs w:val="22"/>
            <w:shd w:val="clear" w:color="auto" w:fill="FFFFFF"/>
          </w:rPr>
          <w:t>https://doi.org/10.1016/j.dadr.2022.100028</w:t>
        </w:r>
      </w:hyperlink>
      <w:r w:rsidRPr="003D23D0">
        <w:rPr>
          <w:rFonts w:cs="Arial"/>
          <w:color w:val="000000" w:themeColor="text1"/>
          <w:szCs w:val="22"/>
          <w:shd w:val="clear" w:color="auto" w:fill="FFFFFF"/>
        </w:rPr>
        <w:t xml:space="preserve">. </w:t>
      </w:r>
      <w:r w:rsidRPr="003D23D0">
        <w:rPr>
          <w:rFonts w:cs="Arial"/>
          <w:color w:val="000000" w:themeColor="text1"/>
          <w:szCs w:val="22"/>
        </w:rPr>
        <w:t>(Accessed 5 Nov. 2025).</w:t>
      </w:r>
    </w:p>
    <w:p w14:paraId="4EAB5D60"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National Institute for Health and Care Excellence (2021)</w:t>
      </w:r>
      <w:r w:rsidRPr="009C72BD">
        <w:rPr>
          <w:rStyle w:val="apple-converted-space"/>
          <w:rFonts w:cs="Arial"/>
          <w:color w:val="000000" w:themeColor="text1"/>
          <w:szCs w:val="22"/>
        </w:rPr>
        <w:t> </w:t>
      </w:r>
      <w:r w:rsidRPr="009C72BD">
        <w:rPr>
          <w:rStyle w:val="Emphasis"/>
          <w:rFonts w:cs="Arial"/>
          <w:color w:val="000000" w:themeColor="text1"/>
          <w:szCs w:val="22"/>
        </w:rPr>
        <w:t>Coexisting severe mental illness and substance misuse: community health and social care services (NG58).</w:t>
      </w:r>
      <w:r w:rsidRPr="009C72BD">
        <w:rPr>
          <w:rStyle w:val="apple-converted-space"/>
          <w:rFonts w:cs="Arial"/>
          <w:color w:val="000000" w:themeColor="text1"/>
          <w:szCs w:val="22"/>
        </w:rPr>
        <w:t> </w:t>
      </w:r>
      <w:r w:rsidRPr="009C72BD">
        <w:rPr>
          <w:rFonts w:cs="Arial"/>
          <w:color w:val="000000" w:themeColor="text1"/>
          <w:szCs w:val="22"/>
        </w:rPr>
        <w:t>Available at:</w:t>
      </w:r>
      <w:r w:rsidRPr="009C72BD">
        <w:rPr>
          <w:rStyle w:val="apple-converted-space"/>
          <w:rFonts w:cs="Arial"/>
          <w:color w:val="000000" w:themeColor="text1"/>
          <w:szCs w:val="22"/>
        </w:rPr>
        <w:t> </w:t>
      </w:r>
      <w:hyperlink r:id="rId55" w:tgtFrame="_new" w:history="1">
        <w:r w:rsidRPr="009C72BD">
          <w:rPr>
            <w:rStyle w:val="Hyperlink"/>
            <w:rFonts w:cs="Arial"/>
            <w:color w:val="000000" w:themeColor="text1"/>
            <w:szCs w:val="22"/>
          </w:rPr>
          <w:t>https://www.nice.org.uk/guidance/ng58</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11</w:t>
      </w:r>
      <w:r w:rsidRPr="009C72BD">
        <w:rPr>
          <w:rFonts w:cs="Arial"/>
          <w:color w:val="000000" w:themeColor="text1"/>
          <w:szCs w:val="22"/>
        </w:rPr>
        <w:t xml:space="preserve"> Nov 2024).</w:t>
      </w:r>
    </w:p>
    <w:p w14:paraId="1F2A1A19"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National Institute for Health and Care Excellence (2022)</w:t>
      </w:r>
      <w:r w:rsidRPr="009C72BD">
        <w:rPr>
          <w:rStyle w:val="apple-converted-space"/>
          <w:rFonts w:cs="Arial"/>
          <w:color w:val="000000" w:themeColor="text1"/>
          <w:szCs w:val="22"/>
        </w:rPr>
        <w:t> </w:t>
      </w:r>
      <w:r w:rsidRPr="009C72BD">
        <w:rPr>
          <w:rStyle w:val="Emphasis"/>
          <w:rFonts w:cs="Arial"/>
          <w:color w:val="000000" w:themeColor="text1"/>
          <w:szCs w:val="22"/>
        </w:rPr>
        <w:t xml:space="preserve">Integrated care systems and mental health: service </w:t>
      </w:r>
      <w:proofErr w:type="spellStart"/>
      <w:proofErr w:type="gramStart"/>
      <w:r w:rsidRPr="009C72BD">
        <w:rPr>
          <w:rStyle w:val="Emphasis"/>
          <w:rFonts w:cs="Arial"/>
          <w:color w:val="000000" w:themeColor="text1"/>
          <w:szCs w:val="22"/>
        </w:rPr>
        <w:t>guidance.</w:t>
      </w:r>
      <w:r w:rsidRPr="009C72BD">
        <w:rPr>
          <w:rFonts w:cs="Arial"/>
          <w:color w:val="000000" w:themeColor="text1"/>
          <w:szCs w:val="22"/>
        </w:rPr>
        <w:t>Available</w:t>
      </w:r>
      <w:proofErr w:type="spellEnd"/>
      <w:proofErr w:type="gramEnd"/>
      <w:r w:rsidRPr="009C72BD">
        <w:rPr>
          <w:rFonts w:cs="Arial"/>
          <w:color w:val="000000" w:themeColor="text1"/>
          <w:szCs w:val="22"/>
        </w:rPr>
        <w:t xml:space="preserve"> at:</w:t>
      </w:r>
      <w:r w:rsidRPr="009C72BD">
        <w:rPr>
          <w:rStyle w:val="apple-converted-space"/>
          <w:rFonts w:cs="Arial"/>
          <w:color w:val="000000" w:themeColor="text1"/>
          <w:szCs w:val="22"/>
        </w:rPr>
        <w:t> </w:t>
      </w:r>
      <w:hyperlink r:id="rId56" w:tgtFrame="_new" w:history="1">
        <w:r w:rsidRPr="009C72BD">
          <w:rPr>
            <w:rStyle w:val="Hyperlink"/>
            <w:rFonts w:cs="Arial"/>
            <w:color w:val="000000" w:themeColor="text1"/>
            <w:szCs w:val="22"/>
          </w:rPr>
          <w:t>https://www.nice.org.uk</w:t>
        </w:r>
      </w:hyperlink>
      <w:r w:rsidRPr="009C72BD">
        <w:rPr>
          <w:rStyle w:val="apple-converted-space"/>
          <w:rFonts w:cs="Arial"/>
          <w:color w:val="000000" w:themeColor="text1"/>
          <w:szCs w:val="22"/>
        </w:rPr>
        <w:t> </w:t>
      </w:r>
      <w:r w:rsidRPr="009C72BD">
        <w:rPr>
          <w:rFonts w:cs="Arial"/>
          <w:color w:val="000000" w:themeColor="text1"/>
          <w:szCs w:val="22"/>
        </w:rPr>
        <w:t xml:space="preserve">(Accessed: </w:t>
      </w:r>
      <w:r>
        <w:rPr>
          <w:rFonts w:cs="Arial"/>
          <w:color w:val="000000" w:themeColor="text1"/>
          <w:szCs w:val="22"/>
        </w:rPr>
        <w:t>11</w:t>
      </w:r>
      <w:r w:rsidRPr="009C72BD">
        <w:rPr>
          <w:rFonts w:cs="Arial"/>
          <w:color w:val="000000" w:themeColor="text1"/>
          <w:szCs w:val="22"/>
        </w:rPr>
        <w:t xml:space="preserve"> November 202</w:t>
      </w:r>
      <w:r>
        <w:rPr>
          <w:rFonts w:cs="Arial"/>
          <w:color w:val="000000" w:themeColor="text1"/>
          <w:szCs w:val="22"/>
        </w:rPr>
        <w:t>5</w:t>
      </w:r>
      <w:r w:rsidRPr="009C72BD">
        <w:rPr>
          <w:rFonts w:cs="Arial"/>
          <w:color w:val="000000" w:themeColor="text1"/>
          <w:szCs w:val="22"/>
        </w:rPr>
        <w:t>).</w:t>
      </w:r>
    </w:p>
    <w:p w14:paraId="2D37EBFA"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br/>
        <w:t>National Institute for Health and Care Excellence (NICE), 2021. </w:t>
      </w:r>
      <w:r w:rsidRPr="003D23D0">
        <w:rPr>
          <w:rFonts w:cs="Arial"/>
          <w:i/>
          <w:iCs/>
          <w:color w:val="000000" w:themeColor="text1"/>
          <w:szCs w:val="22"/>
        </w:rPr>
        <w:t>Coexisting Severe Mental Illness and Substance Misuse: Community Health and Social Care Services.</w:t>
      </w:r>
      <w:r w:rsidRPr="003D23D0">
        <w:rPr>
          <w:rFonts w:cs="Arial"/>
          <w:color w:val="000000" w:themeColor="text1"/>
          <w:szCs w:val="22"/>
        </w:rPr>
        <w:t xml:space="preserve"> NICE Guideline NG58. London: NICE. </w:t>
      </w:r>
    </w:p>
    <w:p w14:paraId="5564A6D1"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lastRenderedPageBreak/>
        <w:t>NHS Confederation (2022) </w:t>
      </w:r>
      <w:r w:rsidRPr="00935115">
        <w:rPr>
          <w:rFonts w:cs="Arial"/>
          <w:i/>
          <w:iCs/>
          <w:color w:val="000000" w:themeColor="text1"/>
          <w:szCs w:val="22"/>
        </w:rPr>
        <w:t>Addiction and Mental Health: Integrating Services for Better Outcomes.</w:t>
      </w:r>
      <w:r w:rsidRPr="00935115">
        <w:rPr>
          <w:rFonts w:cs="Arial"/>
          <w:color w:val="000000" w:themeColor="text1"/>
          <w:szCs w:val="22"/>
        </w:rPr>
        <w:t> London: NHS Confederation.</w:t>
      </w:r>
    </w:p>
    <w:p w14:paraId="11608754"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NHS Digital (2023) </w:t>
      </w:r>
      <w:r w:rsidRPr="00935115">
        <w:rPr>
          <w:rFonts w:cs="Arial"/>
          <w:i/>
          <w:iCs/>
          <w:color w:val="000000" w:themeColor="text1"/>
          <w:szCs w:val="22"/>
        </w:rPr>
        <w:t>Adult Substance Misuse Treatment Statistics 2022–23.</w:t>
      </w:r>
      <w:r w:rsidRPr="00935115">
        <w:rPr>
          <w:rFonts w:cs="Arial"/>
          <w:color w:val="000000" w:themeColor="text1"/>
          <w:szCs w:val="22"/>
        </w:rPr>
        <w:t> Available at: </w:t>
      </w:r>
      <w:hyperlink r:id="rId57" w:tgtFrame="_new" w:history="1">
        <w:r w:rsidRPr="00935115">
          <w:rPr>
            <w:rFonts w:cs="Arial"/>
            <w:color w:val="000000" w:themeColor="text1"/>
            <w:szCs w:val="22"/>
            <w:u w:val="single"/>
          </w:rPr>
          <w:t>https://digital.nhs.uk/data-and-information/publications</w:t>
        </w:r>
      </w:hyperlink>
      <w:r w:rsidRPr="00935115">
        <w:rPr>
          <w:rFonts w:cs="Arial"/>
          <w:color w:val="000000" w:themeColor="text1"/>
          <w:szCs w:val="22"/>
        </w:rPr>
        <w:t> (Accessed: 1 July 2025).</w:t>
      </w:r>
    </w:p>
    <w:p w14:paraId="3F346E78"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br/>
        <w:t>NHS Digital, 2022. </w:t>
      </w:r>
      <w:r w:rsidRPr="003D23D0">
        <w:rPr>
          <w:rFonts w:cs="Arial"/>
          <w:i/>
          <w:iCs/>
          <w:color w:val="000000" w:themeColor="text1"/>
          <w:szCs w:val="22"/>
        </w:rPr>
        <w:t>Adult Psychiatric Morbidity Survey: Mental Health and Wellbeing, England, 2022.</w:t>
      </w:r>
      <w:r w:rsidRPr="003D23D0">
        <w:rPr>
          <w:rFonts w:cs="Arial"/>
          <w:color w:val="000000" w:themeColor="text1"/>
          <w:szCs w:val="22"/>
        </w:rPr>
        <w:t> Leeds: NHS Digital.</w:t>
      </w:r>
    </w:p>
    <w:p w14:paraId="597EB9F9"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NHS England (2023) </w:t>
      </w:r>
      <w:r w:rsidRPr="00935115">
        <w:rPr>
          <w:rFonts w:cs="Arial"/>
          <w:i/>
          <w:iCs/>
          <w:color w:val="000000" w:themeColor="text1"/>
          <w:szCs w:val="22"/>
        </w:rPr>
        <w:t>Long Term Plan Progress Report.</w:t>
      </w:r>
      <w:r w:rsidRPr="00935115">
        <w:rPr>
          <w:rFonts w:cs="Arial"/>
          <w:color w:val="000000" w:themeColor="text1"/>
          <w:szCs w:val="22"/>
        </w:rPr>
        <w:t> London: NHS England.</w:t>
      </w:r>
    </w:p>
    <w:p w14:paraId="6DB17120"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NHS England, (2019). </w:t>
      </w:r>
      <w:r w:rsidRPr="003D23D0">
        <w:rPr>
          <w:rFonts w:cs="Arial"/>
          <w:i/>
          <w:iCs/>
          <w:color w:val="000000" w:themeColor="text1"/>
          <w:szCs w:val="22"/>
        </w:rPr>
        <w:t>The NHS Long Term Plan.</w:t>
      </w:r>
      <w:r w:rsidRPr="003D23D0">
        <w:rPr>
          <w:rFonts w:cs="Arial"/>
          <w:color w:val="000000" w:themeColor="text1"/>
          <w:szCs w:val="22"/>
        </w:rPr>
        <w:t> London: NHS.</w:t>
      </w:r>
      <w:r w:rsidRPr="003D23D0">
        <w:rPr>
          <w:rFonts w:cs="Arial"/>
          <w:color w:val="000000" w:themeColor="text1"/>
          <w:szCs w:val="22"/>
        </w:rPr>
        <w:br/>
        <w:t>Available at: </w:t>
      </w:r>
      <w:hyperlink r:id="rId58" w:tgtFrame="_new" w:history="1">
        <w:r w:rsidRPr="003D23D0">
          <w:rPr>
            <w:rFonts w:cs="Arial"/>
            <w:color w:val="000000" w:themeColor="text1"/>
            <w:szCs w:val="22"/>
            <w:u w:val="single"/>
          </w:rPr>
          <w:t>https://www.longtermplan.nhs.uk</w:t>
        </w:r>
      </w:hyperlink>
      <w:r w:rsidRPr="003D23D0">
        <w:rPr>
          <w:rFonts w:cs="Arial"/>
          <w:color w:val="000000" w:themeColor="text1"/>
          <w:szCs w:val="22"/>
        </w:rPr>
        <w:t> (Accessed: 6 Nov. 2025).</w:t>
      </w:r>
    </w:p>
    <w:p w14:paraId="4B4DD980"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NICE (2016) </w:t>
      </w:r>
      <w:r w:rsidRPr="00935115">
        <w:rPr>
          <w:rFonts w:cs="Arial"/>
          <w:i/>
          <w:iCs/>
          <w:color w:val="000000" w:themeColor="text1"/>
          <w:szCs w:val="22"/>
        </w:rPr>
        <w:t>Coexisting Severe Mental Illness and Substance Misuse: Community Health and Social Care Services.</w:t>
      </w:r>
      <w:r w:rsidRPr="00935115">
        <w:rPr>
          <w:rFonts w:cs="Arial"/>
          <w:color w:val="000000" w:themeColor="text1"/>
          <w:szCs w:val="22"/>
        </w:rPr>
        <w:t>NG58.</w:t>
      </w:r>
    </w:p>
    <w:p w14:paraId="049DED87" w14:textId="77777777" w:rsidR="00334658" w:rsidRPr="003D23D0" w:rsidRDefault="00334658" w:rsidP="003D23D0">
      <w:pPr>
        <w:spacing w:line="360" w:lineRule="auto"/>
        <w:rPr>
          <w:rFonts w:cs="Arial"/>
          <w:color w:val="000000" w:themeColor="text1"/>
          <w:szCs w:val="22"/>
        </w:rPr>
      </w:pPr>
      <w:r w:rsidRPr="002D4C10">
        <w:rPr>
          <w:rFonts w:cs="Arial"/>
          <w:color w:val="000000" w:themeColor="text1"/>
          <w:szCs w:val="22"/>
        </w:rPr>
        <w:br/>
        <w:t>NICE, 2021. </w:t>
      </w:r>
      <w:r w:rsidRPr="002D4C10">
        <w:rPr>
          <w:rFonts w:cs="Arial"/>
          <w:i/>
          <w:iCs/>
          <w:color w:val="000000" w:themeColor="text1"/>
          <w:szCs w:val="22"/>
        </w:rPr>
        <w:t>Coexisting Severe Mental Illness and Substance Misuse: Community Health and Social Care Services.</w:t>
      </w:r>
      <w:r w:rsidRPr="002D4C10">
        <w:rPr>
          <w:rFonts w:cs="Arial"/>
          <w:color w:val="000000" w:themeColor="text1"/>
          <w:szCs w:val="22"/>
        </w:rPr>
        <w:t> NICE Guideline NG58.</w:t>
      </w:r>
    </w:p>
    <w:p w14:paraId="39AE0858"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shd w:val="clear" w:color="auto" w:fill="FFFFFF"/>
        </w:rPr>
        <w:t xml:space="preserve">Noble, H. and </w:t>
      </w:r>
      <w:proofErr w:type="spellStart"/>
      <w:r w:rsidRPr="003D23D0">
        <w:rPr>
          <w:rFonts w:cs="Arial"/>
          <w:color w:val="000000" w:themeColor="text1"/>
          <w:szCs w:val="22"/>
          <w:shd w:val="clear" w:color="auto" w:fill="FFFFFF"/>
        </w:rPr>
        <w:t>Heale</w:t>
      </w:r>
      <w:proofErr w:type="spellEnd"/>
      <w:r w:rsidRPr="003D23D0">
        <w:rPr>
          <w:rFonts w:cs="Arial"/>
          <w:color w:val="000000" w:themeColor="text1"/>
          <w:szCs w:val="22"/>
          <w:shd w:val="clear" w:color="auto" w:fill="FFFFFF"/>
        </w:rPr>
        <w:t>, R. (2019) ‘Triangulation in research, with examples’,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Evidence-based nursing</w:t>
      </w:r>
      <w:r w:rsidRPr="003D23D0">
        <w:rPr>
          <w:rFonts w:cs="Arial"/>
          <w:color w:val="000000" w:themeColor="text1"/>
          <w:szCs w:val="22"/>
          <w:shd w:val="clear" w:color="auto" w:fill="FFFFFF"/>
        </w:rPr>
        <w:t xml:space="preserve">, 22(3), pp. 67–68. Available at: </w:t>
      </w:r>
      <w:hyperlink r:id="rId59" w:history="1">
        <w:r w:rsidRPr="003D23D0">
          <w:rPr>
            <w:rStyle w:val="Hyperlink"/>
            <w:rFonts w:cs="Arial"/>
            <w:color w:val="000000" w:themeColor="text1"/>
            <w:szCs w:val="22"/>
            <w:shd w:val="clear" w:color="auto" w:fill="FFFFFF"/>
          </w:rPr>
          <w:t>https://doi.org/10.1136/ebnurs-2019-103145</w:t>
        </w:r>
      </w:hyperlink>
      <w:r w:rsidRPr="003D23D0">
        <w:rPr>
          <w:rFonts w:cs="Arial"/>
          <w:color w:val="000000" w:themeColor="text1"/>
          <w:szCs w:val="22"/>
          <w:shd w:val="clear" w:color="auto" w:fill="FFFFFF"/>
        </w:rPr>
        <w:t xml:space="preserve">. </w:t>
      </w:r>
    </w:p>
    <w:p w14:paraId="30783657" w14:textId="53F97CC5" w:rsidR="00334658" w:rsidRPr="00334658" w:rsidRDefault="00334658" w:rsidP="00334658">
      <w:pPr>
        <w:spacing w:before="100" w:beforeAutospacing="1" w:after="100" w:afterAutospacing="1" w:line="360" w:lineRule="auto"/>
        <w:rPr>
          <w:rFonts w:cs="Arial"/>
          <w:color w:val="000000" w:themeColor="text1"/>
          <w:szCs w:val="22"/>
        </w:rPr>
      </w:pPr>
      <w:r w:rsidRPr="00935115">
        <w:rPr>
          <w:rFonts w:cs="Arial"/>
          <w:color w:val="000000" w:themeColor="text1"/>
          <w:szCs w:val="22"/>
        </w:rPr>
        <w:t>Office for National Statistics (ONS) (2022) </w:t>
      </w:r>
      <w:r w:rsidRPr="00935115">
        <w:rPr>
          <w:rFonts w:cs="Arial"/>
          <w:i/>
          <w:iCs/>
          <w:color w:val="000000" w:themeColor="text1"/>
          <w:szCs w:val="22"/>
        </w:rPr>
        <w:t>Drug Misuse in England and Wales: Year Ending June 2022.</w:t>
      </w:r>
      <w:r w:rsidRPr="00935115">
        <w:rPr>
          <w:rFonts w:cs="Arial"/>
          <w:color w:val="000000" w:themeColor="text1"/>
          <w:szCs w:val="22"/>
        </w:rPr>
        <w:t> Available at: </w:t>
      </w:r>
      <w:hyperlink r:id="rId60" w:tgtFrame="_new" w:history="1">
        <w:r w:rsidRPr="00935115">
          <w:rPr>
            <w:rFonts w:cs="Arial"/>
            <w:color w:val="000000" w:themeColor="text1"/>
            <w:szCs w:val="22"/>
            <w:u w:val="single"/>
          </w:rPr>
          <w:t>https://www.ons.gov.uk/peoplepopulationandcommunity</w:t>
        </w:r>
      </w:hyperlink>
      <w:r w:rsidRPr="00935115">
        <w:rPr>
          <w:rFonts w:cs="Arial"/>
          <w:color w:val="000000" w:themeColor="text1"/>
          <w:szCs w:val="22"/>
        </w:rPr>
        <w:t> (Accessed: 20 June 2025).</w:t>
      </w:r>
      <w:r w:rsidRPr="002D4C10">
        <w:rPr>
          <w:rFonts w:cs="Arial"/>
          <w:color w:val="000000" w:themeColor="text1"/>
          <w:szCs w:val="22"/>
        </w:rPr>
        <w:br/>
      </w:r>
      <w:r w:rsidRPr="003D23D0">
        <w:rPr>
          <w:rFonts w:cs="Arial"/>
          <w:color w:val="000000" w:themeColor="text1"/>
          <w:szCs w:val="22"/>
          <w:shd w:val="clear" w:color="auto" w:fill="FFFFFF"/>
        </w:rPr>
        <w:t>Page, M.J.</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et al.</w:t>
      </w:r>
      <w:r w:rsidRPr="003D23D0">
        <w:rPr>
          <w:rStyle w:val="apple-converted-space"/>
          <w:rFonts w:cs="Arial"/>
          <w:color w:val="000000" w:themeColor="text1"/>
          <w:szCs w:val="22"/>
          <w:shd w:val="clear" w:color="auto" w:fill="FFFFFF"/>
        </w:rPr>
        <w:t> </w:t>
      </w:r>
      <w:r w:rsidRPr="003D23D0">
        <w:rPr>
          <w:rFonts w:cs="Arial"/>
          <w:color w:val="000000" w:themeColor="text1"/>
          <w:szCs w:val="22"/>
          <w:shd w:val="clear" w:color="auto" w:fill="FFFFFF"/>
        </w:rPr>
        <w:t>(2021) ‘The PRISMA 2020 statement: an updated guideline for reporting systematic reviews’,</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BMJ (Online)</w:t>
      </w:r>
      <w:r w:rsidRPr="003D23D0">
        <w:rPr>
          <w:rFonts w:cs="Arial"/>
          <w:color w:val="000000" w:themeColor="text1"/>
          <w:szCs w:val="22"/>
          <w:shd w:val="clear" w:color="auto" w:fill="FFFFFF"/>
        </w:rPr>
        <w:t xml:space="preserve">, 372, p. n71. Available at: </w:t>
      </w:r>
      <w:hyperlink r:id="rId61" w:history="1">
        <w:r w:rsidRPr="003D23D0">
          <w:rPr>
            <w:rStyle w:val="Hyperlink"/>
            <w:rFonts w:cs="Arial"/>
            <w:color w:val="000000" w:themeColor="text1"/>
            <w:szCs w:val="22"/>
            <w:shd w:val="clear" w:color="auto" w:fill="FFFFFF"/>
          </w:rPr>
          <w:t>https://doi.org/10.1136/bmj.n71</w:t>
        </w:r>
      </w:hyperlink>
      <w:r w:rsidRPr="003D23D0">
        <w:rPr>
          <w:rFonts w:cs="Arial"/>
          <w:color w:val="000000" w:themeColor="text1"/>
          <w:szCs w:val="22"/>
          <w:shd w:val="clear" w:color="auto" w:fill="FFFFFF"/>
        </w:rPr>
        <w:t xml:space="preserve">. </w:t>
      </w:r>
    </w:p>
    <w:p w14:paraId="0EC97742" w14:textId="77777777" w:rsidR="00334658" w:rsidRDefault="00334658" w:rsidP="003D23D0">
      <w:pPr>
        <w:spacing w:line="360" w:lineRule="auto"/>
        <w:rPr>
          <w:rFonts w:cs="Arial"/>
          <w:color w:val="000000" w:themeColor="text1"/>
          <w:szCs w:val="22"/>
          <w:shd w:val="clear" w:color="auto" w:fill="FFFFFF"/>
        </w:rPr>
      </w:pPr>
      <w:proofErr w:type="spellStart"/>
      <w:r w:rsidRPr="003D23D0">
        <w:rPr>
          <w:rFonts w:cs="Arial"/>
          <w:color w:val="000000" w:themeColor="text1"/>
          <w:szCs w:val="22"/>
          <w:shd w:val="clear" w:color="auto" w:fill="FFFFFF"/>
        </w:rPr>
        <w:t>Papaioannou</w:t>
      </w:r>
      <w:proofErr w:type="spellEnd"/>
      <w:r w:rsidRPr="003D23D0">
        <w:rPr>
          <w:rFonts w:cs="Arial"/>
          <w:color w:val="000000" w:themeColor="text1"/>
          <w:szCs w:val="22"/>
          <w:shd w:val="clear" w:color="auto" w:fill="FFFFFF"/>
        </w:rPr>
        <w:t>, D., Sutton, A. and Booth, A., (2016). Systematic approaches to a successful literature review.</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Systematic approaches to a successful literature review</w:t>
      </w:r>
      <w:r w:rsidRPr="003D23D0">
        <w:rPr>
          <w:rFonts w:cs="Arial"/>
          <w:color w:val="000000" w:themeColor="text1"/>
          <w:szCs w:val="22"/>
          <w:shd w:val="clear" w:color="auto" w:fill="FFFFFF"/>
        </w:rPr>
        <w:t>, pp.1-336.</w:t>
      </w:r>
    </w:p>
    <w:p w14:paraId="61F0D5AC" w14:textId="77777777" w:rsidR="00334658" w:rsidRPr="009D6F64" w:rsidRDefault="00334658" w:rsidP="003D23D0">
      <w:pPr>
        <w:spacing w:after="240" w:line="360" w:lineRule="auto"/>
        <w:rPr>
          <w:rFonts w:cs="Arial"/>
          <w:color w:val="000000" w:themeColor="text1"/>
          <w:szCs w:val="22"/>
        </w:rPr>
      </w:pPr>
      <w:r w:rsidRPr="009D6F64">
        <w:rPr>
          <w:rFonts w:cs="Arial"/>
          <w:color w:val="000000" w:themeColor="text1"/>
          <w:szCs w:val="22"/>
        </w:rPr>
        <w:t xml:space="preserve">Pierce, M., Hope, H., Ford, T., Hatch, S., </w:t>
      </w:r>
      <w:proofErr w:type="spellStart"/>
      <w:r w:rsidRPr="009D6F64">
        <w:rPr>
          <w:rFonts w:cs="Arial"/>
          <w:color w:val="000000" w:themeColor="text1"/>
          <w:szCs w:val="22"/>
        </w:rPr>
        <w:t>Hotopf</w:t>
      </w:r>
      <w:proofErr w:type="spellEnd"/>
      <w:r w:rsidRPr="009D6F64">
        <w:rPr>
          <w:rFonts w:cs="Arial"/>
          <w:color w:val="000000" w:themeColor="text1"/>
          <w:szCs w:val="22"/>
        </w:rPr>
        <w:t xml:space="preserve">, M., John, A., </w:t>
      </w:r>
      <w:proofErr w:type="spellStart"/>
      <w:r w:rsidRPr="009D6F64">
        <w:rPr>
          <w:rFonts w:cs="Arial"/>
          <w:color w:val="000000" w:themeColor="text1"/>
          <w:szCs w:val="22"/>
        </w:rPr>
        <w:t>Kontopantelis</w:t>
      </w:r>
      <w:proofErr w:type="spellEnd"/>
      <w:r w:rsidRPr="009D6F64">
        <w:rPr>
          <w:rFonts w:cs="Arial"/>
          <w:color w:val="000000" w:themeColor="text1"/>
          <w:szCs w:val="22"/>
        </w:rPr>
        <w:t xml:space="preserve">, E., Webb, R., </w:t>
      </w:r>
      <w:proofErr w:type="spellStart"/>
      <w:r w:rsidRPr="009D6F64">
        <w:rPr>
          <w:rFonts w:cs="Arial"/>
          <w:color w:val="000000" w:themeColor="text1"/>
          <w:szCs w:val="22"/>
        </w:rPr>
        <w:t>Wessely</w:t>
      </w:r>
      <w:proofErr w:type="spellEnd"/>
      <w:r w:rsidRPr="009D6F64">
        <w:rPr>
          <w:rFonts w:cs="Arial"/>
          <w:color w:val="000000" w:themeColor="text1"/>
          <w:szCs w:val="22"/>
        </w:rPr>
        <w:t xml:space="preserve">, S., McManus, </w:t>
      </w:r>
      <w:proofErr w:type="gramStart"/>
      <w:r w:rsidRPr="009D6F64">
        <w:rPr>
          <w:rFonts w:cs="Arial"/>
          <w:color w:val="000000" w:themeColor="text1"/>
          <w:szCs w:val="22"/>
        </w:rPr>
        <w:t>S.</w:t>
      </w:r>
      <w:proofErr w:type="gramEnd"/>
      <w:r w:rsidRPr="009D6F64">
        <w:rPr>
          <w:rFonts w:cs="Arial"/>
          <w:color w:val="000000" w:themeColor="text1"/>
          <w:szCs w:val="22"/>
        </w:rPr>
        <w:t xml:space="preserve"> and Abel, K.M. (2020). Mental Health before and during the COVID-19 pandemic: a Longitudinal Probability Sample Survey of the UK Population. </w:t>
      </w:r>
      <w:r w:rsidRPr="009D6F64">
        <w:rPr>
          <w:rFonts w:cs="Arial"/>
          <w:i/>
          <w:iCs/>
          <w:color w:val="000000" w:themeColor="text1"/>
          <w:szCs w:val="22"/>
        </w:rPr>
        <w:t>The Lancet Psychiatry</w:t>
      </w:r>
      <w:r w:rsidRPr="009D6F64">
        <w:rPr>
          <w:rFonts w:cs="Arial"/>
          <w:color w:val="000000" w:themeColor="text1"/>
          <w:szCs w:val="22"/>
        </w:rPr>
        <w:t>, 7(10), pp.883–892.</w:t>
      </w:r>
      <w:r w:rsidRPr="003D23D0">
        <w:rPr>
          <w:rFonts w:cs="Arial"/>
          <w:color w:val="000000" w:themeColor="text1"/>
          <w:szCs w:val="22"/>
        </w:rPr>
        <w:t xml:space="preserve"> Available at: </w:t>
      </w:r>
      <w:hyperlink r:id="rId62" w:history="1">
        <w:r w:rsidRPr="009D6F64">
          <w:rPr>
            <w:rStyle w:val="Hyperlink"/>
            <w:rFonts w:cs="Arial"/>
            <w:color w:val="000000" w:themeColor="text1"/>
            <w:szCs w:val="22"/>
          </w:rPr>
          <w:t>https://doi.org/10.1016/S2215-0366(20)30308-4</w:t>
        </w:r>
      </w:hyperlink>
      <w:r w:rsidRPr="003D23D0">
        <w:rPr>
          <w:rFonts w:cs="Arial"/>
          <w:color w:val="000000" w:themeColor="text1"/>
          <w:szCs w:val="22"/>
        </w:rPr>
        <w:t xml:space="preserve">.  </w:t>
      </w:r>
    </w:p>
    <w:p w14:paraId="55A93740" w14:textId="68D531C2" w:rsidR="00334658" w:rsidRDefault="00334658" w:rsidP="00334658">
      <w:pPr>
        <w:spacing w:before="100" w:beforeAutospacing="1" w:after="100" w:afterAutospacing="1" w:line="360" w:lineRule="auto"/>
        <w:rPr>
          <w:rFonts w:cs="Arial"/>
          <w:color w:val="000000" w:themeColor="text1"/>
          <w:szCs w:val="22"/>
        </w:rPr>
      </w:pPr>
      <w:r w:rsidRPr="003D23D0">
        <w:rPr>
          <w:rFonts w:cs="Arial"/>
          <w:color w:val="000000" w:themeColor="text1"/>
          <w:szCs w:val="22"/>
        </w:rPr>
        <w:lastRenderedPageBreak/>
        <w:t xml:space="preserve">Public Health England (2021). Adult Substance Misuse Treatment Statistics 2020–21. London: PHE. Available at: </w:t>
      </w:r>
      <w:hyperlink r:id="rId63" w:history="1">
        <w:r w:rsidRPr="003D23D0">
          <w:rPr>
            <w:rStyle w:val="Hyperlink"/>
            <w:rFonts w:cs="Arial"/>
            <w:color w:val="000000" w:themeColor="text1"/>
            <w:szCs w:val="22"/>
          </w:rPr>
          <w:t>https://www.gov.uk/government/statistics/substance-misuse-treatment-for-adults-statistics-2020-to-2021</w:t>
        </w:r>
      </w:hyperlink>
      <w:r w:rsidRPr="003D23D0">
        <w:rPr>
          <w:rFonts w:cs="Arial"/>
          <w:color w:val="000000" w:themeColor="text1"/>
          <w:szCs w:val="22"/>
        </w:rPr>
        <w:t xml:space="preserve"> (Accessed: 6 Nov. 2025). </w:t>
      </w:r>
    </w:p>
    <w:p w14:paraId="0020F846"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Public Health England (2023) </w:t>
      </w:r>
      <w:r w:rsidRPr="00935115">
        <w:rPr>
          <w:rFonts w:cs="Arial"/>
          <w:i/>
          <w:iCs/>
          <w:color w:val="000000" w:themeColor="text1"/>
          <w:szCs w:val="22"/>
        </w:rPr>
        <w:t>Annual Report on Drug-Related Deaths in England 2023.</w:t>
      </w:r>
      <w:r w:rsidRPr="00935115">
        <w:rPr>
          <w:rFonts w:cs="Arial"/>
          <w:color w:val="000000" w:themeColor="text1"/>
          <w:szCs w:val="22"/>
        </w:rPr>
        <w:t> London: PHE.</w:t>
      </w:r>
    </w:p>
    <w:p w14:paraId="0BE13760"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Room, R., (2005). ‘Stigma, social inequality and alcohol and drug use.’ </w:t>
      </w:r>
      <w:r w:rsidRPr="003D23D0">
        <w:rPr>
          <w:rFonts w:cs="Arial"/>
          <w:i/>
          <w:iCs/>
          <w:color w:val="000000" w:themeColor="text1"/>
          <w:szCs w:val="22"/>
        </w:rPr>
        <w:t>Drug and Alcohol Review</w:t>
      </w:r>
      <w:r w:rsidRPr="003D23D0">
        <w:rPr>
          <w:rFonts w:cs="Arial"/>
          <w:color w:val="000000" w:themeColor="text1"/>
          <w:szCs w:val="22"/>
        </w:rPr>
        <w:t>, 24(2), pp.143-155. doi:10.1080/09595230500102434.</w:t>
      </w:r>
      <w:r w:rsidRPr="003D23D0">
        <w:rPr>
          <w:rFonts w:cs="Arial"/>
          <w:color w:val="000000" w:themeColor="text1"/>
          <w:szCs w:val="22"/>
        </w:rPr>
        <w:br/>
        <w:t>Available at: </w:t>
      </w:r>
      <w:hyperlink r:id="rId64" w:tgtFrame="_new" w:history="1">
        <w:r w:rsidRPr="003D23D0">
          <w:rPr>
            <w:rFonts w:cs="Arial"/>
            <w:color w:val="000000" w:themeColor="text1"/>
            <w:szCs w:val="22"/>
            <w:u w:val="single"/>
          </w:rPr>
          <w:t>https://onlinelibrary.wiley.com/doi/10.1080/09595230500102434</w:t>
        </w:r>
      </w:hyperlink>
      <w:r w:rsidRPr="003D23D0">
        <w:rPr>
          <w:rFonts w:cs="Arial"/>
          <w:color w:val="000000" w:themeColor="text1"/>
          <w:szCs w:val="22"/>
        </w:rPr>
        <w:t> (Accessed: 6 Nov. 2025).</w:t>
      </w:r>
    </w:p>
    <w:p w14:paraId="5A161C37"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 xml:space="preserve">Sanz Cortés, A. (2022) ‘Diagnostic and Statistical Manual of Mental Disorders, Fifth Edition, Text Revision (DSM-5-TR). American Psychiatric Association, 2022. https://doi.org/10.1176/ </w:t>
      </w:r>
      <w:proofErr w:type="gramStart"/>
      <w:r w:rsidRPr="003D23D0">
        <w:rPr>
          <w:rFonts w:cs="Arial"/>
          <w:color w:val="000000" w:themeColor="text1"/>
          <w:szCs w:val="22"/>
          <w:shd w:val="clear" w:color="auto" w:fill="FFFFFF"/>
        </w:rPr>
        <w:t>appi.books</w:t>
      </w:r>
      <w:proofErr w:type="gramEnd"/>
      <w:r w:rsidRPr="003D23D0">
        <w:rPr>
          <w:rFonts w:cs="Arial"/>
          <w:color w:val="000000" w:themeColor="text1"/>
          <w:szCs w:val="22"/>
          <w:shd w:val="clear" w:color="auto" w:fill="FFFFFF"/>
        </w:rPr>
        <w:t>.9780890425787’,</w:t>
      </w:r>
      <w:r w:rsidRPr="003D23D0">
        <w:rPr>
          <w:rStyle w:val="apple-converted-space"/>
          <w:rFonts w:cs="Arial"/>
          <w:color w:val="000000" w:themeColor="text1"/>
          <w:szCs w:val="22"/>
          <w:shd w:val="clear" w:color="auto" w:fill="FFFFFF"/>
        </w:rPr>
        <w:t> </w:t>
      </w:r>
      <w:proofErr w:type="spellStart"/>
      <w:r w:rsidRPr="003D23D0">
        <w:rPr>
          <w:rFonts w:cs="Arial"/>
          <w:i/>
          <w:iCs/>
          <w:color w:val="000000" w:themeColor="text1"/>
          <w:szCs w:val="22"/>
        </w:rPr>
        <w:t>Psicooncología</w:t>
      </w:r>
      <w:proofErr w:type="spellEnd"/>
      <w:r w:rsidRPr="003D23D0">
        <w:rPr>
          <w:rFonts w:cs="Arial"/>
          <w:i/>
          <w:iCs/>
          <w:color w:val="000000" w:themeColor="text1"/>
          <w:szCs w:val="22"/>
        </w:rPr>
        <w:t xml:space="preserve"> : </w:t>
      </w:r>
      <w:proofErr w:type="spellStart"/>
      <w:r w:rsidRPr="003D23D0">
        <w:rPr>
          <w:rFonts w:cs="Arial"/>
          <w:i/>
          <w:iCs/>
          <w:color w:val="000000" w:themeColor="text1"/>
          <w:szCs w:val="22"/>
        </w:rPr>
        <w:t>investigación</w:t>
      </w:r>
      <w:proofErr w:type="spellEnd"/>
      <w:r w:rsidRPr="003D23D0">
        <w:rPr>
          <w:rFonts w:cs="Arial"/>
          <w:i/>
          <w:iCs/>
          <w:color w:val="000000" w:themeColor="text1"/>
          <w:szCs w:val="22"/>
        </w:rPr>
        <w:t xml:space="preserve"> y </w:t>
      </w:r>
      <w:proofErr w:type="spellStart"/>
      <w:r w:rsidRPr="003D23D0">
        <w:rPr>
          <w:rFonts w:cs="Arial"/>
          <w:i/>
          <w:iCs/>
          <w:color w:val="000000" w:themeColor="text1"/>
          <w:szCs w:val="22"/>
        </w:rPr>
        <w:t>clinica</w:t>
      </w:r>
      <w:proofErr w:type="spellEnd"/>
      <w:r w:rsidRPr="003D23D0">
        <w:rPr>
          <w:rFonts w:cs="Arial"/>
          <w:i/>
          <w:iCs/>
          <w:color w:val="000000" w:themeColor="text1"/>
          <w:szCs w:val="22"/>
        </w:rPr>
        <w:t xml:space="preserve"> </w:t>
      </w:r>
      <w:proofErr w:type="spellStart"/>
      <w:r w:rsidRPr="003D23D0">
        <w:rPr>
          <w:rFonts w:cs="Arial"/>
          <w:i/>
          <w:iCs/>
          <w:color w:val="000000" w:themeColor="text1"/>
          <w:szCs w:val="22"/>
        </w:rPr>
        <w:t>biopsicosocial</w:t>
      </w:r>
      <w:proofErr w:type="spellEnd"/>
      <w:r w:rsidRPr="003D23D0">
        <w:rPr>
          <w:rFonts w:cs="Arial"/>
          <w:i/>
          <w:iCs/>
          <w:color w:val="000000" w:themeColor="text1"/>
          <w:szCs w:val="22"/>
        </w:rPr>
        <w:t xml:space="preserve"> </w:t>
      </w:r>
      <w:proofErr w:type="spellStart"/>
      <w:r w:rsidRPr="003D23D0">
        <w:rPr>
          <w:rFonts w:cs="Arial"/>
          <w:i/>
          <w:iCs/>
          <w:color w:val="000000" w:themeColor="text1"/>
          <w:szCs w:val="22"/>
        </w:rPr>
        <w:t>en</w:t>
      </w:r>
      <w:proofErr w:type="spellEnd"/>
      <w:r w:rsidRPr="003D23D0">
        <w:rPr>
          <w:rFonts w:cs="Arial"/>
          <w:i/>
          <w:iCs/>
          <w:color w:val="000000" w:themeColor="text1"/>
          <w:szCs w:val="22"/>
        </w:rPr>
        <w:t xml:space="preserve"> </w:t>
      </w:r>
      <w:proofErr w:type="spellStart"/>
      <w:r w:rsidRPr="003D23D0">
        <w:rPr>
          <w:rFonts w:cs="Arial"/>
          <w:i/>
          <w:iCs/>
          <w:color w:val="000000" w:themeColor="text1"/>
          <w:szCs w:val="22"/>
        </w:rPr>
        <w:t>oncología</w:t>
      </w:r>
      <w:proofErr w:type="spellEnd"/>
      <w:r w:rsidRPr="003D23D0">
        <w:rPr>
          <w:rFonts w:cs="Arial"/>
          <w:i/>
          <w:iCs/>
          <w:color w:val="000000" w:themeColor="text1"/>
          <w:szCs w:val="22"/>
        </w:rPr>
        <w:t>.</w:t>
      </w:r>
      <w:r w:rsidRPr="003D23D0">
        <w:rPr>
          <w:rFonts w:cs="Arial"/>
          <w:color w:val="000000" w:themeColor="text1"/>
          <w:szCs w:val="22"/>
          <w:shd w:val="clear" w:color="auto" w:fill="FFFFFF"/>
        </w:rPr>
        <w:t xml:space="preserve">, 19(2), pp. 339–340. Available at: </w:t>
      </w:r>
      <w:hyperlink r:id="rId65" w:history="1">
        <w:r w:rsidRPr="003D23D0">
          <w:rPr>
            <w:rStyle w:val="Hyperlink"/>
            <w:rFonts w:cs="Arial"/>
            <w:color w:val="000000" w:themeColor="text1"/>
            <w:szCs w:val="22"/>
            <w:shd w:val="clear" w:color="auto" w:fill="FFFFFF"/>
          </w:rPr>
          <w:t>https://doi.org/10.5209/psic.84045</w:t>
        </w:r>
      </w:hyperlink>
      <w:r w:rsidRPr="003D23D0">
        <w:rPr>
          <w:rFonts w:cs="Arial"/>
          <w:color w:val="000000" w:themeColor="text1"/>
          <w:szCs w:val="22"/>
          <w:shd w:val="clear" w:color="auto" w:fill="FFFFFF"/>
        </w:rPr>
        <w:t xml:space="preserve">. </w:t>
      </w:r>
    </w:p>
    <w:p w14:paraId="1D4556FF"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Silver, H., (1994). ‘Social exclusion and social solidarity: three paradigms.’ </w:t>
      </w:r>
      <w:r w:rsidRPr="003D23D0">
        <w:rPr>
          <w:rFonts w:cs="Arial"/>
          <w:i/>
          <w:iCs/>
          <w:color w:val="000000" w:themeColor="text1"/>
          <w:szCs w:val="22"/>
        </w:rPr>
        <w:t>International Labour Review</w:t>
      </w:r>
      <w:r w:rsidRPr="003D23D0">
        <w:rPr>
          <w:rFonts w:cs="Arial"/>
          <w:color w:val="000000" w:themeColor="text1"/>
          <w:szCs w:val="22"/>
        </w:rPr>
        <w:t>, 133(5–6), pp.531-578.</w:t>
      </w:r>
      <w:r w:rsidRPr="003D23D0">
        <w:rPr>
          <w:rFonts w:cs="Arial"/>
          <w:color w:val="000000" w:themeColor="text1"/>
          <w:szCs w:val="22"/>
        </w:rPr>
        <w:br/>
        <w:t>Available at: </w:t>
      </w:r>
      <w:hyperlink r:id="rId66" w:history="1">
        <w:r w:rsidRPr="003D23D0">
          <w:rPr>
            <w:rStyle w:val="Hyperlink"/>
            <w:rFonts w:cs="Arial"/>
            <w:color w:val="000000" w:themeColor="text1"/>
            <w:szCs w:val="22"/>
          </w:rPr>
          <w:t>https://onlinelibrary.wiley.com/doi/10.1111/j.1564-913X.1994.tb00553.x</w:t>
        </w:r>
      </w:hyperlink>
      <w:r w:rsidRPr="003D23D0">
        <w:rPr>
          <w:rFonts w:cs="Arial"/>
          <w:color w:val="000000" w:themeColor="text1"/>
          <w:szCs w:val="22"/>
        </w:rPr>
        <w:t xml:space="preserve"> (Accessed: 10 Aug. 2025).</w:t>
      </w:r>
    </w:p>
    <w:p w14:paraId="082723D8"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Sinha, R., (2008) ‘Chronic stress, drug use and vulnerability to addiction.’ </w:t>
      </w:r>
      <w:r w:rsidRPr="003D23D0">
        <w:rPr>
          <w:rFonts w:cs="Arial"/>
          <w:i/>
          <w:iCs/>
          <w:color w:val="000000" w:themeColor="text1"/>
          <w:szCs w:val="22"/>
        </w:rPr>
        <w:t>Annals of the New York Academy of Sciences</w:t>
      </w:r>
      <w:r w:rsidRPr="003D23D0">
        <w:rPr>
          <w:rFonts w:cs="Arial"/>
          <w:color w:val="000000" w:themeColor="text1"/>
          <w:szCs w:val="22"/>
        </w:rPr>
        <w:t>, 1141, pp.105-130. Available at: </w:t>
      </w:r>
      <w:hyperlink r:id="rId67" w:tgtFrame="_new" w:history="1">
        <w:r w:rsidRPr="003D23D0">
          <w:rPr>
            <w:rFonts w:cs="Arial"/>
            <w:color w:val="000000" w:themeColor="text1"/>
            <w:szCs w:val="22"/>
            <w:u w:val="single"/>
          </w:rPr>
          <w:t>https://nyaspubs.onlinelibrary.wiley.com/doi/10.1196/annals.1441.030</w:t>
        </w:r>
      </w:hyperlink>
      <w:r w:rsidRPr="003D23D0">
        <w:rPr>
          <w:rFonts w:cs="Arial"/>
          <w:color w:val="000000" w:themeColor="text1"/>
          <w:szCs w:val="22"/>
        </w:rPr>
        <w:t> (Accessed: 6 Nov. 2025).</w:t>
      </w:r>
    </w:p>
    <w:p w14:paraId="6096D994" w14:textId="77777777" w:rsidR="00334658" w:rsidRDefault="00334658" w:rsidP="003D23D0">
      <w:pPr>
        <w:spacing w:line="360" w:lineRule="auto"/>
        <w:rPr>
          <w:rFonts w:cs="Arial"/>
          <w:color w:val="000000" w:themeColor="text1"/>
          <w:szCs w:val="22"/>
          <w:shd w:val="clear" w:color="auto" w:fill="FFFFFF"/>
        </w:rPr>
      </w:pPr>
      <w:r w:rsidRPr="00EB40A3">
        <w:rPr>
          <w:rFonts w:cs="Arial"/>
          <w:color w:val="000000" w:themeColor="text1"/>
          <w:szCs w:val="22"/>
          <w:shd w:val="clear" w:color="auto" w:fill="FFFFFF"/>
        </w:rPr>
        <w:t>Stevens, A. (2019) ‘“Being human” and the “moral sidestep” in drug policy: Explaining government inaction on opioid-related deaths in the UK’, </w:t>
      </w:r>
      <w:r w:rsidRPr="00EB40A3">
        <w:rPr>
          <w:rFonts w:cs="Arial"/>
          <w:i/>
          <w:iCs/>
          <w:color w:val="000000" w:themeColor="text1"/>
          <w:szCs w:val="22"/>
        </w:rPr>
        <w:t xml:space="preserve">Addictive </w:t>
      </w:r>
      <w:proofErr w:type="spellStart"/>
      <w:r w:rsidRPr="00EB40A3">
        <w:rPr>
          <w:rFonts w:cs="Arial"/>
          <w:i/>
          <w:iCs/>
          <w:color w:val="000000" w:themeColor="text1"/>
          <w:szCs w:val="22"/>
        </w:rPr>
        <w:t>behaviors</w:t>
      </w:r>
      <w:proofErr w:type="spellEnd"/>
      <w:r w:rsidRPr="00EB40A3">
        <w:rPr>
          <w:rFonts w:cs="Arial"/>
          <w:color w:val="000000" w:themeColor="text1"/>
          <w:szCs w:val="22"/>
          <w:shd w:val="clear" w:color="auto" w:fill="FFFFFF"/>
        </w:rPr>
        <w:t xml:space="preserve">, 90, pp. 444–450. Available at: </w:t>
      </w:r>
      <w:hyperlink r:id="rId68" w:history="1">
        <w:r w:rsidRPr="00EB40A3">
          <w:rPr>
            <w:rStyle w:val="Hyperlink"/>
            <w:rFonts w:cs="Arial"/>
            <w:color w:val="000000" w:themeColor="text1"/>
            <w:szCs w:val="22"/>
            <w:shd w:val="clear" w:color="auto" w:fill="FFFFFF"/>
          </w:rPr>
          <w:t>https://doi.org/10.1016/j.addbeh.2018.08.036</w:t>
        </w:r>
      </w:hyperlink>
      <w:r w:rsidRPr="00EB40A3">
        <w:rPr>
          <w:rFonts w:cs="Arial"/>
          <w:color w:val="000000" w:themeColor="text1"/>
          <w:szCs w:val="22"/>
          <w:shd w:val="clear" w:color="auto" w:fill="FFFFFF"/>
        </w:rPr>
        <w:t>.</w:t>
      </w:r>
    </w:p>
    <w:p w14:paraId="1625E0E1" w14:textId="77777777" w:rsidR="00334658" w:rsidRDefault="00334658" w:rsidP="003D23D0">
      <w:pPr>
        <w:spacing w:line="360" w:lineRule="auto"/>
        <w:rPr>
          <w:rFonts w:cs="Arial"/>
          <w:color w:val="000000" w:themeColor="text1"/>
          <w:szCs w:val="22"/>
          <w:shd w:val="clear" w:color="auto" w:fill="FFFFFF"/>
        </w:rPr>
      </w:pPr>
      <w:r w:rsidRPr="003D23D0">
        <w:rPr>
          <w:rFonts w:cs="Arial"/>
          <w:color w:val="000000" w:themeColor="text1"/>
          <w:szCs w:val="22"/>
          <w:shd w:val="clear" w:color="auto" w:fill="FFFFFF"/>
        </w:rPr>
        <w:t xml:space="preserve">Stevens, </w:t>
      </w:r>
      <w:proofErr w:type="gramStart"/>
      <w:r w:rsidRPr="003D23D0">
        <w:rPr>
          <w:rFonts w:cs="Arial"/>
          <w:color w:val="000000" w:themeColor="text1"/>
          <w:szCs w:val="22"/>
          <w:shd w:val="clear" w:color="auto" w:fill="FFFFFF"/>
        </w:rPr>
        <w:t>A.</w:t>
      </w:r>
      <w:proofErr w:type="gramEnd"/>
      <w:r w:rsidRPr="003D23D0">
        <w:rPr>
          <w:rFonts w:cs="Arial"/>
          <w:color w:val="000000" w:themeColor="text1"/>
          <w:szCs w:val="22"/>
          <w:shd w:val="clear" w:color="auto" w:fill="FFFFFF"/>
        </w:rPr>
        <w:t xml:space="preserve"> and </w:t>
      </w:r>
      <w:proofErr w:type="spellStart"/>
      <w:r w:rsidRPr="003D23D0">
        <w:rPr>
          <w:rFonts w:cs="Arial"/>
          <w:color w:val="000000" w:themeColor="text1"/>
          <w:szCs w:val="22"/>
          <w:shd w:val="clear" w:color="auto" w:fill="FFFFFF"/>
        </w:rPr>
        <w:t>Zampini</w:t>
      </w:r>
      <w:proofErr w:type="spellEnd"/>
      <w:r w:rsidRPr="003D23D0">
        <w:rPr>
          <w:rFonts w:cs="Arial"/>
          <w:color w:val="000000" w:themeColor="text1"/>
          <w:szCs w:val="22"/>
          <w:shd w:val="clear" w:color="auto" w:fill="FFFFFF"/>
        </w:rPr>
        <w:t xml:space="preserve">, G.F. (2018) ‘Drug policy constellations: A </w:t>
      </w:r>
      <w:proofErr w:type="spellStart"/>
      <w:r w:rsidRPr="003D23D0">
        <w:rPr>
          <w:rFonts w:cs="Arial"/>
          <w:color w:val="000000" w:themeColor="text1"/>
          <w:szCs w:val="22"/>
          <w:shd w:val="clear" w:color="auto" w:fill="FFFFFF"/>
        </w:rPr>
        <w:t>Habermasian</w:t>
      </w:r>
      <w:proofErr w:type="spellEnd"/>
      <w:r w:rsidRPr="003D23D0">
        <w:rPr>
          <w:rFonts w:cs="Arial"/>
          <w:color w:val="000000" w:themeColor="text1"/>
          <w:szCs w:val="22"/>
          <w:shd w:val="clear" w:color="auto" w:fill="FFFFFF"/>
        </w:rPr>
        <w:t xml:space="preserve"> approach for understanding English drug policy’,</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The International journal of drug policy</w:t>
      </w:r>
      <w:r w:rsidRPr="003D23D0">
        <w:rPr>
          <w:rFonts w:cs="Arial"/>
          <w:color w:val="000000" w:themeColor="text1"/>
          <w:szCs w:val="22"/>
          <w:shd w:val="clear" w:color="auto" w:fill="FFFFFF"/>
        </w:rPr>
        <w:t xml:space="preserve">, 57, pp. 61–71. Available at: </w:t>
      </w:r>
      <w:hyperlink r:id="rId69" w:history="1">
        <w:r w:rsidRPr="003D23D0">
          <w:rPr>
            <w:rStyle w:val="Hyperlink"/>
            <w:rFonts w:cs="Arial"/>
            <w:color w:val="000000" w:themeColor="text1"/>
            <w:szCs w:val="22"/>
            <w:shd w:val="clear" w:color="auto" w:fill="FFFFFF"/>
          </w:rPr>
          <w:t>https://doi.org/10.1016/j.drugpo.2018.03.030</w:t>
        </w:r>
      </w:hyperlink>
      <w:r w:rsidRPr="003D23D0">
        <w:rPr>
          <w:rFonts w:cs="Arial"/>
          <w:color w:val="000000" w:themeColor="text1"/>
          <w:szCs w:val="22"/>
          <w:shd w:val="clear" w:color="auto" w:fill="FFFFFF"/>
        </w:rPr>
        <w:t>.</w:t>
      </w:r>
    </w:p>
    <w:p w14:paraId="4630D09C"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Stevens, A., (2019) </w:t>
      </w:r>
      <w:r w:rsidRPr="003D23D0">
        <w:rPr>
          <w:rFonts w:cs="Arial"/>
          <w:i/>
          <w:iCs/>
          <w:color w:val="000000" w:themeColor="text1"/>
          <w:szCs w:val="22"/>
        </w:rPr>
        <w:t>Principles of Drug Policy: The Politics of Drugs and Their Control.</w:t>
      </w:r>
      <w:r w:rsidRPr="003D23D0">
        <w:rPr>
          <w:rFonts w:cs="Arial"/>
          <w:color w:val="000000" w:themeColor="text1"/>
          <w:szCs w:val="22"/>
        </w:rPr>
        <w:t> Basingstoke: Palgrave Macmillan.</w:t>
      </w:r>
      <w:r w:rsidRPr="003D23D0">
        <w:rPr>
          <w:rFonts w:cs="Arial"/>
          <w:color w:val="000000" w:themeColor="text1"/>
          <w:szCs w:val="22"/>
        </w:rPr>
        <w:br/>
        <w:t>Available at: </w:t>
      </w:r>
      <w:hyperlink r:id="rId70" w:history="1">
        <w:r w:rsidRPr="003D23D0">
          <w:rPr>
            <w:rStyle w:val="Hyperlink"/>
            <w:rFonts w:cs="Arial"/>
            <w:color w:val="000000" w:themeColor="text1"/>
            <w:szCs w:val="22"/>
          </w:rPr>
          <w:t>https://link.springer.com/book/10.1007/978-3-030-25595-1</w:t>
        </w:r>
      </w:hyperlink>
      <w:r w:rsidRPr="003D23D0">
        <w:rPr>
          <w:rFonts w:cs="Arial"/>
          <w:color w:val="000000" w:themeColor="text1"/>
          <w:szCs w:val="22"/>
        </w:rPr>
        <w:t xml:space="preserve"> (Accessed: 11 Aug. 2025).</w:t>
      </w:r>
    </w:p>
    <w:p w14:paraId="765D9563" w14:textId="77777777" w:rsidR="00334658" w:rsidRDefault="00334658" w:rsidP="00334658">
      <w:pPr>
        <w:spacing w:before="100" w:beforeAutospacing="1" w:after="100" w:afterAutospacing="1" w:line="360" w:lineRule="auto"/>
        <w:rPr>
          <w:rFonts w:cs="Arial"/>
          <w:color w:val="000000" w:themeColor="text1"/>
          <w:szCs w:val="22"/>
        </w:rPr>
      </w:pPr>
      <w:r w:rsidRPr="00937805">
        <w:rPr>
          <w:rFonts w:cs="Arial"/>
          <w:color w:val="000000" w:themeColor="text1"/>
          <w:szCs w:val="22"/>
        </w:rPr>
        <w:t xml:space="preserve">Stevens, A., </w:t>
      </w:r>
      <w:r w:rsidRPr="003D23D0">
        <w:rPr>
          <w:rFonts w:cs="Arial"/>
          <w:color w:val="000000" w:themeColor="text1"/>
          <w:szCs w:val="22"/>
        </w:rPr>
        <w:t>(</w:t>
      </w:r>
      <w:r w:rsidRPr="00937805">
        <w:rPr>
          <w:rFonts w:cs="Arial"/>
          <w:color w:val="000000" w:themeColor="text1"/>
          <w:szCs w:val="22"/>
        </w:rPr>
        <w:t>2024</w:t>
      </w:r>
      <w:r w:rsidRPr="003D23D0">
        <w:rPr>
          <w:rFonts w:cs="Arial"/>
          <w:color w:val="000000" w:themeColor="text1"/>
          <w:szCs w:val="22"/>
        </w:rPr>
        <w:t>)</w:t>
      </w:r>
      <w:r w:rsidRPr="00937805">
        <w:rPr>
          <w:rFonts w:cs="Arial"/>
          <w:color w:val="000000" w:themeColor="text1"/>
          <w:szCs w:val="22"/>
        </w:rPr>
        <w:t>. Policy Constellation: A Critical Realist Approach. In </w:t>
      </w:r>
      <w:r w:rsidRPr="00937805">
        <w:rPr>
          <w:rFonts w:cs="Arial"/>
          <w:i/>
          <w:iCs/>
          <w:color w:val="000000" w:themeColor="text1"/>
          <w:szCs w:val="22"/>
        </w:rPr>
        <w:t>Drug Policy Constellations</w:t>
      </w:r>
      <w:r w:rsidRPr="00937805">
        <w:rPr>
          <w:rFonts w:cs="Arial"/>
          <w:color w:val="000000" w:themeColor="text1"/>
          <w:szCs w:val="22"/>
        </w:rPr>
        <w:t> (pp. 33-41). Bristol University Press.</w:t>
      </w:r>
    </w:p>
    <w:p w14:paraId="2D027E30" w14:textId="1CDD71A5" w:rsidR="00334658" w:rsidRPr="00334658" w:rsidRDefault="00334658" w:rsidP="00334658">
      <w:pPr>
        <w:spacing w:before="100" w:beforeAutospacing="1" w:after="100" w:afterAutospacing="1" w:line="360" w:lineRule="auto"/>
        <w:rPr>
          <w:rFonts w:cs="Arial"/>
          <w:color w:val="000000" w:themeColor="text1"/>
          <w:szCs w:val="22"/>
        </w:rPr>
      </w:pPr>
      <w:r w:rsidRPr="003D23D0">
        <w:rPr>
          <w:rFonts w:cs="Arial"/>
          <w:color w:val="000000" w:themeColor="text1"/>
          <w:szCs w:val="22"/>
          <w:shd w:val="clear" w:color="auto" w:fill="FFFFFF"/>
        </w:rPr>
        <w:lastRenderedPageBreak/>
        <w:t>Stimson, G.V. (1995) ‘Aids and injecting drug use in the United Kingdom, 1987–1993: The policy response and the prevention of the epidemic’,</w:t>
      </w:r>
      <w:r w:rsidRPr="003D23D0">
        <w:rPr>
          <w:rStyle w:val="apple-converted-space"/>
          <w:rFonts w:cs="Arial"/>
          <w:color w:val="000000" w:themeColor="text1"/>
          <w:szCs w:val="22"/>
          <w:shd w:val="clear" w:color="auto" w:fill="FFFFFF"/>
        </w:rPr>
        <w:t> </w:t>
      </w:r>
      <w:r w:rsidRPr="003D23D0">
        <w:rPr>
          <w:rFonts w:cs="Arial"/>
          <w:i/>
          <w:iCs/>
          <w:color w:val="000000" w:themeColor="text1"/>
          <w:szCs w:val="22"/>
        </w:rPr>
        <w:t>Social science &amp; medicine (1982)</w:t>
      </w:r>
      <w:r w:rsidRPr="003D23D0">
        <w:rPr>
          <w:rFonts w:cs="Arial"/>
          <w:color w:val="000000" w:themeColor="text1"/>
          <w:szCs w:val="22"/>
          <w:shd w:val="clear" w:color="auto" w:fill="FFFFFF"/>
        </w:rPr>
        <w:t xml:space="preserve">, 41(5), pp. 699–716. Available at: </w:t>
      </w:r>
      <w:hyperlink r:id="rId71" w:history="1">
        <w:r w:rsidRPr="003D23D0">
          <w:rPr>
            <w:rStyle w:val="Hyperlink"/>
            <w:rFonts w:cs="Arial"/>
            <w:color w:val="000000" w:themeColor="text1"/>
            <w:szCs w:val="22"/>
            <w:shd w:val="clear" w:color="auto" w:fill="FFFFFF"/>
          </w:rPr>
          <w:t>https://doi.org/10.1016/0277-9536(94)00435-V</w:t>
        </w:r>
      </w:hyperlink>
      <w:r w:rsidRPr="003D23D0">
        <w:rPr>
          <w:rFonts w:cs="Arial"/>
          <w:color w:val="000000" w:themeColor="text1"/>
          <w:szCs w:val="22"/>
          <w:shd w:val="clear" w:color="auto" w:fill="FFFFFF"/>
        </w:rPr>
        <w:t xml:space="preserve">. </w:t>
      </w:r>
    </w:p>
    <w:p w14:paraId="53AFBA46" w14:textId="77777777" w:rsidR="00334658" w:rsidRDefault="00334658" w:rsidP="00334658">
      <w:pPr>
        <w:spacing w:line="360" w:lineRule="auto"/>
        <w:rPr>
          <w:rFonts w:cs="Arial"/>
          <w:color w:val="000000" w:themeColor="text1"/>
          <w:szCs w:val="22"/>
        </w:rPr>
      </w:pPr>
      <w:r w:rsidRPr="009C72BD">
        <w:rPr>
          <w:rFonts w:cs="Arial"/>
          <w:color w:val="000000" w:themeColor="text1"/>
          <w:szCs w:val="22"/>
        </w:rPr>
        <w:t>Stimson, G.V. (1995) </w:t>
      </w:r>
      <w:r w:rsidRPr="009C72BD">
        <w:rPr>
          <w:rFonts w:cs="Arial"/>
          <w:i/>
          <w:iCs/>
          <w:color w:val="000000" w:themeColor="text1"/>
          <w:szCs w:val="22"/>
        </w:rPr>
        <w:t>Harm reduction: Coming of age.</w:t>
      </w:r>
      <w:r w:rsidRPr="009C72BD">
        <w:rPr>
          <w:rFonts w:cs="Arial"/>
          <w:color w:val="000000" w:themeColor="text1"/>
          <w:szCs w:val="22"/>
        </w:rPr>
        <w:t> International Journal of Drug Policy, 6(2), pp.67–69.</w:t>
      </w:r>
    </w:p>
    <w:p w14:paraId="1789EA2C" w14:textId="77777777" w:rsidR="00334658" w:rsidRDefault="00334658" w:rsidP="003D23D0">
      <w:pPr>
        <w:spacing w:line="360" w:lineRule="auto"/>
        <w:rPr>
          <w:rFonts w:cs="Arial"/>
          <w:color w:val="000000" w:themeColor="text1"/>
          <w:szCs w:val="22"/>
        </w:rPr>
      </w:pPr>
      <w:r w:rsidRPr="00935115">
        <w:rPr>
          <w:rFonts w:cs="Arial"/>
          <w:color w:val="000000" w:themeColor="text1"/>
          <w:szCs w:val="22"/>
        </w:rPr>
        <w:t>Turning Point (2022) </w:t>
      </w:r>
      <w:r w:rsidRPr="00935115">
        <w:rPr>
          <w:rFonts w:cs="Arial"/>
          <w:i/>
          <w:iCs/>
          <w:color w:val="000000" w:themeColor="text1"/>
          <w:szCs w:val="22"/>
        </w:rPr>
        <w:t>Integrated Substance Misuse and Mental Health Services: A Practical Framework.</w:t>
      </w:r>
      <w:r w:rsidRPr="00935115">
        <w:rPr>
          <w:rFonts w:cs="Arial"/>
          <w:color w:val="000000" w:themeColor="text1"/>
          <w:szCs w:val="22"/>
        </w:rPr>
        <w:t> London: Turning Point.</w:t>
      </w:r>
      <w:r w:rsidRPr="003D23D0">
        <w:rPr>
          <w:rFonts w:cs="Arial"/>
          <w:color w:val="000000" w:themeColor="text1"/>
          <w:szCs w:val="22"/>
        </w:rPr>
        <w:t xml:space="preserve"> Available at: </w:t>
      </w:r>
      <w:hyperlink r:id="rId72" w:history="1">
        <w:r w:rsidRPr="003D23D0">
          <w:rPr>
            <w:rStyle w:val="Hyperlink"/>
            <w:rFonts w:cs="Arial"/>
            <w:color w:val="000000" w:themeColor="text1"/>
            <w:szCs w:val="22"/>
          </w:rPr>
          <w:t>https://www.turning-point.co.uk/_themesdelivery/turningpoint23/assets/downloads/Reports%20and%20strategy%20page%20downloads/SUMH%20Resource%20Pack%20July%202021%20(1).pdf</w:t>
        </w:r>
      </w:hyperlink>
      <w:r w:rsidRPr="003D23D0">
        <w:rPr>
          <w:rFonts w:cs="Arial"/>
          <w:color w:val="000000" w:themeColor="text1"/>
          <w:szCs w:val="22"/>
        </w:rPr>
        <w:t xml:space="preserve"> (Accessed: 11 Aug. 2025).</w:t>
      </w:r>
    </w:p>
    <w:p w14:paraId="20E94C30"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United Nations Office on Drugs and Crime (2023). </w:t>
      </w:r>
      <w:r w:rsidRPr="003D23D0">
        <w:rPr>
          <w:rFonts w:cs="Arial"/>
          <w:i/>
          <w:iCs/>
          <w:color w:val="000000" w:themeColor="text1"/>
          <w:szCs w:val="22"/>
        </w:rPr>
        <w:t>World Drug Report</w:t>
      </w:r>
      <w:r w:rsidRPr="003D23D0">
        <w:rPr>
          <w:rFonts w:cs="Arial"/>
          <w:color w:val="000000" w:themeColor="text1"/>
          <w:szCs w:val="22"/>
        </w:rPr>
        <w:t xml:space="preserve">. Available at: </w:t>
      </w:r>
      <w:hyperlink r:id="rId73" w:history="1">
        <w:r w:rsidRPr="003D23D0">
          <w:rPr>
            <w:rStyle w:val="Hyperlink"/>
            <w:rFonts w:cs="Arial"/>
            <w:color w:val="000000" w:themeColor="text1"/>
            <w:szCs w:val="22"/>
          </w:rPr>
          <w:t>https://www.unodc.org/res/WDR-2023/WDR23_Exsum_fin_DP.pdf</w:t>
        </w:r>
      </w:hyperlink>
      <w:r w:rsidRPr="003D23D0">
        <w:rPr>
          <w:rFonts w:cs="Arial"/>
          <w:color w:val="000000" w:themeColor="text1"/>
          <w:szCs w:val="22"/>
        </w:rPr>
        <w:t>. (Accessed: 6 Nov. 2025).</w:t>
      </w:r>
    </w:p>
    <w:p w14:paraId="311C9BBD" w14:textId="77777777" w:rsidR="00334658" w:rsidRDefault="00334658" w:rsidP="003D23D0">
      <w:pPr>
        <w:spacing w:line="360" w:lineRule="auto"/>
        <w:rPr>
          <w:rFonts w:cs="Arial"/>
          <w:color w:val="000000" w:themeColor="text1"/>
          <w:szCs w:val="22"/>
        </w:rPr>
      </w:pPr>
      <w:r w:rsidRPr="003D23D0">
        <w:rPr>
          <w:rFonts w:cs="Arial"/>
          <w:color w:val="000000" w:themeColor="text1"/>
          <w:szCs w:val="22"/>
        </w:rPr>
        <w:t>United Nations Office on Drugs and Crime (UNODC) (2022). World Drug Report 2022. Vienna: United Nations. Available at: https://www.unodc.org/unodc/en/data-and-analysis/world-drug-report-2022.html (Accessed: 5 June 2025).</w:t>
      </w:r>
    </w:p>
    <w:p w14:paraId="67709B75" w14:textId="7F38FDFB" w:rsidR="00334658" w:rsidRPr="003D23D0" w:rsidRDefault="00334658" w:rsidP="00334658">
      <w:pPr>
        <w:spacing w:after="240" w:line="360" w:lineRule="auto"/>
        <w:rPr>
          <w:rFonts w:cs="Arial"/>
          <w:color w:val="000000" w:themeColor="text1"/>
          <w:szCs w:val="22"/>
        </w:rPr>
      </w:pPr>
      <w:r w:rsidRPr="00F14487">
        <w:rPr>
          <w:rFonts w:cs="Arial"/>
          <w:color w:val="000000" w:themeColor="text1"/>
          <w:szCs w:val="22"/>
        </w:rPr>
        <w:t>University of Wales Trinity Saint David (2022). </w:t>
      </w:r>
      <w:r w:rsidRPr="00F14487">
        <w:rPr>
          <w:rFonts w:cs="Arial"/>
          <w:i/>
          <w:iCs/>
          <w:color w:val="000000" w:themeColor="text1"/>
          <w:szCs w:val="22"/>
        </w:rPr>
        <w:t>Research Ethics &amp; Integrity Code of Practice</w:t>
      </w:r>
      <w:r w:rsidRPr="00F14487">
        <w:rPr>
          <w:rFonts w:cs="Arial"/>
          <w:color w:val="000000" w:themeColor="text1"/>
          <w:szCs w:val="22"/>
        </w:rPr>
        <w:t>.</w:t>
      </w:r>
      <w:r w:rsidRPr="003D23D0">
        <w:rPr>
          <w:rFonts w:cs="Arial"/>
          <w:color w:val="000000" w:themeColor="text1"/>
          <w:szCs w:val="22"/>
        </w:rPr>
        <w:t xml:space="preserve"> </w:t>
      </w:r>
      <w:r w:rsidRPr="00F14487">
        <w:rPr>
          <w:rFonts w:cs="Arial"/>
          <w:color w:val="000000" w:themeColor="text1"/>
          <w:szCs w:val="22"/>
        </w:rPr>
        <w:t xml:space="preserve">Uwtsd.ac.uk. Available at: https://moodle.uwtsd.ac.uk/pluginfile.php/1025142/mod_resource/content/1/research-ethics-and-integrity-code-of-practice-jul-2022.pdf </w:t>
      </w:r>
      <w:r w:rsidRPr="003D23D0">
        <w:rPr>
          <w:rFonts w:cs="Arial"/>
          <w:color w:val="000000" w:themeColor="text1"/>
          <w:szCs w:val="22"/>
        </w:rPr>
        <w:t>(</w:t>
      </w:r>
      <w:r w:rsidRPr="00F14487">
        <w:rPr>
          <w:rFonts w:cs="Arial"/>
          <w:color w:val="000000" w:themeColor="text1"/>
          <w:szCs w:val="22"/>
        </w:rPr>
        <w:t>Accessed 17 Aug. 2025</w:t>
      </w:r>
      <w:r w:rsidRPr="003D23D0">
        <w:rPr>
          <w:rFonts w:cs="Arial"/>
          <w:color w:val="000000" w:themeColor="text1"/>
          <w:szCs w:val="22"/>
        </w:rPr>
        <w:t>)</w:t>
      </w:r>
      <w:r w:rsidRPr="00F14487">
        <w:rPr>
          <w:rFonts w:cs="Arial"/>
          <w:color w:val="000000" w:themeColor="text1"/>
          <w:szCs w:val="22"/>
        </w:rPr>
        <w:t>.</w:t>
      </w:r>
      <w:r w:rsidRPr="001D1EB8">
        <w:rPr>
          <w:rFonts w:cs="Arial"/>
          <w:color w:val="000000" w:themeColor="text1"/>
          <w:szCs w:val="22"/>
        </w:rPr>
        <w:br/>
        <w:t xml:space="preserve">University of Wales Trinity Saint David (UWTSD), </w:t>
      </w:r>
      <w:r w:rsidRPr="003D23D0">
        <w:rPr>
          <w:rFonts w:cs="Arial"/>
          <w:color w:val="000000" w:themeColor="text1"/>
          <w:szCs w:val="22"/>
        </w:rPr>
        <w:t>(</w:t>
      </w:r>
      <w:r w:rsidRPr="001D1EB8">
        <w:rPr>
          <w:rFonts w:cs="Arial"/>
          <w:color w:val="000000" w:themeColor="text1"/>
          <w:szCs w:val="22"/>
        </w:rPr>
        <w:t>2024</w:t>
      </w:r>
      <w:r w:rsidRPr="003D23D0">
        <w:rPr>
          <w:rFonts w:cs="Arial"/>
          <w:color w:val="000000" w:themeColor="text1"/>
          <w:szCs w:val="22"/>
        </w:rPr>
        <w:t>)</w:t>
      </w:r>
      <w:r w:rsidRPr="001D1EB8">
        <w:rPr>
          <w:rFonts w:cs="Arial"/>
          <w:color w:val="000000" w:themeColor="text1"/>
          <w:szCs w:val="22"/>
        </w:rPr>
        <w:t>. </w:t>
      </w:r>
      <w:r w:rsidRPr="001D1EB8">
        <w:rPr>
          <w:rFonts w:cs="Arial"/>
          <w:i/>
          <w:iCs/>
          <w:color w:val="000000" w:themeColor="text1"/>
          <w:szCs w:val="22"/>
        </w:rPr>
        <w:t>Library and Academic Skills: Harvard Referencing Guide.</w:t>
      </w:r>
      <w:r w:rsidRPr="003D23D0">
        <w:rPr>
          <w:rFonts w:cs="Arial"/>
          <w:i/>
          <w:iCs/>
          <w:color w:val="000000" w:themeColor="text1"/>
          <w:szCs w:val="22"/>
        </w:rPr>
        <w:t xml:space="preserve"> </w:t>
      </w:r>
      <w:r w:rsidRPr="001D1EB8">
        <w:rPr>
          <w:rFonts w:cs="Arial"/>
          <w:color w:val="000000" w:themeColor="text1"/>
          <w:szCs w:val="22"/>
        </w:rPr>
        <w:t>Available at:</w:t>
      </w:r>
      <w:r w:rsidRPr="003D23D0">
        <w:rPr>
          <w:rFonts w:cs="Arial"/>
          <w:color w:val="000000" w:themeColor="text1"/>
          <w:szCs w:val="22"/>
        </w:rPr>
        <w:t xml:space="preserve"> </w:t>
      </w:r>
      <w:r w:rsidRPr="001D1EB8">
        <w:rPr>
          <w:rFonts w:cs="Arial"/>
          <w:color w:val="000000" w:themeColor="text1"/>
          <w:szCs w:val="22"/>
        </w:rPr>
        <w:t>https://uwtsd.ac.uk/library/referencing/ </w:t>
      </w:r>
      <w:r w:rsidRPr="003D23D0">
        <w:rPr>
          <w:rFonts w:cs="Arial"/>
          <w:color w:val="000000" w:themeColor="text1"/>
          <w:szCs w:val="22"/>
        </w:rPr>
        <w:t>(</w:t>
      </w:r>
      <w:r w:rsidRPr="001D1EB8">
        <w:rPr>
          <w:rFonts w:cs="Arial"/>
          <w:color w:val="000000" w:themeColor="text1"/>
          <w:szCs w:val="22"/>
        </w:rPr>
        <w:t>Accessed: 6 Nov. 2025</w:t>
      </w:r>
      <w:r w:rsidRPr="003D23D0">
        <w:rPr>
          <w:rFonts w:cs="Arial"/>
          <w:color w:val="000000" w:themeColor="text1"/>
          <w:szCs w:val="22"/>
        </w:rPr>
        <w:t>)</w:t>
      </w:r>
      <w:r w:rsidRPr="001D1EB8">
        <w:rPr>
          <w:rFonts w:cs="Arial"/>
          <w:color w:val="000000" w:themeColor="text1"/>
          <w:szCs w:val="22"/>
        </w:rPr>
        <w:t>.</w:t>
      </w:r>
      <w:r w:rsidRPr="003D23D0">
        <w:rPr>
          <w:rFonts w:cs="Arial"/>
          <w:color w:val="000000" w:themeColor="text1"/>
          <w:szCs w:val="22"/>
        </w:rPr>
        <w:t xml:space="preserve"> </w:t>
      </w:r>
    </w:p>
    <w:p w14:paraId="6608B8C2"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UNODC (2022</w:t>
      </w:r>
      <w:proofErr w:type="gramStart"/>
      <w:r w:rsidRPr="00935115">
        <w:rPr>
          <w:rFonts w:cs="Arial"/>
          <w:color w:val="000000" w:themeColor="text1"/>
          <w:szCs w:val="22"/>
        </w:rPr>
        <w:t>)</w:t>
      </w:r>
      <w:r w:rsidRPr="003D23D0">
        <w:rPr>
          <w:rFonts w:cs="Arial"/>
          <w:color w:val="000000" w:themeColor="text1"/>
          <w:szCs w:val="22"/>
        </w:rPr>
        <w:t>.</w:t>
      </w:r>
      <w:r w:rsidRPr="00935115">
        <w:rPr>
          <w:rFonts w:cs="Arial"/>
          <w:i/>
          <w:iCs/>
          <w:color w:val="000000" w:themeColor="text1"/>
          <w:szCs w:val="22"/>
        </w:rPr>
        <w:t>World</w:t>
      </w:r>
      <w:proofErr w:type="gramEnd"/>
      <w:r w:rsidRPr="00935115">
        <w:rPr>
          <w:rFonts w:cs="Arial"/>
          <w:i/>
          <w:iCs/>
          <w:color w:val="000000" w:themeColor="text1"/>
          <w:szCs w:val="22"/>
        </w:rPr>
        <w:t xml:space="preserve"> Drug Report 2022.</w:t>
      </w:r>
      <w:r w:rsidRPr="00935115">
        <w:rPr>
          <w:rFonts w:cs="Arial"/>
          <w:color w:val="000000" w:themeColor="text1"/>
          <w:szCs w:val="22"/>
        </w:rPr>
        <w:t> United Nations Office on Drugs and Crime. Available at: </w:t>
      </w:r>
      <w:hyperlink r:id="rId74" w:tgtFrame="_new" w:history="1">
        <w:r w:rsidRPr="00935115">
          <w:rPr>
            <w:rFonts w:cs="Arial"/>
            <w:color w:val="000000" w:themeColor="text1"/>
            <w:szCs w:val="22"/>
            <w:u w:val="single"/>
          </w:rPr>
          <w:t>https://www.unodc.org/unodc/en/data-and-analysis/world-drug-report-2022.html</w:t>
        </w:r>
      </w:hyperlink>
      <w:r w:rsidRPr="00935115">
        <w:rPr>
          <w:rFonts w:cs="Arial"/>
          <w:color w:val="000000" w:themeColor="text1"/>
          <w:szCs w:val="22"/>
        </w:rPr>
        <w:t> (Accessed: 5 June 2025).</w:t>
      </w:r>
    </w:p>
    <w:p w14:paraId="77A4E1D6"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UNODC (United Nations Office on Drugs and Crime), 2022. </w:t>
      </w:r>
      <w:r w:rsidRPr="003D23D0">
        <w:rPr>
          <w:rFonts w:cs="Arial"/>
          <w:i/>
          <w:iCs/>
          <w:color w:val="000000" w:themeColor="text1"/>
          <w:szCs w:val="22"/>
        </w:rPr>
        <w:t>World Drug Report 2022.</w:t>
      </w:r>
      <w:r w:rsidRPr="003D23D0">
        <w:rPr>
          <w:rFonts w:cs="Arial"/>
          <w:color w:val="000000" w:themeColor="text1"/>
          <w:szCs w:val="22"/>
        </w:rPr>
        <w:t> Vienna: United Nations.</w:t>
      </w:r>
      <w:r w:rsidRPr="003D23D0">
        <w:rPr>
          <w:rFonts w:cs="Arial"/>
          <w:color w:val="000000" w:themeColor="text1"/>
          <w:szCs w:val="22"/>
        </w:rPr>
        <w:br/>
        <w:t>Available at: </w:t>
      </w:r>
      <w:hyperlink r:id="rId75" w:tgtFrame="_new" w:history="1">
        <w:r w:rsidRPr="003D23D0">
          <w:rPr>
            <w:rFonts w:cs="Arial"/>
            <w:color w:val="000000" w:themeColor="text1"/>
            <w:szCs w:val="22"/>
            <w:u w:val="single"/>
          </w:rPr>
          <w:t>https://www.unodc.org/unodc/en/data-and-analysis/world-drug-report-2022.html</w:t>
        </w:r>
      </w:hyperlink>
      <w:r w:rsidRPr="003D23D0">
        <w:rPr>
          <w:rFonts w:cs="Arial"/>
          <w:color w:val="000000" w:themeColor="text1"/>
          <w:szCs w:val="22"/>
        </w:rPr>
        <w:t> (Accessed: 6 Nov. 2025).</w:t>
      </w:r>
    </w:p>
    <w:p w14:paraId="0B78B626" w14:textId="77777777" w:rsidR="00334658" w:rsidRPr="00935115" w:rsidRDefault="00334658" w:rsidP="003D23D0">
      <w:pPr>
        <w:spacing w:before="100" w:beforeAutospacing="1" w:after="100" w:afterAutospacing="1" w:line="360" w:lineRule="auto"/>
        <w:rPr>
          <w:rFonts w:cs="Arial"/>
          <w:color w:val="000000" w:themeColor="text1"/>
          <w:szCs w:val="22"/>
        </w:rPr>
      </w:pPr>
      <w:r w:rsidRPr="00935115">
        <w:rPr>
          <w:rFonts w:cs="Arial"/>
          <w:color w:val="000000" w:themeColor="text1"/>
          <w:szCs w:val="22"/>
        </w:rPr>
        <w:t>Whitehead, M. (1992) ‘The concepts and principles of equity and health’, </w:t>
      </w:r>
      <w:r w:rsidRPr="00935115">
        <w:rPr>
          <w:rFonts w:cs="Arial"/>
          <w:i/>
          <w:iCs/>
          <w:color w:val="000000" w:themeColor="text1"/>
          <w:szCs w:val="22"/>
        </w:rPr>
        <w:t>Health Promotion International</w:t>
      </w:r>
      <w:r w:rsidRPr="00935115">
        <w:rPr>
          <w:rFonts w:cs="Arial"/>
          <w:color w:val="000000" w:themeColor="text1"/>
          <w:szCs w:val="22"/>
        </w:rPr>
        <w:t xml:space="preserve">, 6(3), pp. 217–228. </w:t>
      </w:r>
      <w:proofErr w:type="spellStart"/>
      <w:r w:rsidRPr="00935115">
        <w:rPr>
          <w:rFonts w:cs="Arial"/>
          <w:color w:val="000000" w:themeColor="text1"/>
          <w:szCs w:val="22"/>
        </w:rPr>
        <w:t>doi</w:t>
      </w:r>
      <w:proofErr w:type="spellEnd"/>
      <w:r w:rsidRPr="00935115">
        <w:rPr>
          <w:rFonts w:cs="Arial"/>
          <w:color w:val="000000" w:themeColor="text1"/>
          <w:szCs w:val="22"/>
        </w:rPr>
        <w:t>: 10.1093/</w:t>
      </w:r>
      <w:proofErr w:type="spellStart"/>
      <w:r w:rsidRPr="00935115">
        <w:rPr>
          <w:rFonts w:cs="Arial"/>
          <w:color w:val="000000" w:themeColor="text1"/>
          <w:szCs w:val="22"/>
        </w:rPr>
        <w:t>heapro</w:t>
      </w:r>
      <w:proofErr w:type="spellEnd"/>
      <w:r w:rsidRPr="00935115">
        <w:rPr>
          <w:rFonts w:cs="Arial"/>
          <w:color w:val="000000" w:themeColor="text1"/>
          <w:szCs w:val="22"/>
        </w:rPr>
        <w:t>/6.3.217.</w:t>
      </w:r>
    </w:p>
    <w:p w14:paraId="30F07665"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lastRenderedPageBreak/>
        <w:t>WHO (2019</w:t>
      </w:r>
      <w:proofErr w:type="gramStart"/>
      <w:r w:rsidRPr="003D23D0">
        <w:rPr>
          <w:rFonts w:cs="Arial"/>
          <w:color w:val="000000" w:themeColor="text1"/>
          <w:szCs w:val="22"/>
        </w:rPr>
        <w:t>).</w:t>
      </w:r>
      <w:proofErr w:type="gramEnd"/>
      <w:r w:rsidRPr="003D23D0">
        <w:rPr>
          <w:rFonts w:cs="Arial"/>
          <w:color w:val="000000" w:themeColor="text1"/>
          <w:szCs w:val="22"/>
        </w:rPr>
        <w:t xml:space="preserve"> World Health Organization: </w:t>
      </w:r>
      <w:r w:rsidRPr="003D23D0">
        <w:rPr>
          <w:rFonts w:cs="Arial"/>
          <w:i/>
          <w:iCs/>
          <w:color w:val="000000" w:themeColor="text1"/>
          <w:szCs w:val="22"/>
        </w:rPr>
        <w:t>Social Determinants of Health.</w:t>
      </w:r>
      <w:r w:rsidRPr="003D23D0">
        <w:rPr>
          <w:rFonts w:cs="Arial"/>
          <w:color w:val="000000" w:themeColor="text1"/>
          <w:szCs w:val="22"/>
        </w:rPr>
        <w:t> Geneva: WHO.</w:t>
      </w:r>
      <w:r w:rsidRPr="003D23D0">
        <w:rPr>
          <w:rFonts w:cs="Arial"/>
          <w:color w:val="000000" w:themeColor="text1"/>
          <w:szCs w:val="22"/>
        </w:rPr>
        <w:br/>
        <w:t>Available at: </w:t>
      </w:r>
      <w:hyperlink r:id="rId76" w:tgtFrame="_new" w:history="1">
        <w:r w:rsidRPr="003D23D0">
          <w:rPr>
            <w:rFonts w:cs="Arial"/>
            <w:color w:val="000000" w:themeColor="text1"/>
            <w:szCs w:val="22"/>
            <w:u w:val="single"/>
          </w:rPr>
          <w:t>https://www.who.int/health-topics/social-determinants-of-health</w:t>
        </w:r>
      </w:hyperlink>
      <w:r w:rsidRPr="003D23D0">
        <w:rPr>
          <w:rFonts w:cs="Arial"/>
          <w:color w:val="000000" w:themeColor="text1"/>
          <w:szCs w:val="22"/>
        </w:rPr>
        <w:t> (Accessed: 6 Nov. 2025).</w:t>
      </w:r>
    </w:p>
    <w:p w14:paraId="1700A337"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WHO (2022</w:t>
      </w:r>
      <w:proofErr w:type="gramStart"/>
      <w:r w:rsidRPr="003D23D0">
        <w:rPr>
          <w:rFonts w:cs="Arial"/>
          <w:color w:val="000000" w:themeColor="text1"/>
          <w:szCs w:val="22"/>
        </w:rPr>
        <w:t>).</w:t>
      </w:r>
      <w:proofErr w:type="gramEnd"/>
      <w:r w:rsidRPr="003D23D0">
        <w:rPr>
          <w:rFonts w:cs="Arial"/>
          <w:color w:val="000000" w:themeColor="text1"/>
          <w:szCs w:val="22"/>
        </w:rPr>
        <w:t xml:space="preserve"> World Mental Health Report: </w:t>
      </w:r>
      <w:r w:rsidRPr="003D23D0">
        <w:rPr>
          <w:rFonts w:cs="Arial"/>
          <w:i/>
          <w:iCs/>
          <w:color w:val="000000" w:themeColor="text1"/>
          <w:szCs w:val="22"/>
        </w:rPr>
        <w:t>Transforming Mental Health for All</w:t>
      </w:r>
      <w:r w:rsidRPr="003D23D0">
        <w:rPr>
          <w:rFonts w:cs="Arial"/>
          <w:color w:val="000000" w:themeColor="text1"/>
          <w:szCs w:val="22"/>
        </w:rPr>
        <w:t>. Geneva: WHO. Available at: https://www.who.int/publications/i/item/9789240049338 (Accessed: 6 Nov. 2025).</w:t>
      </w:r>
    </w:p>
    <w:p w14:paraId="0E822922"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WHO (2023</w:t>
      </w:r>
      <w:proofErr w:type="gramStart"/>
      <w:r w:rsidRPr="003D23D0">
        <w:rPr>
          <w:rFonts w:cs="Arial"/>
          <w:color w:val="000000" w:themeColor="text1"/>
          <w:szCs w:val="22"/>
        </w:rPr>
        <w:t>).</w:t>
      </w:r>
      <w:proofErr w:type="gramEnd"/>
      <w:r w:rsidRPr="003D23D0">
        <w:rPr>
          <w:rFonts w:cs="Arial"/>
          <w:color w:val="000000" w:themeColor="text1"/>
          <w:szCs w:val="22"/>
        </w:rPr>
        <w:t> </w:t>
      </w:r>
      <w:r w:rsidRPr="003D23D0">
        <w:rPr>
          <w:rFonts w:cs="Arial"/>
          <w:i/>
          <w:iCs/>
          <w:color w:val="000000" w:themeColor="text1"/>
          <w:szCs w:val="22"/>
        </w:rPr>
        <w:t xml:space="preserve">Global status report on alcohol and health and treatment of substance </w:t>
      </w:r>
      <w:proofErr w:type="gramStart"/>
      <w:r w:rsidRPr="003D23D0">
        <w:rPr>
          <w:rFonts w:cs="Arial"/>
          <w:i/>
          <w:iCs/>
          <w:color w:val="000000" w:themeColor="text1"/>
          <w:szCs w:val="22"/>
        </w:rPr>
        <w:t>use</w:t>
      </w:r>
      <w:proofErr w:type="gramEnd"/>
      <w:r w:rsidRPr="003D23D0">
        <w:rPr>
          <w:rFonts w:cs="Arial"/>
          <w:i/>
          <w:iCs/>
          <w:color w:val="000000" w:themeColor="text1"/>
          <w:szCs w:val="22"/>
        </w:rPr>
        <w:t xml:space="preserve"> disorders</w:t>
      </w:r>
      <w:r w:rsidRPr="003D23D0">
        <w:rPr>
          <w:rFonts w:cs="Arial"/>
          <w:color w:val="000000" w:themeColor="text1"/>
          <w:szCs w:val="22"/>
        </w:rPr>
        <w:t xml:space="preserve">. www.who.int. Available at: </w:t>
      </w:r>
      <w:hyperlink r:id="rId77" w:history="1">
        <w:r w:rsidRPr="003D23D0">
          <w:rPr>
            <w:rStyle w:val="Hyperlink"/>
            <w:rFonts w:cs="Arial"/>
            <w:color w:val="000000" w:themeColor="text1"/>
            <w:szCs w:val="22"/>
          </w:rPr>
          <w:t>https://www.who.int/publications/i/item/9789240096745</w:t>
        </w:r>
      </w:hyperlink>
      <w:r w:rsidRPr="003D23D0">
        <w:rPr>
          <w:rFonts w:cs="Arial"/>
          <w:color w:val="000000" w:themeColor="text1"/>
          <w:szCs w:val="22"/>
        </w:rPr>
        <w:t>. (Accessed: 6 Nov. 2025).</w:t>
      </w:r>
    </w:p>
    <w:p w14:paraId="3270C103"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t>WHO (2024</w:t>
      </w:r>
      <w:proofErr w:type="gramStart"/>
      <w:r w:rsidRPr="003D23D0">
        <w:rPr>
          <w:rFonts w:cs="Arial"/>
          <w:color w:val="000000" w:themeColor="text1"/>
          <w:szCs w:val="22"/>
        </w:rPr>
        <w:t>).</w:t>
      </w:r>
      <w:proofErr w:type="gramEnd"/>
      <w:r w:rsidRPr="003D23D0">
        <w:rPr>
          <w:rFonts w:cs="Arial"/>
          <w:color w:val="000000" w:themeColor="text1"/>
          <w:szCs w:val="22"/>
        </w:rPr>
        <w:t> </w:t>
      </w:r>
      <w:r w:rsidRPr="003D23D0">
        <w:rPr>
          <w:rFonts w:cs="Arial"/>
          <w:i/>
          <w:iCs/>
          <w:color w:val="000000" w:themeColor="text1"/>
          <w:szCs w:val="22"/>
        </w:rPr>
        <w:t>Towards an action plan on alcohol</w:t>
      </w:r>
      <w:r w:rsidRPr="003D23D0">
        <w:rPr>
          <w:rFonts w:cs="Arial"/>
          <w:color w:val="000000" w:themeColor="text1"/>
          <w:szCs w:val="22"/>
        </w:rPr>
        <w:t xml:space="preserve">. www.who.int. Available at: </w:t>
      </w:r>
      <w:hyperlink r:id="rId78" w:history="1">
        <w:r w:rsidRPr="003D23D0">
          <w:rPr>
            <w:rStyle w:val="Hyperlink"/>
            <w:rFonts w:cs="Arial"/>
            <w:color w:val="000000" w:themeColor="text1"/>
            <w:szCs w:val="22"/>
          </w:rPr>
          <w:t>https://www.who.int/teams/mental-health-and-substance-use/alcohol-drugs-and-addictive-behaviours/alcohol/our-activities/towards-and-action-plan-on-alcohol</w:t>
        </w:r>
      </w:hyperlink>
      <w:r w:rsidRPr="003D23D0">
        <w:rPr>
          <w:rFonts w:cs="Arial"/>
          <w:color w:val="000000" w:themeColor="text1"/>
          <w:szCs w:val="22"/>
        </w:rPr>
        <w:t>. (Accessed: 6 Nov. 2025).</w:t>
      </w:r>
    </w:p>
    <w:p w14:paraId="2AA96AC1" w14:textId="77777777" w:rsidR="00334658" w:rsidRPr="003D23D0" w:rsidRDefault="00334658" w:rsidP="003D23D0">
      <w:pPr>
        <w:spacing w:line="360" w:lineRule="auto"/>
        <w:rPr>
          <w:rFonts w:cs="Arial"/>
          <w:color w:val="000000" w:themeColor="text1"/>
          <w:szCs w:val="22"/>
        </w:rPr>
      </w:pPr>
      <w:r w:rsidRPr="003D23D0">
        <w:rPr>
          <w:rFonts w:cs="Arial"/>
          <w:color w:val="000000" w:themeColor="text1"/>
          <w:szCs w:val="22"/>
        </w:rPr>
        <w:br/>
        <w:t>World Health Organization (WHO), 2021. </w:t>
      </w:r>
      <w:r w:rsidRPr="003D23D0">
        <w:rPr>
          <w:rFonts w:cs="Arial"/>
          <w:i/>
          <w:iCs/>
          <w:color w:val="000000" w:themeColor="text1"/>
          <w:szCs w:val="22"/>
        </w:rPr>
        <w:t>Lexicon of Alcohol and Drug Terms.</w:t>
      </w:r>
      <w:r w:rsidRPr="003D23D0">
        <w:rPr>
          <w:rFonts w:cs="Arial"/>
          <w:color w:val="000000" w:themeColor="text1"/>
          <w:szCs w:val="22"/>
        </w:rPr>
        <w:t xml:space="preserve"> Geneva: WHO. Available at: </w:t>
      </w:r>
      <w:hyperlink r:id="rId79" w:history="1">
        <w:r w:rsidRPr="003D23D0">
          <w:rPr>
            <w:rStyle w:val="Hyperlink"/>
            <w:rFonts w:cs="Arial"/>
            <w:color w:val="000000" w:themeColor="text1"/>
            <w:szCs w:val="22"/>
          </w:rPr>
          <w:t>https://www.who.int/publications/i/item/9241544686</w:t>
        </w:r>
      </w:hyperlink>
      <w:r w:rsidRPr="003D23D0">
        <w:rPr>
          <w:rFonts w:cs="Arial"/>
          <w:color w:val="000000" w:themeColor="text1"/>
          <w:szCs w:val="22"/>
        </w:rPr>
        <w:t>. (Accessed: 6 Nov. 2025).</w:t>
      </w:r>
    </w:p>
    <w:p w14:paraId="40713FB6" w14:textId="77777777" w:rsidR="00334658" w:rsidRPr="003D23D0" w:rsidRDefault="00334658" w:rsidP="003D23D0">
      <w:pPr>
        <w:spacing w:after="240" w:line="360" w:lineRule="auto"/>
        <w:rPr>
          <w:rFonts w:cs="Arial"/>
          <w:color w:val="000000" w:themeColor="text1"/>
          <w:szCs w:val="22"/>
        </w:rPr>
      </w:pPr>
      <w:r w:rsidRPr="003D23D0">
        <w:rPr>
          <w:rFonts w:cs="Arial"/>
          <w:color w:val="000000" w:themeColor="text1"/>
          <w:szCs w:val="22"/>
        </w:rPr>
        <w:t>Zubin, J. and Spring, B. (1977). Vulnerability--a new view of schizophrenia. </w:t>
      </w:r>
      <w:r w:rsidRPr="003D23D0">
        <w:rPr>
          <w:rFonts w:cs="Arial"/>
          <w:i/>
          <w:iCs/>
          <w:color w:val="000000" w:themeColor="text1"/>
          <w:szCs w:val="22"/>
        </w:rPr>
        <w:t>Journal of abnormal psychology</w:t>
      </w:r>
      <w:r w:rsidRPr="003D23D0">
        <w:rPr>
          <w:rFonts w:cs="Arial"/>
          <w:color w:val="000000" w:themeColor="text1"/>
          <w:szCs w:val="22"/>
        </w:rPr>
        <w:t xml:space="preserve">, 86(2), pp.103–26. Available at: </w:t>
      </w:r>
      <w:proofErr w:type="gramStart"/>
      <w:r w:rsidRPr="003D23D0">
        <w:rPr>
          <w:rFonts w:cs="Arial"/>
          <w:color w:val="000000" w:themeColor="text1"/>
          <w:szCs w:val="22"/>
        </w:rPr>
        <w:t>doi:https://doi.org/10.1037//0021-843x.86.2.103</w:t>
      </w:r>
      <w:proofErr w:type="gramEnd"/>
      <w:r w:rsidRPr="003D23D0">
        <w:rPr>
          <w:rFonts w:cs="Arial"/>
          <w:color w:val="000000" w:themeColor="text1"/>
          <w:szCs w:val="22"/>
        </w:rPr>
        <w:t>.</w:t>
      </w:r>
    </w:p>
    <w:p w14:paraId="2F10E6ED" w14:textId="77777777" w:rsidR="003D23D0" w:rsidRPr="00901E26" w:rsidRDefault="003D23D0" w:rsidP="003D23D0">
      <w:pPr>
        <w:spacing w:line="360" w:lineRule="auto"/>
        <w:rPr>
          <w:rFonts w:cs="Arial"/>
          <w:color w:val="000000" w:themeColor="text1"/>
          <w:szCs w:val="22"/>
        </w:rPr>
      </w:pPr>
    </w:p>
    <w:p w14:paraId="60D2154C" w14:textId="7687DF92" w:rsidR="00C1113F" w:rsidRPr="00901E26" w:rsidRDefault="00C1113F" w:rsidP="00901E26">
      <w:pPr>
        <w:spacing w:after="240" w:line="360" w:lineRule="auto"/>
        <w:rPr>
          <w:rFonts w:cs="Arial"/>
          <w:color w:val="000000" w:themeColor="text1"/>
          <w:szCs w:val="22"/>
        </w:rPr>
      </w:pPr>
    </w:p>
    <w:p w14:paraId="5598D182" w14:textId="62AA509A" w:rsidR="00C1113F" w:rsidRPr="00901E26" w:rsidRDefault="00C1113F" w:rsidP="00901E26">
      <w:pPr>
        <w:spacing w:after="240" w:line="360" w:lineRule="auto"/>
        <w:rPr>
          <w:rFonts w:cs="Arial"/>
          <w:color w:val="000000" w:themeColor="text1"/>
          <w:szCs w:val="22"/>
        </w:rPr>
      </w:pPr>
    </w:p>
    <w:p w14:paraId="3AE2FEC2" w14:textId="31543803" w:rsidR="00C1113F" w:rsidRPr="00901E26" w:rsidRDefault="00C1113F" w:rsidP="00901E26">
      <w:pPr>
        <w:spacing w:after="240" w:line="360" w:lineRule="auto"/>
        <w:rPr>
          <w:rFonts w:cs="Arial"/>
          <w:color w:val="000000" w:themeColor="text1"/>
          <w:szCs w:val="22"/>
        </w:rPr>
      </w:pPr>
    </w:p>
    <w:p w14:paraId="06F59546" w14:textId="166C4B2A" w:rsidR="00C1113F" w:rsidRPr="00901E26" w:rsidRDefault="00C1113F" w:rsidP="00901E26">
      <w:pPr>
        <w:spacing w:after="240" w:line="360" w:lineRule="auto"/>
        <w:rPr>
          <w:rFonts w:cs="Arial"/>
          <w:color w:val="000000" w:themeColor="text1"/>
          <w:szCs w:val="22"/>
        </w:rPr>
      </w:pPr>
    </w:p>
    <w:p w14:paraId="538C4E97" w14:textId="48AFE9DF" w:rsidR="00C1113F" w:rsidRPr="00901E26" w:rsidRDefault="00C1113F" w:rsidP="00901E26">
      <w:pPr>
        <w:spacing w:after="240" w:line="360" w:lineRule="auto"/>
        <w:rPr>
          <w:rFonts w:cs="Arial"/>
          <w:color w:val="000000" w:themeColor="text1"/>
          <w:szCs w:val="22"/>
        </w:rPr>
      </w:pPr>
    </w:p>
    <w:p w14:paraId="60ECF129" w14:textId="5DE2B9A4" w:rsidR="00104BAA" w:rsidRDefault="00104BAA" w:rsidP="00901E26">
      <w:pPr>
        <w:spacing w:line="360" w:lineRule="auto"/>
        <w:rPr>
          <w:rFonts w:cs="Arial"/>
          <w:color w:val="000000" w:themeColor="text1"/>
          <w:szCs w:val="22"/>
        </w:rPr>
      </w:pPr>
    </w:p>
    <w:p w14:paraId="5DF8BA05" w14:textId="2A053745" w:rsidR="00334658" w:rsidRDefault="00334658" w:rsidP="00901E26">
      <w:pPr>
        <w:spacing w:line="360" w:lineRule="auto"/>
        <w:rPr>
          <w:rFonts w:cs="Arial"/>
          <w:color w:val="000000" w:themeColor="text1"/>
          <w:szCs w:val="22"/>
        </w:rPr>
      </w:pPr>
    </w:p>
    <w:p w14:paraId="252629A9" w14:textId="0DA52399" w:rsidR="00334658" w:rsidRDefault="00334658" w:rsidP="00901E26">
      <w:pPr>
        <w:spacing w:line="360" w:lineRule="auto"/>
        <w:rPr>
          <w:rFonts w:cs="Arial"/>
          <w:color w:val="000000" w:themeColor="text1"/>
          <w:szCs w:val="22"/>
        </w:rPr>
      </w:pPr>
    </w:p>
    <w:p w14:paraId="13534D45" w14:textId="542251B8" w:rsidR="00334658" w:rsidRDefault="00334658" w:rsidP="00901E26">
      <w:pPr>
        <w:spacing w:line="360" w:lineRule="auto"/>
        <w:rPr>
          <w:rFonts w:cs="Arial"/>
          <w:color w:val="000000" w:themeColor="text1"/>
          <w:szCs w:val="22"/>
        </w:rPr>
      </w:pPr>
    </w:p>
    <w:p w14:paraId="43A5D7E2" w14:textId="641EBA43" w:rsidR="00334658" w:rsidRDefault="00334658" w:rsidP="00901E26">
      <w:pPr>
        <w:spacing w:line="360" w:lineRule="auto"/>
        <w:rPr>
          <w:rFonts w:cs="Arial"/>
          <w:color w:val="000000" w:themeColor="text1"/>
          <w:szCs w:val="22"/>
        </w:rPr>
      </w:pPr>
    </w:p>
    <w:p w14:paraId="09DC76C8" w14:textId="77777777" w:rsidR="00334658" w:rsidRPr="00901E26" w:rsidRDefault="00334658" w:rsidP="00901E26">
      <w:pPr>
        <w:spacing w:line="360" w:lineRule="auto"/>
        <w:rPr>
          <w:rFonts w:cs="Arial"/>
          <w:color w:val="000000" w:themeColor="text1"/>
          <w:szCs w:val="22"/>
        </w:rPr>
      </w:pPr>
    </w:p>
    <w:p w14:paraId="1BFE22D9" w14:textId="5F80E882" w:rsidR="00104BAA" w:rsidRPr="00E47702" w:rsidRDefault="006B3A77" w:rsidP="006B3A77">
      <w:pPr>
        <w:pStyle w:val="Heading1"/>
        <w:rPr>
          <w:rFonts w:cs="Arial"/>
          <w:szCs w:val="22"/>
        </w:rPr>
      </w:pPr>
      <w:bookmarkStart w:id="85" w:name="_Toc214840516"/>
      <w:r w:rsidRPr="00E47702">
        <w:rPr>
          <w:rFonts w:cs="Arial"/>
          <w:szCs w:val="22"/>
        </w:rPr>
        <w:lastRenderedPageBreak/>
        <w:t>Appendix A: Thematic</w:t>
      </w:r>
      <w:r w:rsidR="00104BAA" w:rsidRPr="00E47702">
        <w:rPr>
          <w:rFonts w:cs="Arial"/>
          <w:szCs w:val="22"/>
        </w:rPr>
        <w:t xml:space="preserve"> Summary Matrix</w:t>
      </w:r>
      <w:bookmarkEnd w:id="85"/>
    </w:p>
    <w:tbl>
      <w:tblPr>
        <w:tblStyle w:val="TableGrid"/>
        <w:tblW w:w="11340" w:type="dxa"/>
        <w:tblInd w:w="-1139" w:type="dxa"/>
        <w:tblLook w:val="04A0" w:firstRow="1" w:lastRow="0" w:firstColumn="1" w:lastColumn="0" w:noHBand="0" w:noVBand="1"/>
      </w:tblPr>
      <w:tblGrid>
        <w:gridCol w:w="2641"/>
        <w:gridCol w:w="1709"/>
        <w:gridCol w:w="1558"/>
        <w:gridCol w:w="1525"/>
        <w:gridCol w:w="1296"/>
        <w:gridCol w:w="2611"/>
      </w:tblGrid>
      <w:tr w:rsidR="00901E26" w:rsidRPr="00E47702" w14:paraId="0884D4E4" w14:textId="77777777" w:rsidTr="00104BAA">
        <w:tc>
          <w:tcPr>
            <w:tcW w:w="2640" w:type="dxa"/>
            <w:hideMark/>
          </w:tcPr>
          <w:p w14:paraId="4319F543"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Theme</w:t>
            </w:r>
          </w:p>
        </w:tc>
        <w:tc>
          <w:tcPr>
            <w:tcW w:w="0" w:type="auto"/>
            <w:hideMark/>
          </w:tcPr>
          <w:p w14:paraId="55E2D285"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Definition / Scope</w:t>
            </w:r>
          </w:p>
        </w:tc>
        <w:tc>
          <w:tcPr>
            <w:tcW w:w="0" w:type="auto"/>
            <w:hideMark/>
          </w:tcPr>
          <w:p w14:paraId="79B32795"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Key Data &amp; Statistics</w:t>
            </w:r>
          </w:p>
        </w:tc>
        <w:tc>
          <w:tcPr>
            <w:tcW w:w="0" w:type="auto"/>
            <w:hideMark/>
          </w:tcPr>
          <w:p w14:paraId="69027537"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Core Theories / Models</w:t>
            </w:r>
          </w:p>
        </w:tc>
        <w:tc>
          <w:tcPr>
            <w:tcW w:w="0" w:type="auto"/>
            <w:hideMark/>
          </w:tcPr>
          <w:p w14:paraId="1E57A303"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Example Studies &amp; Sources</w:t>
            </w:r>
          </w:p>
        </w:tc>
        <w:tc>
          <w:tcPr>
            <w:tcW w:w="2611" w:type="dxa"/>
            <w:hideMark/>
          </w:tcPr>
          <w:p w14:paraId="23157060" w14:textId="77777777" w:rsidR="00104BAA" w:rsidRPr="00104BAA" w:rsidRDefault="00104BAA" w:rsidP="00901E26">
            <w:pPr>
              <w:spacing w:line="360" w:lineRule="auto"/>
              <w:rPr>
                <w:rFonts w:cs="Arial"/>
                <w:b/>
                <w:bCs/>
                <w:color w:val="000000" w:themeColor="text1"/>
                <w:sz w:val="18"/>
                <w:szCs w:val="18"/>
              </w:rPr>
            </w:pPr>
            <w:r w:rsidRPr="00104BAA">
              <w:rPr>
                <w:rFonts w:cs="Arial"/>
                <w:b/>
                <w:bCs/>
                <w:color w:val="000000" w:themeColor="text1"/>
                <w:sz w:val="18"/>
                <w:szCs w:val="18"/>
              </w:rPr>
              <w:t>Connection to Research Question</w:t>
            </w:r>
          </w:p>
        </w:tc>
      </w:tr>
      <w:tr w:rsidR="00901E26" w:rsidRPr="00E47702" w14:paraId="621BCEE4" w14:textId="77777777" w:rsidTr="00104BAA">
        <w:tc>
          <w:tcPr>
            <w:tcW w:w="2640" w:type="dxa"/>
            <w:hideMark/>
          </w:tcPr>
          <w:p w14:paraId="6AE7E347"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1. Socioeconomic Disadvantage and Substance Misuse</w:t>
            </w:r>
          </w:p>
        </w:tc>
        <w:tc>
          <w:tcPr>
            <w:tcW w:w="0" w:type="auto"/>
            <w:hideMark/>
          </w:tcPr>
          <w:p w14:paraId="5D06FA53"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Explores how poverty, unemployment, and inequality drive substance use in England’s most deprived areas.</w:t>
            </w:r>
          </w:p>
        </w:tc>
        <w:tc>
          <w:tcPr>
            <w:tcW w:w="0" w:type="auto"/>
            <w:hideMark/>
          </w:tcPr>
          <w:p w14:paraId="6FBE32C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ONS (2022): Drug misuse rates twice as high in lowest income quintile. PHE (2021): 64% of deaths in bottom decile.</w:t>
            </w:r>
          </w:p>
        </w:tc>
        <w:tc>
          <w:tcPr>
            <w:tcW w:w="0" w:type="auto"/>
            <w:hideMark/>
          </w:tcPr>
          <w:p w14:paraId="6EAE89A1"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Social Determinants of Health (Marmot, 2020); Structural Violence (Farmer, 2004).</w:t>
            </w:r>
          </w:p>
        </w:tc>
        <w:tc>
          <w:tcPr>
            <w:tcW w:w="0" w:type="auto"/>
            <w:hideMark/>
          </w:tcPr>
          <w:p w14:paraId="38E2CC37"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 xml:space="preserve">Black (2021); </w:t>
            </w:r>
            <w:proofErr w:type="spellStart"/>
            <w:r w:rsidRPr="00104BAA">
              <w:rPr>
                <w:rFonts w:cs="Arial"/>
                <w:color w:val="000000" w:themeColor="text1"/>
                <w:sz w:val="18"/>
                <w:szCs w:val="18"/>
              </w:rPr>
              <w:t>Karamanos</w:t>
            </w:r>
            <w:proofErr w:type="spellEnd"/>
            <w:r w:rsidRPr="00104BAA">
              <w:rPr>
                <w:rFonts w:cs="Arial"/>
                <w:color w:val="000000" w:themeColor="text1"/>
                <w:sz w:val="18"/>
                <w:szCs w:val="18"/>
              </w:rPr>
              <w:t xml:space="preserve"> et al. (2022); UNODC (2022).</w:t>
            </w:r>
          </w:p>
        </w:tc>
        <w:tc>
          <w:tcPr>
            <w:tcW w:w="2611" w:type="dxa"/>
            <w:hideMark/>
          </w:tcPr>
          <w:p w14:paraId="6FC1350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Low-income status increases exposure to social risk factors influencing misuse.</w:t>
            </w:r>
          </w:p>
        </w:tc>
      </w:tr>
      <w:tr w:rsidR="00901E26" w:rsidRPr="00E47702" w14:paraId="283F6892" w14:textId="77777777" w:rsidTr="00104BAA">
        <w:tc>
          <w:tcPr>
            <w:tcW w:w="2640" w:type="dxa"/>
            <w:hideMark/>
          </w:tcPr>
          <w:p w14:paraId="5FDCE528"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2. Untreated Mental Health and Substance Misuse</w:t>
            </w:r>
          </w:p>
        </w:tc>
        <w:tc>
          <w:tcPr>
            <w:tcW w:w="0" w:type="auto"/>
            <w:hideMark/>
          </w:tcPr>
          <w:p w14:paraId="385011B0"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Focuses on comorbidity of addiction and unaddressed mental disorders.</w:t>
            </w:r>
          </w:p>
        </w:tc>
        <w:tc>
          <w:tcPr>
            <w:tcW w:w="0" w:type="auto"/>
            <w:hideMark/>
          </w:tcPr>
          <w:p w14:paraId="72C364D3"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NHS Digital (2023): 46% of clients in treatment have dual diagnoses.</w:t>
            </w:r>
          </w:p>
        </w:tc>
        <w:tc>
          <w:tcPr>
            <w:tcW w:w="0" w:type="auto"/>
            <w:hideMark/>
          </w:tcPr>
          <w:p w14:paraId="4CFFF55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Self-Medication Hypothesis (</w:t>
            </w:r>
            <w:proofErr w:type="spellStart"/>
            <w:r w:rsidRPr="00104BAA">
              <w:rPr>
                <w:rFonts w:cs="Arial"/>
                <w:color w:val="000000" w:themeColor="text1"/>
                <w:sz w:val="18"/>
                <w:szCs w:val="18"/>
              </w:rPr>
              <w:t>Khantzian</w:t>
            </w:r>
            <w:proofErr w:type="spellEnd"/>
            <w:r w:rsidRPr="00104BAA">
              <w:rPr>
                <w:rFonts w:cs="Arial"/>
                <w:color w:val="000000" w:themeColor="text1"/>
                <w:sz w:val="18"/>
                <w:szCs w:val="18"/>
              </w:rPr>
              <w:t>, 1997); Stress-Vulnerability Model (Zubin &amp; Spring, 1977).</w:t>
            </w:r>
          </w:p>
        </w:tc>
        <w:tc>
          <w:tcPr>
            <w:tcW w:w="0" w:type="auto"/>
            <w:hideMark/>
          </w:tcPr>
          <w:p w14:paraId="127368F7"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 xml:space="preserve">Molina &amp; Whittaker (2022); Pierce et al. (2020); </w:t>
            </w:r>
            <w:proofErr w:type="spellStart"/>
            <w:r w:rsidRPr="00104BAA">
              <w:rPr>
                <w:rFonts w:cs="Arial"/>
                <w:color w:val="000000" w:themeColor="text1"/>
                <w:sz w:val="18"/>
                <w:szCs w:val="18"/>
              </w:rPr>
              <w:t>Kwong</w:t>
            </w:r>
            <w:proofErr w:type="spellEnd"/>
            <w:r w:rsidRPr="00104BAA">
              <w:rPr>
                <w:rFonts w:cs="Arial"/>
                <w:color w:val="000000" w:themeColor="text1"/>
                <w:sz w:val="18"/>
                <w:szCs w:val="18"/>
              </w:rPr>
              <w:t xml:space="preserve"> et al. (2020).</w:t>
            </w:r>
          </w:p>
        </w:tc>
        <w:tc>
          <w:tcPr>
            <w:tcW w:w="2611" w:type="dxa"/>
            <w:hideMark/>
          </w:tcPr>
          <w:p w14:paraId="708E9036"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Highlights how mental-health inequities reinforce substance-misuse risk.</w:t>
            </w:r>
          </w:p>
        </w:tc>
      </w:tr>
      <w:tr w:rsidR="00901E26" w:rsidRPr="00E47702" w14:paraId="2CDF0105" w14:textId="77777777" w:rsidTr="00104BAA">
        <w:tc>
          <w:tcPr>
            <w:tcW w:w="2640" w:type="dxa"/>
            <w:hideMark/>
          </w:tcPr>
          <w:p w14:paraId="239B73BF"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3. Barriers to Access and Support Services</w:t>
            </w:r>
          </w:p>
        </w:tc>
        <w:tc>
          <w:tcPr>
            <w:tcW w:w="0" w:type="auto"/>
            <w:hideMark/>
          </w:tcPr>
          <w:p w14:paraId="1DB41D89"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Examines factors limiting access to treatment and mental-health services.</w:t>
            </w:r>
          </w:p>
        </w:tc>
        <w:tc>
          <w:tcPr>
            <w:tcW w:w="0" w:type="auto"/>
            <w:hideMark/>
          </w:tcPr>
          <w:p w14:paraId="21DDDE9F"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PHE (2021): 55% first-appointment attendance in lowest quintile. NHS (2023): 17% service decline since 2013.</w:t>
            </w:r>
          </w:p>
        </w:tc>
        <w:tc>
          <w:tcPr>
            <w:tcW w:w="0" w:type="auto"/>
            <w:hideMark/>
          </w:tcPr>
          <w:p w14:paraId="57B24909"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Access Equity Framework (</w:t>
            </w:r>
            <w:proofErr w:type="spellStart"/>
            <w:r w:rsidRPr="00104BAA">
              <w:rPr>
                <w:rFonts w:cs="Arial"/>
                <w:color w:val="000000" w:themeColor="text1"/>
                <w:sz w:val="18"/>
                <w:szCs w:val="18"/>
              </w:rPr>
              <w:t>Aday</w:t>
            </w:r>
            <w:proofErr w:type="spellEnd"/>
            <w:r w:rsidRPr="00104BAA">
              <w:rPr>
                <w:rFonts w:cs="Arial"/>
                <w:color w:val="000000" w:themeColor="text1"/>
                <w:sz w:val="18"/>
                <w:szCs w:val="18"/>
              </w:rPr>
              <w:t xml:space="preserve"> &amp; Andersen, 1974); Health Inequality Theory (Whitehead, 1992).</w:t>
            </w:r>
          </w:p>
        </w:tc>
        <w:tc>
          <w:tcPr>
            <w:tcW w:w="0" w:type="auto"/>
            <w:hideMark/>
          </w:tcPr>
          <w:p w14:paraId="6DA8BEDA"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Mind (2022); Lloyd et al. (2019); Alcohol Change UK (2022).</w:t>
            </w:r>
          </w:p>
        </w:tc>
        <w:tc>
          <w:tcPr>
            <w:tcW w:w="2611" w:type="dxa"/>
            <w:hideMark/>
          </w:tcPr>
          <w:p w14:paraId="7DAE9033"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Illustrates how systemic barriers perpetuate deprivation and untreated need.</w:t>
            </w:r>
          </w:p>
        </w:tc>
      </w:tr>
      <w:tr w:rsidR="00901E26" w:rsidRPr="00E47702" w14:paraId="1A2A156F" w14:textId="77777777" w:rsidTr="00104BAA">
        <w:tc>
          <w:tcPr>
            <w:tcW w:w="2640" w:type="dxa"/>
            <w:hideMark/>
          </w:tcPr>
          <w:p w14:paraId="0236E67A" w14:textId="77777777" w:rsidR="00104BAA" w:rsidRPr="00104BAA" w:rsidRDefault="00104BAA" w:rsidP="00901E26">
            <w:pPr>
              <w:spacing w:line="360" w:lineRule="auto"/>
              <w:rPr>
                <w:rFonts w:cs="Arial"/>
                <w:color w:val="000000" w:themeColor="text1"/>
                <w:sz w:val="18"/>
                <w:szCs w:val="18"/>
              </w:rPr>
            </w:pPr>
            <w:r w:rsidRPr="00104BAA">
              <w:rPr>
                <w:rFonts w:cs="Arial"/>
                <w:b/>
                <w:bCs/>
                <w:color w:val="000000" w:themeColor="text1"/>
                <w:sz w:val="18"/>
                <w:szCs w:val="18"/>
              </w:rPr>
              <w:t>4. Policy Responses and Structural Inequalities</w:t>
            </w:r>
          </w:p>
        </w:tc>
        <w:tc>
          <w:tcPr>
            <w:tcW w:w="0" w:type="auto"/>
            <w:hideMark/>
          </w:tcPr>
          <w:p w14:paraId="0F3478A4"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Evaluates UK and international policy interventions.</w:t>
            </w:r>
          </w:p>
        </w:tc>
        <w:tc>
          <w:tcPr>
            <w:tcW w:w="0" w:type="auto"/>
            <w:hideMark/>
          </w:tcPr>
          <w:p w14:paraId="6B04E666"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 xml:space="preserve">UK Gov (2023): 4,907 drug-related deaths (record high). WHO (2023): 70% of states prioritise </w:t>
            </w:r>
            <w:proofErr w:type="gramStart"/>
            <w:r w:rsidRPr="00104BAA">
              <w:rPr>
                <w:rFonts w:cs="Arial"/>
                <w:color w:val="000000" w:themeColor="text1"/>
                <w:sz w:val="18"/>
                <w:szCs w:val="18"/>
              </w:rPr>
              <w:t>enforcement.</w:t>
            </w:r>
            <w:proofErr w:type="gramEnd"/>
          </w:p>
        </w:tc>
        <w:tc>
          <w:tcPr>
            <w:tcW w:w="0" w:type="auto"/>
            <w:hideMark/>
          </w:tcPr>
          <w:p w14:paraId="3607B816"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Systems-Change Theory (Meadows, 2008); Public-Health Model.</w:t>
            </w:r>
          </w:p>
        </w:tc>
        <w:tc>
          <w:tcPr>
            <w:tcW w:w="0" w:type="auto"/>
            <w:hideMark/>
          </w:tcPr>
          <w:p w14:paraId="612E0685"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Marmot (2020); EMCDDA (2023); Stevens (2019).</w:t>
            </w:r>
          </w:p>
        </w:tc>
        <w:tc>
          <w:tcPr>
            <w:tcW w:w="2611" w:type="dxa"/>
            <w:hideMark/>
          </w:tcPr>
          <w:p w14:paraId="3DBD170D" w14:textId="77777777" w:rsidR="00104BAA" w:rsidRPr="00104BAA" w:rsidRDefault="00104BAA" w:rsidP="00901E26">
            <w:pPr>
              <w:spacing w:line="360" w:lineRule="auto"/>
              <w:rPr>
                <w:rFonts w:cs="Arial"/>
                <w:color w:val="000000" w:themeColor="text1"/>
                <w:sz w:val="18"/>
                <w:szCs w:val="18"/>
              </w:rPr>
            </w:pPr>
            <w:r w:rsidRPr="00104BAA">
              <w:rPr>
                <w:rFonts w:cs="Arial"/>
                <w:color w:val="000000" w:themeColor="text1"/>
                <w:sz w:val="18"/>
                <w:szCs w:val="18"/>
              </w:rPr>
              <w:t>Connects macro policy design to micro-level social outcomes.</w:t>
            </w:r>
          </w:p>
        </w:tc>
      </w:tr>
    </w:tbl>
    <w:p w14:paraId="0CD8E84C" w14:textId="20CA65BD" w:rsidR="00104BAA" w:rsidRPr="00E47702" w:rsidRDefault="00104BAA" w:rsidP="00901E26">
      <w:pPr>
        <w:spacing w:line="360" w:lineRule="auto"/>
        <w:rPr>
          <w:rFonts w:cs="Arial"/>
          <w:color w:val="000000" w:themeColor="text1"/>
          <w:sz w:val="18"/>
          <w:szCs w:val="18"/>
        </w:rPr>
      </w:pPr>
    </w:p>
    <w:p w14:paraId="0FADC47A" w14:textId="1857345F" w:rsidR="00E93FB4" w:rsidRPr="00E47702" w:rsidRDefault="00E93FB4" w:rsidP="00901E26">
      <w:pPr>
        <w:spacing w:line="360" w:lineRule="auto"/>
        <w:rPr>
          <w:rFonts w:cs="Arial"/>
          <w:color w:val="000000" w:themeColor="text1"/>
          <w:sz w:val="18"/>
          <w:szCs w:val="18"/>
        </w:rPr>
      </w:pPr>
    </w:p>
    <w:p w14:paraId="6480CEE4" w14:textId="3C8DEB60" w:rsidR="00E93FB4" w:rsidRPr="00E47702" w:rsidRDefault="00E93FB4" w:rsidP="00901E26">
      <w:pPr>
        <w:spacing w:line="360" w:lineRule="auto"/>
        <w:rPr>
          <w:rFonts w:cs="Arial"/>
          <w:color w:val="000000" w:themeColor="text1"/>
          <w:sz w:val="18"/>
          <w:szCs w:val="18"/>
        </w:rPr>
      </w:pPr>
    </w:p>
    <w:p w14:paraId="2B8BA6F4" w14:textId="57020B0E" w:rsidR="00E93FB4" w:rsidRPr="00E47702" w:rsidRDefault="00E93FB4" w:rsidP="00901E26">
      <w:pPr>
        <w:spacing w:line="360" w:lineRule="auto"/>
        <w:rPr>
          <w:rFonts w:cs="Arial"/>
          <w:color w:val="000000" w:themeColor="text1"/>
          <w:sz w:val="18"/>
          <w:szCs w:val="18"/>
        </w:rPr>
      </w:pPr>
    </w:p>
    <w:p w14:paraId="046F0F9A" w14:textId="33B63B06" w:rsidR="00D65B71" w:rsidRPr="00E47702" w:rsidRDefault="00D65B71" w:rsidP="00901E26">
      <w:pPr>
        <w:spacing w:line="360" w:lineRule="auto"/>
        <w:rPr>
          <w:rFonts w:cs="Arial"/>
          <w:color w:val="000000" w:themeColor="text1"/>
          <w:sz w:val="18"/>
          <w:szCs w:val="18"/>
        </w:rPr>
      </w:pPr>
    </w:p>
    <w:p w14:paraId="0AAFE261" w14:textId="77777777" w:rsidR="006B3A77" w:rsidRPr="00E47702" w:rsidRDefault="006B3A77" w:rsidP="00901E26">
      <w:pPr>
        <w:pStyle w:val="Heading1"/>
        <w:spacing w:line="360" w:lineRule="auto"/>
        <w:rPr>
          <w:rFonts w:cs="Arial"/>
          <w:color w:val="000000" w:themeColor="text1"/>
          <w:sz w:val="18"/>
          <w:szCs w:val="18"/>
        </w:rPr>
      </w:pPr>
    </w:p>
    <w:p w14:paraId="41CF943A" w14:textId="77777777" w:rsidR="00986C2E" w:rsidRPr="00833777" w:rsidRDefault="00986C2E" w:rsidP="00833777">
      <w:pPr>
        <w:pStyle w:val="Heading1"/>
      </w:pPr>
      <w:bookmarkStart w:id="86" w:name="_Toc214840517"/>
      <w:r w:rsidRPr="00833777">
        <w:lastRenderedPageBreak/>
        <w:t>colour-coded style table</w:t>
      </w:r>
      <w:bookmarkEnd w:id="86"/>
    </w:p>
    <w:tbl>
      <w:tblPr>
        <w:tblStyle w:val="GridTable1Light-Accent1"/>
        <w:tblW w:w="10308" w:type="dxa"/>
        <w:tblInd w:w="-656" w:type="dxa"/>
        <w:tblLook w:val="04A0" w:firstRow="1" w:lastRow="0" w:firstColumn="1" w:lastColumn="0" w:noHBand="0" w:noVBand="1"/>
      </w:tblPr>
      <w:tblGrid>
        <w:gridCol w:w="1000"/>
        <w:gridCol w:w="1167"/>
        <w:gridCol w:w="987"/>
        <w:gridCol w:w="1146"/>
        <w:gridCol w:w="1138"/>
        <w:gridCol w:w="1127"/>
        <w:gridCol w:w="1753"/>
        <w:gridCol w:w="1093"/>
        <w:gridCol w:w="897"/>
      </w:tblGrid>
      <w:tr w:rsidR="00986C2E" w:rsidRPr="007F111F" w14:paraId="1E2AC833" w14:textId="77777777" w:rsidTr="00986C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15" w:type="dxa"/>
          </w:tcPr>
          <w:p w14:paraId="2DD9C69A" w14:textId="571D89E6" w:rsidR="00986C2E" w:rsidRPr="00986C2E" w:rsidRDefault="00986C2E" w:rsidP="009526E9">
            <w:pPr>
              <w:jc w:val="center"/>
              <w:rPr>
                <w:rFonts w:cs="Arial"/>
                <w:sz w:val="18"/>
                <w:szCs w:val="18"/>
              </w:rPr>
            </w:pPr>
            <w:r w:rsidRPr="00986C2E">
              <w:rPr>
                <w:rFonts w:cs="Arial"/>
                <w:sz w:val="18"/>
                <w:szCs w:val="18"/>
              </w:rPr>
              <w:t xml:space="preserve">Study </w:t>
            </w:r>
          </w:p>
        </w:tc>
        <w:tc>
          <w:tcPr>
            <w:tcW w:w="1149" w:type="dxa"/>
          </w:tcPr>
          <w:p w14:paraId="16A4D8B7"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Author &amp; Year</w:t>
            </w:r>
          </w:p>
        </w:tc>
        <w:tc>
          <w:tcPr>
            <w:tcW w:w="930" w:type="dxa"/>
          </w:tcPr>
          <w:p w14:paraId="4D1AA4FE"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Study Type</w:t>
            </w:r>
          </w:p>
        </w:tc>
        <w:tc>
          <w:tcPr>
            <w:tcW w:w="1140" w:type="dxa"/>
          </w:tcPr>
          <w:p w14:paraId="12388D2D"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Population / Context</w:t>
            </w:r>
          </w:p>
        </w:tc>
        <w:tc>
          <w:tcPr>
            <w:tcW w:w="1143" w:type="dxa"/>
          </w:tcPr>
          <w:p w14:paraId="1E8CB637" w14:textId="72BC2E53"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Income Findings </w:t>
            </w:r>
          </w:p>
        </w:tc>
        <w:tc>
          <w:tcPr>
            <w:tcW w:w="1091" w:type="dxa"/>
          </w:tcPr>
          <w:p w14:paraId="17371EAB" w14:textId="0C2A8B5D"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Substance Misuse </w:t>
            </w:r>
          </w:p>
        </w:tc>
        <w:tc>
          <w:tcPr>
            <w:tcW w:w="1760" w:type="dxa"/>
          </w:tcPr>
          <w:p w14:paraId="38A052EC" w14:textId="57312149"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Mental Health </w:t>
            </w:r>
          </w:p>
        </w:tc>
        <w:tc>
          <w:tcPr>
            <w:tcW w:w="1100" w:type="dxa"/>
          </w:tcPr>
          <w:p w14:paraId="799A088A"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Access Barriers (Purple)</w:t>
            </w:r>
          </w:p>
        </w:tc>
        <w:tc>
          <w:tcPr>
            <w:tcW w:w="880" w:type="dxa"/>
          </w:tcPr>
          <w:p w14:paraId="25468A0D" w14:textId="77777777" w:rsidR="00986C2E" w:rsidRPr="00986C2E" w:rsidRDefault="00986C2E" w:rsidP="009526E9">
            <w:pPr>
              <w:jc w:val="center"/>
              <w:cnfStyle w:val="100000000000" w:firstRow="1"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Themes</w:t>
            </w:r>
          </w:p>
        </w:tc>
      </w:tr>
      <w:tr w:rsidR="00986C2E" w:rsidRPr="007F111F" w14:paraId="2B7FD0C2"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6A4F1E32" w14:textId="77777777" w:rsidR="00986C2E" w:rsidRPr="00986C2E" w:rsidRDefault="00986C2E" w:rsidP="009526E9">
            <w:pPr>
              <w:jc w:val="center"/>
              <w:rPr>
                <w:rFonts w:cs="Arial"/>
                <w:sz w:val="18"/>
                <w:szCs w:val="18"/>
              </w:rPr>
            </w:pPr>
            <w:r w:rsidRPr="00986C2E">
              <w:rPr>
                <w:rFonts w:cs="Arial"/>
                <w:sz w:val="18"/>
                <w:szCs w:val="18"/>
              </w:rPr>
              <w:t>1</w:t>
            </w:r>
          </w:p>
        </w:tc>
        <w:tc>
          <w:tcPr>
            <w:tcW w:w="1149" w:type="dxa"/>
          </w:tcPr>
          <w:p w14:paraId="784663E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Black, 2021</w:t>
            </w:r>
          </w:p>
        </w:tc>
        <w:tc>
          <w:tcPr>
            <w:tcW w:w="930" w:type="dxa"/>
          </w:tcPr>
          <w:p w14:paraId="3F73FC9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Gov Review</w:t>
            </w:r>
          </w:p>
        </w:tc>
        <w:tc>
          <w:tcPr>
            <w:tcW w:w="1140" w:type="dxa"/>
          </w:tcPr>
          <w:p w14:paraId="5FAE455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3BA6C03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Low-income high risk</w:t>
            </w:r>
          </w:p>
        </w:tc>
        <w:tc>
          <w:tcPr>
            <w:tcW w:w="1091" w:type="dxa"/>
            <w:shd w:val="clear" w:color="auto" w:fill="FBE4D5" w:themeFill="accent2" w:themeFillTint="33"/>
          </w:tcPr>
          <w:p w14:paraId="0729053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addiction rates</w:t>
            </w:r>
          </w:p>
        </w:tc>
        <w:tc>
          <w:tcPr>
            <w:tcW w:w="1760" w:type="dxa"/>
            <w:shd w:val="clear" w:color="auto" w:fill="E2EFD9" w:themeFill="accent6" w:themeFillTint="33"/>
          </w:tcPr>
          <w:p w14:paraId="4BBA569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MH neglect worsens</w:t>
            </w:r>
          </w:p>
        </w:tc>
        <w:tc>
          <w:tcPr>
            <w:tcW w:w="1100" w:type="dxa"/>
            <w:shd w:val="clear" w:color="auto" w:fill="FFF2CC" w:themeFill="accent4" w:themeFillTint="33"/>
          </w:tcPr>
          <w:p w14:paraId="4698B48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Funding cuts</w:t>
            </w:r>
          </w:p>
        </w:tc>
        <w:tc>
          <w:tcPr>
            <w:tcW w:w="880" w:type="dxa"/>
          </w:tcPr>
          <w:p w14:paraId="6B515D9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1,2,3,4</w:t>
            </w:r>
          </w:p>
        </w:tc>
      </w:tr>
      <w:tr w:rsidR="00986C2E" w:rsidRPr="007F111F" w14:paraId="225D79E7"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61785BCC" w14:textId="77777777" w:rsidR="00986C2E" w:rsidRPr="00986C2E" w:rsidRDefault="00986C2E" w:rsidP="009526E9">
            <w:pPr>
              <w:jc w:val="center"/>
              <w:rPr>
                <w:rFonts w:cs="Arial"/>
                <w:sz w:val="18"/>
                <w:szCs w:val="18"/>
              </w:rPr>
            </w:pPr>
            <w:r w:rsidRPr="00986C2E">
              <w:rPr>
                <w:rFonts w:cs="Arial"/>
                <w:sz w:val="18"/>
                <w:szCs w:val="18"/>
              </w:rPr>
              <w:t>2</w:t>
            </w:r>
          </w:p>
        </w:tc>
        <w:tc>
          <w:tcPr>
            <w:tcW w:w="1149" w:type="dxa"/>
          </w:tcPr>
          <w:p w14:paraId="6166793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Marmot, 2020</w:t>
            </w:r>
          </w:p>
        </w:tc>
        <w:tc>
          <w:tcPr>
            <w:tcW w:w="930" w:type="dxa"/>
          </w:tcPr>
          <w:p w14:paraId="334570E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Policy report</w:t>
            </w:r>
          </w:p>
        </w:tc>
        <w:tc>
          <w:tcPr>
            <w:tcW w:w="1140" w:type="dxa"/>
          </w:tcPr>
          <w:p w14:paraId="0A09F92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3BA945A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Poverty drives outcomes</w:t>
            </w:r>
          </w:p>
        </w:tc>
        <w:tc>
          <w:tcPr>
            <w:tcW w:w="1091" w:type="dxa"/>
            <w:shd w:val="clear" w:color="auto" w:fill="FBE4D5" w:themeFill="accent2" w:themeFillTint="33"/>
          </w:tcPr>
          <w:p w14:paraId="67E31A9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Stress increases misuse</w:t>
            </w:r>
          </w:p>
        </w:tc>
        <w:tc>
          <w:tcPr>
            <w:tcW w:w="1760" w:type="dxa"/>
            <w:shd w:val="clear" w:color="auto" w:fill="E2EFD9" w:themeFill="accent6" w:themeFillTint="33"/>
          </w:tcPr>
          <w:p w14:paraId="0E80392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distress</w:t>
            </w:r>
          </w:p>
        </w:tc>
        <w:tc>
          <w:tcPr>
            <w:tcW w:w="1100" w:type="dxa"/>
            <w:shd w:val="clear" w:color="auto" w:fill="FFF2CC" w:themeFill="accent4" w:themeFillTint="33"/>
          </w:tcPr>
          <w:p w14:paraId="681C366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Service inequality</w:t>
            </w:r>
          </w:p>
        </w:tc>
        <w:tc>
          <w:tcPr>
            <w:tcW w:w="880" w:type="dxa"/>
          </w:tcPr>
          <w:p w14:paraId="1D60B71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1,2,3,4</w:t>
            </w:r>
          </w:p>
        </w:tc>
      </w:tr>
      <w:tr w:rsidR="00986C2E" w:rsidRPr="007F111F" w14:paraId="5B95DD35"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771A4664" w14:textId="77777777" w:rsidR="00986C2E" w:rsidRPr="00986C2E" w:rsidRDefault="00986C2E" w:rsidP="009526E9">
            <w:pPr>
              <w:jc w:val="center"/>
              <w:rPr>
                <w:rFonts w:cs="Arial"/>
                <w:sz w:val="18"/>
                <w:szCs w:val="18"/>
              </w:rPr>
            </w:pPr>
            <w:r w:rsidRPr="00986C2E">
              <w:rPr>
                <w:rFonts w:cs="Arial"/>
                <w:sz w:val="18"/>
                <w:szCs w:val="18"/>
              </w:rPr>
              <w:t>3</w:t>
            </w:r>
          </w:p>
        </w:tc>
        <w:tc>
          <w:tcPr>
            <w:tcW w:w="1149" w:type="dxa"/>
          </w:tcPr>
          <w:p w14:paraId="460B625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Mind, 2022</w:t>
            </w:r>
          </w:p>
        </w:tc>
        <w:tc>
          <w:tcPr>
            <w:tcW w:w="930" w:type="dxa"/>
          </w:tcPr>
          <w:p w14:paraId="3DC9635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Charity report</w:t>
            </w:r>
          </w:p>
        </w:tc>
        <w:tc>
          <w:tcPr>
            <w:tcW w:w="1140" w:type="dxa"/>
          </w:tcPr>
          <w:p w14:paraId="71F4435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w:t>
            </w:r>
          </w:p>
        </w:tc>
        <w:tc>
          <w:tcPr>
            <w:tcW w:w="1143" w:type="dxa"/>
            <w:shd w:val="clear" w:color="auto" w:fill="D9E2F3" w:themeFill="accent1" w:themeFillTint="33"/>
          </w:tcPr>
          <w:p w14:paraId="42C73DF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Financial stress</w:t>
            </w:r>
          </w:p>
        </w:tc>
        <w:tc>
          <w:tcPr>
            <w:tcW w:w="1091" w:type="dxa"/>
            <w:shd w:val="clear" w:color="auto" w:fill="FBE4D5" w:themeFill="accent2" w:themeFillTint="33"/>
          </w:tcPr>
          <w:p w14:paraId="709FECF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Self-medication</w:t>
            </w:r>
          </w:p>
        </w:tc>
        <w:tc>
          <w:tcPr>
            <w:tcW w:w="1760" w:type="dxa"/>
            <w:shd w:val="clear" w:color="auto" w:fill="E2EFD9" w:themeFill="accent6" w:themeFillTint="33"/>
          </w:tcPr>
          <w:p w14:paraId="425386B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untreated MH</w:t>
            </w:r>
          </w:p>
        </w:tc>
        <w:tc>
          <w:tcPr>
            <w:tcW w:w="1100" w:type="dxa"/>
            <w:shd w:val="clear" w:color="auto" w:fill="FFF2CC" w:themeFill="accent4" w:themeFillTint="33"/>
          </w:tcPr>
          <w:p w14:paraId="19640E66"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Wait times</w:t>
            </w:r>
          </w:p>
        </w:tc>
        <w:tc>
          <w:tcPr>
            <w:tcW w:w="880" w:type="dxa"/>
          </w:tcPr>
          <w:p w14:paraId="2E89127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2,3</w:t>
            </w:r>
          </w:p>
        </w:tc>
      </w:tr>
      <w:tr w:rsidR="00986C2E" w:rsidRPr="007F111F" w14:paraId="0D9FB6BD"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1F5417C4" w14:textId="77777777" w:rsidR="00986C2E" w:rsidRPr="00986C2E" w:rsidRDefault="00986C2E" w:rsidP="009526E9">
            <w:pPr>
              <w:jc w:val="center"/>
              <w:rPr>
                <w:rFonts w:cs="Arial"/>
                <w:sz w:val="18"/>
                <w:szCs w:val="18"/>
              </w:rPr>
            </w:pPr>
            <w:r w:rsidRPr="00986C2E">
              <w:rPr>
                <w:rFonts w:cs="Arial"/>
                <w:sz w:val="18"/>
                <w:szCs w:val="18"/>
              </w:rPr>
              <w:t>4</w:t>
            </w:r>
          </w:p>
        </w:tc>
        <w:tc>
          <w:tcPr>
            <w:tcW w:w="1149" w:type="dxa"/>
          </w:tcPr>
          <w:p w14:paraId="7820880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Pierce et al., 2020</w:t>
            </w:r>
          </w:p>
        </w:tc>
        <w:tc>
          <w:tcPr>
            <w:tcW w:w="930" w:type="dxa"/>
          </w:tcPr>
          <w:p w14:paraId="1310505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Cohort</w:t>
            </w:r>
          </w:p>
        </w:tc>
        <w:tc>
          <w:tcPr>
            <w:tcW w:w="1140" w:type="dxa"/>
          </w:tcPr>
          <w:p w14:paraId="73E7BA2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 adults</w:t>
            </w:r>
          </w:p>
        </w:tc>
        <w:tc>
          <w:tcPr>
            <w:tcW w:w="1143" w:type="dxa"/>
            <w:shd w:val="clear" w:color="auto" w:fill="D9E2F3" w:themeFill="accent1" w:themeFillTint="33"/>
          </w:tcPr>
          <w:p w14:paraId="1BDD571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COVID inequality</w:t>
            </w:r>
          </w:p>
        </w:tc>
        <w:tc>
          <w:tcPr>
            <w:tcW w:w="1091" w:type="dxa"/>
            <w:shd w:val="clear" w:color="auto" w:fill="FBE4D5" w:themeFill="accent2" w:themeFillTint="33"/>
          </w:tcPr>
          <w:p w14:paraId="1563D19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Increased use</w:t>
            </w:r>
          </w:p>
        </w:tc>
        <w:tc>
          <w:tcPr>
            <w:tcW w:w="1760" w:type="dxa"/>
            <w:shd w:val="clear" w:color="auto" w:fill="E2EFD9" w:themeFill="accent6" w:themeFillTint="33"/>
          </w:tcPr>
          <w:p w14:paraId="316BA64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Decline in MH</w:t>
            </w:r>
          </w:p>
        </w:tc>
        <w:tc>
          <w:tcPr>
            <w:tcW w:w="1100" w:type="dxa"/>
            <w:shd w:val="clear" w:color="auto" w:fill="FFF2CC" w:themeFill="accent4" w:themeFillTint="33"/>
          </w:tcPr>
          <w:p w14:paraId="09D7D721"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Loss of support</w:t>
            </w:r>
          </w:p>
        </w:tc>
        <w:tc>
          <w:tcPr>
            <w:tcW w:w="880" w:type="dxa"/>
          </w:tcPr>
          <w:p w14:paraId="3864C9D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2,5</w:t>
            </w:r>
          </w:p>
        </w:tc>
      </w:tr>
      <w:tr w:rsidR="00986C2E" w:rsidRPr="007F111F" w14:paraId="7D3A7571"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33239A4" w14:textId="77777777" w:rsidR="00986C2E" w:rsidRPr="00986C2E" w:rsidRDefault="00986C2E" w:rsidP="009526E9">
            <w:pPr>
              <w:jc w:val="center"/>
              <w:rPr>
                <w:rFonts w:cs="Arial"/>
                <w:sz w:val="18"/>
                <w:szCs w:val="18"/>
              </w:rPr>
            </w:pPr>
            <w:r w:rsidRPr="00986C2E">
              <w:rPr>
                <w:rFonts w:cs="Arial"/>
                <w:sz w:val="18"/>
                <w:szCs w:val="18"/>
              </w:rPr>
              <w:t>5</w:t>
            </w:r>
          </w:p>
        </w:tc>
        <w:tc>
          <w:tcPr>
            <w:tcW w:w="1149" w:type="dxa"/>
          </w:tcPr>
          <w:p w14:paraId="78DA1F44"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proofErr w:type="spellStart"/>
            <w:r w:rsidRPr="00986C2E">
              <w:rPr>
                <w:rFonts w:cs="Arial"/>
                <w:sz w:val="18"/>
                <w:szCs w:val="18"/>
              </w:rPr>
              <w:t>Karamanos</w:t>
            </w:r>
            <w:proofErr w:type="spellEnd"/>
            <w:r w:rsidRPr="00986C2E">
              <w:rPr>
                <w:rFonts w:cs="Arial"/>
                <w:sz w:val="18"/>
                <w:szCs w:val="18"/>
              </w:rPr>
              <w:t xml:space="preserve"> et al., 2022</w:t>
            </w:r>
          </w:p>
        </w:tc>
        <w:tc>
          <w:tcPr>
            <w:tcW w:w="930" w:type="dxa"/>
          </w:tcPr>
          <w:p w14:paraId="62EE79F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Quant</w:t>
            </w:r>
          </w:p>
        </w:tc>
        <w:tc>
          <w:tcPr>
            <w:tcW w:w="1140" w:type="dxa"/>
          </w:tcPr>
          <w:p w14:paraId="71CA327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 teens</w:t>
            </w:r>
          </w:p>
        </w:tc>
        <w:tc>
          <w:tcPr>
            <w:tcW w:w="1143" w:type="dxa"/>
            <w:shd w:val="clear" w:color="auto" w:fill="D9E2F3" w:themeFill="accent1" w:themeFillTint="33"/>
          </w:tcPr>
          <w:p w14:paraId="74FF572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 xml:space="preserve">Deprivation </w:t>
            </w:r>
            <w:proofErr w:type="gramStart"/>
            <w:r w:rsidRPr="00986C2E">
              <w:rPr>
                <w:rFonts w:cs="Arial"/>
                <w:sz w:val="18"/>
                <w:szCs w:val="18"/>
              </w:rPr>
              <w:t>moderates</w:t>
            </w:r>
            <w:proofErr w:type="gramEnd"/>
            <w:r w:rsidRPr="00986C2E">
              <w:rPr>
                <w:rFonts w:cs="Arial"/>
                <w:sz w:val="18"/>
                <w:szCs w:val="18"/>
              </w:rPr>
              <w:t xml:space="preserve"> risk</w:t>
            </w:r>
          </w:p>
        </w:tc>
        <w:tc>
          <w:tcPr>
            <w:tcW w:w="1091" w:type="dxa"/>
            <w:shd w:val="clear" w:color="auto" w:fill="FBE4D5" w:themeFill="accent2" w:themeFillTint="33"/>
          </w:tcPr>
          <w:p w14:paraId="02C01FB6"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drug use</w:t>
            </w:r>
          </w:p>
        </w:tc>
        <w:tc>
          <w:tcPr>
            <w:tcW w:w="1760" w:type="dxa"/>
            <w:shd w:val="clear" w:color="auto" w:fill="E2EFD9" w:themeFill="accent6" w:themeFillTint="33"/>
          </w:tcPr>
          <w:p w14:paraId="1F8D2BD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Trauma link</w:t>
            </w:r>
          </w:p>
        </w:tc>
        <w:tc>
          <w:tcPr>
            <w:tcW w:w="1100" w:type="dxa"/>
            <w:shd w:val="clear" w:color="auto" w:fill="FFF2CC" w:themeFill="accent4" w:themeFillTint="33"/>
          </w:tcPr>
          <w:p w14:paraId="05D681D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t>
            </w:r>
          </w:p>
        </w:tc>
        <w:tc>
          <w:tcPr>
            <w:tcW w:w="880" w:type="dxa"/>
          </w:tcPr>
          <w:p w14:paraId="1140C7B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w:t>
            </w:r>
          </w:p>
        </w:tc>
      </w:tr>
      <w:tr w:rsidR="00986C2E" w:rsidRPr="007F111F" w14:paraId="726910A6"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6B87892" w14:textId="77777777" w:rsidR="00986C2E" w:rsidRPr="00986C2E" w:rsidRDefault="00986C2E" w:rsidP="009526E9">
            <w:pPr>
              <w:jc w:val="center"/>
              <w:rPr>
                <w:rFonts w:cs="Arial"/>
                <w:sz w:val="18"/>
                <w:szCs w:val="18"/>
              </w:rPr>
            </w:pPr>
            <w:r w:rsidRPr="00986C2E">
              <w:rPr>
                <w:rFonts w:cs="Arial"/>
                <w:sz w:val="18"/>
                <w:szCs w:val="18"/>
              </w:rPr>
              <w:t>6</w:t>
            </w:r>
          </w:p>
        </w:tc>
        <w:tc>
          <w:tcPr>
            <w:tcW w:w="1149" w:type="dxa"/>
          </w:tcPr>
          <w:p w14:paraId="2DF6511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NHS Digital, 2023</w:t>
            </w:r>
          </w:p>
        </w:tc>
        <w:tc>
          <w:tcPr>
            <w:tcW w:w="930" w:type="dxa"/>
          </w:tcPr>
          <w:p w14:paraId="5D91568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Dataset</w:t>
            </w:r>
          </w:p>
        </w:tc>
        <w:tc>
          <w:tcPr>
            <w:tcW w:w="1140" w:type="dxa"/>
          </w:tcPr>
          <w:p w14:paraId="2BB0CF2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39081D21"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Most in low SES</w:t>
            </w:r>
          </w:p>
        </w:tc>
        <w:tc>
          <w:tcPr>
            <w:tcW w:w="1091" w:type="dxa"/>
            <w:shd w:val="clear" w:color="auto" w:fill="FBE4D5" w:themeFill="accent2" w:themeFillTint="33"/>
          </w:tcPr>
          <w:p w14:paraId="07524E8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admissions</w:t>
            </w:r>
          </w:p>
        </w:tc>
        <w:tc>
          <w:tcPr>
            <w:tcW w:w="1760" w:type="dxa"/>
            <w:shd w:val="clear" w:color="auto" w:fill="E2EFD9" w:themeFill="accent6" w:themeFillTint="33"/>
          </w:tcPr>
          <w:p w14:paraId="7B9BA58C"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Anxiety/depression</w:t>
            </w:r>
          </w:p>
        </w:tc>
        <w:tc>
          <w:tcPr>
            <w:tcW w:w="1100" w:type="dxa"/>
            <w:shd w:val="clear" w:color="auto" w:fill="FFF2CC" w:themeFill="accent4" w:themeFillTint="33"/>
          </w:tcPr>
          <w:p w14:paraId="1D2AEC84"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Cost/travel</w:t>
            </w:r>
          </w:p>
        </w:tc>
        <w:tc>
          <w:tcPr>
            <w:tcW w:w="880" w:type="dxa"/>
          </w:tcPr>
          <w:p w14:paraId="12C032C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r w:rsidR="00986C2E" w:rsidRPr="007F111F" w14:paraId="6F18D460"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3B0A305" w14:textId="77777777" w:rsidR="00986C2E" w:rsidRPr="00986C2E" w:rsidRDefault="00986C2E" w:rsidP="009526E9">
            <w:pPr>
              <w:jc w:val="center"/>
              <w:rPr>
                <w:rFonts w:cs="Arial"/>
                <w:sz w:val="18"/>
                <w:szCs w:val="18"/>
              </w:rPr>
            </w:pPr>
            <w:r w:rsidRPr="00986C2E">
              <w:rPr>
                <w:rFonts w:cs="Arial"/>
                <w:sz w:val="18"/>
                <w:szCs w:val="18"/>
              </w:rPr>
              <w:t>7</w:t>
            </w:r>
          </w:p>
        </w:tc>
        <w:tc>
          <w:tcPr>
            <w:tcW w:w="1149" w:type="dxa"/>
          </w:tcPr>
          <w:p w14:paraId="6A6AD44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ONS, 2023</w:t>
            </w:r>
          </w:p>
        </w:tc>
        <w:tc>
          <w:tcPr>
            <w:tcW w:w="930" w:type="dxa"/>
          </w:tcPr>
          <w:p w14:paraId="1F5D887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Gov data</w:t>
            </w:r>
          </w:p>
        </w:tc>
        <w:tc>
          <w:tcPr>
            <w:tcW w:w="1140" w:type="dxa"/>
          </w:tcPr>
          <w:p w14:paraId="624A438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560D989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5× drug deaths</w:t>
            </w:r>
          </w:p>
        </w:tc>
        <w:tc>
          <w:tcPr>
            <w:tcW w:w="1091" w:type="dxa"/>
            <w:shd w:val="clear" w:color="auto" w:fill="FBE4D5" w:themeFill="accent2" w:themeFillTint="33"/>
          </w:tcPr>
          <w:p w14:paraId="62A4A19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mortality</w:t>
            </w:r>
          </w:p>
        </w:tc>
        <w:tc>
          <w:tcPr>
            <w:tcW w:w="1760" w:type="dxa"/>
            <w:shd w:val="clear" w:color="auto" w:fill="E2EFD9" w:themeFill="accent6" w:themeFillTint="33"/>
          </w:tcPr>
          <w:p w14:paraId="60D70C0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 distress</w:t>
            </w:r>
          </w:p>
        </w:tc>
        <w:tc>
          <w:tcPr>
            <w:tcW w:w="1100" w:type="dxa"/>
            <w:shd w:val="clear" w:color="auto" w:fill="FFF2CC" w:themeFill="accent4" w:themeFillTint="33"/>
          </w:tcPr>
          <w:p w14:paraId="34F5F011"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t>
            </w:r>
          </w:p>
        </w:tc>
        <w:tc>
          <w:tcPr>
            <w:tcW w:w="880" w:type="dxa"/>
          </w:tcPr>
          <w:p w14:paraId="5A078F7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w:t>
            </w:r>
          </w:p>
        </w:tc>
      </w:tr>
      <w:tr w:rsidR="00986C2E" w:rsidRPr="007F111F" w14:paraId="24D74720"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26984D87" w14:textId="77777777" w:rsidR="00986C2E" w:rsidRPr="00986C2E" w:rsidRDefault="00986C2E" w:rsidP="009526E9">
            <w:pPr>
              <w:jc w:val="center"/>
              <w:rPr>
                <w:rFonts w:cs="Arial"/>
                <w:sz w:val="18"/>
                <w:szCs w:val="18"/>
              </w:rPr>
            </w:pPr>
            <w:r w:rsidRPr="00986C2E">
              <w:rPr>
                <w:rFonts w:cs="Arial"/>
                <w:sz w:val="18"/>
                <w:szCs w:val="18"/>
              </w:rPr>
              <w:t>8</w:t>
            </w:r>
          </w:p>
        </w:tc>
        <w:tc>
          <w:tcPr>
            <w:tcW w:w="1149" w:type="dxa"/>
          </w:tcPr>
          <w:p w14:paraId="3BE3083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Molina &amp; Whittaker, 2022</w:t>
            </w:r>
          </w:p>
        </w:tc>
        <w:tc>
          <w:tcPr>
            <w:tcW w:w="930" w:type="dxa"/>
          </w:tcPr>
          <w:p w14:paraId="0FBDF29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Mixed</w:t>
            </w:r>
          </w:p>
        </w:tc>
        <w:tc>
          <w:tcPr>
            <w:tcW w:w="1140" w:type="dxa"/>
          </w:tcPr>
          <w:p w14:paraId="0510DDA2"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proofErr w:type="gramStart"/>
            <w:r w:rsidRPr="00986C2E">
              <w:rPr>
                <w:rFonts w:cs="Arial"/>
                <w:sz w:val="18"/>
                <w:szCs w:val="18"/>
              </w:rPr>
              <w:t>Adults</w:t>
            </w:r>
            <w:proofErr w:type="gramEnd"/>
            <w:r w:rsidRPr="00986C2E">
              <w:rPr>
                <w:rFonts w:cs="Arial"/>
                <w:sz w:val="18"/>
                <w:szCs w:val="18"/>
              </w:rPr>
              <w:t xml:space="preserve"> w/ ACEs</w:t>
            </w:r>
          </w:p>
        </w:tc>
        <w:tc>
          <w:tcPr>
            <w:tcW w:w="1143" w:type="dxa"/>
            <w:shd w:val="clear" w:color="auto" w:fill="D9E2F3" w:themeFill="accent1" w:themeFillTint="33"/>
          </w:tcPr>
          <w:p w14:paraId="7313419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Poverty + ACEs</w:t>
            </w:r>
          </w:p>
        </w:tc>
        <w:tc>
          <w:tcPr>
            <w:tcW w:w="1091" w:type="dxa"/>
            <w:shd w:val="clear" w:color="auto" w:fill="FBE4D5" w:themeFill="accent2" w:themeFillTint="33"/>
          </w:tcPr>
          <w:p w14:paraId="44C8A22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Relapse risk</w:t>
            </w:r>
          </w:p>
        </w:tc>
        <w:tc>
          <w:tcPr>
            <w:tcW w:w="1760" w:type="dxa"/>
            <w:shd w:val="clear" w:color="auto" w:fill="E2EFD9" w:themeFill="accent6" w:themeFillTint="33"/>
          </w:tcPr>
          <w:p w14:paraId="6001EA6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Trauma</w:t>
            </w:r>
          </w:p>
        </w:tc>
        <w:tc>
          <w:tcPr>
            <w:tcW w:w="1100" w:type="dxa"/>
            <w:shd w:val="clear" w:color="auto" w:fill="FFF2CC" w:themeFill="accent4" w:themeFillTint="33"/>
          </w:tcPr>
          <w:p w14:paraId="448AD77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Low trauma care</w:t>
            </w:r>
          </w:p>
        </w:tc>
        <w:tc>
          <w:tcPr>
            <w:tcW w:w="880" w:type="dxa"/>
          </w:tcPr>
          <w:p w14:paraId="1D7822A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r w:rsidR="00986C2E" w:rsidRPr="007F111F" w14:paraId="7D65A9FB"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71D06F43" w14:textId="77777777" w:rsidR="00986C2E" w:rsidRPr="00986C2E" w:rsidRDefault="00986C2E" w:rsidP="009526E9">
            <w:pPr>
              <w:jc w:val="center"/>
              <w:rPr>
                <w:rFonts w:cs="Arial"/>
                <w:sz w:val="18"/>
                <w:szCs w:val="18"/>
              </w:rPr>
            </w:pPr>
            <w:r w:rsidRPr="00986C2E">
              <w:rPr>
                <w:rFonts w:cs="Arial"/>
                <w:sz w:val="18"/>
                <w:szCs w:val="18"/>
              </w:rPr>
              <w:t>9</w:t>
            </w:r>
          </w:p>
        </w:tc>
        <w:tc>
          <w:tcPr>
            <w:tcW w:w="1149" w:type="dxa"/>
          </w:tcPr>
          <w:p w14:paraId="644958F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Health Foundation, 2023</w:t>
            </w:r>
          </w:p>
        </w:tc>
        <w:tc>
          <w:tcPr>
            <w:tcW w:w="930" w:type="dxa"/>
          </w:tcPr>
          <w:p w14:paraId="6CE71734"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Policy</w:t>
            </w:r>
          </w:p>
        </w:tc>
        <w:tc>
          <w:tcPr>
            <w:tcW w:w="1140" w:type="dxa"/>
          </w:tcPr>
          <w:p w14:paraId="7872226B"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4D9F5EE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Resource gaps</w:t>
            </w:r>
          </w:p>
        </w:tc>
        <w:tc>
          <w:tcPr>
            <w:tcW w:w="1091" w:type="dxa"/>
            <w:shd w:val="clear" w:color="auto" w:fill="FBE4D5" w:themeFill="accent2" w:themeFillTint="33"/>
          </w:tcPr>
          <w:p w14:paraId="7607A8E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Treatment gaps</w:t>
            </w:r>
          </w:p>
        </w:tc>
        <w:tc>
          <w:tcPr>
            <w:tcW w:w="1760" w:type="dxa"/>
            <w:shd w:val="clear" w:color="auto" w:fill="E2EFD9" w:themeFill="accent6" w:themeFillTint="33"/>
          </w:tcPr>
          <w:p w14:paraId="1EE713C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Stress exposure</w:t>
            </w:r>
          </w:p>
        </w:tc>
        <w:tc>
          <w:tcPr>
            <w:tcW w:w="1100" w:type="dxa"/>
            <w:shd w:val="clear" w:color="auto" w:fill="FFF2CC" w:themeFill="accent4" w:themeFillTint="33"/>
          </w:tcPr>
          <w:p w14:paraId="21EEE1A9"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Workforce shortages</w:t>
            </w:r>
          </w:p>
        </w:tc>
        <w:tc>
          <w:tcPr>
            <w:tcW w:w="880" w:type="dxa"/>
          </w:tcPr>
          <w:p w14:paraId="6453C97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3,4</w:t>
            </w:r>
          </w:p>
        </w:tc>
      </w:tr>
      <w:tr w:rsidR="00986C2E" w:rsidRPr="007F111F" w14:paraId="30FFC993"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4036FFC4" w14:textId="77777777" w:rsidR="00986C2E" w:rsidRPr="00986C2E" w:rsidRDefault="00986C2E" w:rsidP="009526E9">
            <w:pPr>
              <w:jc w:val="center"/>
              <w:rPr>
                <w:rFonts w:cs="Arial"/>
                <w:sz w:val="18"/>
                <w:szCs w:val="18"/>
              </w:rPr>
            </w:pPr>
            <w:r w:rsidRPr="00986C2E">
              <w:rPr>
                <w:rFonts w:cs="Arial"/>
                <w:sz w:val="18"/>
                <w:szCs w:val="18"/>
              </w:rPr>
              <w:t>10</w:t>
            </w:r>
          </w:p>
        </w:tc>
        <w:tc>
          <w:tcPr>
            <w:tcW w:w="1149" w:type="dxa"/>
          </w:tcPr>
          <w:p w14:paraId="18FEC62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PHE, 2021</w:t>
            </w:r>
          </w:p>
        </w:tc>
        <w:tc>
          <w:tcPr>
            <w:tcW w:w="930" w:type="dxa"/>
          </w:tcPr>
          <w:p w14:paraId="0105096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Gov report</w:t>
            </w:r>
          </w:p>
        </w:tc>
        <w:tc>
          <w:tcPr>
            <w:tcW w:w="1140" w:type="dxa"/>
          </w:tcPr>
          <w:p w14:paraId="3947A87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England</w:t>
            </w:r>
          </w:p>
        </w:tc>
        <w:tc>
          <w:tcPr>
            <w:tcW w:w="1143" w:type="dxa"/>
            <w:shd w:val="clear" w:color="auto" w:fill="D9E2F3" w:themeFill="accent1" w:themeFillTint="33"/>
          </w:tcPr>
          <w:p w14:paraId="0D15A49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Deprivation link</w:t>
            </w:r>
          </w:p>
        </w:tc>
        <w:tc>
          <w:tcPr>
            <w:tcW w:w="1091" w:type="dxa"/>
            <w:shd w:val="clear" w:color="auto" w:fill="FBE4D5" w:themeFill="accent2" w:themeFillTint="33"/>
          </w:tcPr>
          <w:p w14:paraId="1258C466"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Drug harm rise</w:t>
            </w:r>
          </w:p>
        </w:tc>
        <w:tc>
          <w:tcPr>
            <w:tcW w:w="1760" w:type="dxa"/>
            <w:shd w:val="clear" w:color="auto" w:fill="E2EFD9" w:themeFill="accent6" w:themeFillTint="33"/>
          </w:tcPr>
          <w:p w14:paraId="72733AB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MH unmet needs</w:t>
            </w:r>
          </w:p>
        </w:tc>
        <w:tc>
          <w:tcPr>
            <w:tcW w:w="1100" w:type="dxa"/>
            <w:shd w:val="clear" w:color="auto" w:fill="FFF2CC" w:themeFill="accent4" w:themeFillTint="33"/>
          </w:tcPr>
          <w:p w14:paraId="49A0917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Local variation</w:t>
            </w:r>
          </w:p>
        </w:tc>
        <w:tc>
          <w:tcPr>
            <w:tcW w:w="880" w:type="dxa"/>
          </w:tcPr>
          <w:p w14:paraId="2FFA50F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r w:rsidR="00986C2E" w:rsidRPr="007F111F" w14:paraId="4B0B6BEC"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5FE4E3B1" w14:textId="77777777" w:rsidR="00986C2E" w:rsidRPr="00986C2E" w:rsidRDefault="00986C2E" w:rsidP="009526E9">
            <w:pPr>
              <w:jc w:val="center"/>
              <w:rPr>
                <w:rFonts w:cs="Arial"/>
                <w:sz w:val="18"/>
                <w:szCs w:val="18"/>
              </w:rPr>
            </w:pPr>
            <w:r w:rsidRPr="00986C2E">
              <w:rPr>
                <w:rFonts w:cs="Arial"/>
                <w:sz w:val="18"/>
                <w:szCs w:val="18"/>
              </w:rPr>
              <w:t>11</w:t>
            </w:r>
          </w:p>
        </w:tc>
        <w:tc>
          <w:tcPr>
            <w:tcW w:w="1149" w:type="dxa"/>
          </w:tcPr>
          <w:p w14:paraId="6AFFEE9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proofErr w:type="spellStart"/>
            <w:r w:rsidRPr="00986C2E">
              <w:rPr>
                <w:rFonts w:cs="Arial"/>
                <w:sz w:val="18"/>
                <w:szCs w:val="18"/>
              </w:rPr>
              <w:t>Kwong</w:t>
            </w:r>
            <w:proofErr w:type="spellEnd"/>
            <w:r w:rsidRPr="00986C2E">
              <w:rPr>
                <w:rFonts w:cs="Arial"/>
                <w:sz w:val="18"/>
                <w:szCs w:val="18"/>
              </w:rPr>
              <w:t xml:space="preserve"> et al., 2020</w:t>
            </w:r>
          </w:p>
        </w:tc>
        <w:tc>
          <w:tcPr>
            <w:tcW w:w="930" w:type="dxa"/>
          </w:tcPr>
          <w:p w14:paraId="7771094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Cohort</w:t>
            </w:r>
          </w:p>
        </w:tc>
        <w:tc>
          <w:tcPr>
            <w:tcW w:w="1140" w:type="dxa"/>
          </w:tcPr>
          <w:p w14:paraId="467D83FE"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w:t>
            </w:r>
          </w:p>
        </w:tc>
        <w:tc>
          <w:tcPr>
            <w:tcW w:w="1143" w:type="dxa"/>
            <w:shd w:val="clear" w:color="auto" w:fill="D9E2F3" w:themeFill="accent1" w:themeFillTint="33"/>
          </w:tcPr>
          <w:p w14:paraId="583D7EB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Pandemic income impact</w:t>
            </w:r>
          </w:p>
        </w:tc>
        <w:tc>
          <w:tcPr>
            <w:tcW w:w="1091" w:type="dxa"/>
            <w:shd w:val="clear" w:color="auto" w:fill="FBE4D5" w:themeFill="accent2" w:themeFillTint="33"/>
          </w:tcPr>
          <w:p w14:paraId="4A330B5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Higher risky use</w:t>
            </w:r>
          </w:p>
        </w:tc>
        <w:tc>
          <w:tcPr>
            <w:tcW w:w="1760" w:type="dxa"/>
            <w:shd w:val="clear" w:color="auto" w:fill="E2EFD9" w:themeFill="accent6" w:themeFillTint="33"/>
          </w:tcPr>
          <w:p w14:paraId="23471925"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Distress rising</w:t>
            </w:r>
          </w:p>
        </w:tc>
        <w:tc>
          <w:tcPr>
            <w:tcW w:w="1100" w:type="dxa"/>
            <w:shd w:val="clear" w:color="auto" w:fill="FFF2CC" w:themeFill="accent4" w:themeFillTint="33"/>
          </w:tcPr>
          <w:p w14:paraId="799C62AD"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Digital exclusion</w:t>
            </w:r>
          </w:p>
        </w:tc>
        <w:tc>
          <w:tcPr>
            <w:tcW w:w="880" w:type="dxa"/>
          </w:tcPr>
          <w:p w14:paraId="7F827690"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2,5</w:t>
            </w:r>
          </w:p>
        </w:tc>
      </w:tr>
      <w:tr w:rsidR="00986C2E" w:rsidRPr="007F111F" w14:paraId="74E42CCD" w14:textId="77777777" w:rsidTr="00986C2E">
        <w:tc>
          <w:tcPr>
            <w:cnfStyle w:val="001000000000" w:firstRow="0" w:lastRow="0" w:firstColumn="1" w:lastColumn="0" w:oddVBand="0" w:evenVBand="0" w:oddHBand="0" w:evenHBand="0" w:firstRowFirstColumn="0" w:firstRowLastColumn="0" w:lastRowFirstColumn="0" w:lastRowLastColumn="0"/>
            <w:tcW w:w="1115" w:type="dxa"/>
          </w:tcPr>
          <w:p w14:paraId="10380F15" w14:textId="77777777" w:rsidR="00986C2E" w:rsidRPr="00986C2E" w:rsidRDefault="00986C2E" w:rsidP="009526E9">
            <w:pPr>
              <w:jc w:val="center"/>
              <w:rPr>
                <w:rFonts w:cs="Arial"/>
                <w:sz w:val="18"/>
                <w:szCs w:val="18"/>
              </w:rPr>
            </w:pPr>
            <w:r w:rsidRPr="00986C2E">
              <w:rPr>
                <w:rFonts w:cs="Arial"/>
                <w:sz w:val="18"/>
                <w:szCs w:val="18"/>
              </w:rPr>
              <w:t>12</w:t>
            </w:r>
          </w:p>
        </w:tc>
        <w:tc>
          <w:tcPr>
            <w:tcW w:w="1149" w:type="dxa"/>
          </w:tcPr>
          <w:p w14:paraId="51A76402"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JRF, 2023</w:t>
            </w:r>
          </w:p>
        </w:tc>
        <w:tc>
          <w:tcPr>
            <w:tcW w:w="930" w:type="dxa"/>
          </w:tcPr>
          <w:p w14:paraId="1DB4703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Research</w:t>
            </w:r>
          </w:p>
        </w:tc>
        <w:tc>
          <w:tcPr>
            <w:tcW w:w="1140" w:type="dxa"/>
          </w:tcPr>
          <w:p w14:paraId="2E423032"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UK</w:t>
            </w:r>
          </w:p>
        </w:tc>
        <w:tc>
          <w:tcPr>
            <w:tcW w:w="1143" w:type="dxa"/>
            <w:shd w:val="clear" w:color="auto" w:fill="D9E2F3" w:themeFill="accent1" w:themeFillTint="33"/>
          </w:tcPr>
          <w:p w14:paraId="3C3FC0CF"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Rising poverty</w:t>
            </w:r>
          </w:p>
        </w:tc>
        <w:tc>
          <w:tcPr>
            <w:tcW w:w="1091" w:type="dxa"/>
            <w:shd w:val="clear" w:color="auto" w:fill="FBE4D5" w:themeFill="accent2" w:themeFillTint="33"/>
          </w:tcPr>
          <w:p w14:paraId="74D4AC73"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Stress coping</w:t>
            </w:r>
          </w:p>
        </w:tc>
        <w:tc>
          <w:tcPr>
            <w:tcW w:w="1760" w:type="dxa"/>
            <w:shd w:val="clear" w:color="auto" w:fill="E2EFD9" w:themeFill="accent6" w:themeFillTint="33"/>
          </w:tcPr>
          <w:p w14:paraId="1DE89D28"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MH strain</w:t>
            </w:r>
          </w:p>
        </w:tc>
        <w:tc>
          <w:tcPr>
            <w:tcW w:w="1100" w:type="dxa"/>
            <w:shd w:val="clear" w:color="auto" w:fill="FFF2CC" w:themeFill="accent4" w:themeFillTint="33"/>
          </w:tcPr>
          <w:p w14:paraId="7FE1D83A"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Service mismatch</w:t>
            </w:r>
          </w:p>
        </w:tc>
        <w:tc>
          <w:tcPr>
            <w:tcW w:w="880" w:type="dxa"/>
          </w:tcPr>
          <w:p w14:paraId="16311AF7" w14:textId="77777777" w:rsidR="00986C2E" w:rsidRPr="00986C2E" w:rsidRDefault="00986C2E" w:rsidP="009526E9">
            <w:pPr>
              <w:jc w:val="center"/>
              <w:cnfStyle w:val="000000000000" w:firstRow="0" w:lastRow="0" w:firstColumn="0" w:lastColumn="0" w:oddVBand="0" w:evenVBand="0" w:oddHBand="0" w:evenHBand="0" w:firstRowFirstColumn="0" w:firstRowLastColumn="0" w:lastRowFirstColumn="0" w:lastRowLastColumn="0"/>
              <w:rPr>
                <w:rFonts w:cs="Arial"/>
                <w:sz w:val="18"/>
                <w:szCs w:val="18"/>
              </w:rPr>
            </w:pPr>
            <w:r w:rsidRPr="00986C2E">
              <w:rPr>
                <w:rFonts w:cs="Arial"/>
                <w:sz w:val="18"/>
                <w:szCs w:val="18"/>
              </w:rPr>
              <w:t>1,2,3</w:t>
            </w:r>
          </w:p>
        </w:tc>
      </w:tr>
    </w:tbl>
    <w:p w14:paraId="7097A1B7" w14:textId="77777777" w:rsidR="00986C2E" w:rsidRPr="007F111F" w:rsidRDefault="00986C2E" w:rsidP="00986C2E">
      <w:pPr>
        <w:jc w:val="center"/>
        <w:rPr>
          <w:rFonts w:cs="Arial"/>
          <w:sz w:val="16"/>
          <w:szCs w:val="16"/>
        </w:rPr>
      </w:pPr>
    </w:p>
    <w:p w14:paraId="19BFB774" w14:textId="77777777" w:rsidR="00986C2E" w:rsidRDefault="00986C2E" w:rsidP="00E47702">
      <w:pPr>
        <w:pStyle w:val="Heading1"/>
        <w:rPr>
          <w:rFonts w:cs="Arial"/>
          <w:szCs w:val="22"/>
        </w:rPr>
      </w:pPr>
    </w:p>
    <w:p w14:paraId="3B219D69" w14:textId="77777777" w:rsidR="00986C2E" w:rsidRDefault="00986C2E" w:rsidP="00E47702">
      <w:pPr>
        <w:pStyle w:val="Heading1"/>
        <w:rPr>
          <w:rFonts w:cs="Arial"/>
          <w:szCs w:val="22"/>
        </w:rPr>
      </w:pPr>
    </w:p>
    <w:p w14:paraId="12848C4B" w14:textId="77777777" w:rsidR="00986C2E" w:rsidRDefault="00986C2E" w:rsidP="00E47702">
      <w:pPr>
        <w:pStyle w:val="Heading1"/>
        <w:rPr>
          <w:rFonts w:cs="Arial"/>
          <w:szCs w:val="22"/>
        </w:rPr>
      </w:pPr>
    </w:p>
    <w:p w14:paraId="5ADFDBC1" w14:textId="77777777" w:rsidR="00986C2E" w:rsidRDefault="00986C2E" w:rsidP="00E47702">
      <w:pPr>
        <w:pStyle w:val="Heading1"/>
        <w:rPr>
          <w:rFonts w:cs="Arial"/>
          <w:szCs w:val="22"/>
        </w:rPr>
      </w:pPr>
    </w:p>
    <w:p w14:paraId="345DCBA8" w14:textId="77777777" w:rsidR="00986C2E" w:rsidRDefault="00986C2E" w:rsidP="00E47702">
      <w:pPr>
        <w:pStyle w:val="Heading1"/>
        <w:rPr>
          <w:rFonts w:cs="Arial"/>
          <w:szCs w:val="22"/>
        </w:rPr>
      </w:pPr>
    </w:p>
    <w:p w14:paraId="6B88CEA9" w14:textId="77777777" w:rsidR="00986C2E" w:rsidRDefault="00986C2E" w:rsidP="00E47702">
      <w:pPr>
        <w:pStyle w:val="Heading1"/>
        <w:rPr>
          <w:rFonts w:cs="Arial"/>
          <w:szCs w:val="22"/>
        </w:rPr>
      </w:pPr>
    </w:p>
    <w:p w14:paraId="45526D66" w14:textId="77777777" w:rsidR="00986C2E" w:rsidRDefault="00986C2E" w:rsidP="00E47702">
      <w:pPr>
        <w:pStyle w:val="Heading1"/>
        <w:rPr>
          <w:rFonts w:cs="Arial"/>
          <w:szCs w:val="22"/>
        </w:rPr>
      </w:pPr>
    </w:p>
    <w:p w14:paraId="3EF9F6F7" w14:textId="77777777" w:rsidR="00986C2E" w:rsidRDefault="00986C2E" w:rsidP="00E47702">
      <w:pPr>
        <w:pStyle w:val="Heading1"/>
        <w:rPr>
          <w:rFonts w:cs="Arial"/>
          <w:szCs w:val="22"/>
        </w:rPr>
      </w:pPr>
    </w:p>
    <w:p w14:paraId="67E2F93F" w14:textId="77777777" w:rsidR="00986C2E" w:rsidRDefault="00986C2E" w:rsidP="00E47702">
      <w:pPr>
        <w:pStyle w:val="Heading1"/>
        <w:rPr>
          <w:rFonts w:cs="Arial"/>
          <w:szCs w:val="22"/>
        </w:rPr>
      </w:pPr>
    </w:p>
    <w:p w14:paraId="2E61708D" w14:textId="77777777" w:rsidR="00986C2E" w:rsidRDefault="00986C2E" w:rsidP="00E47702">
      <w:pPr>
        <w:pStyle w:val="Heading1"/>
        <w:rPr>
          <w:rFonts w:cs="Arial"/>
          <w:szCs w:val="22"/>
        </w:rPr>
      </w:pPr>
    </w:p>
    <w:p w14:paraId="17384306" w14:textId="77777777" w:rsidR="00986C2E" w:rsidRDefault="00986C2E" w:rsidP="00E47702">
      <w:pPr>
        <w:pStyle w:val="Heading1"/>
        <w:rPr>
          <w:rFonts w:cs="Arial"/>
          <w:szCs w:val="22"/>
        </w:rPr>
      </w:pPr>
    </w:p>
    <w:p w14:paraId="234CD09C" w14:textId="4C37E425" w:rsidR="00E93FB4" w:rsidRPr="00E47702" w:rsidRDefault="00E93FB4" w:rsidP="00E47702">
      <w:pPr>
        <w:pStyle w:val="Heading1"/>
        <w:rPr>
          <w:rFonts w:cs="Arial"/>
          <w:szCs w:val="22"/>
        </w:rPr>
      </w:pPr>
      <w:bookmarkStart w:id="87" w:name="_Toc214840518"/>
      <w:r w:rsidRPr="00E47702">
        <w:rPr>
          <w:rFonts w:cs="Arial"/>
          <w:szCs w:val="22"/>
        </w:rPr>
        <w:lastRenderedPageBreak/>
        <w:t>Source Tracking Table</w:t>
      </w:r>
      <w:bookmarkEnd w:id="87"/>
    </w:p>
    <w:tbl>
      <w:tblPr>
        <w:tblStyle w:val="TableGrid"/>
        <w:tblW w:w="11341" w:type="dxa"/>
        <w:jc w:val="center"/>
        <w:tblLook w:val="04A0" w:firstRow="1" w:lastRow="0" w:firstColumn="1" w:lastColumn="0" w:noHBand="0" w:noVBand="1"/>
      </w:tblPr>
      <w:tblGrid>
        <w:gridCol w:w="751"/>
        <w:gridCol w:w="1027"/>
        <w:gridCol w:w="1398"/>
        <w:gridCol w:w="1765"/>
        <w:gridCol w:w="1741"/>
        <w:gridCol w:w="4659"/>
      </w:tblGrid>
      <w:tr w:rsidR="00901E26" w:rsidRPr="00E47702" w14:paraId="44227DBD" w14:textId="77777777" w:rsidTr="00D65B71">
        <w:trPr>
          <w:trHeight w:val="992"/>
          <w:jc w:val="center"/>
        </w:trPr>
        <w:tc>
          <w:tcPr>
            <w:tcW w:w="769" w:type="dxa"/>
          </w:tcPr>
          <w:p w14:paraId="54EBA31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Saved</w:t>
            </w:r>
          </w:p>
        </w:tc>
        <w:tc>
          <w:tcPr>
            <w:tcW w:w="993" w:type="dxa"/>
          </w:tcPr>
          <w:p w14:paraId="6EDCD94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Author &amp; Year</w:t>
            </w:r>
          </w:p>
        </w:tc>
        <w:tc>
          <w:tcPr>
            <w:tcW w:w="1535" w:type="dxa"/>
          </w:tcPr>
          <w:p w14:paraId="2988B23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Title</w:t>
            </w:r>
          </w:p>
        </w:tc>
        <w:tc>
          <w:tcPr>
            <w:tcW w:w="1801" w:type="dxa"/>
          </w:tcPr>
          <w:p w14:paraId="7C2ABD9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Summary of Source</w:t>
            </w:r>
          </w:p>
        </w:tc>
        <w:tc>
          <w:tcPr>
            <w:tcW w:w="2078" w:type="dxa"/>
          </w:tcPr>
          <w:p w14:paraId="0EB7B46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CRAAP Notes</w:t>
            </w:r>
          </w:p>
        </w:tc>
        <w:tc>
          <w:tcPr>
            <w:tcW w:w="4165" w:type="dxa"/>
          </w:tcPr>
          <w:p w14:paraId="3891958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File Name / Link to Source</w:t>
            </w:r>
          </w:p>
        </w:tc>
      </w:tr>
      <w:tr w:rsidR="00901E26" w:rsidRPr="00E47702" w14:paraId="52182033" w14:textId="77777777" w:rsidTr="00D65B71">
        <w:trPr>
          <w:jc w:val="center"/>
        </w:trPr>
        <w:tc>
          <w:tcPr>
            <w:tcW w:w="769" w:type="dxa"/>
          </w:tcPr>
          <w:p w14:paraId="7A3E94BF"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4DDD6277"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Aveyard, H. (2019)</w:t>
            </w:r>
          </w:p>
        </w:tc>
        <w:tc>
          <w:tcPr>
            <w:tcW w:w="1535" w:type="dxa"/>
          </w:tcPr>
          <w:p w14:paraId="41174B7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Doing a Literature Review in Health and Social Care: A Practical Guide</w:t>
            </w:r>
          </w:p>
        </w:tc>
        <w:tc>
          <w:tcPr>
            <w:tcW w:w="1801" w:type="dxa"/>
          </w:tcPr>
          <w:p w14:paraId="35B7051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Explains how to plan, search, and structure literature-based dissertations. Used to guide search strategy and inclusion/exclusion logic.</w:t>
            </w:r>
          </w:p>
        </w:tc>
        <w:tc>
          <w:tcPr>
            <w:tcW w:w="2078" w:type="dxa"/>
          </w:tcPr>
          <w:p w14:paraId="494A728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2019 edition; R: highly relevant; A: authoritative textbook; A: well-cited; P: educational.</w:t>
            </w:r>
          </w:p>
        </w:tc>
        <w:tc>
          <w:tcPr>
            <w:tcW w:w="4165" w:type="dxa"/>
          </w:tcPr>
          <w:p w14:paraId="4817BF7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https://www.mheducation.co.uk/doing-a-literature-review-in-health-and-social-care-9780335248258-emea-group</w:t>
            </w:r>
          </w:p>
        </w:tc>
      </w:tr>
      <w:tr w:rsidR="00901E26" w:rsidRPr="00E47702" w14:paraId="386DF15B" w14:textId="77777777" w:rsidTr="00D65B71">
        <w:trPr>
          <w:jc w:val="center"/>
        </w:trPr>
        <w:tc>
          <w:tcPr>
            <w:tcW w:w="769" w:type="dxa"/>
          </w:tcPr>
          <w:p w14:paraId="02982FA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369CFF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Braun, V. &amp; Clarke, V. (2006)</w:t>
            </w:r>
          </w:p>
        </w:tc>
        <w:tc>
          <w:tcPr>
            <w:tcW w:w="1535" w:type="dxa"/>
          </w:tcPr>
          <w:p w14:paraId="2D5B576D"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Using thematic analysis in psychology</w:t>
            </w:r>
          </w:p>
        </w:tc>
        <w:tc>
          <w:tcPr>
            <w:tcW w:w="1801" w:type="dxa"/>
          </w:tcPr>
          <w:p w14:paraId="2435B94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Outlines six-step framework for qualitative thematic analysis. Used for coding process.</w:t>
            </w:r>
          </w:p>
        </w:tc>
        <w:tc>
          <w:tcPr>
            <w:tcW w:w="2078" w:type="dxa"/>
          </w:tcPr>
          <w:p w14:paraId="3C11B9F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foundational; R: essential; A: peer-reviewed; A: robust; P: academic.</w:t>
            </w:r>
          </w:p>
        </w:tc>
        <w:tc>
          <w:tcPr>
            <w:tcW w:w="4165" w:type="dxa"/>
          </w:tcPr>
          <w:p w14:paraId="0F1875D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https://doi.org/10.1191/1478088706qp063oa</w:t>
            </w:r>
          </w:p>
        </w:tc>
      </w:tr>
      <w:tr w:rsidR="00901E26" w:rsidRPr="00E47702" w14:paraId="7E10BB9B" w14:textId="77777777" w:rsidTr="00D65B71">
        <w:trPr>
          <w:jc w:val="center"/>
        </w:trPr>
        <w:tc>
          <w:tcPr>
            <w:tcW w:w="769" w:type="dxa"/>
          </w:tcPr>
          <w:p w14:paraId="6CD0FCA2"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878C51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Black, D.C. (2021)</w:t>
            </w:r>
          </w:p>
        </w:tc>
        <w:tc>
          <w:tcPr>
            <w:tcW w:w="1535" w:type="dxa"/>
          </w:tcPr>
          <w:p w14:paraId="3C2EE9E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Independent Review of Drugs: Prevention, Treatment and Recovery</w:t>
            </w:r>
          </w:p>
        </w:tc>
        <w:tc>
          <w:tcPr>
            <w:tcW w:w="1801" w:type="dxa"/>
          </w:tcPr>
          <w:p w14:paraId="6ECF891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UK Government review detailing national drug policy reforms and service gaps.</w:t>
            </w:r>
          </w:p>
        </w:tc>
        <w:tc>
          <w:tcPr>
            <w:tcW w:w="2078" w:type="dxa"/>
          </w:tcPr>
          <w:p w14:paraId="2ACA6F0D"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2021; R: highly relevant; A: official UK review; A: data-based; P: policy.</w:t>
            </w:r>
          </w:p>
        </w:tc>
        <w:tc>
          <w:tcPr>
            <w:tcW w:w="4165" w:type="dxa"/>
          </w:tcPr>
          <w:p w14:paraId="331314C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https://www.gov.uk/government/publications/review-of-drugs-part-two</w:t>
            </w:r>
          </w:p>
        </w:tc>
      </w:tr>
      <w:tr w:rsidR="00901E26" w:rsidRPr="00E47702" w14:paraId="2CE81E02" w14:textId="77777777" w:rsidTr="00D65B71">
        <w:trPr>
          <w:jc w:val="center"/>
        </w:trPr>
        <w:tc>
          <w:tcPr>
            <w:tcW w:w="769" w:type="dxa"/>
          </w:tcPr>
          <w:p w14:paraId="62FA14A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EF83C4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Marmot, M. (2020)</w:t>
            </w:r>
          </w:p>
        </w:tc>
        <w:tc>
          <w:tcPr>
            <w:tcW w:w="1535" w:type="dxa"/>
          </w:tcPr>
          <w:p w14:paraId="042DBE00"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Health Equity in England: The Marmot Review 10 Years On</w:t>
            </w:r>
          </w:p>
        </w:tc>
        <w:tc>
          <w:tcPr>
            <w:tcW w:w="1801" w:type="dxa"/>
          </w:tcPr>
          <w:p w14:paraId="69DEB4A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Analyses effects of austerity on health inequality and social determinants.</w:t>
            </w:r>
          </w:p>
        </w:tc>
        <w:tc>
          <w:tcPr>
            <w:tcW w:w="2078" w:type="dxa"/>
          </w:tcPr>
          <w:p w14:paraId="1FC6574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2020; R: high; A: Institute of Health Equity; A: statistical; P: policy reform.</w:t>
            </w:r>
          </w:p>
        </w:tc>
        <w:tc>
          <w:tcPr>
            <w:tcW w:w="4165" w:type="dxa"/>
          </w:tcPr>
          <w:p w14:paraId="170EC6A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https://www.health.org.uk/publications/reports/the-marmot-review-10-years-on</w:t>
            </w:r>
          </w:p>
        </w:tc>
      </w:tr>
      <w:tr w:rsidR="00901E26" w:rsidRPr="00E47702" w14:paraId="3CA5EB7C" w14:textId="77777777" w:rsidTr="00D65B71">
        <w:trPr>
          <w:jc w:val="center"/>
        </w:trPr>
        <w:tc>
          <w:tcPr>
            <w:tcW w:w="769" w:type="dxa"/>
          </w:tcPr>
          <w:p w14:paraId="5FD3F9AF"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621E88F0"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Molina, G. &amp; Whittaker, A. (2022)</w:t>
            </w:r>
          </w:p>
        </w:tc>
        <w:tc>
          <w:tcPr>
            <w:tcW w:w="1535" w:type="dxa"/>
          </w:tcPr>
          <w:p w14:paraId="48783B4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Treatment of PTSD and substance use disorder in adults with adverse childhood experiences</w:t>
            </w:r>
          </w:p>
        </w:tc>
        <w:tc>
          <w:tcPr>
            <w:tcW w:w="1801" w:type="dxa"/>
          </w:tcPr>
          <w:p w14:paraId="4786CF5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Systematic review linking trauma and substance misuse.</w:t>
            </w:r>
          </w:p>
        </w:tc>
        <w:tc>
          <w:tcPr>
            <w:tcW w:w="2078" w:type="dxa"/>
          </w:tcPr>
          <w:p w14:paraId="19CCE71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2022; R: high; A: Drug &amp; Alcohol Dependence Reports; A: peer-reviewed; P: academic.</w:t>
            </w:r>
          </w:p>
        </w:tc>
        <w:tc>
          <w:tcPr>
            <w:tcW w:w="4165" w:type="dxa"/>
          </w:tcPr>
          <w:p w14:paraId="64CA36D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https://doi.org/10.1016/j.dadr.2022.100028</w:t>
            </w:r>
          </w:p>
        </w:tc>
      </w:tr>
      <w:tr w:rsidR="00901E26" w:rsidRPr="00E47702" w14:paraId="345B2DF5" w14:textId="77777777" w:rsidTr="00D65B71">
        <w:trPr>
          <w:jc w:val="center"/>
        </w:trPr>
        <w:tc>
          <w:tcPr>
            <w:tcW w:w="769" w:type="dxa"/>
          </w:tcPr>
          <w:p w14:paraId="4447BBA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0EF7CE9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Pierce, M. et al. (2020)</w:t>
            </w:r>
          </w:p>
        </w:tc>
        <w:tc>
          <w:tcPr>
            <w:tcW w:w="1535" w:type="dxa"/>
          </w:tcPr>
          <w:p w14:paraId="53BC47AC"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Mental health before and during the COVID-19 pandemic</w:t>
            </w:r>
          </w:p>
        </w:tc>
        <w:tc>
          <w:tcPr>
            <w:tcW w:w="1801" w:type="dxa"/>
          </w:tcPr>
          <w:p w14:paraId="791677C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Longitudinal UK survey on population mental health trends.</w:t>
            </w:r>
          </w:p>
        </w:tc>
        <w:tc>
          <w:tcPr>
            <w:tcW w:w="2078" w:type="dxa"/>
          </w:tcPr>
          <w:p w14:paraId="6DFD4B5B"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2020; R: strong; A: The Lancet Psychiatry; A: high; P: academic.</w:t>
            </w:r>
          </w:p>
        </w:tc>
        <w:tc>
          <w:tcPr>
            <w:tcW w:w="4165" w:type="dxa"/>
          </w:tcPr>
          <w:p w14:paraId="2940C1E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https://doi.org/10.1016/S2215-0366(20)30308-4</w:t>
            </w:r>
          </w:p>
        </w:tc>
      </w:tr>
      <w:tr w:rsidR="00901E26" w:rsidRPr="00E47702" w14:paraId="019EE6DE" w14:textId="77777777" w:rsidTr="00D65B71">
        <w:trPr>
          <w:jc w:val="center"/>
        </w:trPr>
        <w:tc>
          <w:tcPr>
            <w:tcW w:w="769" w:type="dxa"/>
          </w:tcPr>
          <w:p w14:paraId="28FED996"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lastRenderedPageBreak/>
              <w:t>☑️</w:t>
            </w:r>
          </w:p>
        </w:tc>
        <w:tc>
          <w:tcPr>
            <w:tcW w:w="993" w:type="dxa"/>
          </w:tcPr>
          <w:p w14:paraId="53EE1134"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NHS Digital (2023)</w:t>
            </w:r>
          </w:p>
        </w:tc>
        <w:tc>
          <w:tcPr>
            <w:tcW w:w="1535" w:type="dxa"/>
          </w:tcPr>
          <w:p w14:paraId="6F16DD3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Adult Substance Misuse Treatment Statistics 2022–23</w:t>
            </w:r>
          </w:p>
        </w:tc>
        <w:tc>
          <w:tcPr>
            <w:tcW w:w="1801" w:type="dxa"/>
          </w:tcPr>
          <w:p w14:paraId="5B3090D1"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National dataset on treatment engagement and demographic trends.</w:t>
            </w:r>
          </w:p>
        </w:tc>
        <w:tc>
          <w:tcPr>
            <w:tcW w:w="2078" w:type="dxa"/>
          </w:tcPr>
          <w:p w14:paraId="7130910B"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2023; R: high; A: NHS Digital; A: government data; P: public reporting.</w:t>
            </w:r>
          </w:p>
        </w:tc>
        <w:tc>
          <w:tcPr>
            <w:tcW w:w="4165" w:type="dxa"/>
          </w:tcPr>
          <w:p w14:paraId="6F393B2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https://digital.nhs.uk/data-and-information/publications</w:t>
            </w:r>
          </w:p>
        </w:tc>
      </w:tr>
      <w:tr w:rsidR="00901E26" w:rsidRPr="00E47702" w14:paraId="48BDD626" w14:textId="77777777" w:rsidTr="00D65B71">
        <w:trPr>
          <w:jc w:val="center"/>
        </w:trPr>
        <w:tc>
          <w:tcPr>
            <w:tcW w:w="769" w:type="dxa"/>
          </w:tcPr>
          <w:p w14:paraId="480B7FD4"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7C33D628"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ONS (2022)</w:t>
            </w:r>
          </w:p>
        </w:tc>
        <w:tc>
          <w:tcPr>
            <w:tcW w:w="1535" w:type="dxa"/>
          </w:tcPr>
          <w:p w14:paraId="6BABC8A5"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Drug Misuse in England and Wales: Year Ending June 2022</w:t>
            </w:r>
          </w:p>
        </w:tc>
        <w:tc>
          <w:tcPr>
            <w:tcW w:w="1801" w:type="dxa"/>
          </w:tcPr>
          <w:p w14:paraId="383D558E"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Statistical analysis of national drug-use patterns.</w:t>
            </w:r>
          </w:p>
        </w:tc>
        <w:tc>
          <w:tcPr>
            <w:tcW w:w="2078" w:type="dxa"/>
          </w:tcPr>
          <w:p w14:paraId="24080CEB"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2022; R: high; A: ONS; A: verified; P: informational.</w:t>
            </w:r>
          </w:p>
        </w:tc>
        <w:tc>
          <w:tcPr>
            <w:tcW w:w="4165" w:type="dxa"/>
          </w:tcPr>
          <w:p w14:paraId="63E44F2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https://www.ons.gov.uk/peoplepopulationandcommunity</w:t>
            </w:r>
          </w:p>
        </w:tc>
      </w:tr>
      <w:tr w:rsidR="00901E26" w:rsidRPr="00E47702" w14:paraId="551B0E88" w14:textId="77777777" w:rsidTr="00D65B71">
        <w:trPr>
          <w:jc w:val="center"/>
        </w:trPr>
        <w:tc>
          <w:tcPr>
            <w:tcW w:w="769" w:type="dxa"/>
          </w:tcPr>
          <w:p w14:paraId="35CD4C1E"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1FEDEC59"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Mind (2022)</w:t>
            </w:r>
          </w:p>
        </w:tc>
        <w:tc>
          <w:tcPr>
            <w:tcW w:w="1535" w:type="dxa"/>
          </w:tcPr>
          <w:p w14:paraId="0590D6D2"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Mental Health in the Pandemic: Inequality and Recovery</w:t>
            </w:r>
          </w:p>
        </w:tc>
        <w:tc>
          <w:tcPr>
            <w:tcW w:w="1801" w:type="dxa"/>
          </w:tcPr>
          <w:p w14:paraId="208DEA84"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NGO report documenting service barriers and lived experiences.</w:t>
            </w:r>
          </w:p>
        </w:tc>
        <w:tc>
          <w:tcPr>
            <w:tcW w:w="2078" w:type="dxa"/>
          </w:tcPr>
          <w:p w14:paraId="7F6A9494"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2022; R: strong; A: Mind; A: qualitative; P: advocacy.</w:t>
            </w:r>
          </w:p>
        </w:tc>
        <w:tc>
          <w:tcPr>
            <w:tcW w:w="4165" w:type="dxa"/>
          </w:tcPr>
          <w:p w14:paraId="36D2EEAC"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https://www.mind.org.uk</w:t>
            </w:r>
          </w:p>
        </w:tc>
      </w:tr>
      <w:tr w:rsidR="00901E26" w:rsidRPr="00E47702" w14:paraId="272E5F37" w14:textId="77777777" w:rsidTr="00D65B71">
        <w:trPr>
          <w:jc w:val="center"/>
        </w:trPr>
        <w:tc>
          <w:tcPr>
            <w:tcW w:w="769" w:type="dxa"/>
          </w:tcPr>
          <w:p w14:paraId="0A094D47" w14:textId="77777777" w:rsidR="00E93FB4" w:rsidRPr="00E47702" w:rsidRDefault="00E93FB4" w:rsidP="00901E26">
            <w:pPr>
              <w:spacing w:line="360" w:lineRule="auto"/>
              <w:rPr>
                <w:rFonts w:cs="Arial"/>
                <w:color w:val="000000" w:themeColor="text1"/>
                <w:sz w:val="18"/>
                <w:szCs w:val="18"/>
              </w:rPr>
            </w:pPr>
            <w:r w:rsidRPr="00E47702">
              <w:rPr>
                <w:rFonts w:ascii="Apple Color Emoji" w:hAnsi="Apple Color Emoji" w:cs="Apple Color Emoji"/>
                <w:color w:val="000000" w:themeColor="text1"/>
                <w:sz w:val="18"/>
                <w:szCs w:val="18"/>
              </w:rPr>
              <w:t>☑️</w:t>
            </w:r>
          </w:p>
        </w:tc>
        <w:tc>
          <w:tcPr>
            <w:tcW w:w="993" w:type="dxa"/>
          </w:tcPr>
          <w:p w14:paraId="21E6566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Public Health England (2021)</w:t>
            </w:r>
          </w:p>
        </w:tc>
        <w:tc>
          <w:tcPr>
            <w:tcW w:w="1535" w:type="dxa"/>
          </w:tcPr>
          <w:p w14:paraId="1C8DEE2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Adult Substance Misuse Treatment Statistics 2020–21</w:t>
            </w:r>
          </w:p>
        </w:tc>
        <w:tc>
          <w:tcPr>
            <w:tcW w:w="1801" w:type="dxa"/>
          </w:tcPr>
          <w:p w14:paraId="0BF56F16"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Comprehensive annual report on drug/alcohol services.</w:t>
            </w:r>
          </w:p>
        </w:tc>
        <w:tc>
          <w:tcPr>
            <w:tcW w:w="2078" w:type="dxa"/>
          </w:tcPr>
          <w:p w14:paraId="61B36593"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C: 2021; R: high; A: PHE; A: official data; P: public health.</w:t>
            </w:r>
          </w:p>
        </w:tc>
        <w:tc>
          <w:tcPr>
            <w:tcW w:w="4165" w:type="dxa"/>
          </w:tcPr>
          <w:p w14:paraId="3A4C964A" w14:textId="77777777" w:rsidR="00E93FB4" w:rsidRPr="00E47702" w:rsidRDefault="00E93FB4" w:rsidP="00901E26">
            <w:pPr>
              <w:spacing w:line="360" w:lineRule="auto"/>
              <w:rPr>
                <w:rFonts w:cs="Arial"/>
                <w:color w:val="000000" w:themeColor="text1"/>
                <w:sz w:val="18"/>
                <w:szCs w:val="18"/>
              </w:rPr>
            </w:pPr>
            <w:r w:rsidRPr="00E47702">
              <w:rPr>
                <w:rFonts w:cs="Arial"/>
                <w:color w:val="000000" w:themeColor="text1"/>
                <w:sz w:val="18"/>
                <w:szCs w:val="18"/>
              </w:rPr>
              <w:t>https://www.gov.uk/government/collections/alcohol-and-drug-misuse-and-treatment-statistics</w:t>
            </w:r>
          </w:p>
        </w:tc>
      </w:tr>
    </w:tbl>
    <w:p w14:paraId="39077BA6" w14:textId="77777777" w:rsidR="00E93FB4" w:rsidRPr="00E47702" w:rsidRDefault="00E93FB4" w:rsidP="00901E26">
      <w:pPr>
        <w:spacing w:line="360" w:lineRule="auto"/>
        <w:rPr>
          <w:rFonts w:cs="Arial"/>
          <w:color w:val="000000" w:themeColor="text1"/>
          <w:sz w:val="18"/>
          <w:szCs w:val="18"/>
        </w:rPr>
      </w:pPr>
    </w:p>
    <w:p w14:paraId="74E8D553" w14:textId="1533717E" w:rsidR="00E93FB4" w:rsidRPr="00E47702" w:rsidRDefault="00E93FB4" w:rsidP="00901E26">
      <w:pPr>
        <w:spacing w:line="360" w:lineRule="auto"/>
        <w:jc w:val="center"/>
        <w:rPr>
          <w:rFonts w:cs="Arial"/>
          <w:color w:val="000000" w:themeColor="text1"/>
          <w:sz w:val="18"/>
          <w:szCs w:val="18"/>
        </w:rPr>
      </w:pPr>
    </w:p>
    <w:p w14:paraId="71959D3A" w14:textId="13BDAB97" w:rsidR="006B3A77" w:rsidRPr="00E47702" w:rsidRDefault="006B3A77" w:rsidP="00901E26">
      <w:pPr>
        <w:spacing w:line="360" w:lineRule="auto"/>
        <w:jc w:val="center"/>
        <w:rPr>
          <w:rFonts w:cs="Arial"/>
          <w:color w:val="000000" w:themeColor="text1"/>
          <w:sz w:val="18"/>
          <w:szCs w:val="18"/>
        </w:rPr>
      </w:pPr>
    </w:p>
    <w:p w14:paraId="6E6C7A86" w14:textId="52A54922" w:rsidR="006B3A77" w:rsidRPr="00E47702" w:rsidRDefault="006B3A77" w:rsidP="00901E26">
      <w:pPr>
        <w:spacing w:line="360" w:lineRule="auto"/>
        <w:jc w:val="center"/>
        <w:rPr>
          <w:rFonts w:cs="Arial"/>
          <w:color w:val="000000" w:themeColor="text1"/>
          <w:sz w:val="18"/>
          <w:szCs w:val="18"/>
        </w:rPr>
      </w:pPr>
    </w:p>
    <w:p w14:paraId="29F39144" w14:textId="0018B779" w:rsidR="006B3A77" w:rsidRPr="00E47702" w:rsidRDefault="006B3A77" w:rsidP="00901E26">
      <w:pPr>
        <w:spacing w:line="360" w:lineRule="auto"/>
        <w:jc w:val="center"/>
        <w:rPr>
          <w:rFonts w:cs="Arial"/>
          <w:color w:val="000000" w:themeColor="text1"/>
          <w:sz w:val="18"/>
          <w:szCs w:val="18"/>
        </w:rPr>
      </w:pPr>
    </w:p>
    <w:p w14:paraId="4F43414C" w14:textId="622CDE1F" w:rsidR="006B3A77" w:rsidRPr="00E47702" w:rsidRDefault="006B3A77" w:rsidP="00901E26">
      <w:pPr>
        <w:spacing w:line="360" w:lineRule="auto"/>
        <w:jc w:val="center"/>
        <w:rPr>
          <w:rFonts w:cs="Arial"/>
          <w:color w:val="000000" w:themeColor="text1"/>
          <w:sz w:val="18"/>
          <w:szCs w:val="18"/>
        </w:rPr>
      </w:pPr>
    </w:p>
    <w:p w14:paraId="6E5226BF" w14:textId="60A56545" w:rsidR="006B3A77" w:rsidRPr="00E47702" w:rsidRDefault="006B3A77" w:rsidP="00901E26">
      <w:pPr>
        <w:spacing w:line="360" w:lineRule="auto"/>
        <w:jc w:val="center"/>
        <w:rPr>
          <w:rFonts w:cs="Arial"/>
          <w:color w:val="000000" w:themeColor="text1"/>
          <w:sz w:val="18"/>
          <w:szCs w:val="18"/>
        </w:rPr>
      </w:pPr>
    </w:p>
    <w:p w14:paraId="442AF9E2" w14:textId="3FC12992" w:rsidR="006B3A77" w:rsidRPr="00E47702" w:rsidRDefault="006B3A77" w:rsidP="00901E26">
      <w:pPr>
        <w:spacing w:line="360" w:lineRule="auto"/>
        <w:jc w:val="center"/>
        <w:rPr>
          <w:rFonts w:cs="Arial"/>
          <w:color w:val="000000" w:themeColor="text1"/>
          <w:sz w:val="18"/>
          <w:szCs w:val="18"/>
        </w:rPr>
      </w:pPr>
    </w:p>
    <w:p w14:paraId="7064910A" w14:textId="5D1D2604" w:rsidR="006B3A77" w:rsidRPr="00E47702" w:rsidRDefault="006B3A77" w:rsidP="00901E26">
      <w:pPr>
        <w:spacing w:line="360" w:lineRule="auto"/>
        <w:jc w:val="center"/>
        <w:rPr>
          <w:rFonts w:cs="Arial"/>
          <w:color w:val="000000" w:themeColor="text1"/>
          <w:sz w:val="18"/>
          <w:szCs w:val="18"/>
        </w:rPr>
      </w:pPr>
    </w:p>
    <w:p w14:paraId="42484B2F" w14:textId="6A791AD8" w:rsidR="006B3A77" w:rsidRPr="00E47702" w:rsidRDefault="006B3A77" w:rsidP="00901E26">
      <w:pPr>
        <w:spacing w:line="360" w:lineRule="auto"/>
        <w:jc w:val="center"/>
        <w:rPr>
          <w:rFonts w:cs="Arial"/>
          <w:color w:val="000000" w:themeColor="text1"/>
          <w:sz w:val="18"/>
          <w:szCs w:val="18"/>
        </w:rPr>
      </w:pPr>
    </w:p>
    <w:p w14:paraId="4307C954" w14:textId="1CC374D5" w:rsidR="006B3A77" w:rsidRPr="00E47702" w:rsidRDefault="006B3A77" w:rsidP="00901E26">
      <w:pPr>
        <w:spacing w:line="360" w:lineRule="auto"/>
        <w:jc w:val="center"/>
        <w:rPr>
          <w:rFonts w:cs="Arial"/>
          <w:color w:val="000000" w:themeColor="text1"/>
          <w:sz w:val="18"/>
          <w:szCs w:val="18"/>
        </w:rPr>
      </w:pPr>
    </w:p>
    <w:p w14:paraId="1165D6A4" w14:textId="0AE7FB18" w:rsidR="006B3A77" w:rsidRPr="00E47702" w:rsidRDefault="006B3A77" w:rsidP="00901E26">
      <w:pPr>
        <w:spacing w:line="360" w:lineRule="auto"/>
        <w:jc w:val="center"/>
        <w:rPr>
          <w:rFonts w:cs="Arial"/>
          <w:color w:val="000000" w:themeColor="text1"/>
          <w:sz w:val="18"/>
          <w:szCs w:val="18"/>
        </w:rPr>
      </w:pPr>
    </w:p>
    <w:p w14:paraId="00986CF6" w14:textId="7298D768" w:rsidR="006B3A77" w:rsidRPr="00E47702" w:rsidRDefault="006B3A77" w:rsidP="00901E26">
      <w:pPr>
        <w:spacing w:line="360" w:lineRule="auto"/>
        <w:jc w:val="center"/>
        <w:rPr>
          <w:rFonts w:cs="Arial"/>
          <w:color w:val="000000" w:themeColor="text1"/>
          <w:sz w:val="18"/>
          <w:szCs w:val="18"/>
        </w:rPr>
      </w:pPr>
    </w:p>
    <w:p w14:paraId="6C8C99E8" w14:textId="68F938AA" w:rsidR="006B3A77" w:rsidRPr="00E47702" w:rsidRDefault="006B3A77" w:rsidP="00901E26">
      <w:pPr>
        <w:spacing w:line="360" w:lineRule="auto"/>
        <w:jc w:val="center"/>
        <w:rPr>
          <w:rFonts w:cs="Arial"/>
          <w:color w:val="000000" w:themeColor="text1"/>
          <w:sz w:val="18"/>
          <w:szCs w:val="18"/>
        </w:rPr>
      </w:pPr>
    </w:p>
    <w:p w14:paraId="3BFFB470" w14:textId="5BBA0EFE" w:rsidR="006B3A77" w:rsidRPr="00E47702" w:rsidRDefault="006B3A77" w:rsidP="00901E26">
      <w:pPr>
        <w:spacing w:line="360" w:lineRule="auto"/>
        <w:jc w:val="center"/>
        <w:rPr>
          <w:rFonts w:cs="Arial"/>
          <w:color w:val="000000" w:themeColor="text1"/>
          <w:sz w:val="18"/>
          <w:szCs w:val="18"/>
        </w:rPr>
      </w:pPr>
    </w:p>
    <w:p w14:paraId="0BDE0C1B" w14:textId="60831583" w:rsidR="006B3A77" w:rsidRPr="00E47702" w:rsidRDefault="006B3A77" w:rsidP="00901E26">
      <w:pPr>
        <w:spacing w:line="360" w:lineRule="auto"/>
        <w:jc w:val="center"/>
        <w:rPr>
          <w:rFonts w:cs="Arial"/>
          <w:color w:val="000000" w:themeColor="text1"/>
          <w:sz w:val="18"/>
          <w:szCs w:val="18"/>
        </w:rPr>
      </w:pPr>
    </w:p>
    <w:p w14:paraId="1FDD3B27" w14:textId="0533049D" w:rsidR="006B3A77" w:rsidRPr="00E47702" w:rsidRDefault="006B3A77" w:rsidP="00901E26">
      <w:pPr>
        <w:spacing w:line="360" w:lineRule="auto"/>
        <w:jc w:val="center"/>
        <w:rPr>
          <w:rFonts w:cs="Arial"/>
          <w:color w:val="000000" w:themeColor="text1"/>
          <w:sz w:val="18"/>
          <w:szCs w:val="18"/>
        </w:rPr>
      </w:pPr>
    </w:p>
    <w:p w14:paraId="1144AC6B" w14:textId="6D91E8A5" w:rsidR="006B3A77" w:rsidRDefault="006B3A77" w:rsidP="00901E26">
      <w:pPr>
        <w:spacing w:line="360" w:lineRule="auto"/>
        <w:jc w:val="center"/>
        <w:rPr>
          <w:rFonts w:cs="Arial"/>
          <w:color w:val="000000" w:themeColor="text1"/>
          <w:sz w:val="18"/>
          <w:szCs w:val="18"/>
        </w:rPr>
      </w:pPr>
    </w:p>
    <w:p w14:paraId="1196F868" w14:textId="67C46800" w:rsidR="00E47702" w:rsidRDefault="00E47702" w:rsidP="00901E26">
      <w:pPr>
        <w:spacing w:line="360" w:lineRule="auto"/>
        <w:jc w:val="center"/>
        <w:rPr>
          <w:rFonts w:cs="Arial"/>
          <w:color w:val="000000" w:themeColor="text1"/>
          <w:sz w:val="18"/>
          <w:szCs w:val="18"/>
        </w:rPr>
      </w:pPr>
    </w:p>
    <w:p w14:paraId="74D6A702" w14:textId="69D1DDDA" w:rsidR="00E47702" w:rsidRDefault="00E47702" w:rsidP="00901E26">
      <w:pPr>
        <w:spacing w:line="360" w:lineRule="auto"/>
        <w:jc w:val="center"/>
        <w:rPr>
          <w:rFonts w:cs="Arial"/>
          <w:color w:val="000000" w:themeColor="text1"/>
          <w:sz w:val="18"/>
          <w:szCs w:val="18"/>
        </w:rPr>
      </w:pPr>
    </w:p>
    <w:p w14:paraId="3338E437" w14:textId="77777777" w:rsidR="00E47702" w:rsidRPr="00E47702" w:rsidRDefault="00E47702" w:rsidP="00901E26">
      <w:pPr>
        <w:spacing w:line="360" w:lineRule="auto"/>
        <w:jc w:val="center"/>
        <w:rPr>
          <w:rFonts w:cs="Arial"/>
          <w:color w:val="000000" w:themeColor="text1"/>
          <w:sz w:val="18"/>
          <w:szCs w:val="18"/>
        </w:rPr>
      </w:pPr>
    </w:p>
    <w:p w14:paraId="4CA1B3CA" w14:textId="727B367B" w:rsidR="006B3A77" w:rsidRPr="00E47702" w:rsidRDefault="006B3A77" w:rsidP="00901E26">
      <w:pPr>
        <w:spacing w:line="360" w:lineRule="auto"/>
        <w:jc w:val="center"/>
        <w:rPr>
          <w:rFonts w:cs="Arial"/>
          <w:color w:val="000000" w:themeColor="text1"/>
          <w:sz w:val="18"/>
          <w:szCs w:val="18"/>
        </w:rPr>
      </w:pPr>
    </w:p>
    <w:p w14:paraId="411F5EA9" w14:textId="77777777" w:rsidR="006B3A77" w:rsidRPr="00E47702" w:rsidRDefault="006B3A77" w:rsidP="00E47702">
      <w:pPr>
        <w:pStyle w:val="Heading1"/>
        <w:rPr>
          <w:rFonts w:cs="Arial"/>
          <w:szCs w:val="22"/>
        </w:rPr>
      </w:pPr>
      <w:bookmarkStart w:id="88" w:name="_Toc214840519"/>
      <w:r w:rsidRPr="00E47702">
        <w:rPr>
          <w:rFonts w:cs="Arial"/>
          <w:szCs w:val="22"/>
        </w:rPr>
        <w:lastRenderedPageBreak/>
        <w:t>Summary of Key Findings &amp; Recommendations</w:t>
      </w:r>
      <w:bookmarkEnd w:id="88"/>
    </w:p>
    <w:tbl>
      <w:tblPr>
        <w:tblStyle w:val="TableGridLight"/>
        <w:tblW w:w="11058" w:type="dxa"/>
        <w:tblInd w:w="-998" w:type="dxa"/>
        <w:tblLook w:val="04A0" w:firstRow="1" w:lastRow="0" w:firstColumn="1" w:lastColumn="0" w:noHBand="0" w:noVBand="1"/>
      </w:tblPr>
      <w:tblGrid>
        <w:gridCol w:w="2758"/>
        <w:gridCol w:w="2765"/>
        <w:gridCol w:w="1792"/>
        <w:gridCol w:w="3743"/>
      </w:tblGrid>
      <w:tr w:rsidR="006B3A77" w:rsidRPr="00E47702" w14:paraId="5F0F1D5A" w14:textId="77777777" w:rsidTr="009526E9">
        <w:tc>
          <w:tcPr>
            <w:tcW w:w="2758" w:type="dxa"/>
            <w:hideMark/>
          </w:tcPr>
          <w:p w14:paraId="6B7F4B10"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Theme / Key Finding</w:t>
            </w:r>
          </w:p>
        </w:tc>
        <w:tc>
          <w:tcPr>
            <w:tcW w:w="0" w:type="auto"/>
            <w:hideMark/>
          </w:tcPr>
          <w:p w14:paraId="0D6FA492"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Summary Insight</w:t>
            </w:r>
          </w:p>
        </w:tc>
        <w:tc>
          <w:tcPr>
            <w:tcW w:w="0" w:type="auto"/>
            <w:hideMark/>
          </w:tcPr>
          <w:p w14:paraId="0F091CFB"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Supporting Evidence (Key Authors)</w:t>
            </w:r>
          </w:p>
        </w:tc>
        <w:tc>
          <w:tcPr>
            <w:tcW w:w="3743" w:type="dxa"/>
            <w:hideMark/>
          </w:tcPr>
          <w:p w14:paraId="6BA9758A"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Practical / Policy Recommendation</w:t>
            </w:r>
          </w:p>
        </w:tc>
      </w:tr>
      <w:tr w:rsidR="006B3A77" w:rsidRPr="00E47702" w14:paraId="2E640D72" w14:textId="77777777" w:rsidTr="009526E9">
        <w:tc>
          <w:tcPr>
            <w:tcW w:w="2758" w:type="dxa"/>
            <w:hideMark/>
          </w:tcPr>
          <w:p w14:paraId="61E5E707"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1. Low-Income Status &amp; Substance Misuse</w:t>
            </w:r>
          </w:p>
        </w:tc>
        <w:tc>
          <w:tcPr>
            <w:tcW w:w="0" w:type="auto"/>
            <w:hideMark/>
          </w:tcPr>
          <w:p w14:paraId="4BDCCF8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Poverty, unemployment, and housing insecurity drive substance misuse; addiction deepens deprivation.</w:t>
            </w:r>
          </w:p>
        </w:tc>
        <w:tc>
          <w:tcPr>
            <w:tcW w:w="0" w:type="auto"/>
            <w:hideMark/>
          </w:tcPr>
          <w:p w14:paraId="7111918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Marmot (2020); Black (2021); ONS (2023)</w:t>
            </w:r>
          </w:p>
        </w:tc>
        <w:tc>
          <w:tcPr>
            <w:tcW w:w="3743" w:type="dxa"/>
            <w:hideMark/>
          </w:tcPr>
          <w:p w14:paraId="4A07F58D"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Integrate socioeconomic support (housing, employment) into addiction services.</w:t>
            </w:r>
          </w:p>
        </w:tc>
      </w:tr>
      <w:tr w:rsidR="006B3A77" w:rsidRPr="00E47702" w14:paraId="3C94B21D" w14:textId="77777777" w:rsidTr="009526E9">
        <w:tc>
          <w:tcPr>
            <w:tcW w:w="2758" w:type="dxa"/>
            <w:hideMark/>
          </w:tcPr>
          <w:p w14:paraId="4F64A57B"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2. Untreated Mental Health &amp; Dual Diagnosis</w:t>
            </w:r>
          </w:p>
        </w:tc>
        <w:tc>
          <w:tcPr>
            <w:tcW w:w="0" w:type="auto"/>
            <w:hideMark/>
          </w:tcPr>
          <w:p w14:paraId="632D3C1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Mental illness and substance misuse are interlinked; lack of integrated care worsens both.</w:t>
            </w:r>
          </w:p>
        </w:tc>
        <w:tc>
          <w:tcPr>
            <w:tcW w:w="0" w:type="auto"/>
            <w:hideMark/>
          </w:tcPr>
          <w:p w14:paraId="596656F4"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NICE (2022); Molina &amp; Whittaker (2022); Mind (2022)</w:t>
            </w:r>
          </w:p>
        </w:tc>
        <w:tc>
          <w:tcPr>
            <w:tcW w:w="3743" w:type="dxa"/>
            <w:hideMark/>
          </w:tcPr>
          <w:p w14:paraId="4622B55E"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Create unified mental health and addiction treatment pathways.</w:t>
            </w:r>
          </w:p>
        </w:tc>
      </w:tr>
      <w:tr w:rsidR="006B3A77" w:rsidRPr="00E47702" w14:paraId="6BF186D2" w14:textId="77777777" w:rsidTr="009526E9">
        <w:tc>
          <w:tcPr>
            <w:tcW w:w="2758" w:type="dxa"/>
            <w:hideMark/>
          </w:tcPr>
          <w:p w14:paraId="2F81C9A5"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3. Barriers to Access &amp; Service Inequality</w:t>
            </w:r>
          </w:p>
        </w:tc>
        <w:tc>
          <w:tcPr>
            <w:tcW w:w="0" w:type="auto"/>
            <w:hideMark/>
          </w:tcPr>
          <w:p w14:paraId="212180E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Cost, stigma, and geography limit access to services in deprived areas.</w:t>
            </w:r>
          </w:p>
        </w:tc>
        <w:tc>
          <w:tcPr>
            <w:tcW w:w="0" w:type="auto"/>
            <w:hideMark/>
          </w:tcPr>
          <w:p w14:paraId="1D5A0B96"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Hart (1971); NHS Digital (2023); PHE (2021)</w:t>
            </w:r>
          </w:p>
        </w:tc>
        <w:tc>
          <w:tcPr>
            <w:tcW w:w="3743" w:type="dxa"/>
            <w:hideMark/>
          </w:tcPr>
          <w:p w14:paraId="227B36C9"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Target funding to high-need regions; expand outreach services.</w:t>
            </w:r>
          </w:p>
        </w:tc>
      </w:tr>
      <w:tr w:rsidR="006B3A77" w:rsidRPr="00E47702" w14:paraId="16DA40B3" w14:textId="77777777" w:rsidTr="009526E9">
        <w:tc>
          <w:tcPr>
            <w:tcW w:w="2758" w:type="dxa"/>
            <w:hideMark/>
          </w:tcPr>
          <w:p w14:paraId="2BCE2345"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4. Policy &amp; Legislation</w:t>
            </w:r>
          </w:p>
        </w:tc>
        <w:tc>
          <w:tcPr>
            <w:tcW w:w="0" w:type="auto"/>
            <w:hideMark/>
          </w:tcPr>
          <w:p w14:paraId="1E2BE70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 xml:space="preserve">UK strategies focus too heavily on enforcement; prevention and equity </w:t>
            </w:r>
            <w:proofErr w:type="gramStart"/>
            <w:r w:rsidRPr="00542793">
              <w:rPr>
                <w:rFonts w:cs="Arial"/>
                <w:color w:val="000000" w:themeColor="text1"/>
                <w:sz w:val="18"/>
                <w:szCs w:val="18"/>
              </w:rPr>
              <w:t>lag behind</w:t>
            </w:r>
            <w:proofErr w:type="gramEnd"/>
            <w:r w:rsidRPr="00542793">
              <w:rPr>
                <w:rFonts w:cs="Arial"/>
                <w:color w:val="000000" w:themeColor="text1"/>
                <w:sz w:val="18"/>
                <w:szCs w:val="18"/>
              </w:rPr>
              <w:t>.</w:t>
            </w:r>
          </w:p>
        </w:tc>
        <w:tc>
          <w:tcPr>
            <w:tcW w:w="0" w:type="auto"/>
            <w:hideMark/>
          </w:tcPr>
          <w:p w14:paraId="154A028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Black (2021); UK Drug Strategy (2021); WHO (2022)</w:t>
            </w:r>
          </w:p>
        </w:tc>
        <w:tc>
          <w:tcPr>
            <w:tcW w:w="3743" w:type="dxa"/>
            <w:hideMark/>
          </w:tcPr>
          <w:p w14:paraId="534EF357"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Shift national policy toward harm reduction and prevention.</w:t>
            </w:r>
          </w:p>
        </w:tc>
      </w:tr>
      <w:tr w:rsidR="006B3A77" w:rsidRPr="00E47702" w14:paraId="06A097C3" w14:textId="77777777" w:rsidTr="009526E9">
        <w:tc>
          <w:tcPr>
            <w:tcW w:w="2758" w:type="dxa"/>
            <w:hideMark/>
          </w:tcPr>
          <w:p w14:paraId="4DF0E2AD"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5. COVID-19 &amp; Social Inequality</w:t>
            </w:r>
          </w:p>
        </w:tc>
        <w:tc>
          <w:tcPr>
            <w:tcW w:w="0" w:type="auto"/>
            <w:hideMark/>
          </w:tcPr>
          <w:p w14:paraId="2D34E3E9"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The pandemic worsened mental health, substance use, and service access among low-income groups.</w:t>
            </w:r>
          </w:p>
        </w:tc>
        <w:tc>
          <w:tcPr>
            <w:tcW w:w="0" w:type="auto"/>
            <w:hideMark/>
          </w:tcPr>
          <w:p w14:paraId="61182C0C"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 xml:space="preserve">Pierce et al. (2020); </w:t>
            </w:r>
            <w:proofErr w:type="spellStart"/>
            <w:r w:rsidRPr="00542793">
              <w:rPr>
                <w:rFonts w:cs="Arial"/>
                <w:color w:val="000000" w:themeColor="text1"/>
                <w:sz w:val="18"/>
                <w:szCs w:val="18"/>
              </w:rPr>
              <w:t>Kwong</w:t>
            </w:r>
            <w:proofErr w:type="spellEnd"/>
            <w:r w:rsidRPr="00542793">
              <w:rPr>
                <w:rFonts w:cs="Arial"/>
                <w:color w:val="000000" w:themeColor="text1"/>
                <w:sz w:val="18"/>
                <w:szCs w:val="18"/>
              </w:rPr>
              <w:t xml:space="preserve"> et al. (2020)</w:t>
            </w:r>
          </w:p>
        </w:tc>
        <w:tc>
          <w:tcPr>
            <w:tcW w:w="3743" w:type="dxa"/>
            <w:hideMark/>
          </w:tcPr>
          <w:p w14:paraId="775EB05B"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Strengthen post-pandemic mental health funding and community recovery.</w:t>
            </w:r>
          </w:p>
        </w:tc>
      </w:tr>
    </w:tbl>
    <w:p w14:paraId="59EABB53" w14:textId="293B07F7" w:rsidR="006B3A77" w:rsidRDefault="006B3A77" w:rsidP="00833777"/>
    <w:p w14:paraId="58AD5BAE" w14:textId="33A1C3F0" w:rsidR="00833777" w:rsidRDefault="00833777" w:rsidP="00833777"/>
    <w:p w14:paraId="5FE6A09B" w14:textId="2DAC5305" w:rsidR="00833777" w:rsidRDefault="00833777" w:rsidP="00833777"/>
    <w:p w14:paraId="46F9B232" w14:textId="7435F7A9" w:rsidR="00833777" w:rsidRDefault="00833777" w:rsidP="00833777"/>
    <w:p w14:paraId="0580C7C0" w14:textId="77777777" w:rsidR="00833777" w:rsidRPr="00833777" w:rsidRDefault="00833777" w:rsidP="00833777">
      <w:pPr>
        <w:rPr>
          <w:b/>
          <w:bCs/>
        </w:rPr>
      </w:pPr>
      <w:r w:rsidRPr="00833777">
        <w:rPr>
          <w:b/>
          <w:bCs/>
        </w:rPr>
        <w:t>smaller table summarises action priorities</w:t>
      </w:r>
    </w:p>
    <w:p w14:paraId="556B03E2" w14:textId="77777777" w:rsidR="00833777" w:rsidRPr="00E47702" w:rsidRDefault="00833777" w:rsidP="00833777"/>
    <w:tbl>
      <w:tblPr>
        <w:tblStyle w:val="TableGridLight"/>
        <w:tblW w:w="11058" w:type="dxa"/>
        <w:tblInd w:w="-998" w:type="dxa"/>
        <w:tblLook w:val="04A0" w:firstRow="1" w:lastRow="0" w:firstColumn="1" w:lastColumn="0" w:noHBand="0" w:noVBand="1"/>
      </w:tblPr>
      <w:tblGrid>
        <w:gridCol w:w="2441"/>
        <w:gridCol w:w="2871"/>
        <w:gridCol w:w="5746"/>
      </w:tblGrid>
      <w:tr w:rsidR="006B3A77" w:rsidRPr="00E47702" w14:paraId="054C03CB" w14:textId="77777777" w:rsidTr="009526E9">
        <w:tc>
          <w:tcPr>
            <w:tcW w:w="2441" w:type="dxa"/>
            <w:hideMark/>
          </w:tcPr>
          <w:p w14:paraId="1D2154CB" w14:textId="4102E89F"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Level</w:t>
            </w:r>
          </w:p>
        </w:tc>
        <w:tc>
          <w:tcPr>
            <w:tcW w:w="0" w:type="auto"/>
            <w:hideMark/>
          </w:tcPr>
          <w:p w14:paraId="22BEA9F8"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Key Action</w:t>
            </w:r>
          </w:p>
        </w:tc>
        <w:tc>
          <w:tcPr>
            <w:tcW w:w="5746" w:type="dxa"/>
            <w:hideMark/>
          </w:tcPr>
          <w:p w14:paraId="078B47BE" w14:textId="77777777" w:rsidR="006B3A77" w:rsidRPr="00542793" w:rsidRDefault="006B3A77" w:rsidP="009526E9">
            <w:pPr>
              <w:spacing w:line="360" w:lineRule="auto"/>
              <w:rPr>
                <w:rFonts w:cs="Arial"/>
                <w:b/>
                <w:bCs/>
                <w:color w:val="000000" w:themeColor="text1"/>
                <w:sz w:val="18"/>
                <w:szCs w:val="18"/>
              </w:rPr>
            </w:pPr>
            <w:r w:rsidRPr="00542793">
              <w:rPr>
                <w:rFonts w:cs="Arial"/>
                <w:b/>
                <w:bCs/>
                <w:color w:val="000000" w:themeColor="text1"/>
                <w:sz w:val="18"/>
                <w:szCs w:val="18"/>
              </w:rPr>
              <w:t>Example Implementation</w:t>
            </w:r>
          </w:p>
        </w:tc>
      </w:tr>
      <w:tr w:rsidR="006B3A77" w:rsidRPr="00E47702" w14:paraId="72F7D6B6" w14:textId="77777777" w:rsidTr="009526E9">
        <w:tc>
          <w:tcPr>
            <w:tcW w:w="2441" w:type="dxa"/>
            <w:hideMark/>
          </w:tcPr>
          <w:p w14:paraId="503A25F6"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Policy</w:t>
            </w:r>
          </w:p>
        </w:tc>
        <w:tc>
          <w:tcPr>
            <w:tcW w:w="0" w:type="auto"/>
            <w:hideMark/>
          </w:tcPr>
          <w:p w14:paraId="61CF3671"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Tackle poverty as a public health crisis</w:t>
            </w:r>
          </w:p>
        </w:tc>
        <w:tc>
          <w:tcPr>
            <w:tcW w:w="5746" w:type="dxa"/>
            <w:hideMark/>
          </w:tcPr>
          <w:p w14:paraId="6568725A"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Expand housing support, raise minimum wage, increase benefits</w:t>
            </w:r>
          </w:p>
        </w:tc>
      </w:tr>
      <w:tr w:rsidR="006B3A77" w:rsidRPr="00E47702" w14:paraId="5F35768C" w14:textId="77777777" w:rsidTr="009526E9">
        <w:tc>
          <w:tcPr>
            <w:tcW w:w="2441" w:type="dxa"/>
            <w:hideMark/>
          </w:tcPr>
          <w:p w14:paraId="28F4F32A"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Service</w:t>
            </w:r>
          </w:p>
        </w:tc>
        <w:tc>
          <w:tcPr>
            <w:tcW w:w="0" w:type="auto"/>
            <w:hideMark/>
          </w:tcPr>
          <w:p w14:paraId="58214D3A"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Integrate dual diagnosis treatment</w:t>
            </w:r>
          </w:p>
        </w:tc>
        <w:tc>
          <w:tcPr>
            <w:tcW w:w="5746" w:type="dxa"/>
            <w:hideMark/>
          </w:tcPr>
          <w:p w14:paraId="109C820A"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NHS trusts co-fund mental health &amp; addiction teams</w:t>
            </w:r>
          </w:p>
        </w:tc>
      </w:tr>
      <w:tr w:rsidR="006B3A77" w:rsidRPr="00E47702" w14:paraId="6E82A70C" w14:textId="77777777" w:rsidTr="009526E9">
        <w:tc>
          <w:tcPr>
            <w:tcW w:w="2441" w:type="dxa"/>
            <w:hideMark/>
          </w:tcPr>
          <w:p w14:paraId="2111CC8D"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Community</w:t>
            </w:r>
          </w:p>
        </w:tc>
        <w:tc>
          <w:tcPr>
            <w:tcW w:w="0" w:type="auto"/>
            <w:hideMark/>
          </w:tcPr>
          <w:p w14:paraId="42E10215"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Reduce stigma and improve engagement</w:t>
            </w:r>
          </w:p>
        </w:tc>
        <w:tc>
          <w:tcPr>
            <w:tcW w:w="5746" w:type="dxa"/>
            <w:hideMark/>
          </w:tcPr>
          <w:p w14:paraId="4D19B6B2"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Peer mentors and public education campaigns</w:t>
            </w:r>
          </w:p>
        </w:tc>
      </w:tr>
      <w:tr w:rsidR="006B3A77" w:rsidRPr="00E47702" w14:paraId="33291DB6" w14:textId="77777777" w:rsidTr="009526E9">
        <w:tc>
          <w:tcPr>
            <w:tcW w:w="2441" w:type="dxa"/>
            <w:hideMark/>
          </w:tcPr>
          <w:p w14:paraId="254F7624" w14:textId="77777777" w:rsidR="006B3A77" w:rsidRPr="00542793" w:rsidRDefault="006B3A77" w:rsidP="009526E9">
            <w:pPr>
              <w:spacing w:line="360" w:lineRule="auto"/>
              <w:rPr>
                <w:rFonts w:cs="Arial"/>
                <w:color w:val="000000" w:themeColor="text1"/>
                <w:sz w:val="18"/>
                <w:szCs w:val="18"/>
              </w:rPr>
            </w:pPr>
            <w:r w:rsidRPr="00542793">
              <w:rPr>
                <w:rFonts w:cs="Arial"/>
                <w:b/>
                <w:bCs/>
                <w:color w:val="000000" w:themeColor="text1"/>
                <w:sz w:val="18"/>
                <w:szCs w:val="18"/>
              </w:rPr>
              <w:t>Research</w:t>
            </w:r>
          </w:p>
        </w:tc>
        <w:tc>
          <w:tcPr>
            <w:tcW w:w="0" w:type="auto"/>
            <w:hideMark/>
          </w:tcPr>
          <w:p w14:paraId="74740370"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Evaluate integrated service models</w:t>
            </w:r>
          </w:p>
        </w:tc>
        <w:tc>
          <w:tcPr>
            <w:tcW w:w="5746" w:type="dxa"/>
            <w:hideMark/>
          </w:tcPr>
          <w:p w14:paraId="21B4E104" w14:textId="77777777" w:rsidR="006B3A77" w:rsidRPr="00542793" w:rsidRDefault="006B3A77" w:rsidP="009526E9">
            <w:pPr>
              <w:spacing w:line="360" w:lineRule="auto"/>
              <w:rPr>
                <w:rFonts w:cs="Arial"/>
                <w:color w:val="000000" w:themeColor="text1"/>
                <w:sz w:val="18"/>
                <w:szCs w:val="18"/>
              </w:rPr>
            </w:pPr>
            <w:r w:rsidRPr="00542793">
              <w:rPr>
                <w:rFonts w:cs="Arial"/>
                <w:color w:val="000000" w:themeColor="text1"/>
                <w:sz w:val="18"/>
                <w:szCs w:val="18"/>
              </w:rPr>
              <w:t>Longitudinal UK studies on health inequalities</w:t>
            </w:r>
          </w:p>
        </w:tc>
      </w:tr>
    </w:tbl>
    <w:p w14:paraId="4B659EFE" w14:textId="77777777" w:rsidR="006B3A77" w:rsidRPr="00E47702" w:rsidRDefault="006B3A77" w:rsidP="006B3A77">
      <w:pPr>
        <w:pStyle w:val="Heading1"/>
        <w:spacing w:line="360" w:lineRule="auto"/>
        <w:rPr>
          <w:rFonts w:cs="Arial"/>
          <w:color w:val="000000" w:themeColor="text1"/>
          <w:sz w:val="18"/>
          <w:szCs w:val="18"/>
        </w:rPr>
      </w:pPr>
    </w:p>
    <w:p w14:paraId="149141E1" w14:textId="77777777" w:rsidR="006B3A77" w:rsidRPr="00E47702" w:rsidRDefault="006B3A77" w:rsidP="006B3A77">
      <w:pPr>
        <w:spacing w:line="360" w:lineRule="auto"/>
        <w:rPr>
          <w:rFonts w:cs="Arial"/>
          <w:color w:val="000000" w:themeColor="text1"/>
          <w:sz w:val="18"/>
          <w:szCs w:val="18"/>
        </w:rPr>
      </w:pPr>
    </w:p>
    <w:p w14:paraId="4272456B" w14:textId="77777777" w:rsidR="006B3A77" w:rsidRPr="00E47702" w:rsidRDefault="006B3A77" w:rsidP="006B3A77">
      <w:pPr>
        <w:spacing w:line="360" w:lineRule="auto"/>
        <w:rPr>
          <w:rFonts w:cs="Arial"/>
          <w:color w:val="000000" w:themeColor="text1"/>
          <w:sz w:val="18"/>
          <w:szCs w:val="18"/>
        </w:rPr>
      </w:pPr>
    </w:p>
    <w:sectPr w:rsidR="006B3A77" w:rsidRPr="00E47702" w:rsidSect="00A8429E">
      <w:footerReference w:type="even" r:id="rId80"/>
      <w:footerReference w:type="default" r:id="rId8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9A7C37" w14:textId="77777777" w:rsidR="001357CA" w:rsidRDefault="001357CA" w:rsidP="00A8429E">
      <w:r>
        <w:separator/>
      </w:r>
    </w:p>
  </w:endnote>
  <w:endnote w:type="continuationSeparator" w:id="0">
    <w:p w14:paraId="027073FA" w14:textId="77777777" w:rsidR="001357CA" w:rsidRDefault="001357CA" w:rsidP="00A8429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65215601"/>
      <w:docPartObj>
        <w:docPartGallery w:val="Page Numbers (Bottom of Page)"/>
        <w:docPartUnique/>
      </w:docPartObj>
    </w:sdtPr>
    <w:sdtEndPr>
      <w:rPr>
        <w:rStyle w:val="PageNumber"/>
      </w:rPr>
    </w:sdtEndPr>
    <w:sdtContent>
      <w:p w14:paraId="31D411C7" w14:textId="2CC16F31" w:rsidR="00A8429E" w:rsidRDefault="00A8429E" w:rsidP="006F38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F43A9C1" w14:textId="77777777" w:rsidR="00A8429E" w:rsidRDefault="00A8429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50570047"/>
      <w:docPartObj>
        <w:docPartGallery w:val="Page Numbers (Bottom of Page)"/>
        <w:docPartUnique/>
      </w:docPartObj>
    </w:sdtPr>
    <w:sdtEndPr>
      <w:rPr>
        <w:rStyle w:val="PageNumber"/>
      </w:rPr>
    </w:sdtEndPr>
    <w:sdtContent>
      <w:p w14:paraId="73060955" w14:textId="74C8296B" w:rsidR="00A8429E" w:rsidRDefault="00A8429E" w:rsidP="006F387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1F9462E" w14:textId="77777777" w:rsidR="00A8429E" w:rsidRDefault="00A84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74B94B" w14:textId="77777777" w:rsidR="001357CA" w:rsidRDefault="001357CA" w:rsidP="00A8429E">
      <w:r>
        <w:separator/>
      </w:r>
    </w:p>
  </w:footnote>
  <w:footnote w:type="continuationSeparator" w:id="0">
    <w:p w14:paraId="6924BFD0" w14:textId="77777777" w:rsidR="001357CA" w:rsidRDefault="001357CA" w:rsidP="00A8429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0A667C"/>
    <w:multiLevelType w:val="multilevel"/>
    <w:tmpl w:val="E0A6BB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FE56E7"/>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5AE6416"/>
    <w:multiLevelType w:val="hybridMultilevel"/>
    <w:tmpl w:val="F3D8582C"/>
    <w:lvl w:ilvl="0" w:tplc="FFB2E3AA">
      <w:start w:val="1"/>
      <w:numFmt w:val="decimal"/>
      <w:lvlText w:val="%1."/>
      <w:lvlJc w:val="left"/>
      <w:pPr>
        <w:ind w:left="720" w:hanging="360"/>
      </w:pPr>
      <w:rPr>
        <w:rFonts w:ascii="Arial" w:eastAsiaTheme="maj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5048E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7E4FC8"/>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6CE56D0"/>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3373E9"/>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A351EE"/>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736731"/>
    <w:multiLevelType w:val="multilevel"/>
    <w:tmpl w:val="FBD241C8"/>
    <w:lvl w:ilvl="0">
      <w:start w:val="1"/>
      <w:numFmt w:val="bullet"/>
      <w:lvlText w:val=""/>
      <w:lvlJc w:val="left"/>
      <w:pPr>
        <w:tabs>
          <w:tab w:val="num" w:pos="720"/>
        </w:tabs>
        <w:ind w:left="720" w:hanging="360"/>
      </w:pPr>
      <w:rPr>
        <w:rFonts w:ascii="Symbol" w:hAnsi="Symbol" w:hint="default"/>
        <w:sz w:val="20"/>
      </w:rPr>
    </w:lvl>
    <w:lvl w:ilvl="1">
      <w:numFmt w:val="bullet"/>
      <w:lvlText w:val="·"/>
      <w:lvlJc w:val="left"/>
      <w:pPr>
        <w:ind w:left="1440" w:hanging="360"/>
      </w:pPr>
      <w:rPr>
        <w:rFonts w:ascii="Arial" w:eastAsia="Symbol"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9296C4F"/>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97F440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73605BC"/>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8F3236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815776"/>
    <w:multiLevelType w:val="hybridMultilevel"/>
    <w:tmpl w:val="4224E418"/>
    <w:lvl w:ilvl="0" w:tplc="FFFFFFFF">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4" w15:restartNumberingAfterBreak="0">
    <w:nsid w:val="5C31167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013113"/>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E3F2F7A"/>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4BF0C1D"/>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869162E"/>
    <w:multiLevelType w:val="multilevel"/>
    <w:tmpl w:val="35B6D9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8FB007F"/>
    <w:multiLevelType w:val="multilevel"/>
    <w:tmpl w:val="565EC0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DB5682"/>
    <w:multiLevelType w:val="multilevel"/>
    <w:tmpl w:val="054238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58116600">
    <w:abstractNumId w:val="1"/>
  </w:num>
  <w:num w:numId="2" w16cid:durableId="1022703996">
    <w:abstractNumId w:val="5"/>
  </w:num>
  <w:num w:numId="3" w16cid:durableId="1987314236">
    <w:abstractNumId w:val="16"/>
  </w:num>
  <w:num w:numId="4" w16cid:durableId="1717507814">
    <w:abstractNumId w:val="18"/>
  </w:num>
  <w:num w:numId="5" w16cid:durableId="1415281833">
    <w:abstractNumId w:val="9"/>
  </w:num>
  <w:num w:numId="6" w16cid:durableId="1013997610">
    <w:abstractNumId w:val="10"/>
  </w:num>
  <w:num w:numId="7" w16cid:durableId="1780486755">
    <w:abstractNumId w:val="7"/>
  </w:num>
  <w:num w:numId="8" w16cid:durableId="534272603">
    <w:abstractNumId w:val="3"/>
  </w:num>
  <w:num w:numId="9" w16cid:durableId="513081377">
    <w:abstractNumId w:val="0"/>
  </w:num>
  <w:num w:numId="10" w16cid:durableId="790981073">
    <w:abstractNumId w:val="19"/>
  </w:num>
  <w:num w:numId="11" w16cid:durableId="186217442">
    <w:abstractNumId w:val="12"/>
  </w:num>
  <w:num w:numId="12" w16cid:durableId="2062095666">
    <w:abstractNumId w:val="17"/>
  </w:num>
  <w:num w:numId="13" w16cid:durableId="1169293333">
    <w:abstractNumId w:val="15"/>
  </w:num>
  <w:num w:numId="14" w16cid:durableId="1497916028">
    <w:abstractNumId w:val="11"/>
  </w:num>
  <w:num w:numId="15" w16cid:durableId="210388073">
    <w:abstractNumId w:val="20"/>
  </w:num>
  <w:num w:numId="16" w16cid:durableId="816993351">
    <w:abstractNumId w:val="6"/>
  </w:num>
  <w:num w:numId="17" w16cid:durableId="1413744401">
    <w:abstractNumId w:val="14"/>
  </w:num>
  <w:num w:numId="18" w16cid:durableId="1492065913">
    <w:abstractNumId w:val="4"/>
  </w:num>
  <w:num w:numId="19" w16cid:durableId="280692469">
    <w:abstractNumId w:val="13"/>
  </w:num>
  <w:num w:numId="20" w16cid:durableId="314184063">
    <w:abstractNumId w:val="2"/>
  </w:num>
  <w:num w:numId="21" w16cid:durableId="119425138">
    <w:abstractNumId w:val="8"/>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CF3"/>
    <w:rsid w:val="00001FDC"/>
    <w:rsid w:val="00007F2C"/>
    <w:rsid w:val="00027926"/>
    <w:rsid w:val="00043EFA"/>
    <w:rsid w:val="00054C50"/>
    <w:rsid w:val="00056795"/>
    <w:rsid w:val="000C2547"/>
    <w:rsid w:val="000F66E3"/>
    <w:rsid w:val="0010066B"/>
    <w:rsid w:val="00104BAA"/>
    <w:rsid w:val="00111E78"/>
    <w:rsid w:val="00124393"/>
    <w:rsid w:val="00134FE6"/>
    <w:rsid w:val="001357CA"/>
    <w:rsid w:val="00143557"/>
    <w:rsid w:val="00143B06"/>
    <w:rsid w:val="00143F7C"/>
    <w:rsid w:val="00150E55"/>
    <w:rsid w:val="00152064"/>
    <w:rsid w:val="0016589C"/>
    <w:rsid w:val="00174771"/>
    <w:rsid w:val="00180193"/>
    <w:rsid w:val="0018245B"/>
    <w:rsid w:val="001960BD"/>
    <w:rsid w:val="00196CC7"/>
    <w:rsid w:val="001D1EB8"/>
    <w:rsid w:val="001D2E69"/>
    <w:rsid w:val="001E1D63"/>
    <w:rsid w:val="001E722F"/>
    <w:rsid w:val="001F503F"/>
    <w:rsid w:val="002214F2"/>
    <w:rsid w:val="0024488E"/>
    <w:rsid w:val="00264524"/>
    <w:rsid w:val="00275792"/>
    <w:rsid w:val="002A2470"/>
    <w:rsid w:val="002D4C10"/>
    <w:rsid w:val="002E34E8"/>
    <w:rsid w:val="002E57A6"/>
    <w:rsid w:val="002F6749"/>
    <w:rsid w:val="00303E61"/>
    <w:rsid w:val="0032712B"/>
    <w:rsid w:val="00334658"/>
    <w:rsid w:val="00353708"/>
    <w:rsid w:val="0038306A"/>
    <w:rsid w:val="003A1DEE"/>
    <w:rsid w:val="003A6507"/>
    <w:rsid w:val="003C3E69"/>
    <w:rsid w:val="003D23D0"/>
    <w:rsid w:val="003F1243"/>
    <w:rsid w:val="00405A85"/>
    <w:rsid w:val="00406E7E"/>
    <w:rsid w:val="00433871"/>
    <w:rsid w:val="00470800"/>
    <w:rsid w:val="005173C3"/>
    <w:rsid w:val="00542793"/>
    <w:rsid w:val="00543333"/>
    <w:rsid w:val="005455BB"/>
    <w:rsid w:val="00567C94"/>
    <w:rsid w:val="00576D09"/>
    <w:rsid w:val="005851B9"/>
    <w:rsid w:val="00592C19"/>
    <w:rsid w:val="005A439E"/>
    <w:rsid w:val="005B1FE1"/>
    <w:rsid w:val="005C3947"/>
    <w:rsid w:val="005C5ACD"/>
    <w:rsid w:val="005D4542"/>
    <w:rsid w:val="005F7216"/>
    <w:rsid w:val="006009CD"/>
    <w:rsid w:val="006054A4"/>
    <w:rsid w:val="00626853"/>
    <w:rsid w:val="006453A3"/>
    <w:rsid w:val="00656CF3"/>
    <w:rsid w:val="00675ACB"/>
    <w:rsid w:val="00677A5C"/>
    <w:rsid w:val="006B3A77"/>
    <w:rsid w:val="006C0B1F"/>
    <w:rsid w:val="006E01D1"/>
    <w:rsid w:val="00710671"/>
    <w:rsid w:val="00743F38"/>
    <w:rsid w:val="00761CA2"/>
    <w:rsid w:val="00764F83"/>
    <w:rsid w:val="007701CF"/>
    <w:rsid w:val="00772E44"/>
    <w:rsid w:val="00777A2B"/>
    <w:rsid w:val="007963F8"/>
    <w:rsid w:val="00797FF3"/>
    <w:rsid w:val="00833777"/>
    <w:rsid w:val="00842145"/>
    <w:rsid w:val="008515C6"/>
    <w:rsid w:val="00862B64"/>
    <w:rsid w:val="00871A60"/>
    <w:rsid w:val="008B3B6B"/>
    <w:rsid w:val="008C3C82"/>
    <w:rsid w:val="008D16E1"/>
    <w:rsid w:val="008D2244"/>
    <w:rsid w:val="008D3834"/>
    <w:rsid w:val="008F377F"/>
    <w:rsid w:val="00901E26"/>
    <w:rsid w:val="00925ECC"/>
    <w:rsid w:val="009276ED"/>
    <w:rsid w:val="0092772B"/>
    <w:rsid w:val="00935115"/>
    <w:rsid w:val="00937805"/>
    <w:rsid w:val="009502FE"/>
    <w:rsid w:val="00986C2E"/>
    <w:rsid w:val="00992AC5"/>
    <w:rsid w:val="009D1E3F"/>
    <w:rsid w:val="009D38F6"/>
    <w:rsid w:val="009D6F64"/>
    <w:rsid w:val="009E0454"/>
    <w:rsid w:val="009E7603"/>
    <w:rsid w:val="009F04AA"/>
    <w:rsid w:val="00A06DCA"/>
    <w:rsid w:val="00A10AEB"/>
    <w:rsid w:val="00A8429E"/>
    <w:rsid w:val="00A9025C"/>
    <w:rsid w:val="00A91181"/>
    <w:rsid w:val="00A96FF3"/>
    <w:rsid w:val="00B172D9"/>
    <w:rsid w:val="00B404EE"/>
    <w:rsid w:val="00B56FE2"/>
    <w:rsid w:val="00B738A5"/>
    <w:rsid w:val="00B80FF6"/>
    <w:rsid w:val="00BA29F2"/>
    <w:rsid w:val="00BA4FAC"/>
    <w:rsid w:val="00BF3042"/>
    <w:rsid w:val="00BF4A2F"/>
    <w:rsid w:val="00BF7D36"/>
    <w:rsid w:val="00C01ACC"/>
    <w:rsid w:val="00C05A93"/>
    <w:rsid w:val="00C1113F"/>
    <w:rsid w:val="00C1360C"/>
    <w:rsid w:val="00C23B21"/>
    <w:rsid w:val="00C51004"/>
    <w:rsid w:val="00C61C6E"/>
    <w:rsid w:val="00CA4A67"/>
    <w:rsid w:val="00CB505B"/>
    <w:rsid w:val="00CD0187"/>
    <w:rsid w:val="00D65B71"/>
    <w:rsid w:val="00DC1BB0"/>
    <w:rsid w:val="00DE402C"/>
    <w:rsid w:val="00DF009B"/>
    <w:rsid w:val="00E016C3"/>
    <w:rsid w:val="00E01F56"/>
    <w:rsid w:val="00E23F64"/>
    <w:rsid w:val="00E42F37"/>
    <w:rsid w:val="00E47702"/>
    <w:rsid w:val="00E704DE"/>
    <w:rsid w:val="00E75ACC"/>
    <w:rsid w:val="00E77C2B"/>
    <w:rsid w:val="00E93FB4"/>
    <w:rsid w:val="00EB40A3"/>
    <w:rsid w:val="00EB5D6A"/>
    <w:rsid w:val="00EE5BE9"/>
    <w:rsid w:val="00F01DA4"/>
    <w:rsid w:val="00F14487"/>
    <w:rsid w:val="00F15F0C"/>
    <w:rsid w:val="00F2521F"/>
    <w:rsid w:val="00F31AEC"/>
    <w:rsid w:val="00F425BC"/>
    <w:rsid w:val="00F54E1E"/>
    <w:rsid w:val="00F8405F"/>
    <w:rsid w:val="00F87C0C"/>
    <w:rsid w:val="00F95349"/>
    <w:rsid w:val="00F97DAF"/>
    <w:rsid w:val="00FC662E"/>
    <w:rsid w:val="00FD1A96"/>
    <w:rsid w:val="00FD1D25"/>
    <w:rsid w:val="00FE218B"/>
    <w:rsid w:val="00FE7B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4EF877"/>
  <w15:chartTrackingRefBased/>
  <w15:docId w15:val="{27E00020-A24A-AB4B-9D80-A36D652AE7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C0B1F"/>
    <w:rPr>
      <w:rFonts w:ascii="Arial" w:eastAsia="Times New Roman" w:hAnsi="Arial" w:cs="Times New Roman"/>
      <w:sz w:val="22"/>
      <w:lang w:eastAsia="en-GB"/>
    </w:rPr>
  </w:style>
  <w:style w:type="paragraph" w:styleId="Heading1">
    <w:name w:val="heading 1"/>
    <w:basedOn w:val="Normal"/>
    <w:link w:val="Heading1Char"/>
    <w:uiPriority w:val="9"/>
    <w:qFormat/>
    <w:rsid w:val="00BF3042"/>
    <w:pPr>
      <w:spacing w:before="100" w:beforeAutospacing="1" w:after="100" w:afterAutospacing="1"/>
      <w:outlineLvl w:val="0"/>
    </w:pPr>
    <w:rPr>
      <w:b/>
      <w:bCs/>
      <w:kern w:val="36"/>
      <w:szCs w:val="48"/>
    </w:rPr>
  </w:style>
  <w:style w:type="paragraph" w:styleId="Heading2">
    <w:name w:val="heading 2"/>
    <w:basedOn w:val="Normal"/>
    <w:link w:val="Heading2Char"/>
    <w:uiPriority w:val="9"/>
    <w:qFormat/>
    <w:rsid w:val="00C01ACC"/>
    <w:pPr>
      <w:spacing w:before="100" w:beforeAutospacing="1" w:after="100" w:afterAutospacing="1"/>
      <w:outlineLvl w:val="1"/>
    </w:pPr>
    <w:rPr>
      <w:bCs/>
      <w:szCs w:val="36"/>
    </w:rPr>
  </w:style>
  <w:style w:type="paragraph" w:styleId="Heading3">
    <w:name w:val="heading 3"/>
    <w:basedOn w:val="Normal"/>
    <w:link w:val="Heading3Char"/>
    <w:uiPriority w:val="9"/>
    <w:qFormat/>
    <w:rsid w:val="00656CF3"/>
    <w:pPr>
      <w:spacing w:before="100" w:beforeAutospacing="1" w:after="100" w:afterAutospacing="1"/>
      <w:outlineLvl w:val="2"/>
    </w:pPr>
    <w:rPr>
      <w:rFonts w:ascii="Times New Roman" w:hAnsi="Times New Roman"/>
      <w:b/>
      <w:bCs/>
      <w:sz w:val="27"/>
      <w:szCs w:val="27"/>
    </w:rPr>
  </w:style>
  <w:style w:type="paragraph" w:styleId="Heading4">
    <w:name w:val="heading 4"/>
    <w:basedOn w:val="Normal"/>
    <w:next w:val="Normal"/>
    <w:link w:val="Heading4Char"/>
    <w:uiPriority w:val="9"/>
    <w:semiHidden/>
    <w:unhideWhenUsed/>
    <w:qFormat/>
    <w:rsid w:val="001D2E69"/>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042"/>
    <w:rPr>
      <w:rFonts w:ascii="Arial" w:eastAsia="Times New Roman" w:hAnsi="Arial" w:cs="Times New Roman"/>
      <w:b/>
      <w:bCs/>
      <w:kern w:val="36"/>
      <w:sz w:val="22"/>
      <w:szCs w:val="48"/>
      <w:lang w:eastAsia="en-GB"/>
    </w:rPr>
  </w:style>
  <w:style w:type="character" w:customStyle="1" w:styleId="Heading2Char">
    <w:name w:val="Heading 2 Char"/>
    <w:basedOn w:val="DefaultParagraphFont"/>
    <w:link w:val="Heading2"/>
    <w:uiPriority w:val="9"/>
    <w:rsid w:val="00C01ACC"/>
    <w:rPr>
      <w:rFonts w:ascii="Arial" w:eastAsia="Times New Roman" w:hAnsi="Arial" w:cs="Times New Roman"/>
      <w:bCs/>
      <w:sz w:val="22"/>
      <w:szCs w:val="36"/>
      <w:lang w:eastAsia="en-GB"/>
    </w:rPr>
  </w:style>
  <w:style w:type="character" w:customStyle="1" w:styleId="Heading3Char">
    <w:name w:val="Heading 3 Char"/>
    <w:basedOn w:val="DefaultParagraphFont"/>
    <w:link w:val="Heading3"/>
    <w:uiPriority w:val="9"/>
    <w:rsid w:val="00656CF3"/>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656CF3"/>
    <w:pPr>
      <w:spacing w:before="100" w:beforeAutospacing="1" w:after="100" w:afterAutospacing="1"/>
    </w:pPr>
    <w:rPr>
      <w:rFonts w:ascii="Times New Roman" w:hAnsi="Times New Roman"/>
    </w:rPr>
  </w:style>
  <w:style w:type="character" w:customStyle="1" w:styleId="apple-converted-space">
    <w:name w:val="apple-converted-space"/>
    <w:basedOn w:val="DefaultParagraphFont"/>
    <w:rsid w:val="00656CF3"/>
  </w:style>
  <w:style w:type="character" w:styleId="Strong">
    <w:name w:val="Strong"/>
    <w:basedOn w:val="DefaultParagraphFont"/>
    <w:uiPriority w:val="22"/>
    <w:qFormat/>
    <w:rsid w:val="00656CF3"/>
    <w:rPr>
      <w:b/>
      <w:bCs/>
    </w:rPr>
  </w:style>
  <w:style w:type="character" w:styleId="Emphasis">
    <w:name w:val="Emphasis"/>
    <w:basedOn w:val="DefaultParagraphFont"/>
    <w:uiPriority w:val="20"/>
    <w:qFormat/>
    <w:rsid w:val="00656CF3"/>
    <w:rPr>
      <w:i/>
      <w:iCs/>
    </w:rPr>
  </w:style>
  <w:style w:type="character" w:styleId="Hyperlink">
    <w:name w:val="Hyperlink"/>
    <w:basedOn w:val="DefaultParagraphFont"/>
    <w:uiPriority w:val="99"/>
    <w:unhideWhenUsed/>
    <w:rsid w:val="00656CF3"/>
    <w:rPr>
      <w:color w:val="0000FF"/>
      <w:u w:val="single"/>
    </w:rPr>
  </w:style>
  <w:style w:type="table" w:styleId="TableGrid">
    <w:name w:val="Table Grid"/>
    <w:basedOn w:val="TableNormal"/>
    <w:uiPriority w:val="59"/>
    <w:rsid w:val="00104BA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1D2E69"/>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542793"/>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cvgsua">
    <w:name w:val="cvgsua"/>
    <w:basedOn w:val="Normal"/>
    <w:rsid w:val="00C1113F"/>
    <w:pPr>
      <w:spacing w:before="100" w:beforeAutospacing="1" w:after="100" w:afterAutospacing="1"/>
    </w:pPr>
  </w:style>
  <w:style w:type="character" w:customStyle="1" w:styleId="agcmg">
    <w:name w:val="a_gcmg"/>
    <w:basedOn w:val="DefaultParagraphFont"/>
    <w:rsid w:val="00C1113F"/>
  </w:style>
  <w:style w:type="paragraph" w:styleId="NoSpacing">
    <w:name w:val="No Spacing"/>
    <w:link w:val="NoSpacingChar"/>
    <w:uiPriority w:val="1"/>
    <w:qFormat/>
    <w:rsid w:val="00A8429E"/>
    <w:rPr>
      <w:rFonts w:eastAsiaTheme="minorEastAsia"/>
      <w:sz w:val="22"/>
      <w:szCs w:val="22"/>
      <w:lang w:val="en-US" w:eastAsia="zh-CN"/>
    </w:rPr>
  </w:style>
  <w:style w:type="character" w:customStyle="1" w:styleId="NoSpacingChar">
    <w:name w:val="No Spacing Char"/>
    <w:basedOn w:val="DefaultParagraphFont"/>
    <w:link w:val="NoSpacing"/>
    <w:uiPriority w:val="1"/>
    <w:rsid w:val="00A8429E"/>
    <w:rPr>
      <w:rFonts w:eastAsiaTheme="minorEastAsia"/>
      <w:sz w:val="22"/>
      <w:szCs w:val="22"/>
      <w:lang w:val="en-US" w:eastAsia="zh-CN"/>
    </w:rPr>
  </w:style>
  <w:style w:type="paragraph" w:styleId="Footer">
    <w:name w:val="footer"/>
    <w:basedOn w:val="Normal"/>
    <w:link w:val="FooterChar"/>
    <w:uiPriority w:val="99"/>
    <w:unhideWhenUsed/>
    <w:rsid w:val="00A8429E"/>
    <w:pPr>
      <w:tabs>
        <w:tab w:val="center" w:pos="4513"/>
        <w:tab w:val="right" w:pos="9026"/>
      </w:tabs>
    </w:pPr>
  </w:style>
  <w:style w:type="character" w:customStyle="1" w:styleId="FooterChar">
    <w:name w:val="Footer Char"/>
    <w:basedOn w:val="DefaultParagraphFont"/>
    <w:link w:val="Footer"/>
    <w:uiPriority w:val="99"/>
    <w:rsid w:val="00A8429E"/>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A8429E"/>
  </w:style>
  <w:style w:type="paragraph" w:customStyle="1" w:styleId="p1">
    <w:name w:val="p1"/>
    <w:basedOn w:val="Normal"/>
    <w:rsid w:val="00BF3042"/>
    <w:rPr>
      <w:rFonts w:ascii="Helvetica" w:hAnsi="Helvetica"/>
      <w:color w:val="000000"/>
      <w:sz w:val="23"/>
      <w:szCs w:val="23"/>
    </w:rPr>
  </w:style>
  <w:style w:type="paragraph" w:styleId="TOCHeading">
    <w:name w:val="TOC Heading"/>
    <w:basedOn w:val="Heading1"/>
    <w:next w:val="Normal"/>
    <w:uiPriority w:val="39"/>
    <w:unhideWhenUsed/>
    <w:qFormat/>
    <w:rsid w:val="00BF3042"/>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BF3042"/>
    <w:pPr>
      <w:spacing w:before="120" w:after="120"/>
    </w:pPr>
    <w:rPr>
      <w:rFonts w:asciiTheme="minorHAnsi" w:hAnsiTheme="minorHAnsi" w:cstheme="minorHAnsi"/>
      <w:b/>
      <w:bCs/>
      <w:caps/>
      <w:sz w:val="20"/>
      <w:szCs w:val="20"/>
    </w:rPr>
  </w:style>
  <w:style w:type="paragraph" w:styleId="TOC2">
    <w:name w:val="toc 2"/>
    <w:basedOn w:val="Normal"/>
    <w:next w:val="Normal"/>
    <w:autoRedefine/>
    <w:uiPriority w:val="39"/>
    <w:unhideWhenUsed/>
    <w:rsid w:val="00BF3042"/>
    <w:pPr>
      <w:ind w:left="220"/>
    </w:pPr>
    <w:rPr>
      <w:rFonts w:asciiTheme="minorHAnsi" w:hAnsiTheme="minorHAnsi" w:cstheme="minorHAnsi"/>
      <w:smallCaps/>
      <w:sz w:val="20"/>
      <w:szCs w:val="20"/>
    </w:rPr>
  </w:style>
  <w:style w:type="paragraph" w:styleId="TOC3">
    <w:name w:val="toc 3"/>
    <w:basedOn w:val="Normal"/>
    <w:next w:val="Normal"/>
    <w:autoRedefine/>
    <w:uiPriority w:val="39"/>
    <w:unhideWhenUsed/>
    <w:rsid w:val="00BF3042"/>
    <w:pPr>
      <w:ind w:left="440"/>
    </w:pPr>
    <w:rPr>
      <w:rFonts w:asciiTheme="minorHAnsi" w:hAnsiTheme="minorHAnsi" w:cstheme="minorHAnsi"/>
      <w:i/>
      <w:iCs/>
      <w:sz w:val="20"/>
      <w:szCs w:val="20"/>
    </w:rPr>
  </w:style>
  <w:style w:type="paragraph" w:styleId="TOC4">
    <w:name w:val="toc 4"/>
    <w:basedOn w:val="Normal"/>
    <w:next w:val="Normal"/>
    <w:autoRedefine/>
    <w:uiPriority w:val="39"/>
    <w:unhideWhenUsed/>
    <w:rsid w:val="00BF3042"/>
    <w:pPr>
      <w:ind w:left="660"/>
    </w:pPr>
    <w:rPr>
      <w:rFonts w:asciiTheme="minorHAnsi" w:hAnsiTheme="minorHAnsi" w:cstheme="minorHAnsi"/>
      <w:sz w:val="18"/>
      <w:szCs w:val="18"/>
    </w:rPr>
  </w:style>
  <w:style w:type="paragraph" w:styleId="TOC5">
    <w:name w:val="toc 5"/>
    <w:basedOn w:val="Normal"/>
    <w:next w:val="Normal"/>
    <w:autoRedefine/>
    <w:uiPriority w:val="39"/>
    <w:unhideWhenUsed/>
    <w:rsid w:val="00BF3042"/>
    <w:pPr>
      <w:ind w:left="880"/>
    </w:pPr>
    <w:rPr>
      <w:rFonts w:asciiTheme="minorHAnsi" w:hAnsiTheme="minorHAnsi" w:cstheme="minorHAnsi"/>
      <w:sz w:val="18"/>
      <w:szCs w:val="18"/>
    </w:rPr>
  </w:style>
  <w:style w:type="paragraph" w:styleId="TOC6">
    <w:name w:val="toc 6"/>
    <w:basedOn w:val="Normal"/>
    <w:next w:val="Normal"/>
    <w:autoRedefine/>
    <w:uiPriority w:val="39"/>
    <w:unhideWhenUsed/>
    <w:rsid w:val="00BF3042"/>
    <w:pPr>
      <w:ind w:left="1100"/>
    </w:pPr>
    <w:rPr>
      <w:rFonts w:asciiTheme="minorHAnsi" w:hAnsiTheme="minorHAnsi" w:cstheme="minorHAnsi"/>
      <w:sz w:val="18"/>
      <w:szCs w:val="18"/>
    </w:rPr>
  </w:style>
  <w:style w:type="paragraph" w:styleId="TOC7">
    <w:name w:val="toc 7"/>
    <w:basedOn w:val="Normal"/>
    <w:next w:val="Normal"/>
    <w:autoRedefine/>
    <w:uiPriority w:val="39"/>
    <w:unhideWhenUsed/>
    <w:rsid w:val="00BF3042"/>
    <w:pPr>
      <w:ind w:left="1320"/>
    </w:pPr>
    <w:rPr>
      <w:rFonts w:asciiTheme="minorHAnsi" w:hAnsiTheme="minorHAnsi" w:cstheme="minorHAnsi"/>
      <w:sz w:val="18"/>
      <w:szCs w:val="18"/>
    </w:rPr>
  </w:style>
  <w:style w:type="paragraph" w:styleId="TOC8">
    <w:name w:val="toc 8"/>
    <w:basedOn w:val="Normal"/>
    <w:next w:val="Normal"/>
    <w:autoRedefine/>
    <w:uiPriority w:val="39"/>
    <w:unhideWhenUsed/>
    <w:rsid w:val="00BF3042"/>
    <w:pPr>
      <w:ind w:left="1540"/>
    </w:pPr>
    <w:rPr>
      <w:rFonts w:asciiTheme="minorHAnsi" w:hAnsiTheme="minorHAnsi" w:cstheme="minorHAnsi"/>
      <w:sz w:val="18"/>
      <w:szCs w:val="18"/>
    </w:rPr>
  </w:style>
  <w:style w:type="paragraph" w:styleId="TOC9">
    <w:name w:val="toc 9"/>
    <w:basedOn w:val="Normal"/>
    <w:next w:val="Normal"/>
    <w:autoRedefine/>
    <w:uiPriority w:val="39"/>
    <w:unhideWhenUsed/>
    <w:rsid w:val="00BF3042"/>
    <w:pPr>
      <w:ind w:left="1760"/>
    </w:pPr>
    <w:rPr>
      <w:rFonts w:asciiTheme="minorHAnsi" w:hAnsiTheme="minorHAnsi" w:cstheme="minorHAnsi"/>
      <w:sz w:val="18"/>
      <w:szCs w:val="18"/>
    </w:rPr>
  </w:style>
  <w:style w:type="character" w:styleId="UnresolvedMention">
    <w:name w:val="Unresolved Mention"/>
    <w:basedOn w:val="DefaultParagraphFont"/>
    <w:uiPriority w:val="99"/>
    <w:semiHidden/>
    <w:unhideWhenUsed/>
    <w:rsid w:val="00BF3042"/>
    <w:rPr>
      <w:color w:val="605E5C"/>
      <w:shd w:val="clear" w:color="auto" w:fill="E1DFDD"/>
    </w:rPr>
  </w:style>
  <w:style w:type="paragraph" w:styleId="Header">
    <w:name w:val="header"/>
    <w:basedOn w:val="Normal"/>
    <w:link w:val="HeaderChar"/>
    <w:uiPriority w:val="99"/>
    <w:unhideWhenUsed/>
    <w:rsid w:val="00BF3042"/>
    <w:pPr>
      <w:tabs>
        <w:tab w:val="center" w:pos="4513"/>
        <w:tab w:val="right" w:pos="9026"/>
      </w:tabs>
    </w:pPr>
  </w:style>
  <w:style w:type="character" w:customStyle="1" w:styleId="HeaderChar">
    <w:name w:val="Header Char"/>
    <w:basedOn w:val="DefaultParagraphFont"/>
    <w:link w:val="Header"/>
    <w:uiPriority w:val="99"/>
    <w:rsid w:val="00BF3042"/>
    <w:rPr>
      <w:rFonts w:ascii="Times New Roman" w:eastAsia="Times New Roman" w:hAnsi="Times New Roman" w:cs="Times New Roman"/>
      <w:lang w:eastAsia="en-GB"/>
    </w:rPr>
  </w:style>
  <w:style w:type="paragraph" w:styleId="ListParagraph">
    <w:name w:val="List Paragraph"/>
    <w:basedOn w:val="Normal"/>
    <w:uiPriority w:val="34"/>
    <w:qFormat/>
    <w:rsid w:val="00EE5BE9"/>
    <w:pPr>
      <w:ind w:left="720"/>
      <w:contextualSpacing/>
    </w:pPr>
  </w:style>
  <w:style w:type="character" w:styleId="FollowedHyperlink">
    <w:name w:val="FollowedHyperlink"/>
    <w:basedOn w:val="DefaultParagraphFont"/>
    <w:uiPriority w:val="99"/>
    <w:semiHidden/>
    <w:unhideWhenUsed/>
    <w:rsid w:val="008F377F"/>
    <w:rPr>
      <w:color w:val="954F72" w:themeColor="followedHyperlink"/>
      <w:u w:val="single"/>
    </w:rPr>
  </w:style>
  <w:style w:type="table" w:styleId="GridTable1Light-Accent1">
    <w:name w:val="Grid Table 1 Light Accent 1"/>
    <w:basedOn w:val="TableNormal"/>
    <w:uiPriority w:val="46"/>
    <w:rsid w:val="00986C2E"/>
    <w:rPr>
      <w:rFonts w:eastAsiaTheme="minorEastAsia"/>
      <w:sz w:val="22"/>
      <w:szCs w:val="22"/>
      <w:lang w:val="en-US"/>
    </w:r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88150">
      <w:bodyDiv w:val="1"/>
      <w:marLeft w:val="0"/>
      <w:marRight w:val="0"/>
      <w:marTop w:val="0"/>
      <w:marBottom w:val="0"/>
      <w:divBdr>
        <w:top w:val="none" w:sz="0" w:space="0" w:color="auto"/>
        <w:left w:val="none" w:sz="0" w:space="0" w:color="auto"/>
        <w:bottom w:val="none" w:sz="0" w:space="0" w:color="auto"/>
        <w:right w:val="none" w:sz="0" w:space="0" w:color="auto"/>
      </w:divBdr>
    </w:div>
    <w:div w:id="19281712">
      <w:bodyDiv w:val="1"/>
      <w:marLeft w:val="0"/>
      <w:marRight w:val="0"/>
      <w:marTop w:val="0"/>
      <w:marBottom w:val="0"/>
      <w:divBdr>
        <w:top w:val="none" w:sz="0" w:space="0" w:color="auto"/>
        <w:left w:val="none" w:sz="0" w:space="0" w:color="auto"/>
        <w:bottom w:val="none" w:sz="0" w:space="0" w:color="auto"/>
        <w:right w:val="none" w:sz="0" w:space="0" w:color="auto"/>
      </w:divBdr>
    </w:div>
    <w:div w:id="28654353">
      <w:bodyDiv w:val="1"/>
      <w:marLeft w:val="0"/>
      <w:marRight w:val="0"/>
      <w:marTop w:val="0"/>
      <w:marBottom w:val="0"/>
      <w:divBdr>
        <w:top w:val="none" w:sz="0" w:space="0" w:color="auto"/>
        <w:left w:val="none" w:sz="0" w:space="0" w:color="auto"/>
        <w:bottom w:val="none" w:sz="0" w:space="0" w:color="auto"/>
        <w:right w:val="none" w:sz="0" w:space="0" w:color="auto"/>
      </w:divBdr>
    </w:div>
    <w:div w:id="31419315">
      <w:bodyDiv w:val="1"/>
      <w:marLeft w:val="0"/>
      <w:marRight w:val="0"/>
      <w:marTop w:val="0"/>
      <w:marBottom w:val="0"/>
      <w:divBdr>
        <w:top w:val="none" w:sz="0" w:space="0" w:color="auto"/>
        <w:left w:val="none" w:sz="0" w:space="0" w:color="auto"/>
        <w:bottom w:val="none" w:sz="0" w:space="0" w:color="auto"/>
        <w:right w:val="none" w:sz="0" w:space="0" w:color="auto"/>
      </w:divBdr>
    </w:div>
    <w:div w:id="33235206">
      <w:bodyDiv w:val="1"/>
      <w:marLeft w:val="0"/>
      <w:marRight w:val="0"/>
      <w:marTop w:val="0"/>
      <w:marBottom w:val="0"/>
      <w:divBdr>
        <w:top w:val="none" w:sz="0" w:space="0" w:color="auto"/>
        <w:left w:val="none" w:sz="0" w:space="0" w:color="auto"/>
        <w:bottom w:val="none" w:sz="0" w:space="0" w:color="auto"/>
        <w:right w:val="none" w:sz="0" w:space="0" w:color="auto"/>
      </w:divBdr>
    </w:div>
    <w:div w:id="37513521">
      <w:bodyDiv w:val="1"/>
      <w:marLeft w:val="0"/>
      <w:marRight w:val="0"/>
      <w:marTop w:val="0"/>
      <w:marBottom w:val="0"/>
      <w:divBdr>
        <w:top w:val="none" w:sz="0" w:space="0" w:color="auto"/>
        <w:left w:val="none" w:sz="0" w:space="0" w:color="auto"/>
        <w:bottom w:val="none" w:sz="0" w:space="0" w:color="auto"/>
        <w:right w:val="none" w:sz="0" w:space="0" w:color="auto"/>
      </w:divBdr>
    </w:div>
    <w:div w:id="42872560">
      <w:bodyDiv w:val="1"/>
      <w:marLeft w:val="0"/>
      <w:marRight w:val="0"/>
      <w:marTop w:val="0"/>
      <w:marBottom w:val="0"/>
      <w:divBdr>
        <w:top w:val="none" w:sz="0" w:space="0" w:color="auto"/>
        <w:left w:val="none" w:sz="0" w:space="0" w:color="auto"/>
        <w:bottom w:val="none" w:sz="0" w:space="0" w:color="auto"/>
        <w:right w:val="none" w:sz="0" w:space="0" w:color="auto"/>
      </w:divBdr>
    </w:div>
    <w:div w:id="67383206">
      <w:bodyDiv w:val="1"/>
      <w:marLeft w:val="0"/>
      <w:marRight w:val="0"/>
      <w:marTop w:val="0"/>
      <w:marBottom w:val="0"/>
      <w:divBdr>
        <w:top w:val="none" w:sz="0" w:space="0" w:color="auto"/>
        <w:left w:val="none" w:sz="0" w:space="0" w:color="auto"/>
        <w:bottom w:val="none" w:sz="0" w:space="0" w:color="auto"/>
        <w:right w:val="none" w:sz="0" w:space="0" w:color="auto"/>
      </w:divBdr>
    </w:div>
    <w:div w:id="78408580">
      <w:bodyDiv w:val="1"/>
      <w:marLeft w:val="0"/>
      <w:marRight w:val="0"/>
      <w:marTop w:val="0"/>
      <w:marBottom w:val="0"/>
      <w:divBdr>
        <w:top w:val="none" w:sz="0" w:space="0" w:color="auto"/>
        <w:left w:val="none" w:sz="0" w:space="0" w:color="auto"/>
        <w:bottom w:val="none" w:sz="0" w:space="0" w:color="auto"/>
        <w:right w:val="none" w:sz="0" w:space="0" w:color="auto"/>
      </w:divBdr>
    </w:div>
    <w:div w:id="141973465">
      <w:bodyDiv w:val="1"/>
      <w:marLeft w:val="0"/>
      <w:marRight w:val="0"/>
      <w:marTop w:val="0"/>
      <w:marBottom w:val="0"/>
      <w:divBdr>
        <w:top w:val="none" w:sz="0" w:space="0" w:color="auto"/>
        <w:left w:val="none" w:sz="0" w:space="0" w:color="auto"/>
        <w:bottom w:val="none" w:sz="0" w:space="0" w:color="auto"/>
        <w:right w:val="none" w:sz="0" w:space="0" w:color="auto"/>
      </w:divBdr>
    </w:div>
    <w:div w:id="146940725">
      <w:bodyDiv w:val="1"/>
      <w:marLeft w:val="0"/>
      <w:marRight w:val="0"/>
      <w:marTop w:val="0"/>
      <w:marBottom w:val="0"/>
      <w:divBdr>
        <w:top w:val="none" w:sz="0" w:space="0" w:color="auto"/>
        <w:left w:val="none" w:sz="0" w:space="0" w:color="auto"/>
        <w:bottom w:val="none" w:sz="0" w:space="0" w:color="auto"/>
        <w:right w:val="none" w:sz="0" w:space="0" w:color="auto"/>
      </w:divBdr>
    </w:div>
    <w:div w:id="167208661">
      <w:bodyDiv w:val="1"/>
      <w:marLeft w:val="0"/>
      <w:marRight w:val="0"/>
      <w:marTop w:val="0"/>
      <w:marBottom w:val="0"/>
      <w:divBdr>
        <w:top w:val="none" w:sz="0" w:space="0" w:color="auto"/>
        <w:left w:val="none" w:sz="0" w:space="0" w:color="auto"/>
        <w:bottom w:val="none" w:sz="0" w:space="0" w:color="auto"/>
        <w:right w:val="none" w:sz="0" w:space="0" w:color="auto"/>
      </w:divBdr>
    </w:div>
    <w:div w:id="171915016">
      <w:bodyDiv w:val="1"/>
      <w:marLeft w:val="0"/>
      <w:marRight w:val="0"/>
      <w:marTop w:val="0"/>
      <w:marBottom w:val="0"/>
      <w:divBdr>
        <w:top w:val="none" w:sz="0" w:space="0" w:color="auto"/>
        <w:left w:val="none" w:sz="0" w:space="0" w:color="auto"/>
        <w:bottom w:val="none" w:sz="0" w:space="0" w:color="auto"/>
        <w:right w:val="none" w:sz="0" w:space="0" w:color="auto"/>
      </w:divBdr>
      <w:divsChild>
        <w:div w:id="144053603">
          <w:marLeft w:val="0"/>
          <w:marRight w:val="0"/>
          <w:marTop w:val="0"/>
          <w:marBottom w:val="0"/>
          <w:divBdr>
            <w:top w:val="none" w:sz="0" w:space="0" w:color="auto"/>
            <w:left w:val="none" w:sz="0" w:space="0" w:color="auto"/>
            <w:bottom w:val="none" w:sz="0" w:space="0" w:color="auto"/>
            <w:right w:val="none" w:sz="0" w:space="0" w:color="auto"/>
          </w:divBdr>
        </w:div>
      </w:divsChild>
    </w:div>
    <w:div w:id="186063702">
      <w:bodyDiv w:val="1"/>
      <w:marLeft w:val="0"/>
      <w:marRight w:val="0"/>
      <w:marTop w:val="0"/>
      <w:marBottom w:val="0"/>
      <w:divBdr>
        <w:top w:val="none" w:sz="0" w:space="0" w:color="auto"/>
        <w:left w:val="none" w:sz="0" w:space="0" w:color="auto"/>
        <w:bottom w:val="none" w:sz="0" w:space="0" w:color="auto"/>
        <w:right w:val="none" w:sz="0" w:space="0" w:color="auto"/>
      </w:divBdr>
    </w:div>
    <w:div w:id="198251522">
      <w:bodyDiv w:val="1"/>
      <w:marLeft w:val="0"/>
      <w:marRight w:val="0"/>
      <w:marTop w:val="0"/>
      <w:marBottom w:val="0"/>
      <w:divBdr>
        <w:top w:val="none" w:sz="0" w:space="0" w:color="auto"/>
        <w:left w:val="none" w:sz="0" w:space="0" w:color="auto"/>
        <w:bottom w:val="none" w:sz="0" w:space="0" w:color="auto"/>
        <w:right w:val="none" w:sz="0" w:space="0" w:color="auto"/>
      </w:divBdr>
    </w:div>
    <w:div w:id="216165282">
      <w:bodyDiv w:val="1"/>
      <w:marLeft w:val="0"/>
      <w:marRight w:val="0"/>
      <w:marTop w:val="0"/>
      <w:marBottom w:val="0"/>
      <w:divBdr>
        <w:top w:val="none" w:sz="0" w:space="0" w:color="auto"/>
        <w:left w:val="none" w:sz="0" w:space="0" w:color="auto"/>
        <w:bottom w:val="none" w:sz="0" w:space="0" w:color="auto"/>
        <w:right w:val="none" w:sz="0" w:space="0" w:color="auto"/>
      </w:divBdr>
    </w:div>
    <w:div w:id="250286900">
      <w:bodyDiv w:val="1"/>
      <w:marLeft w:val="0"/>
      <w:marRight w:val="0"/>
      <w:marTop w:val="0"/>
      <w:marBottom w:val="0"/>
      <w:divBdr>
        <w:top w:val="none" w:sz="0" w:space="0" w:color="auto"/>
        <w:left w:val="none" w:sz="0" w:space="0" w:color="auto"/>
        <w:bottom w:val="none" w:sz="0" w:space="0" w:color="auto"/>
        <w:right w:val="none" w:sz="0" w:space="0" w:color="auto"/>
      </w:divBdr>
      <w:divsChild>
        <w:div w:id="580481059">
          <w:marLeft w:val="0"/>
          <w:marRight w:val="0"/>
          <w:marTop w:val="0"/>
          <w:marBottom w:val="0"/>
          <w:divBdr>
            <w:top w:val="none" w:sz="0" w:space="0" w:color="auto"/>
            <w:left w:val="none" w:sz="0" w:space="0" w:color="auto"/>
            <w:bottom w:val="none" w:sz="0" w:space="0" w:color="auto"/>
            <w:right w:val="none" w:sz="0" w:space="0" w:color="auto"/>
          </w:divBdr>
        </w:div>
      </w:divsChild>
    </w:div>
    <w:div w:id="258222161">
      <w:bodyDiv w:val="1"/>
      <w:marLeft w:val="0"/>
      <w:marRight w:val="0"/>
      <w:marTop w:val="0"/>
      <w:marBottom w:val="0"/>
      <w:divBdr>
        <w:top w:val="none" w:sz="0" w:space="0" w:color="auto"/>
        <w:left w:val="none" w:sz="0" w:space="0" w:color="auto"/>
        <w:bottom w:val="none" w:sz="0" w:space="0" w:color="auto"/>
        <w:right w:val="none" w:sz="0" w:space="0" w:color="auto"/>
      </w:divBdr>
    </w:div>
    <w:div w:id="277102021">
      <w:bodyDiv w:val="1"/>
      <w:marLeft w:val="0"/>
      <w:marRight w:val="0"/>
      <w:marTop w:val="0"/>
      <w:marBottom w:val="0"/>
      <w:divBdr>
        <w:top w:val="none" w:sz="0" w:space="0" w:color="auto"/>
        <w:left w:val="none" w:sz="0" w:space="0" w:color="auto"/>
        <w:bottom w:val="none" w:sz="0" w:space="0" w:color="auto"/>
        <w:right w:val="none" w:sz="0" w:space="0" w:color="auto"/>
      </w:divBdr>
    </w:div>
    <w:div w:id="304504886">
      <w:bodyDiv w:val="1"/>
      <w:marLeft w:val="0"/>
      <w:marRight w:val="0"/>
      <w:marTop w:val="0"/>
      <w:marBottom w:val="0"/>
      <w:divBdr>
        <w:top w:val="none" w:sz="0" w:space="0" w:color="auto"/>
        <w:left w:val="none" w:sz="0" w:space="0" w:color="auto"/>
        <w:bottom w:val="none" w:sz="0" w:space="0" w:color="auto"/>
        <w:right w:val="none" w:sz="0" w:space="0" w:color="auto"/>
      </w:divBdr>
    </w:div>
    <w:div w:id="333725043">
      <w:bodyDiv w:val="1"/>
      <w:marLeft w:val="0"/>
      <w:marRight w:val="0"/>
      <w:marTop w:val="0"/>
      <w:marBottom w:val="0"/>
      <w:divBdr>
        <w:top w:val="none" w:sz="0" w:space="0" w:color="auto"/>
        <w:left w:val="none" w:sz="0" w:space="0" w:color="auto"/>
        <w:bottom w:val="none" w:sz="0" w:space="0" w:color="auto"/>
        <w:right w:val="none" w:sz="0" w:space="0" w:color="auto"/>
      </w:divBdr>
    </w:div>
    <w:div w:id="352460052">
      <w:bodyDiv w:val="1"/>
      <w:marLeft w:val="0"/>
      <w:marRight w:val="0"/>
      <w:marTop w:val="0"/>
      <w:marBottom w:val="0"/>
      <w:divBdr>
        <w:top w:val="none" w:sz="0" w:space="0" w:color="auto"/>
        <w:left w:val="none" w:sz="0" w:space="0" w:color="auto"/>
        <w:bottom w:val="none" w:sz="0" w:space="0" w:color="auto"/>
        <w:right w:val="none" w:sz="0" w:space="0" w:color="auto"/>
      </w:divBdr>
      <w:divsChild>
        <w:div w:id="1007832543">
          <w:marLeft w:val="0"/>
          <w:marRight w:val="0"/>
          <w:marTop w:val="0"/>
          <w:marBottom w:val="0"/>
          <w:divBdr>
            <w:top w:val="none" w:sz="0" w:space="0" w:color="auto"/>
            <w:left w:val="none" w:sz="0" w:space="0" w:color="auto"/>
            <w:bottom w:val="none" w:sz="0" w:space="0" w:color="auto"/>
            <w:right w:val="none" w:sz="0" w:space="0" w:color="auto"/>
          </w:divBdr>
        </w:div>
      </w:divsChild>
    </w:div>
    <w:div w:id="358817660">
      <w:bodyDiv w:val="1"/>
      <w:marLeft w:val="0"/>
      <w:marRight w:val="0"/>
      <w:marTop w:val="0"/>
      <w:marBottom w:val="0"/>
      <w:divBdr>
        <w:top w:val="none" w:sz="0" w:space="0" w:color="auto"/>
        <w:left w:val="none" w:sz="0" w:space="0" w:color="auto"/>
        <w:bottom w:val="none" w:sz="0" w:space="0" w:color="auto"/>
        <w:right w:val="none" w:sz="0" w:space="0" w:color="auto"/>
      </w:divBdr>
    </w:div>
    <w:div w:id="399250996">
      <w:bodyDiv w:val="1"/>
      <w:marLeft w:val="0"/>
      <w:marRight w:val="0"/>
      <w:marTop w:val="0"/>
      <w:marBottom w:val="0"/>
      <w:divBdr>
        <w:top w:val="none" w:sz="0" w:space="0" w:color="auto"/>
        <w:left w:val="none" w:sz="0" w:space="0" w:color="auto"/>
        <w:bottom w:val="none" w:sz="0" w:space="0" w:color="auto"/>
        <w:right w:val="none" w:sz="0" w:space="0" w:color="auto"/>
      </w:divBdr>
    </w:div>
    <w:div w:id="419834410">
      <w:bodyDiv w:val="1"/>
      <w:marLeft w:val="0"/>
      <w:marRight w:val="0"/>
      <w:marTop w:val="0"/>
      <w:marBottom w:val="0"/>
      <w:divBdr>
        <w:top w:val="none" w:sz="0" w:space="0" w:color="auto"/>
        <w:left w:val="none" w:sz="0" w:space="0" w:color="auto"/>
        <w:bottom w:val="none" w:sz="0" w:space="0" w:color="auto"/>
        <w:right w:val="none" w:sz="0" w:space="0" w:color="auto"/>
      </w:divBdr>
      <w:divsChild>
        <w:div w:id="74210451">
          <w:marLeft w:val="0"/>
          <w:marRight w:val="0"/>
          <w:marTop w:val="0"/>
          <w:marBottom w:val="0"/>
          <w:divBdr>
            <w:top w:val="none" w:sz="0" w:space="0" w:color="auto"/>
            <w:left w:val="none" w:sz="0" w:space="0" w:color="auto"/>
            <w:bottom w:val="none" w:sz="0" w:space="0" w:color="auto"/>
            <w:right w:val="none" w:sz="0" w:space="0" w:color="auto"/>
          </w:divBdr>
        </w:div>
      </w:divsChild>
    </w:div>
    <w:div w:id="421756031">
      <w:bodyDiv w:val="1"/>
      <w:marLeft w:val="0"/>
      <w:marRight w:val="0"/>
      <w:marTop w:val="0"/>
      <w:marBottom w:val="0"/>
      <w:divBdr>
        <w:top w:val="none" w:sz="0" w:space="0" w:color="auto"/>
        <w:left w:val="none" w:sz="0" w:space="0" w:color="auto"/>
        <w:bottom w:val="none" w:sz="0" w:space="0" w:color="auto"/>
        <w:right w:val="none" w:sz="0" w:space="0" w:color="auto"/>
      </w:divBdr>
    </w:div>
    <w:div w:id="422458511">
      <w:bodyDiv w:val="1"/>
      <w:marLeft w:val="0"/>
      <w:marRight w:val="0"/>
      <w:marTop w:val="0"/>
      <w:marBottom w:val="0"/>
      <w:divBdr>
        <w:top w:val="none" w:sz="0" w:space="0" w:color="auto"/>
        <w:left w:val="none" w:sz="0" w:space="0" w:color="auto"/>
        <w:bottom w:val="none" w:sz="0" w:space="0" w:color="auto"/>
        <w:right w:val="none" w:sz="0" w:space="0" w:color="auto"/>
      </w:divBdr>
      <w:divsChild>
        <w:div w:id="786432845">
          <w:marLeft w:val="0"/>
          <w:marRight w:val="0"/>
          <w:marTop w:val="0"/>
          <w:marBottom w:val="0"/>
          <w:divBdr>
            <w:top w:val="none" w:sz="0" w:space="0" w:color="auto"/>
            <w:left w:val="none" w:sz="0" w:space="0" w:color="auto"/>
            <w:bottom w:val="none" w:sz="0" w:space="0" w:color="auto"/>
            <w:right w:val="none" w:sz="0" w:space="0" w:color="auto"/>
          </w:divBdr>
        </w:div>
      </w:divsChild>
    </w:div>
    <w:div w:id="434524272">
      <w:bodyDiv w:val="1"/>
      <w:marLeft w:val="0"/>
      <w:marRight w:val="0"/>
      <w:marTop w:val="0"/>
      <w:marBottom w:val="0"/>
      <w:divBdr>
        <w:top w:val="none" w:sz="0" w:space="0" w:color="auto"/>
        <w:left w:val="none" w:sz="0" w:space="0" w:color="auto"/>
        <w:bottom w:val="none" w:sz="0" w:space="0" w:color="auto"/>
        <w:right w:val="none" w:sz="0" w:space="0" w:color="auto"/>
      </w:divBdr>
    </w:div>
    <w:div w:id="436219598">
      <w:bodyDiv w:val="1"/>
      <w:marLeft w:val="0"/>
      <w:marRight w:val="0"/>
      <w:marTop w:val="0"/>
      <w:marBottom w:val="0"/>
      <w:divBdr>
        <w:top w:val="none" w:sz="0" w:space="0" w:color="auto"/>
        <w:left w:val="none" w:sz="0" w:space="0" w:color="auto"/>
        <w:bottom w:val="none" w:sz="0" w:space="0" w:color="auto"/>
        <w:right w:val="none" w:sz="0" w:space="0" w:color="auto"/>
      </w:divBdr>
      <w:divsChild>
        <w:div w:id="1149980797">
          <w:blockQuote w:val="1"/>
          <w:marLeft w:val="720"/>
          <w:marRight w:val="720"/>
          <w:marTop w:val="100"/>
          <w:marBottom w:val="100"/>
          <w:divBdr>
            <w:top w:val="none" w:sz="0" w:space="0" w:color="auto"/>
            <w:left w:val="none" w:sz="0" w:space="0" w:color="auto"/>
            <w:bottom w:val="none" w:sz="0" w:space="0" w:color="auto"/>
            <w:right w:val="none" w:sz="0" w:space="0" w:color="auto"/>
          </w:divBdr>
        </w:div>
        <w:div w:id="1065888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43429823">
      <w:bodyDiv w:val="1"/>
      <w:marLeft w:val="0"/>
      <w:marRight w:val="0"/>
      <w:marTop w:val="0"/>
      <w:marBottom w:val="0"/>
      <w:divBdr>
        <w:top w:val="none" w:sz="0" w:space="0" w:color="auto"/>
        <w:left w:val="none" w:sz="0" w:space="0" w:color="auto"/>
        <w:bottom w:val="none" w:sz="0" w:space="0" w:color="auto"/>
        <w:right w:val="none" w:sz="0" w:space="0" w:color="auto"/>
      </w:divBdr>
    </w:div>
    <w:div w:id="481311685">
      <w:bodyDiv w:val="1"/>
      <w:marLeft w:val="0"/>
      <w:marRight w:val="0"/>
      <w:marTop w:val="0"/>
      <w:marBottom w:val="0"/>
      <w:divBdr>
        <w:top w:val="none" w:sz="0" w:space="0" w:color="auto"/>
        <w:left w:val="none" w:sz="0" w:space="0" w:color="auto"/>
        <w:bottom w:val="none" w:sz="0" w:space="0" w:color="auto"/>
        <w:right w:val="none" w:sz="0" w:space="0" w:color="auto"/>
      </w:divBdr>
    </w:div>
    <w:div w:id="492375064">
      <w:bodyDiv w:val="1"/>
      <w:marLeft w:val="0"/>
      <w:marRight w:val="0"/>
      <w:marTop w:val="0"/>
      <w:marBottom w:val="0"/>
      <w:divBdr>
        <w:top w:val="none" w:sz="0" w:space="0" w:color="auto"/>
        <w:left w:val="none" w:sz="0" w:space="0" w:color="auto"/>
        <w:bottom w:val="none" w:sz="0" w:space="0" w:color="auto"/>
        <w:right w:val="none" w:sz="0" w:space="0" w:color="auto"/>
      </w:divBdr>
    </w:div>
    <w:div w:id="498498370">
      <w:bodyDiv w:val="1"/>
      <w:marLeft w:val="0"/>
      <w:marRight w:val="0"/>
      <w:marTop w:val="0"/>
      <w:marBottom w:val="0"/>
      <w:divBdr>
        <w:top w:val="none" w:sz="0" w:space="0" w:color="auto"/>
        <w:left w:val="none" w:sz="0" w:space="0" w:color="auto"/>
        <w:bottom w:val="none" w:sz="0" w:space="0" w:color="auto"/>
        <w:right w:val="none" w:sz="0" w:space="0" w:color="auto"/>
      </w:divBdr>
    </w:div>
    <w:div w:id="520558245">
      <w:bodyDiv w:val="1"/>
      <w:marLeft w:val="0"/>
      <w:marRight w:val="0"/>
      <w:marTop w:val="0"/>
      <w:marBottom w:val="0"/>
      <w:divBdr>
        <w:top w:val="none" w:sz="0" w:space="0" w:color="auto"/>
        <w:left w:val="none" w:sz="0" w:space="0" w:color="auto"/>
        <w:bottom w:val="none" w:sz="0" w:space="0" w:color="auto"/>
        <w:right w:val="none" w:sz="0" w:space="0" w:color="auto"/>
      </w:divBdr>
      <w:divsChild>
        <w:div w:id="842664958">
          <w:marLeft w:val="0"/>
          <w:marRight w:val="0"/>
          <w:marTop w:val="0"/>
          <w:marBottom w:val="0"/>
          <w:divBdr>
            <w:top w:val="none" w:sz="0" w:space="0" w:color="auto"/>
            <w:left w:val="none" w:sz="0" w:space="0" w:color="auto"/>
            <w:bottom w:val="none" w:sz="0" w:space="0" w:color="auto"/>
            <w:right w:val="none" w:sz="0" w:space="0" w:color="auto"/>
          </w:divBdr>
        </w:div>
      </w:divsChild>
    </w:div>
    <w:div w:id="582570154">
      <w:bodyDiv w:val="1"/>
      <w:marLeft w:val="0"/>
      <w:marRight w:val="0"/>
      <w:marTop w:val="0"/>
      <w:marBottom w:val="0"/>
      <w:divBdr>
        <w:top w:val="none" w:sz="0" w:space="0" w:color="auto"/>
        <w:left w:val="none" w:sz="0" w:space="0" w:color="auto"/>
        <w:bottom w:val="none" w:sz="0" w:space="0" w:color="auto"/>
        <w:right w:val="none" w:sz="0" w:space="0" w:color="auto"/>
      </w:divBdr>
      <w:divsChild>
        <w:div w:id="378864887">
          <w:marLeft w:val="0"/>
          <w:marRight w:val="0"/>
          <w:marTop w:val="0"/>
          <w:marBottom w:val="0"/>
          <w:divBdr>
            <w:top w:val="none" w:sz="0" w:space="0" w:color="auto"/>
            <w:left w:val="none" w:sz="0" w:space="0" w:color="auto"/>
            <w:bottom w:val="none" w:sz="0" w:space="0" w:color="auto"/>
            <w:right w:val="none" w:sz="0" w:space="0" w:color="auto"/>
          </w:divBdr>
          <w:divsChild>
            <w:div w:id="1559318284">
              <w:marLeft w:val="0"/>
              <w:marRight w:val="0"/>
              <w:marTop w:val="0"/>
              <w:marBottom w:val="0"/>
              <w:divBdr>
                <w:top w:val="none" w:sz="0" w:space="0" w:color="auto"/>
                <w:left w:val="none" w:sz="0" w:space="0" w:color="auto"/>
                <w:bottom w:val="none" w:sz="0" w:space="0" w:color="auto"/>
                <w:right w:val="none" w:sz="0" w:space="0" w:color="auto"/>
              </w:divBdr>
            </w:div>
          </w:divsChild>
        </w:div>
        <w:div w:id="2062511676">
          <w:marLeft w:val="0"/>
          <w:marRight w:val="0"/>
          <w:marTop w:val="0"/>
          <w:marBottom w:val="0"/>
          <w:divBdr>
            <w:top w:val="none" w:sz="0" w:space="0" w:color="auto"/>
            <w:left w:val="none" w:sz="0" w:space="0" w:color="auto"/>
            <w:bottom w:val="none" w:sz="0" w:space="0" w:color="auto"/>
            <w:right w:val="none" w:sz="0" w:space="0" w:color="auto"/>
          </w:divBdr>
          <w:divsChild>
            <w:div w:id="1025211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251118">
      <w:bodyDiv w:val="1"/>
      <w:marLeft w:val="0"/>
      <w:marRight w:val="0"/>
      <w:marTop w:val="0"/>
      <w:marBottom w:val="0"/>
      <w:divBdr>
        <w:top w:val="none" w:sz="0" w:space="0" w:color="auto"/>
        <w:left w:val="none" w:sz="0" w:space="0" w:color="auto"/>
        <w:bottom w:val="none" w:sz="0" w:space="0" w:color="auto"/>
        <w:right w:val="none" w:sz="0" w:space="0" w:color="auto"/>
      </w:divBdr>
    </w:div>
    <w:div w:id="656346023">
      <w:bodyDiv w:val="1"/>
      <w:marLeft w:val="0"/>
      <w:marRight w:val="0"/>
      <w:marTop w:val="0"/>
      <w:marBottom w:val="0"/>
      <w:divBdr>
        <w:top w:val="none" w:sz="0" w:space="0" w:color="auto"/>
        <w:left w:val="none" w:sz="0" w:space="0" w:color="auto"/>
        <w:bottom w:val="none" w:sz="0" w:space="0" w:color="auto"/>
        <w:right w:val="none" w:sz="0" w:space="0" w:color="auto"/>
      </w:divBdr>
    </w:div>
    <w:div w:id="696391188">
      <w:bodyDiv w:val="1"/>
      <w:marLeft w:val="0"/>
      <w:marRight w:val="0"/>
      <w:marTop w:val="0"/>
      <w:marBottom w:val="0"/>
      <w:divBdr>
        <w:top w:val="none" w:sz="0" w:space="0" w:color="auto"/>
        <w:left w:val="none" w:sz="0" w:space="0" w:color="auto"/>
        <w:bottom w:val="none" w:sz="0" w:space="0" w:color="auto"/>
        <w:right w:val="none" w:sz="0" w:space="0" w:color="auto"/>
      </w:divBdr>
    </w:div>
    <w:div w:id="704526672">
      <w:bodyDiv w:val="1"/>
      <w:marLeft w:val="0"/>
      <w:marRight w:val="0"/>
      <w:marTop w:val="0"/>
      <w:marBottom w:val="0"/>
      <w:divBdr>
        <w:top w:val="none" w:sz="0" w:space="0" w:color="auto"/>
        <w:left w:val="none" w:sz="0" w:space="0" w:color="auto"/>
        <w:bottom w:val="none" w:sz="0" w:space="0" w:color="auto"/>
        <w:right w:val="none" w:sz="0" w:space="0" w:color="auto"/>
      </w:divBdr>
    </w:div>
    <w:div w:id="721563684">
      <w:bodyDiv w:val="1"/>
      <w:marLeft w:val="0"/>
      <w:marRight w:val="0"/>
      <w:marTop w:val="0"/>
      <w:marBottom w:val="0"/>
      <w:divBdr>
        <w:top w:val="none" w:sz="0" w:space="0" w:color="auto"/>
        <w:left w:val="none" w:sz="0" w:space="0" w:color="auto"/>
        <w:bottom w:val="none" w:sz="0" w:space="0" w:color="auto"/>
        <w:right w:val="none" w:sz="0" w:space="0" w:color="auto"/>
      </w:divBdr>
    </w:div>
    <w:div w:id="723330377">
      <w:bodyDiv w:val="1"/>
      <w:marLeft w:val="0"/>
      <w:marRight w:val="0"/>
      <w:marTop w:val="0"/>
      <w:marBottom w:val="0"/>
      <w:divBdr>
        <w:top w:val="none" w:sz="0" w:space="0" w:color="auto"/>
        <w:left w:val="none" w:sz="0" w:space="0" w:color="auto"/>
        <w:bottom w:val="none" w:sz="0" w:space="0" w:color="auto"/>
        <w:right w:val="none" w:sz="0" w:space="0" w:color="auto"/>
      </w:divBdr>
    </w:div>
    <w:div w:id="734163379">
      <w:bodyDiv w:val="1"/>
      <w:marLeft w:val="0"/>
      <w:marRight w:val="0"/>
      <w:marTop w:val="0"/>
      <w:marBottom w:val="0"/>
      <w:divBdr>
        <w:top w:val="none" w:sz="0" w:space="0" w:color="auto"/>
        <w:left w:val="none" w:sz="0" w:space="0" w:color="auto"/>
        <w:bottom w:val="none" w:sz="0" w:space="0" w:color="auto"/>
        <w:right w:val="none" w:sz="0" w:space="0" w:color="auto"/>
      </w:divBdr>
      <w:divsChild>
        <w:div w:id="1360743857">
          <w:marLeft w:val="0"/>
          <w:marRight w:val="0"/>
          <w:marTop w:val="0"/>
          <w:marBottom w:val="0"/>
          <w:divBdr>
            <w:top w:val="none" w:sz="0" w:space="0" w:color="auto"/>
            <w:left w:val="none" w:sz="0" w:space="0" w:color="auto"/>
            <w:bottom w:val="none" w:sz="0" w:space="0" w:color="auto"/>
            <w:right w:val="none" w:sz="0" w:space="0" w:color="auto"/>
          </w:divBdr>
        </w:div>
      </w:divsChild>
    </w:div>
    <w:div w:id="750346909">
      <w:bodyDiv w:val="1"/>
      <w:marLeft w:val="0"/>
      <w:marRight w:val="0"/>
      <w:marTop w:val="0"/>
      <w:marBottom w:val="0"/>
      <w:divBdr>
        <w:top w:val="none" w:sz="0" w:space="0" w:color="auto"/>
        <w:left w:val="none" w:sz="0" w:space="0" w:color="auto"/>
        <w:bottom w:val="none" w:sz="0" w:space="0" w:color="auto"/>
        <w:right w:val="none" w:sz="0" w:space="0" w:color="auto"/>
      </w:divBdr>
    </w:div>
    <w:div w:id="757407733">
      <w:bodyDiv w:val="1"/>
      <w:marLeft w:val="0"/>
      <w:marRight w:val="0"/>
      <w:marTop w:val="0"/>
      <w:marBottom w:val="0"/>
      <w:divBdr>
        <w:top w:val="none" w:sz="0" w:space="0" w:color="auto"/>
        <w:left w:val="none" w:sz="0" w:space="0" w:color="auto"/>
        <w:bottom w:val="none" w:sz="0" w:space="0" w:color="auto"/>
        <w:right w:val="none" w:sz="0" w:space="0" w:color="auto"/>
      </w:divBdr>
    </w:div>
    <w:div w:id="812672219">
      <w:bodyDiv w:val="1"/>
      <w:marLeft w:val="0"/>
      <w:marRight w:val="0"/>
      <w:marTop w:val="0"/>
      <w:marBottom w:val="0"/>
      <w:divBdr>
        <w:top w:val="none" w:sz="0" w:space="0" w:color="auto"/>
        <w:left w:val="none" w:sz="0" w:space="0" w:color="auto"/>
        <w:bottom w:val="none" w:sz="0" w:space="0" w:color="auto"/>
        <w:right w:val="none" w:sz="0" w:space="0" w:color="auto"/>
      </w:divBdr>
    </w:div>
    <w:div w:id="825050658">
      <w:bodyDiv w:val="1"/>
      <w:marLeft w:val="0"/>
      <w:marRight w:val="0"/>
      <w:marTop w:val="0"/>
      <w:marBottom w:val="0"/>
      <w:divBdr>
        <w:top w:val="none" w:sz="0" w:space="0" w:color="auto"/>
        <w:left w:val="none" w:sz="0" w:space="0" w:color="auto"/>
        <w:bottom w:val="none" w:sz="0" w:space="0" w:color="auto"/>
        <w:right w:val="none" w:sz="0" w:space="0" w:color="auto"/>
      </w:divBdr>
    </w:div>
    <w:div w:id="825319194">
      <w:bodyDiv w:val="1"/>
      <w:marLeft w:val="0"/>
      <w:marRight w:val="0"/>
      <w:marTop w:val="0"/>
      <w:marBottom w:val="0"/>
      <w:divBdr>
        <w:top w:val="none" w:sz="0" w:space="0" w:color="auto"/>
        <w:left w:val="none" w:sz="0" w:space="0" w:color="auto"/>
        <w:bottom w:val="none" w:sz="0" w:space="0" w:color="auto"/>
        <w:right w:val="none" w:sz="0" w:space="0" w:color="auto"/>
      </w:divBdr>
    </w:div>
    <w:div w:id="845094400">
      <w:bodyDiv w:val="1"/>
      <w:marLeft w:val="0"/>
      <w:marRight w:val="0"/>
      <w:marTop w:val="0"/>
      <w:marBottom w:val="0"/>
      <w:divBdr>
        <w:top w:val="none" w:sz="0" w:space="0" w:color="auto"/>
        <w:left w:val="none" w:sz="0" w:space="0" w:color="auto"/>
        <w:bottom w:val="none" w:sz="0" w:space="0" w:color="auto"/>
        <w:right w:val="none" w:sz="0" w:space="0" w:color="auto"/>
      </w:divBdr>
    </w:div>
    <w:div w:id="847016889">
      <w:bodyDiv w:val="1"/>
      <w:marLeft w:val="0"/>
      <w:marRight w:val="0"/>
      <w:marTop w:val="0"/>
      <w:marBottom w:val="0"/>
      <w:divBdr>
        <w:top w:val="none" w:sz="0" w:space="0" w:color="auto"/>
        <w:left w:val="none" w:sz="0" w:space="0" w:color="auto"/>
        <w:bottom w:val="none" w:sz="0" w:space="0" w:color="auto"/>
        <w:right w:val="none" w:sz="0" w:space="0" w:color="auto"/>
      </w:divBdr>
    </w:div>
    <w:div w:id="854417771">
      <w:bodyDiv w:val="1"/>
      <w:marLeft w:val="0"/>
      <w:marRight w:val="0"/>
      <w:marTop w:val="0"/>
      <w:marBottom w:val="0"/>
      <w:divBdr>
        <w:top w:val="none" w:sz="0" w:space="0" w:color="auto"/>
        <w:left w:val="none" w:sz="0" w:space="0" w:color="auto"/>
        <w:bottom w:val="none" w:sz="0" w:space="0" w:color="auto"/>
        <w:right w:val="none" w:sz="0" w:space="0" w:color="auto"/>
      </w:divBdr>
    </w:div>
    <w:div w:id="863521427">
      <w:bodyDiv w:val="1"/>
      <w:marLeft w:val="0"/>
      <w:marRight w:val="0"/>
      <w:marTop w:val="0"/>
      <w:marBottom w:val="0"/>
      <w:divBdr>
        <w:top w:val="none" w:sz="0" w:space="0" w:color="auto"/>
        <w:left w:val="none" w:sz="0" w:space="0" w:color="auto"/>
        <w:bottom w:val="none" w:sz="0" w:space="0" w:color="auto"/>
        <w:right w:val="none" w:sz="0" w:space="0" w:color="auto"/>
      </w:divBdr>
    </w:div>
    <w:div w:id="876431130">
      <w:bodyDiv w:val="1"/>
      <w:marLeft w:val="0"/>
      <w:marRight w:val="0"/>
      <w:marTop w:val="0"/>
      <w:marBottom w:val="0"/>
      <w:divBdr>
        <w:top w:val="none" w:sz="0" w:space="0" w:color="auto"/>
        <w:left w:val="none" w:sz="0" w:space="0" w:color="auto"/>
        <w:bottom w:val="none" w:sz="0" w:space="0" w:color="auto"/>
        <w:right w:val="none" w:sz="0" w:space="0" w:color="auto"/>
      </w:divBdr>
    </w:div>
    <w:div w:id="896401591">
      <w:bodyDiv w:val="1"/>
      <w:marLeft w:val="0"/>
      <w:marRight w:val="0"/>
      <w:marTop w:val="0"/>
      <w:marBottom w:val="0"/>
      <w:divBdr>
        <w:top w:val="none" w:sz="0" w:space="0" w:color="auto"/>
        <w:left w:val="none" w:sz="0" w:space="0" w:color="auto"/>
        <w:bottom w:val="none" w:sz="0" w:space="0" w:color="auto"/>
        <w:right w:val="none" w:sz="0" w:space="0" w:color="auto"/>
      </w:divBdr>
    </w:div>
    <w:div w:id="904685097">
      <w:bodyDiv w:val="1"/>
      <w:marLeft w:val="0"/>
      <w:marRight w:val="0"/>
      <w:marTop w:val="0"/>
      <w:marBottom w:val="0"/>
      <w:divBdr>
        <w:top w:val="none" w:sz="0" w:space="0" w:color="auto"/>
        <w:left w:val="none" w:sz="0" w:space="0" w:color="auto"/>
        <w:bottom w:val="none" w:sz="0" w:space="0" w:color="auto"/>
        <w:right w:val="none" w:sz="0" w:space="0" w:color="auto"/>
      </w:divBdr>
      <w:divsChild>
        <w:div w:id="1875726610">
          <w:marLeft w:val="0"/>
          <w:marRight w:val="0"/>
          <w:marTop w:val="0"/>
          <w:marBottom w:val="0"/>
          <w:divBdr>
            <w:top w:val="none" w:sz="0" w:space="0" w:color="auto"/>
            <w:left w:val="none" w:sz="0" w:space="0" w:color="auto"/>
            <w:bottom w:val="none" w:sz="0" w:space="0" w:color="auto"/>
            <w:right w:val="none" w:sz="0" w:space="0" w:color="auto"/>
          </w:divBdr>
        </w:div>
      </w:divsChild>
    </w:div>
    <w:div w:id="923534603">
      <w:bodyDiv w:val="1"/>
      <w:marLeft w:val="0"/>
      <w:marRight w:val="0"/>
      <w:marTop w:val="0"/>
      <w:marBottom w:val="0"/>
      <w:divBdr>
        <w:top w:val="none" w:sz="0" w:space="0" w:color="auto"/>
        <w:left w:val="none" w:sz="0" w:space="0" w:color="auto"/>
        <w:bottom w:val="none" w:sz="0" w:space="0" w:color="auto"/>
        <w:right w:val="none" w:sz="0" w:space="0" w:color="auto"/>
      </w:divBdr>
    </w:div>
    <w:div w:id="950816815">
      <w:bodyDiv w:val="1"/>
      <w:marLeft w:val="0"/>
      <w:marRight w:val="0"/>
      <w:marTop w:val="0"/>
      <w:marBottom w:val="0"/>
      <w:divBdr>
        <w:top w:val="none" w:sz="0" w:space="0" w:color="auto"/>
        <w:left w:val="none" w:sz="0" w:space="0" w:color="auto"/>
        <w:bottom w:val="none" w:sz="0" w:space="0" w:color="auto"/>
        <w:right w:val="none" w:sz="0" w:space="0" w:color="auto"/>
      </w:divBdr>
    </w:div>
    <w:div w:id="951279359">
      <w:bodyDiv w:val="1"/>
      <w:marLeft w:val="0"/>
      <w:marRight w:val="0"/>
      <w:marTop w:val="0"/>
      <w:marBottom w:val="0"/>
      <w:divBdr>
        <w:top w:val="none" w:sz="0" w:space="0" w:color="auto"/>
        <w:left w:val="none" w:sz="0" w:space="0" w:color="auto"/>
        <w:bottom w:val="none" w:sz="0" w:space="0" w:color="auto"/>
        <w:right w:val="none" w:sz="0" w:space="0" w:color="auto"/>
      </w:divBdr>
    </w:div>
    <w:div w:id="969750552">
      <w:bodyDiv w:val="1"/>
      <w:marLeft w:val="0"/>
      <w:marRight w:val="0"/>
      <w:marTop w:val="0"/>
      <w:marBottom w:val="0"/>
      <w:divBdr>
        <w:top w:val="none" w:sz="0" w:space="0" w:color="auto"/>
        <w:left w:val="none" w:sz="0" w:space="0" w:color="auto"/>
        <w:bottom w:val="none" w:sz="0" w:space="0" w:color="auto"/>
        <w:right w:val="none" w:sz="0" w:space="0" w:color="auto"/>
      </w:divBdr>
    </w:div>
    <w:div w:id="994184379">
      <w:bodyDiv w:val="1"/>
      <w:marLeft w:val="0"/>
      <w:marRight w:val="0"/>
      <w:marTop w:val="0"/>
      <w:marBottom w:val="0"/>
      <w:divBdr>
        <w:top w:val="none" w:sz="0" w:space="0" w:color="auto"/>
        <w:left w:val="none" w:sz="0" w:space="0" w:color="auto"/>
        <w:bottom w:val="none" w:sz="0" w:space="0" w:color="auto"/>
        <w:right w:val="none" w:sz="0" w:space="0" w:color="auto"/>
      </w:divBdr>
    </w:div>
    <w:div w:id="1009715116">
      <w:bodyDiv w:val="1"/>
      <w:marLeft w:val="0"/>
      <w:marRight w:val="0"/>
      <w:marTop w:val="0"/>
      <w:marBottom w:val="0"/>
      <w:divBdr>
        <w:top w:val="none" w:sz="0" w:space="0" w:color="auto"/>
        <w:left w:val="none" w:sz="0" w:space="0" w:color="auto"/>
        <w:bottom w:val="none" w:sz="0" w:space="0" w:color="auto"/>
        <w:right w:val="none" w:sz="0" w:space="0" w:color="auto"/>
      </w:divBdr>
    </w:div>
    <w:div w:id="1048644142">
      <w:bodyDiv w:val="1"/>
      <w:marLeft w:val="0"/>
      <w:marRight w:val="0"/>
      <w:marTop w:val="0"/>
      <w:marBottom w:val="0"/>
      <w:divBdr>
        <w:top w:val="none" w:sz="0" w:space="0" w:color="auto"/>
        <w:left w:val="none" w:sz="0" w:space="0" w:color="auto"/>
        <w:bottom w:val="none" w:sz="0" w:space="0" w:color="auto"/>
        <w:right w:val="none" w:sz="0" w:space="0" w:color="auto"/>
      </w:divBdr>
    </w:div>
    <w:div w:id="1078138330">
      <w:bodyDiv w:val="1"/>
      <w:marLeft w:val="0"/>
      <w:marRight w:val="0"/>
      <w:marTop w:val="0"/>
      <w:marBottom w:val="0"/>
      <w:divBdr>
        <w:top w:val="none" w:sz="0" w:space="0" w:color="auto"/>
        <w:left w:val="none" w:sz="0" w:space="0" w:color="auto"/>
        <w:bottom w:val="none" w:sz="0" w:space="0" w:color="auto"/>
        <w:right w:val="none" w:sz="0" w:space="0" w:color="auto"/>
      </w:divBdr>
    </w:div>
    <w:div w:id="1109159394">
      <w:bodyDiv w:val="1"/>
      <w:marLeft w:val="0"/>
      <w:marRight w:val="0"/>
      <w:marTop w:val="0"/>
      <w:marBottom w:val="0"/>
      <w:divBdr>
        <w:top w:val="none" w:sz="0" w:space="0" w:color="auto"/>
        <w:left w:val="none" w:sz="0" w:space="0" w:color="auto"/>
        <w:bottom w:val="none" w:sz="0" w:space="0" w:color="auto"/>
        <w:right w:val="none" w:sz="0" w:space="0" w:color="auto"/>
      </w:divBdr>
      <w:divsChild>
        <w:div w:id="1934587190">
          <w:marLeft w:val="0"/>
          <w:marRight w:val="0"/>
          <w:marTop w:val="0"/>
          <w:marBottom w:val="0"/>
          <w:divBdr>
            <w:top w:val="none" w:sz="0" w:space="0" w:color="auto"/>
            <w:left w:val="none" w:sz="0" w:space="0" w:color="auto"/>
            <w:bottom w:val="none" w:sz="0" w:space="0" w:color="auto"/>
            <w:right w:val="none" w:sz="0" w:space="0" w:color="auto"/>
          </w:divBdr>
        </w:div>
      </w:divsChild>
    </w:div>
    <w:div w:id="1129858664">
      <w:bodyDiv w:val="1"/>
      <w:marLeft w:val="0"/>
      <w:marRight w:val="0"/>
      <w:marTop w:val="0"/>
      <w:marBottom w:val="0"/>
      <w:divBdr>
        <w:top w:val="none" w:sz="0" w:space="0" w:color="auto"/>
        <w:left w:val="none" w:sz="0" w:space="0" w:color="auto"/>
        <w:bottom w:val="none" w:sz="0" w:space="0" w:color="auto"/>
        <w:right w:val="none" w:sz="0" w:space="0" w:color="auto"/>
      </w:divBdr>
    </w:div>
    <w:div w:id="1173451582">
      <w:bodyDiv w:val="1"/>
      <w:marLeft w:val="0"/>
      <w:marRight w:val="0"/>
      <w:marTop w:val="0"/>
      <w:marBottom w:val="0"/>
      <w:divBdr>
        <w:top w:val="none" w:sz="0" w:space="0" w:color="auto"/>
        <w:left w:val="none" w:sz="0" w:space="0" w:color="auto"/>
        <w:bottom w:val="none" w:sz="0" w:space="0" w:color="auto"/>
        <w:right w:val="none" w:sz="0" w:space="0" w:color="auto"/>
      </w:divBdr>
    </w:div>
    <w:div w:id="1188369532">
      <w:bodyDiv w:val="1"/>
      <w:marLeft w:val="0"/>
      <w:marRight w:val="0"/>
      <w:marTop w:val="0"/>
      <w:marBottom w:val="0"/>
      <w:divBdr>
        <w:top w:val="none" w:sz="0" w:space="0" w:color="auto"/>
        <w:left w:val="none" w:sz="0" w:space="0" w:color="auto"/>
        <w:bottom w:val="none" w:sz="0" w:space="0" w:color="auto"/>
        <w:right w:val="none" w:sz="0" w:space="0" w:color="auto"/>
      </w:divBdr>
    </w:div>
    <w:div w:id="1199665645">
      <w:bodyDiv w:val="1"/>
      <w:marLeft w:val="0"/>
      <w:marRight w:val="0"/>
      <w:marTop w:val="0"/>
      <w:marBottom w:val="0"/>
      <w:divBdr>
        <w:top w:val="none" w:sz="0" w:space="0" w:color="auto"/>
        <w:left w:val="none" w:sz="0" w:space="0" w:color="auto"/>
        <w:bottom w:val="none" w:sz="0" w:space="0" w:color="auto"/>
        <w:right w:val="none" w:sz="0" w:space="0" w:color="auto"/>
      </w:divBdr>
    </w:div>
    <w:div w:id="1216234189">
      <w:bodyDiv w:val="1"/>
      <w:marLeft w:val="0"/>
      <w:marRight w:val="0"/>
      <w:marTop w:val="0"/>
      <w:marBottom w:val="0"/>
      <w:divBdr>
        <w:top w:val="none" w:sz="0" w:space="0" w:color="auto"/>
        <w:left w:val="none" w:sz="0" w:space="0" w:color="auto"/>
        <w:bottom w:val="none" w:sz="0" w:space="0" w:color="auto"/>
        <w:right w:val="none" w:sz="0" w:space="0" w:color="auto"/>
      </w:divBdr>
    </w:div>
    <w:div w:id="1261645495">
      <w:bodyDiv w:val="1"/>
      <w:marLeft w:val="0"/>
      <w:marRight w:val="0"/>
      <w:marTop w:val="0"/>
      <w:marBottom w:val="0"/>
      <w:divBdr>
        <w:top w:val="none" w:sz="0" w:space="0" w:color="auto"/>
        <w:left w:val="none" w:sz="0" w:space="0" w:color="auto"/>
        <w:bottom w:val="none" w:sz="0" w:space="0" w:color="auto"/>
        <w:right w:val="none" w:sz="0" w:space="0" w:color="auto"/>
      </w:divBdr>
    </w:div>
    <w:div w:id="1268075488">
      <w:bodyDiv w:val="1"/>
      <w:marLeft w:val="0"/>
      <w:marRight w:val="0"/>
      <w:marTop w:val="0"/>
      <w:marBottom w:val="0"/>
      <w:divBdr>
        <w:top w:val="none" w:sz="0" w:space="0" w:color="auto"/>
        <w:left w:val="none" w:sz="0" w:space="0" w:color="auto"/>
        <w:bottom w:val="none" w:sz="0" w:space="0" w:color="auto"/>
        <w:right w:val="none" w:sz="0" w:space="0" w:color="auto"/>
      </w:divBdr>
    </w:div>
    <w:div w:id="1282764607">
      <w:bodyDiv w:val="1"/>
      <w:marLeft w:val="0"/>
      <w:marRight w:val="0"/>
      <w:marTop w:val="0"/>
      <w:marBottom w:val="0"/>
      <w:divBdr>
        <w:top w:val="none" w:sz="0" w:space="0" w:color="auto"/>
        <w:left w:val="none" w:sz="0" w:space="0" w:color="auto"/>
        <w:bottom w:val="none" w:sz="0" w:space="0" w:color="auto"/>
        <w:right w:val="none" w:sz="0" w:space="0" w:color="auto"/>
      </w:divBdr>
    </w:div>
    <w:div w:id="1292244987">
      <w:bodyDiv w:val="1"/>
      <w:marLeft w:val="0"/>
      <w:marRight w:val="0"/>
      <w:marTop w:val="0"/>
      <w:marBottom w:val="0"/>
      <w:divBdr>
        <w:top w:val="none" w:sz="0" w:space="0" w:color="auto"/>
        <w:left w:val="none" w:sz="0" w:space="0" w:color="auto"/>
        <w:bottom w:val="none" w:sz="0" w:space="0" w:color="auto"/>
        <w:right w:val="none" w:sz="0" w:space="0" w:color="auto"/>
      </w:divBdr>
    </w:div>
    <w:div w:id="1327516160">
      <w:bodyDiv w:val="1"/>
      <w:marLeft w:val="0"/>
      <w:marRight w:val="0"/>
      <w:marTop w:val="0"/>
      <w:marBottom w:val="0"/>
      <w:divBdr>
        <w:top w:val="none" w:sz="0" w:space="0" w:color="auto"/>
        <w:left w:val="none" w:sz="0" w:space="0" w:color="auto"/>
        <w:bottom w:val="none" w:sz="0" w:space="0" w:color="auto"/>
        <w:right w:val="none" w:sz="0" w:space="0" w:color="auto"/>
      </w:divBdr>
    </w:div>
    <w:div w:id="1329287846">
      <w:bodyDiv w:val="1"/>
      <w:marLeft w:val="0"/>
      <w:marRight w:val="0"/>
      <w:marTop w:val="0"/>
      <w:marBottom w:val="0"/>
      <w:divBdr>
        <w:top w:val="none" w:sz="0" w:space="0" w:color="auto"/>
        <w:left w:val="none" w:sz="0" w:space="0" w:color="auto"/>
        <w:bottom w:val="none" w:sz="0" w:space="0" w:color="auto"/>
        <w:right w:val="none" w:sz="0" w:space="0" w:color="auto"/>
      </w:divBdr>
    </w:div>
    <w:div w:id="1331831605">
      <w:bodyDiv w:val="1"/>
      <w:marLeft w:val="0"/>
      <w:marRight w:val="0"/>
      <w:marTop w:val="0"/>
      <w:marBottom w:val="0"/>
      <w:divBdr>
        <w:top w:val="none" w:sz="0" w:space="0" w:color="auto"/>
        <w:left w:val="none" w:sz="0" w:space="0" w:color="auto"/>
        <w:bottom w:val="none" w:sz="0" w:space="0" w:color="auto"/>
        <w:right w:val="none" w:sz="0" w:space="0" w:color="auto"/>
      </w:divBdr>
    </w:div>
    <w:div w:id="1333487202">
      <w:bodyDiv w:val="1"/>
      <w:marLeft w:val="0"/>
      <w:marRight w:val="0"/>
      <w:marTop w:val="0"/>
      <w:marBottom w:val="0"/>
      <w:divBdr>
        <w:top w:val="none" w:sz="0" w:space="0" w:color="auto"/>
        <w:left w:val="none" w:sz="0" w:space="0" w:color="auto"/>
        <w:bottom w:val="none" w:sz="0" w:space="0" w:color="auto"/>
        <w:right w:val="none" w:sz="0" w:space="0" w:color="auto"/>
      </w:divBdr>
    </w:div>
    <w:div w:id="1374040156">
      <w:bodyDiv w:val="1"/>
      <w:marLeft w:val="0"/>
      <w:marRight w:val="0"/>
      <w:marTop w:val="0"/>
      <w:marBottom w:val="0"/>
      <w:divBdr>
        <w:top w:val="none" w:sz="0" w:space="0" w:color="auto"/>
        <w:left w:val="none" w:sz="0" w:space="0" w:color="auto"/>
        <w:bottom w:val="none" w:sz="0" w:space="0" w:color="auto"/>
        <w:right w:val="none" w:sz="0" w:space="0" w:color="auto"/>
      </w:divBdr>
    </w:div>
    <w:div w:id="1376661833">
      <w:bodyDiv w:val="1"/>
      <w:marLeft w:val="0"/>
      <w:marRight w:val="0"/>
      <w:marTop w:val="0"/>
      <w:marBottom w:val="0"/>
      <w:divBdr>
        <w:top w:val="none" w:sz="0" w:space="0" w:color="auto"/>
        <w:left w:val="none" w:sz="0" w:space="0" w:color="auto"/>
        <w:bottom w:val="none" w:sz="0" w:space="0" w:color="auto"/>
        <w:right w:val="none" w:sz="0" w:space="0" w:color="auto"/>
      </w:divBdr>
    </w:div>
    <w:div w:id="1391004245">
      <w:bodyDiv w:val="1"/>
      <w:marLeft w:val="0"/>
      <w:marRight w:val="0"/>
      <w:marTop w:val="0"/>
      <w:marBottom w:val="0"/>
      <w:divBdr>
        <w:top w:val="none" w:sz="0" w:space="0" w:color="auto"/>
        <w:left w:val="none" w:sz="0" w:space="0" w:color="auto"/>
        <w:bottom w:val="none" w:sz="0" w:space="0" w:color="auto"/>
        <w:right w:val="none" w:sz="0" w:space="0" w:color="auto"/>
      </w:divBdr>
    </w:div>
    <w:div w:id="1413970579">
      <w:bodyDiv w:val="1"/>
      <w:marLeft w:val="0"/>
      <w:marRight w:val="0"/>
      <w:marTop w:val="0"/>
      <w:marBottom w:val="0"/>
      <w:divBdr>
        <w:top w:val="none" w:sz="0" w:space="0" w:color="auto"/>
        <w:left w:val="none" w:sz="0" w:space="0" w:color="auto"/>
        <w:bottom w:val="none" w:sz="0" w:space="0" w:color="auto"/>
        <w:right w:val="none" w:sz="0" w:space="0" w:color="auto"/>
      </w:divBdr>
    </w:div>
    <w:div w:id="1414737224">
      <w:bodyDiv w:val="1"/>
      <w:marLeft w:val="0"/>
      <w:marRight w:val="0"/>
      <w:marTop w:val="0"/>
      <w:marBottom w:val="0"/>
      <w:divBdr>
        <w:top w:val="none" w:sz="0" w:space="0" w:color="auto"/>
        <w:left w:val="none" w:sz="0" w:space="0" w:color="auto"/>
        <w:bottom w:val="none" w:sz="0" w:space="0" w:color="auto"/>
        <w:right w:val="none" w:sz="0" w:space="0" w:color="auto"/>
      </w:divBdr>
    </w:div>
    <w:div w:id="1425297020">
      <w:bodyDiv w:val="1"/>
      <w:marLeft w:val="0"/>
      <w:marRight w:val="0"/>
      <w:marTop w:val="0"/>
      <w:marBottom w:val="0"/>
      <w:divBdr>
        <w:top w:val="none" w:sz="0" w:space="0" w:color="auto"/>
        <w:left w:val="none" w:sz="0" w:space="0" w:color="auto"/>
        <w:bottom w:val="none" w:sz="0" w:space="0" w:color="auto"/>
        <w:right w:val="none" w:sz="0" w:space="0" w:color="auto"/>
      </w:divBdr>
    </w:div>
    <w:div w:id="1475179696">
      <w:bodyDiv w:val="1"/>
      <w:marLeft w:val="0"/>
      <w:marRight w:val="0"/>
      <w:marTop w:val="0"/>
      <w:marBottom w:val="0"/>
      <w:divBdr>
        <w:top w:val="none" w:sz="0" w:space="0" w:color="auto"/>
        <w:left w:val="none" w:sz="0" w:space="0" w:color="auto"/>
        <w:bottom w:val="none" w:sz="0" w:space="0" w:color="auto"/>
        <w:right w:val="none" w:sz="0" w:space="0" w:color="auto"/>
      </w:divBdr>
    </w:div>
    <w:div w:id="1478037863">
      <w:bodyDiv w:val="1"/>
      <w:marLeft w:val="0"/>
      <w:marRight w:val="0"/>
      <w:marTop w:val="0"/>
      <w:marBottom w:val="0"/>
      <w:divBdr>
        <w:top w:val="none" w:sz="0" w:space="0" w:color="auto"/>
        <w:left w:val="none" w:sz="0" w:space="0" w:color="auto"/>
        <w:bottom w:val="none" w:sz="0" w:space="0" w:color="auto"/>
        <w:right w:val="none" w:sz="0" w:space="0" w:color="auto"/>
      </w:divBdr>
    </w:div>
    <w:div w:id="1485122039">
      <w:bodyDiv w:val="1"/>
      <w:marLeft w:val="0"/>
      <w:marRight w:val="0"/>
      <w:marTop w:val="0"/>
      <w:marBottom w:val="0"/>
      <w:divBdr>
        <w:top w:val="none" w:sz="0" w:space="0" w:color="auto"/>
        <w:left w:val="none" w:sz="0" w:space="0" w:color="auto"/>
        <w:bottom w:val="none" w:sz="0" w:space="0" w:color="auto"/>
        <w:right w:val="none" w:sz="0" w:space="0" w:color="auto"/>
      </w:divBdr>
    </w:div>
    <w:div w:id="1495991811">
      <w:bodyDiv w:val="1"/>
      <w:marLeft w:val="0"/>
      <w:marRight w:val="0"/>
      <w:marTop w:val="0"/>
      <w:marBottom w:val="0"/>
      <w:divBdr>
        <w:top w:val="none" w:sz="0" w:space="0" w:color="auto"/>
        <w:left w:val="none" w:sz="0" w:space="0" w:color="auto"/>
        <w:bottom w:val="none" w:sz="0" w:space="0" w:color="auto"/>
        <w:right w:val="none" w:sz="0" w:space="0" w:color="auto"/>
      </w:divBdr>
    </w:div>
    <w:div w:id="1507482263">
      <w:bodyDiv w:val="1"/>
      <w:marLeft w:val="0"/>
      <w:marRight w:val="0"/>
      <w:marTop w:val="0"/>
      <w:marBottom w:val="0"/>
      <w:divBdr>
        <w:top w:val="none" w:sz="0" w:space="0" w:color="auto"/>
        <w:left w:val="none" w:sz="0" w:space="0" w:color="auto"/>
        <w:bottom w:val="none" w:sz="0" w:space="0" w:color="auto"/>
        <w:right w:val="none" w:sz="0" w:space="0" w:color="auto"/>
      </w:divBdr>
      <w:divsChild>
        <w:div w:id="760881280">
          <w:marLeft w:val="0"/>
          <w:marRight w:val="0"/>
          <w:marTop w:val="0"/>
          <w:marBottom w:val="0"/>
          <w:divBdr>
            <w:top w:val="none" w:sz="0" w:space="0" w:color="auto"/>
            <w:left w:val="none" w:sz="0" w:space="0" w:color="auto"/>
            <w:bottom w:val="none" w:sz="0" w:space="0" w:color="auto"/>
            <w:right w:val="none" w:sz="0" w:space="0" w:color="auto"/>
          </w:divBdr>
        </w:div>
      </w:divsChild>
    </w:div>
    <w:div w:id="1520198871">
      <w:bodyDiv w:val="1"/>
      <w:marLeft w:val="0"/>
      <w:marRight w:val="0"/>
      <w:marTop w:val="0"/>
      <w:marBottom w:val="0"/>
      <w:divBdr>
        <w:top w:val="none" w:sz="0" w:space="0" w:color="auto"/>
        <w:left w:val="none" w:sz="0" w:space="0" w:color="auto"/>
        <w:bottom w:val="none" w:sz="0" w:space="0" w:color="auto"/>
        <w:right w:val="none" w:sz="0" w:space="0" w:color="auto"/>
      </w:divBdr>
    </w:div>
    <w:div w:id="1521046082">
      <w:bodyDiv w:val="1"/>
      <w:marLeft w:val="0"/>
      <w:marRight w:val="0"/>
      <w:marTop w:val="0"/>
      <w:marBottom w:val="0"/>
      <w:divBdr>
        <w:top w:val="none" w:sz="0" w:space="0" w:color="auto"/>
        <w:left w:val="none" w:sz="0" w:space="0" w:color="auto"/>
        <w:bottom w:val="none" w:sz="0" w:space="0" w:color="auto"/>
        <w:right w:val="none" w:sz="0" w:space="0" w:color="auto"/>
      </w:divBdr>
    </w:div>
    <w:div w:id="1523786117">
      <w:bodyDiv w:val="1"/>
      <w:marLeft w:val="0"/>
      <w:marRight w:val="0"/>
      <w:marTop w:val="0"/>
      <w:marBottom w:val="0"/>
      <w:divBdr>
        <w:top w:val="none" w:sz="0" w:space="0" w:color="auto"/>
        <w:left w:val="none" w:sz="0" w:space="0" w:color="auto"/>
        <w:bottom w:val="none" w:sz="0" w:space="0" w:color="auto"/>
        <w:right w:val="none" w:sz="0" w:space="0" w:color="auto"/>
      </w:divBdr>
      <w:divsChild>
        <w:div w:id="2070764523">
          <w:marLeft w:val="0"/>
          <w:marRight w:val="0"/>
          <w:marTop w:val="0"/>
          <w:marBottom w:val="0"/>
          <w:divBdr>
            <w:top w:val="none" w:sz="0" w:space="0" w:color="auto"/>
            <w:left w:val="none" w:sz="0" w:space="0" w:color="auto"/>
            <w:bottom w:val="none" w:sz="0" w:space="0" w:color="auto"/>
            <w:right w:val="none" w:sz="0" w:space="0" w:color="auto"/>
          </w:divBdr>
        </w:div>
      </w:divsChild>
    </w:div>
    <w:div w:id="1536507665">
      <w:bodyDiv w:val="1"/>
      <w:marLeft w:val="0"/>
      <w:marRight w:val="0"/>
      <w:marTop w:val="0"/>
      <w:marBottom w:val="0"/>
      <w:divBdr>
        <w:top w:val="none" w:sz="0" w:space="0" w:color="auto"/>
        <w:left w:val="none" w:sz="0" w:space="0" w:color="auto"/>
        <w:bottom w:val="none" w:sz="0" w:space="0" w:color="auto"/>
        <w:right w:val="none" w:sz="0" w:space="0" w:color="auto"/>
      </w:divBdr>
    </w:div>
    <w:div w:id="1549872344">
      <w:bodyDiv w:val="1"/>
      <w:marLeft w:val="0"/>
      <w:marRight w:val="0"/>
      <w:marTop w:val="0"/>
      <w:marBottom w:val="0"/>
      <w:divBdr>
        <w:top w:val="none" w:sz="0" w:space="0" w:color="auto"/>
        <w:left w:val="none" w:sz="0" w:space="0" w:color="auto"/>
        <w:bottom w:val="none" w:sz="0" w:space="0" w:color="auto"/>
        <w:right w:val="none" w:sz="0" w:space="0" w:color="auto"/>
      </w:divBdr>
    </w:div>
    <w:div w:id="1570188402">
      <w:bodyDiv w:val="1"/>
      <w:marLeft w:val="0"/>
      <w:marRight w:val="0"/>
      <w:marTop w:val="0"/>
      <w:marBottom w:val="0"/>
      <w:divBdr>
        <w:top w:val="none" w:sz="0" w:space="0" w:color="auto"/>
        <w:left w:val="none" w:sz="0" w:space="0" w:color="auto"/>
        <w:bottom w:val="none" w:sz="0" w:space="0" w:color="auto"/>
        <w:right w:val="none" w:sz="0" w:space="0" w:color="auto"/>
      </w:divBdr>
      <w:divsChild>
        <w:div w:id="1047681391">
          <w:blockQuote w:val="1"/>
          <w:marLeft w:val="720"/>
          <w:marRight w:val="720"/>
          <w:marTop w:val="100"/>
          <w:marBottom w:val="100"/>
          <w:divBdr>
            <w:top w:val="none" w:sz="0" w:space="0" w:color="auto"/>
            <w:left w:val="none" w:sz="0" w:space="0" w:color="auto"/>
            <w:bottom w:val="none" w:sz="0" w:space="0" w:color="auto"/>
            <w:right w:val="none" w:sz="0" w:space="0" w:color="auto"/>
          </w:divBdr>
        </w:div>
        <w:div w:id="1871146088">
          <w:blockQuote w:val="1"/>
          <w:marLeft w:val="720"/>
          <w:marRight w:val="720"/>
          <w:marTop w:val="100"/>
          <w:marBottom w:val="100"/>
          <w:divBdr>
            <w:top w:val="none" w:sz="0" w:space="0" w:color="auto"/>
            <w:left w:val="none" w:sz="0" w:space="0" w:color="auto"/>
            <w:bottom w:val="none" w:sz="0" w:space="0" w:color="auto"/>
            <w:right w:val="none" w:sz="0" w:space="0" w:color="auto"/>
          </w:divBdr>
        </w:div>
        <w:div w:id="427387847">
          <w:blockQuote w:val="1"/>
          <w:marLeft w:val="720"/>
          <w:marRight w:val="720"/>
          <w:marTop w:val="100"/>
          <w:marBottom w:val="100"/>
          <w:divBdr>
            <w:top w:val="none" w:sz="0" w:space="0" w:color="auto"/>
            <w:left w:val="none" w:sz="0" w:space="0" w:color="auto"/>
            <w:bottom w:val="none" w:sz="0" w:space="0" w:color="auto"/>
            <w:right w:val="none" w:sz="0" w:space="0" w:color="auto"/>
          </w:divBdr>
        </w:div>
        <w:div w:id="1319773198">
          <w:blockQuote w:val="1"/>
          <w:marLeft w:val="720"/>
          <w:marRight w:val="720"/>
          <w:marTop w:val="100"/>
          <w:marBottom w:val="100"/>
          <w:divBdr>
            <w:top w:val="none" w:sz="0" w:space="0" w:color="auto"/>
            <w:left w:val="none" w:sz="0" w:space="0" w:color="auto"/>
            <w:bottom w:val="none" w:sz="0" w:space="0" w:color="auto"/>
            <w:right w:val="none" w:sz="0" w:space="0" w:color="auto"/>
          </w:divBdr>
        </w:div>
        <w:div w:id="991373041">
          <w:blockQuote w:val="1"/>
          <w:marLeft w:val="720"/>
          <w:marRight w:val="720"/>
          <w:marTop w:val="100"/>
          <w:marBottom w:val="100"/>
          <w:divBdr>
            <w:top w:val="none" w:sz="0" w:space="0" w:color="auto"/>
            <w:left w:val="none" w:sz="0" w:space="0" w:color="auto"/>
            <w:bottom w:val="none" w:sz="0" w:space="0" w:color="auto"/>
            <w:right w:val="none" w:sz="0" w:space="0" w:color="auto"/>
          </w:divBdr>
        </w:div>
        <w:div w:id="13543804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72471932">
      <w:bodyDiv w:val="1"/>
      <w:marLeft w:val="0"/>
      <w:marRight w:val="0"/>
      <w:marTop w:val="0"/>
      <w:marBottom w:val="0"/>
      <w:divBdr>
        <w:top w:val="none" w:sz="0" w:space="0" w:color="auto"/>
        <w:left w:val="none" w:sz="0" w:space="0" w:color="auto"/>
        <w:bottom w:val="none" w:sz="0" w:space="0" w:color="auto"/>
        <w:right w:val="none" w:sz="0" w:space="0" w:color="auto"/>
      </w:divBdr>
    </w:div>
    <w:div w:id="1599562387">
      <w:bodyDiv w:val="1"/>
      <w:marLeft w:val="0"/>
      <w:marRight w:val="0"/>
      <w:marTop w:val="0"/>
      <w:marBottom w:val="0"/>
      <w:divBdr>
        <w:top w:val="none" w:sz="0" w:space="0" w:color="auto"/>
        <w:left w:val="none" w:sz="0" w:space="0" w:color="auto"/>
        <w:bottom w:val="none" w:sz="0" w:space="0" w:color="auto"/>
        <w:right w:val="none" w:sz="0" w:space="0" w:color="auto"/>
      </w:divBdr>
    </w:div>
    <w:div w:id="1599869063">
      <w:bodyDiv w:val="1"/>
      <w:marLeft w:val="0"/>
      <w:marRight w:val="0"/>
      <w:marTop w:val="0"/>
      <w:marBottom w:val="0"/>
      <w:divBdr>
        <w:top w:val="none" w:sz="0" w:space="0" w:color="auto"/>
        <w:left w:val="none" w:sz="0" w:space="0" w:color="auto"/>
        <w:bottom w:val="none" w:sz="0" w:space="0" w:color="auto"/>
        <w:right w:val="none" w:sz="0" w:space="0" w:color="auto"/>
      </w:divBdr>
    </w:div>
    <w:div w:id="1600523224">
      <w:bodyDiv w:val="1"/>
      <w:marLeft w:val="0"/>
      <w:marRight w:val="0"/>
      <w:marTop w:val="0"/>
      <w:marBottom w:val="0"/>
      <w:divBdr>
        <w:top w:val="none" w:sz="0" w:space="0" w:color="auto"/>
        <w:left w:val="none" w:sz="0" w:space="0" w:color="auto"/>
        <w:bottom w:val="none" w:sz="0" w:space="0" w:color="auto"/>
        <w:right w:val="none" w:sz="0" w:space="0" w:color="auto"/>
      </w:divBdr>
    </w:div>
    <w:div w:id="1608465463">
      <w:bodyDiv w:val="1"/>
      <w:marLeft w:val="0"/>
      <w:marRight w:val="0"/>
      <w:marTop w:val="0"/>
      <w:marBottom w:val="0"/>
      <w:divBdr>
        <w:top w:val="none" w:sz="0" w:space="0" w:color="auto"/>
        <w:left w:val="none" w:sz="0" w:space="0" w:color="auto"/>
        <w:bottom w:val="none" w:sz="0" w:space="0" w:color="auto"/>
        <w:right w:val="none" w:sz="0" w:space="0" w:color="auto"/>
      </w:divBdr>
    </w:div>
    <w:div w:id="1613585460">
      <w:bodyDiv w:val="1"/>
      <w:marLeft w:val="0"/>
      <w:marRight w:val="0"/>
      <w:marTop w:val="0"/>
      <w:marBottom w:val="0"/>
      <w:divBdr>
        <w:top w:val="none" w:sz="0" w:space="0" w:color="auto"/>
        <w:left w:val="none" w:sz="0" w:space="0" w:color="auto"/>
        <w:bottom w:val="none" w:sz="0" w:space="0" w:color="auto"/>
        <w:right w:val="none" w:sz="0" w:space="0" w:color="auto"/>
      </w:divBdr>
    </w:div>
    <w:div w:id="1615821581">
      <w:bodyDiv w:val="1"/>
      <w:marLeft w:val="0"/>
      <w:marRight w:val="0"/>
      <w:marTop w:val="0"/>
      <w:marBottom w:val="0"/>
      <w:divBdr>
        <w:top w:val="none" w:sz="0" w:space="0" w:color="auto"/>
        <w:left w:val="none" w:sz="0" w:space="0" w:color="auto"/>
        <w:bottom w:val="none" w:sz="0" w:space="0" w:color="auto"/>
        <w:right w:val="none" w:sz="0" w:space="0" w:color="auto"/>
      </w:divBdr>
    </w:div>
    <w:div w:id="1629581171">
      <w:bodyDiv w:val="1"/>
      <w:marLeft w:val="0"/>
      <w:marRight w:val="0"/>
      <w:marTop w:val="0"/>
      <w:marBottom w:val="0"/>
      <w:divBdr>
        <w:top w:val="none" w:sz="0" w:space="0" w:color="auto"/>
        <w:left w:val="none" w:sz="0" w:space="0" w:color="auto"/>
        <w:bottom w:val="none" w:sz="0" w:space="0" w:color="auto"/>
        <w:right w:val="none" w:sz="0" w:space="0" w:color="auto"/>
      </w:divBdr>
    </w:div>
    <w:div w:id="1641417290">
      <w:bodyDiv w:val="1"/>
      <w:marLeft w:val="0"/>
      <w:marRight w:val="0"/>
      <w:marTop w:val="0"/>
      <w:marBottom w:val="0"/>
      <w:divBdr>
        <w:top w:val="none" w:sz="0" w:space="0" w:color="auto"/>
        <w:left w:val="none" w:sz="0" w:space="0" w:color="auto"/>
        <w:bottom w:val="none" w:sz="0" w:space="0" w:color="auto"/>
        <w:right w:val="none" w:sz="0" w:space="0" w:color="auto"/>
      </w:divBdr>
    </w:div>
    <w:div w:id="1674644330">
      <w:bodyDiv w:val="1"/>
      <w:marLeft w:val="0"/>
      <w:marRight w:val="0"/>
      <w:marTop w:val="0"/>
      <w:marBottom w:val="0"/>
      <w:divBdr>
        <w:top w:val="none" w:sz="0" w:space="0" w:color="auto"/>
        <w:left w:val="none" w:sz="0" w:space="0" w:color="auto"/>
        <w:bottom w:val="none" w:sz="0" w:space="0" w:color="auto"/>
        <w:right w:val="none" w:sz="0" w:space="0" w:color="auto"/>
      </w:divBdr>
    </w:div>
    <w:div w:id="1687095857">
      <w:bodyDiv w:val="1"/>
      <w:marLeft w:val="0"/>
      <w:marRight w:val="0"/>
      <w:marTop w:val="0"/>
      <w:marBottom w:val="0"/>
      <w:divBdr>
        <w:top w:val="none" w:sz="0" w:space="0" w:color="auto"/>
        <w:left w:val="none" w:sz="0" w:space="0" w:color="auto"/>
        <w:bottom w:val="none" w:sz="0" w:space="0" w:color="auto"/>
        <w:right w:val="none" w:sz="0" w:space="0" w:color="auto"/>
      </w:divBdr>
    </w:div>
    <w:div w:id="1691683792">
      <w:bodyDiv w:val="1"/>
      <w:marLeft w:val="0"/>
      <w:marRight w:val="0"/>
      <w:marTop w:val="0"/>
      <w:marBottom w:val="0"/>
      <w:divBdr>
        <w:top w:val="none" w:sz="0" w:space="0" w:color="auto"/>
        <w:left w:val="none" w:sz="0" w:space="0" w:color="auto"/>
        <w:bottom w:val="none" w:sz="0" w:space="0" w:color="auto"/>
        <w:right w:val="none" w:sz="0" w:space="0" w:color="auto"/>
      </w:divBdr>
    </w:div>
    <w:div w:id="1697850655">
      <w:bodyDiv w:val="1"/>
      <w:marLeft w:val="0"/>
      <w:marRight w:val="0"/>
      <w:marTop w:val="0"/>
      <w:marBottom w:val="0"/>
      <w:divBdr>
        <w:top w:val="none" w:sz="0" w:space="0" w:color="auto"/>
        <w:left w:val="none" w:sz="0" w:space="0" w:color="auto"/>
        <w:bottom w:val="none" w:sz="0" w:space="0" w:color="auto"/>
        <w:right w:val="none" w:sz="0" w:space="0" w:color="auto"/>
      </w:divBdr>
    </w:div>
    <w:div w:id="1708262174">
      <w:bodyDiv w:val="1"/>
      <w:marLeft w:val="0"/>
      <w:marRight w:val="0"/>
      <w:marTop w:val="0"/>
      <w:marBottom w:val="0"/>
      <w:divBdr>
        <w:top w:val="none" w:sz="0" w:space="0" w:color="auto"/>
        <w:left w:val="none" w:sz="0" w:space="0" w:color="auto"/>
        <w:bottom w:val="none" w:sz="0" w:space="0" w:color="auto"/>
        <w:right w:val="none" w:sz="0" w:space="0" w:color="auto"/>
      </w:divBdr>
    </w:div>
    <w:div w:id="1758166377">
      <w:bodyDiv w:val="1"/>
      <w:marLeft w:val="0"/>
      <w:marRight w:val="0"/>
      <w:marTop w:val="0"/>
      <w:marBottom w:val="0"/>
      <w:divBdr>
        <w:top w:val="none" w:sz="0" w:space="0" w:color="auto"/>
        <w:left w:val="none" w:sz="0" w:space="0" w:color="auto"/>
        <w:bottom w:val="none" w:sz="0" w:space="0" w:color="auto"/>
        <w:right w:val="none" w:sz="0" w:space="0" w:color="auto"/>
      </w:divBdr>
    </w:div>
    <w:div w:id="1759523115">
      <w:bodyDiv w:val="1"/>
      <w:marLeft w:val="0"/>
      <w:marRight w:val="0"/>
      <w:marTop w:val="0"/>
      <w:marBottom w:val="0"/>
      <w:divBdr>
        <w:top w:val="none" w:sz="0" w:space="0" w:color="auto"/>
        <w:left w:val="none" w:sz="0" w:space="0" w:color="auto"/>
        <w:bottom w:val="none" w:sz="0" w:space="0" w:color="auto"/>
        <w:right w:val="none" w:sz="0" w:space="0" w:color="auto"/>
      </w:divBdr>
    </w:div>
    <w:div w:id="1763332893">
      <w:bodyDiv w:val="1"/>
      <w:marLeft w:val="0"/>
      <w:marRight w:val="0"/>
      <w:marTop w:val="0"/>
      <w:marBottom w:val="0"/>
      <w:divBdr>
        <w:top w:val="none" w:sz="0" w:space="0" w:color="auto"/>
        <w:left w:val="none" w:sz="0" w:space="0" w:color="auto"/>
        <w:bottom w:val="none" w:sz="0" w:space="0" w:color="auto"/>
        <w:right w:val="none" w:sz="0" w:space="0" w:color="auto"/>
      </w:divBdr>
      <w:divsChild>
        <w:div w:id="524947727">
          <w:marLeft w:val="0"/>
          <w:marRight w:val="0"/>
          <w:marTop w:val="0"/>
          <w:marBottom w:val="0"/>
          <w:divBdr>
            <w:top w:val="none" w:sz="0" w:space="0" w:color="auto"/>
            <w:left w:val="none" w:sz="0" w:space="0" w:color="auto"/>
            <w:bottom w:val="none" w:sz="0" w:space="0" w:color="auto"/>
            <w:right w:val="none" w:sz="0" w:space="0" w:color="auto"/>
          </w:divBdr>
        </w:div>
      </w:divsChild>
    </w:div>
    <w:div w:id="1807506059">
      <w:bodyDiv w:val="1"/>
      <w:marLeft w:val="0"/>
      <w:marRight w:val="0"/>
      <w:marTop w:val="0"/>
      <w:marBottom w:val="0"/>
      <w:divBdr>
        <w:top w:val="none" w:sz="0" w:space="0" w:color="auto"/>
        <w:left w:val="none" w:sz="0" w:space="0" w:color="auto"/>
        <w:bottom w:val="none" w:sz="0" w:space="0" w:color="auto"/>
        <w:right w:val="none" w:sz="0" w:space="0" w:color="auto"/>
      </w:divBdr>
    </w:div>
    <w:div w:id="1813055308">
      <w:bodyDiv w:val="1"/>
      <w:marLeft w:val="0"/>
      <w:marRight w:val="0"/>
      <w:marTop w:val="0"/>
      <w:marBottom w:val="0"/>
      <w:divBdr>
        <w:top w:val="none" w:sz="0" w:space="0" w:color="auto"/>
        <w:left w:val="none" w:sz="0" w:space="0" w:color="auto"/>
        <w:bottom w:val="none" w:sz="0" w:space="0" w:color="auto"/>
        <w:right w:val="none" w:sz="0" w:space="0" w:color="auto"/>
      </w:divBdr>
      <w:divsChild>
        <w:div w:id="1227301359">
          <w:marLeft w:val="0"/>
          <w:marRight w:val="0"/>
          <w:marTop w:val="0"/>
          <w:marBottom w:val="0"/>
          <w:divBdr>
            <w:top w:val="none" w:sz="0" w:space="0" w:color="auto"/>
            <w:left w:val="none" w:sz="0" w:space="0" w:color="auto"/>
            <w:bottom w:val="none" w:sz="0" w:space="0" w:color="auto"/>
            <w:right w:val="none" w:sz="0" w:space="0" w:color="auto"/>
          </w:divBdr>
        </w:div>
      </w:divsChild>
    </w:div>
    <w:div w:id="1819960599">
      <w:bodyDiv w:val="1"/>
      <w:marLeft w:val="0"/>
      <w:marRight w:val="0"/>
      <w:marTop w:val="0"/>
      <w:marBottom w:val="0"/>
      <w:divBdr>
        <w:top w:val="none" w:sz="0" w:space="0" w:color="auto"/>
        <w:left w:val="none" w:sz="0" w:space="0" w:color="auto"/>
        <w:bottom w:val="none" w:sz="0" w:space="0" w:color="auto"/>
        <w:right w:val="none" w:sz="0" w:space="0" w:color="auto"/>
      </w:divBdr>
    </w:div>
    <w:div w:id="1822690170">
      <w:bodyDiv w:val="1"/>
      <w:marLeft w:val="0"/>
      <w:marRight w:val="0"/>
      <w:marTop w:val="0"/>
      <w:marBottom w:val="0"/>
      <w:divBdr>
        <w:top w:val="none" w:sz="0" w:space="0" w:color="auto"/>
        <w:left w:val="none" w:sz="0" w:space="0" w:color="auto"/>
        <w:bottom w:val="none" w:sz="0" w:space="0" w:color="auto"/>
        <w:right w:val="none" w:sz="0" w:space="0" w:color="auto"/>
      </w:divBdr>
    </w:div>
    <w:div w:id="1847548078">
      <w:bodyDiv w:val="1"/>
      <w:marLeft w:val="0"/>
      <w:marRight w:val="0"/>
      <w:marTop w:val="0"/>
      <w:marBottom w:val="0"/>
      <w:divBdr>
        <w:top w:val="none" w:sz="0" w:space="0" w:color="auto"/>
        <w:left w:val="none" w:sz="0" w:space="0" w:color="auto"/>
        <w:bottom w:val="none" w:sz="0" w:space="0" w:color="auto"/>
        <w:right w:val="none" w:sz="0" w:space="0" w:color="auto"/>
      </w:divBdr>
    </w:div>
    <w:div w:id="1849979222">
      <w:bodyDiv w:val="1"/>
      <w:marLeft w:val="0"/>
      <w:marRight w:val="0"/>
      <w:marTop w:val="0"/>
      <w:marBottom w:val="0"/>
      <w:divBdr>
        <w:top w:val="none" w:sz="0" w:space="0" w:color="auto"/>
        <w:left w:val="none" w:sz="0" w:space="0" w:color="auto"/>
        <w:bottom w:val="none" w:sz="0" w:space="0" w:color="auto"/>
        <w:right w:val="none" w:sz="0" w:space="0" w:color="auto"/>
      </w:divBdr>
    </w:div>
    <w:div w:id="1889803716">
      <w:bodyDiv w:val="1"/>
      <w:marLeft w:val="0"/>
      <w:marRight w:val="0"/>
      <w:marTop w:val="0"/>
      <w:marBottom w:val="0"/>
      <w:divBdr>
        <w:top w:val="none" w:sz="0" w:space="0" w:color="auto"/>
        <w:left w:val="none" w:sz="0" w:space="0" w:color="auto"/>
        <w:bottom w:val="none" w:sz="0" w:space="0" w:color="auto"/>
        <w:right w:val="none" w:sz="0" w:space="0" w:color="auto"/>
      </w:divBdr>
      <w:divsChild>
        <w:div w:id="932053008">
          <w:marLeft w:val="0"/>
          <w:marRight w:val="0"/>
          <w:marTop w:val="0"/>
          <w:marBottom w:val="0"/>
          <w:divBdr>
            <w:top w:val="none" w:sz="0" w:space="0" w:color="auto"/>
            <w:left w:val="none" w:sz="0" w:space="0" w:color="auto"/>
            <w:bottom w:val="none" w:sz="0" w:space="0" w:color="auto"/>
            <w:right w:val="none" w:sz="0" w:space="0" w:color="auto"/>
          </w:divBdr>
        </w:div>
      </w:divsChild>
    </w:div>
    <w:div w:id="1897356208">
      <w:bodyDiv w:val="1"/>
      <w:marLeft w:val="0"/>
      <w:marRight w:val="0"/>
      <w:marTop w:val="0"/>
      <w:marBottom w:val="0"/>
      <w:divBdr>
        <w:top w:val="none" w:sz="0" w:space="0" w:color="auto"/>
        <w:left w:val="none" w:sz="0" w:space="0" w:color="auto"/>
        <w:bottom w:val="none" w:sz="0" w:space="0" w:color="auto"/>
        <w:right w:val="none" w:sz="0" w:space="0" w:color="auto"/>
      </w:divBdr>
      <w:divsChild>
        <w:div w:id="1809010149">
          <w:marLeft w:val="0"/>
          <w:marRight w:val="0"/>
          <w:marTop w:val="0"/>
          <w:marBottom w:val="0"/>
          <w:divBdr>
            <w:top w:val="none" w:sz="0" w:space="0" w:color="auto"/>
            <w:left w:val="none" w:sz="0" w:space="0" w:color="auto"/>
            <w:bottom w:val="none" w:sz="0" w:space="0" w:color="auto"/>
            <w:right w:val="none" w:sz="0" w:space="0" w:color="auto"/>
          </w:divBdr>
        </w:div>
      </w:divsChild>
    </w:div>
    <w:div w:id="1916015972">
      <w:bodyDiv w:val="1"/>
      <w:marLeft w:val="0"/>
      <w:marRight w:val="0"/>
      <w:marTop w:val="0"/>
      <w:marBottom w:val="0"/>
      <w:divBdr>
        <w:top w:val="none" w:sz="0" w:space="0" w:color="auto"/>
        <w:left w:val="none" w:sz="0" w:space="0" w:color="auto"/>
        <w:bottom w:val="none" w:sz="0" w:space="0" w:color="auto"/>
        <w:right w:val="none" w:sz="0" w:space="0" w:color="auto"/>
      </w:divBdr>
    </w:div>
    <w:div w:id="1933930489">
      <w:bodyDiv w:val="1"/>
      <w:marLeft w:val="0"/>
      <w:marRight w:val="0"/>
      <w:marTop w:val="0"/>
      <w:marBottom w:val="0"/>
      <w:divBdr>
        <w:top w:val="none" w:sz="0" w:space="0" w:color="auto"/>
        <w:left w:val="none" w:sz="0" w:space="0" w:color="auto"/>
        <w:bottom w:val="none" w:sz="0" w:space="0" w:color="auto"/>
        <w:right w:val="none" w:sz="0" w:space="0" w:color="auto"/>
      </w:divBdr>
    </w:div>
    <w:div w:id="1939215424">
      <w:bodyDiv w:val="1"/>
      <w:marLeft w:val="0"/>
      <w:marRight w:val="0"/>
      <w:marTop w:val="0"/>
      <w:marBottom w:val="0"/>
      <w:divBdr>
        <w:top w:val="none" w:sz="0" w:space="0" w:color="auto"/>
        <w:left w:val="none" w:sz="0" w:space="0" w:color="auto"/>
        <w:bottom w:val="none" w:sz="0" w:space="0" w:color="auto"/>
        <w:right w:val="none" w:sz="0" w:space="0" w:color="auto"/>
      </w:divBdr>
    </w:div>
    <w:div w:id="1942762174">
      <w:bodyDiv w:val="1"/>
      <w:marLeft w:val="0"/>
      <w:marRight w:val="0"/>
      <w:marTop w:val="0"/>
      <w:marBottom w:val="0"/>
      <w:divBdr>
        <w:top w:val="none" w:sz="0" w:space="0" w:color="auto"/>
        <w:left w:val="none" w:sz="0" w:space="0" w:color="auto"/>
        <w:bottom w:val="none" w:sz="0" w:space="0" w:color="auto"/>
        <w:right w:val="none" w:sz="0" w:space="0" w:color="auto"/>
      </w:divBdr>
    </w:div>
    <w:div w:id="1943683594">
      <w:bodyDiv w:val="1"/>
      <w:marLeft w:val="0"/>
      <w:marRight w:val="0"/>
      <w:marTop w:val="0"/>
      <w:marBottom w:val="0"/>
      <w:divBdr>
        <w:top w:val="none" w:sz="0" w:space="0" w:color="auto"/>
        <w:left w:val="none" w:sz="0" w:space="0" w:color="auto"/>
        <w:bottom w:val="none" w:sz="0" w:space="0" w:color="auto"/>
        <w:right w:val="none" w:sz="0" w:space="0" w:color="auto"/>
      </w:divBdr>
    </w:div>
    <w:div w:id="1972443296">
      <w:bodyDiv w:val="1"/>
      <w:marLeft w:val="0"/>
      <w:marRight w:val="0"/>
      <w:marTop w:val="0"/>
      <w:marBottom w:val="0"/>
      <w:divBdr>
        <w:top w:val="none" w:sz="0" w:space="0" w:color="auto"/>
        <w:left w:val="none" w:sz="0" w:space="0" w:color="auto"/>
        <w:bottom w:val="none" w:sz="0" w:space="0" w:color="auto"/>
        <w:right w:val="none" w:sz="0" w:space="0" w:color="auto"/>
      </w:divBdr>
    </w:div>
    <w:div w:id="1990396818">
      <w:bodyDiv w:val="1"/>
      <w:marLeft w:val="0"/>
      <w:marRight w:val="0"/>
      <w:marTop w:val="0"/>
      <w:marBottom w:val="0"/>
      <w:divBdr>
        <w:top w:val="none" w:sz="0" w:space="0" w:color="auto"/>
        <w:left w:val="none" w:sz="0" w:space="0" w:color="auto"/>
        <w:bottom w:val="none" w:sz="0" w:space="0" w:color="auto"/>
        <w:right w:val="none" w:sz="0" w:space="0" w:color="auto"/>
      </w:divBdr>
    </w:div>
    <w:div w:id="2029215080">
      <w:bodyDiv w:val="1"/>
      <w:marLeft w:val="0"/>
      <w:marRight w:val="0"/>
      <w:marTop w:val="0"/>
      <w:marBottom w:val="0"/>
      <w:divBdr>
        <w:top w:val="none" w:sz="0" w:space="0" w:color="auto"/>
        <w:left w:val="none" w:sz="0" w:space="0" w:color="auto"/>
        <w:bottom w:val="none" w:sz="0" w:space="0" w:color="auto"/>
        <w:right w:val="none" w:sz="0" w:space="0" w:color="auto"/>
      </w:divBdr>
    </w:div>
    <w:div w:id="2037655317">
      <w:bodyDiv w:val="1"/>
      <w:marLeft w:val="0"/>
      <w:marRight w:val="0"/>
      <w:marTop w:val="0"/>
      <w:marBottom w:val="0"/>
      <w:divBdr>
        <w:top w:val="none" w:sz="0" w:space="0" w:color="auto"/>
        <w:left w:val="none" w:sz="0" w:space="0" w:color="auto"/>
        <w:bottom w:val="none" w:sz="0" w:space="0" w:color="auto"/>
        <w:right w:val="none" w:sz="0" w:space="0" w:color="auto"/>
      </w:divBdr>
    </w:div>
    <w:div w:id="2048135542">
      <w:bodyDiv w:val="1"/>
      <w:marLeft w:val="0"/>
      <w:marRight w:val="0"/>
      <w:marTop w:val="0"/>
      <w:marBottom w:val="0"/>
      <w:divBdr>
        <w:top w:val="none" w:sz="0" w:space="0" w:color="auto"/>
        <w:left w:val="none" w:sz="0" w:space="0" w:color="auto"/>
        <w:bottom w:val="none" w:sz="0" w:space="0" w:color="auto"/>
        <w:right w:val="none" w:sz="0" w:space="0" w:color="auto"/>
      </w:divBdr>
    </w:div>
    <w:div w:id="2048794357">
      <w:bodyDiv w:val="1"/>
      <w:marLeft w:val="0"/>
      <w:marRight w:val="0"/>
      <w:marTop w:val="0"/>
      <w:marBottom w:val="0"/>
      <w:divBdr>
        <w:top w:val="none" w:sz="0" w:space="0" w:color="auto"/>
        <w:left w:val="none" w:sz="0" w:space="0" w:color="auto"/>
        <w:bottom w:val="none" w:sz="0" w:space="0" w:color="auto"/>
        <w:right w:val="none" w:sz="0" w:space="0" w:color="auto"/>
      </w:divBdr>
    </w:div>
    <w:div w:id="2051299455">
      <w:bodyDiv w:val="1"/>
      <w:marLeft w:val="0"/>
      <w:marRight w:val="0"/>
      <w:marTop w:val="0"/>
      <w:marBottom w:val="0"/>
      <w:divBdr>
        <w:top w:val="none" w:sz="0" w:space="0" w:color="auto"/>
        <w:left w:val="none" w:sz="0" w:space="0" w:color="auto"/>
        <w:bottom w:val="none" w:sz="0" w:space="0" w:color="auto"/>
        <w:right w:val="none" w:sz="0" w:space="0" w:color="auto"/>
      </w:divBdr>
    </w:div>
    <w:div w:id="2065374454">
      <w:bodyDiv w:val="1"/>
      <w:marLeft w:val="0"/>
      <w:marRight w:val="0"/>
      <w:marTop w:val="0"/>
      <w:marBottom w:val="0"/>
      <w:divBdr>
        <w:top w:val="none" w:sz="0" w:space="0" w:color="auto"/>
        <w:left w:val="none" w:sz="0" w:space="0" w:color="auto"/>
        <w:bottom w:val="none" w:sz="0" w:space="0" w:color="auto"/>
        <w:right w:val="none" w:sz="0" w:space="0" w:color="auto"/>
      </w:divBdr>
    </w:div>
    <w:div w:id="2067025901">
      <w:bodyDiv w:val="1"/>
      <w:marLeft w:val="0"/>
      <w:marRight w:val="0"/>
      <w:marTop w:val="0"/>
      <w:marBottom w:val="0"/>
      <w:divBdr>
        <w:top w:val="none" w:sz="0" w:space="0" w:color="auto"/>
        <w:left w:val="none" w:sz="0" w:space="0" w:color="auto"/>
        <w:bottom w:val="none" w:sz="0" w:space="0" w:color="auto"/>
        <w:right w:val="none" w:sz="0" w:space="0" w:color="auto"/>
      </w:divBdr>
    </w:div>
    <w:div w:id="2074160437">
      <w:bodyDiv w:val="1"/>
      <w:marLeft w:val="0"/>
      <w:marRight w:val="0"/>
      <w:marTop w:val="0"/>
      <w:marBottom w:val="0"/>
      <w:divBdr>
        <w:top w:val="none" w:sz="0" w:space="0" w:color="auto"/>
        <w:left w:val="none" w:sz="0" w:space="0" w:color="auto"/>
        <w:bottom w:val="none" w:sz="0" w:space="0" w:color="auto"/>
        <w:right w:val="none" w:sz="0" w:space="0" w:color="auto"/>
      </w:divBdr>
    </w:div>
    <w:div w:id="2091342544">
      <w:bodyDiv w:val="1"/>
      <w:marLeft w:val="0"/>
      <w:marRight w:val="0"/>
      <w:marTop w:val="0"/>
      <w:marBottom w:val="0"/>
      <w:divBdr>
        <w:top w:val="none" w:sz="0" w:space="0" w:color="auto"/>
        <w:left w:val="none" w:sz="0" w:space="0" w:color="auto"/>
        <w:bottom w:val="none" w:sz="0" w:space="0" w:color="auto"/>
        <w:right w:val="none" w:sz="0" w:space="0" w:color="auto"/>
      </w:divBdr>
      <w:divsChild>
        <w:div w:id="385763416">
          <w:marLeft w:val="0"/>
          <w:marRight w:val="0"/>
          <w:marTop w:val="0"/>
          <w:marBottom w:val="0"/>
          <w:divBdr>
            <w:top w:val="none" w:sz="0" w:space="0" w:color="auto"/>
            <w:left w:val="none" w:sz="0" w:space="0" w:color="auto"/>
            <w:bottom w:val="none" w:sz="0" w:space="0" w:color="auto"/>
            <w:right w:val="none" w:sz="0" w:space="0" w:color="auto"/>
          </w:divBdr>
        </w:div>
      </w:divsChild>
    </w:div>
    <w:div w:id="2091729296">
      <w:bodyDiv w:val="1"/>
      <w:marLeft w:val="0"/>
      <w:marRight w:val="0"/>
      <w:marTop w:val="0"/>
      <w:marBottom w:val="0"/>
      <w:divBdr>
        <w:top w:val="none" w:sz="0" w:space="0" w:color="auto"/>
        <w:left w:val="none" w:sz="0" w:space="0" w:color="auto"/>
        <w:bottom w:val="none" w:sz="0" w:space="0" w:color="auto"/>
        <w:right w:val="none" w:sz="0" w:space="0" w:color="auto"/>
      </w:divBdr>
    </w:div>
    <w:div w:id="2119988357">
      <w:bodyDiv w:val="1"/>
      <w:marLeft w:val="0"/>
      <w:marRight w:val="0"/>
      <w:marTop w:val="0"/>
      <w:marBottom w:val="0"/>
      <w:divBdr>
        <w:top w:val="none" w:sz="0" w:space="0" w:color="auto"/>
        <w:left w:val="none" w:sz="0" w:space="0" w:color="auto"/>
        <w:bottom w:val="none" w:sz="0" w:space="0" w:color="auto"/>
        <w:right w:val="none" w:sz="0" w:space="0" w:color="auto"/>
      </w:divBdr>
      <w:divsChild>
        <w:div w:id="138532719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pubhtml5.com/enuk/cykh/Creswell_and_Poth%2C_2018%2C_Qualitative_Inquiry_4th/" TargetMode="External"/><Relationship Id="rId21"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42" Type="http://schemas.openxmlformats.org/officeDocument/2006/relationships/hyperlink" Target="https://www.thelancet.com/journals/lanpub/article/PIIS2468-2667(17)30118-4/fulltext" TargetMode="External"/><Relationship Id="rId47" Type="http://schemas.openxmlformats.org/officeDocument/2006/relationships/hyperlink" Target="https://www.theworkfoundation.com/" TargetMode="External"/><Relationship Id="rId63" Type="http://schemas.openxmlformats.org/officeDocument/2006/relationships/hyperlink" Target="https://www.gov.uk/government/statistics/substance-misuse-treatment-for-adults-statistics-2020-to-2021" TargetMode="External"/><Relationship Id="rId68" Type="http://schemas.openxmlformats.org/officeDocument/2006/relationships/hyperlink" Target="https://doi.org/10.1016/j.addbeh.2018.08.036" TargetMode="External"/><Relationship Id="rId84" Type="http://schemas.openxmlformats.org/officeDocument/2006/relationships/theme" Target="theme/theme1.xml"/><Relationship Id="rId16" Type="http://schemas.openxmlformats.org/officeDocument/2006/relationships/hyperlink" Target="https://assets.publishing.service.gov.uk/media/60eef5588fa8f50c768386fd/independent-review-of-drugs-part-2-annexes.pdf" TargetMode="External"/><Relationship Id="rId11" Type="http://schemas.openxmlformats.org/officeDocument/2006/relationships/hyperlink" Target="https://doi.org/10.2307/jj.26193249" TargetMode="External"/><Relationship Id="rId32" Type="http://schemas.openxmlformats.org/officeDocument/2006/relationships/hyperlink" Target="https://doi.org/10.1086/382250" TargetMode="External"/><Relationship Id="rId37" Type="http://schemas.openxmlformats.org/officeDocument/2006/relationships/hyperlink" Target="https://doi.org/10.2307/1140513" TargetMode="External"/><Relationship Id="rId53" Type="http://schemas.openxmlformats.org/officeDocument/2006/relationships/hyperlink" Target="https://doi:10.1016/j.dadr.2022.100028" TargetMode="External"/><Relationship Id="rId58" Type="http://schemas.openxmlformats.org/officeDocument/2006/relationships/hyperlink" Target="https://www.longtermplan.nhs.uk/" TargetMode="External"/><Relationship Id="rId74" Type="http://schemas.openxmlformats.org/officeDocument/2006/relationships/hyperlink" Target="https://www.unodc.org/unodc/en/data-and-analysis/world-drug-report-2022.html?utm_source=chatgpt.com" TargetMode="External"/><Relationship Id="rId79" Type="http://schemas.openxmlformats.org/officeDocument/2006/relationships/hyperlink" Target="https://www.who.int/publications/i/item/9241544686" TargetMode="External"/><Relationship Id="rId5" Type="http://schemas.openxmlformats.org/officeDocument/2006/relationships/webSettings" Target="webSettings.xml"/><Relationship Id="rId61" Type="http://schemas.openxmlformats.org/officeDocument/2006/relationships/hyperlink" Target="https://doi.org/10.1136/bmj.n71" TargetMode="External"/><Relationship Id="rId82" Type="http://schemas.openxmlformats.org/officeDocument/2006/relationships/fontTable" Target="fontTable.xml"/><Relationship Id="rId19" Type="http://schemas.openxmlformats.org/officeDocument/2006/relationships/hyperlink" Target="https://books.google.co.uk/books?hl=en&amp;lr=&amp;id=Zpc3DwAAQBAJ&amp;oi=fnd&amp;pg=PP1&amp;dq=Doing+a+Systematic+Review:+A+Student&#8217;s+Guide.+2nd+ed.&amp;ots=KjI78ALSA5&amp;sig=URTqa_rqi5W6MNNWmUbT6vimRHY&amp;redir_esc=y" TargetMode="External"/><Relationship Id="rId14" Type="http://schemas.openxmlformats.org/officeDocument/2006/relationships/hyperlink" Target="https://monoskop.org/images/2/2b/Becker_Howard_Outsiders_Studies_In_The_Sociogy_Of_Deviance_1963.pdf" TargetMode="External"/><Relationship Id="rId22" Type="http://schemas.openxmlformats.org/officeDocument/2006/relationships/hyperlink" Target="https://doi.org/10.1016/S0740-5472(97)00286-9" TargetMode="External"/><Relationship Id="rId27" Type="http://schemas.openxmlformats.org/officeDocument/2006/relationships/hyperlink" Target="https://ajph.aphapublications.org/doi/full/10.2105/AJPH.2017.304187" TargetMode="External"/><Relationship Id="rId30" Type="http://schemas.openxmlformats.org/officeDocument/2006/relationships/hyperlink" Target="https://www.emcdda.europa.eu/publications/edr/trends-developments/2022_en" TargetMode="External"/><Relationship Id="rId35" Type="http://schemas.openxmlformats.org/officeDocument/2006/relationships/hyperlink" Target="https://books.google.co.uk/books?hl=en&amp;lr=&amp;id=L_YvEQAAQBAJ&amp;oi=fnd&amp;pg=PR12&amp;dq=How+to+Read+a+Paper:+the+Basics+of+Evidence-Based+Healthcare,+7th+Edition&amp;ots=F28FSKoKI1&amp;sig=c4bPEIMzeXz-DpLKNnoKfaTiYSQ&amp;redir_esc=y" TargetMode="External"/><Relationship Id="rId43" Type="http://schemas.openxmlformats.org/officeDocument/2006/relationships/hyperlink" Target="https://www.instituteofhealthequity.org/resources-reports/fair-society-healthy-lives-the-marmot-review" TargetMode="External"/><Relationship Id="rId48" Type="http://schemas.openxmlformats.org/officeDocument/2006/relationships/hyperlink" Target="https://doi:10.1080/16066359.2018.1478429" TargetMode="External"/><Relationship Id="rId56" Type="http://schemas.openxmlformats.org/officeDocument/2006/relationships/hyperlink" Target="https://www.nice.org.uk/" TargetMode="External"/><Relationship Id="rId64" Type="http://schemas.openxmlformats.org/officeDocument/2006/relationships/hyperlink" Target="https://onlinelibrary.wiley.com/doi/10.1080/09595230500102434" TargetMode="External"/><Relationship Id="rId69" Type="http://schemas.openxmlformats.org/officeDocument/2006/relationships/hyperlink" Target="https://doi.org/10.1016/j.drugpo.2018.03.030" TargetMode="External"/><Relationship Id="rId77" Type="http://schemas.openxmlformats.org/officeDocument/2006/relationships/hyperlink" Target="https://www.who.int/publications/i/item/9789240096745" TargetMode="External"/><Relationship Id="rId8" Type="http://schemas.openxmlformats.org/officeDocument/2006/relationships/image" Target="media/image1.png"/><Relationship Id="rId51" Type="http://schemas.openxmlformats.org/officeDocument/2006/relationships/hyperlink" Target="https://www.mind.org.uk/" TargetMode="External"/><Relationship Id="rId72" Type="http://schemas.openxmlformats.org/officeDocument/2006/relationships/hyperlink" Target="https://www.turning-point.co.uk/_themesdelivery/turningpoint23/assets/downloads/Reports%20and%20strategy%20page%20downloads/SUMH%20Resource%20Pack%20July%202021%20(1).pdf" TargetMode="External"/><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books.google.co.uk/books?hl=en&amp;lr=&amp;id=65W1EAAAQBAJ&amp;oi=fnd&amp;pg=PR11&amp;dq=Aveyard" TargetMode="External"/><Relationship Id="rId17" Type="http://schemas.openxmlformats.org/officeDocument/2006/relationships/hyperlink" Target="https://library.csuchico.edu/sites/default/files/craap-test.pdf" TargetMode="External"/><Relationship Id="rId25" Type="http://schemas.openxmlformats.org/officeDocument/2006/relationships/hyperlink" Target="https://www.macmillanihe.com/page/detail/Critical-Thinking-Skills/?K=9781137550507" TargetMode="External"/><Relationship Id="rId33" Type="http://schemas.openxmlformats.org/officeDocument/2006/relationships/hyperlink" Target="https://journals.library.ualberta.ca/pandpr/index.php/pandpr/article/download/19818/15336" TargetMode="External"/><Relationship Id="rId38" Type="http://schemas.openxmlformats.org/officeDocument/2006/relationships/hyperlink" Target="https://ajph.aphapublications.org/doi/10.2105/AJPH.2012.301069" TargetMode="External"/><Relationship Id="rId46" Type="http://schemas.openxmlformats.org/officeDocument/2006/relationships/hyperlink" Target="https://doi.org/10.1192/bjp.2020.242" TargetMode="External"/><Relationship Id="rId59" Type="http://schemas.openxmlformats.org/officeDocument/2006/relationships/hyperlink" Target="https://doi.org/10.1136/ebnurs-2019-103145" TargetMode="External"/><Relationship Id="rId67" Type="http://schemas.openxmlformats.org/officeDocument/2006/relationships/hyperlink" Target="https://nyaspubs.onlinelibrary.wiley.com/doi/10.1196/annals.1441.030" TargetMode="External"/><Relationship Id="rId20" Type="http://schemas.openxmlformats.org/officeDocument/2006/relationships/hyperlink" Target="https://doi.org/10.1191/1478088706qp063oa" TargetMode="External"/><Relationship Id="rId41" Type="http://schemas.openxmlformats.org/officeDocument/2006/relationships/hyperlink" Target="https://doi:10.1016/S2468-2667%20(17)30118-4" TargetMode="External"/><Relationship Id="rId54" Type="http://schemas.openxmlformats.org/officeDocument/2006/relationships/hyperlink" Target="https://doi.org/10.1016/j.dadr.2022.100028" TargetMode="External"/><Relationship Id="rId62" Type="http://schemas.openxmlformats.org/officeDocument/2006/relationships/hyperlink" Target="https://doi.org/10.1016/S2215-0366(20)30308-4" TargetMode="External"/><Relationship Id="rId70" Type="http://schemas.openxmlformats.org/officeDocument/2006/relationships/hyperlink" Target="https://link.springer.com/book/10.1007/978-3-030-25595-1" TargetMode="External"/><Relationship Id="rId75" Type="http://schemas.openxmlformats.org/officeDocument/2006/relationships/hyperlink" Target="https://www.unodc.org/unodc/en/data-and-analysis/world-drug-report-2022.html?utm_source=chatgpt.com" TargetMode="External"/><Relationship Id="rId83"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academic.oup.com/book/9780199604982" TargetMode="External"/><Relationship Id="rId23" Type="http://schemas.openxmlformats.org/officeDocument/2006/relationships/hyperlink" Target="https://doi.org/10.15123/uel.84y7v" TargetMode="External"/><Relationship Id="rId28" Type="http://schemas.openxmlformats.org/officeDocument/2006/relationships/hyperlink" Target="https://www.gov.uk/government/statistics/households-below-average-income-for-financial-years-ending-1995-to-2023/households-below-average-income-an-analysis-of-the-uk-income-distribution-fye-1995-to-fye-2023" TargetMode="External"/><Relationship Id="rId36" Type="http://schemas.openxmlformats.org/officeDocument/2006/relationships/hyperlink" Target="https://www.cato.org/publications/white-paper/drug-decriminalization-portugal-lessons-creating-fair-successful" TargetMode="External"/><Relationship Id="rId49" Type="http://schemas.openxmlformats.org/officeDocument/2006/relationships/hyperlink" Target="https://www.instituteofhealthequity.org/resources-reports/marmot-review-10-years-on/the-marmot-review-10-years-on-full-report.pdf" TargetMode="External"/><Relationship Id="rId57" Type="http://schemas.openxmlformats.org/officeDocument/2006/relationships/hyperlink" Target="https://digital.nhs.uk/data-and-information/publications" TargetMode="External"/><Relationship Id="rId10" Type="http://schemas.openxmlformats.org/officeDocument/2006/relationships/hyperlink" Target="https://alcoholchange.org.uk/facts-faqs/facts" TargetMode="External"/><Relationship Id="rId31" Type="http://schemas.openxmlformats.org/officeDocument/2006/relationships/hyperlink" Target="https://www.emcdda.europa.eu/" TargetMode="External"/><Relationship Id="rId44" Type="http://schemas.openxmlformats.org/officeDocument/2006/relationships/hyperlink" Target="https://doi.org/10.1016/j.ssmph.2022.101142" TargetMode="External"/><Relationship Id="rId52" Type="http://schemas.openxmlformats.org/officeDocument/2006/relationships/hyperlink" Target="https://www.mind.org.uk/information-support/guides-to-support-and-services/seeking-help-for-a-mental-health-problem/facing-and-overcoming-barriers/?utm_source=chatgpt.com" TargetMode="External"/><Relationship Id="rId60" Type="http://schemas.openxmlformats.org/officeDocument/2006/relationships/hyperlink" Target="https://www.ons.gov.uk/peoplepopulationandcommunity" TargetMode="External"/><Relationship Id="rId65" Type="http://schemas.openxmlformats.org/officeDocument/2006/relationships/hyperlink" Target="https://doi.org/10.5209/psic.84045" TargetMode="External"/><Relationship Id="rId73" Type="http://schemas.openxmlformats.org/officeDocument/2006/relationships/hyperlink" Target="https://www.unodc.org/res/WDR-2023/WDR23_Exsum_fin_DP.pdf" TargetMode="External"/><Relationship Id="rId78" Type="http://schemas.openxmlformats.org/officeDocument/2006/relationships/hyperlink" Target="https://www.who.int/teams/mental-health-and-substance-use/alcohol-drugs-and-addictive-behaviours/alcohol/our-activities/towards-and-action-plan-on-alcohol" TargetMode="External"/><Relationship Id="rId81" Type="http://schemas.openxmlformats.org/officeDocument/2006/relationships/footer" Target="footer2.xml"/><Relationship Id="rId4" Type="http://schemas.openxmlformats.org/officeDocument/2006/relationships/settings" Target="settings.xml"/><Relationship Id="rId9" Type="http://schemas.openxmlformats.org/officeDocument/2006/relationships/hyperlink" Target="https://pmc.ncbi.nlm.nih.gov/articles/PMC1071804/" TargetMode="External"/><Relationship Id="rId13" Type="http://schemas.openxmlformats.org/officeDocument/2006/relationships/hyperlink" Target="https://policy.bristoluniversitypress.co.uk/the-unequal-pandemic" TargetMode="External"/><Relationship Id="rId18" Type="http://schemas.openxmlformats.org/officeDocument/2006/relationships/hyperlink" Target="https://doi.org/10.53841/bpsicpr.2020.15.2.119" TargetMode="External"/><Relationship Id="rId39" Type="http://schemas.openxmlformats.org/officeDocument/2006/relationships/hyperlink" Target="https://www.legislation.gov.uk/ukpga/1971/38/contents/enacted" TargetMode="External"/><Relationship Id="rId34" Type="http://schemas.openxmlformats.org/officeDocument/2006/relationships/hyperlink" Target="https://content.e-bookshelf.de/media/reading/L-12549069-30fab85148.pdf" TargetMode="External"/><Relationship Id="rId50" Type="http://schemas.openxmlformats.org/officeDocument/2006/relationships/hyperlink" Target="https://www.mind.org.uk/" TargetMode="External"/><Relationship Id="rId55" Type="http://schemas.openxmlformats.org/officeDocument/2006/relationships/hyperlink" Target="https://www.nice.org.uk/guidance/ng58" TargetMode="External"/><Relationship Id="rId76" Type="http://schemas.openxmlformats.org/officeDocument/2006/relationships/hyperlink" Target="https://www.who.int/health-topics/social-determinants-of-health" TargetMode="External"/><Relationship Id="rId7" Type="http://schemas.openxmlformats.org/officeDocument/2006/relationships/endnotes" Target="endnotes.xml"/><Relationship Id="rId71" Type="http://schemas.openxmlformats.org/officeDocument/2006/relationships/hyperlink" Target="https://doi.org/10.1016/0277-9536(94)00435-V" TargetMode="External"/><Relationship Id="rId2" Type="http://schemas.openxmlformats.org/officeDocument/2006/relationships/numbering" Target="numbering.xml"/><Relationship Id="rId29" Type="http://schemas.openxmlformats.org/officeDocument/2006/relationships/hyperlink" Target="https://www.gov.uk/government/statistics" TargetMode="External"/><Relationship Id="rId24" Type="http://schemas.openxmlformats.org/officeDocument/2006/relationships/hyperlink" Target="https://doi.org/10.1080/17439760.2016.1262613" TargetMode="External"/><Relationship Id="rId40" Type="http://schemas.openxmlformats.org/officeDocument/2006/relationships/hyperlink" Target="https://academic.oup.com/bjc/article/50/6/999/608687" TargetMode="External"/><Relationship Id="rId45" Type="http://schemas.openxmlformats.org/officeDocument/2006/relationships/hyperlink" Target="https://harmreductionjournal.biomedcentral.com/articles/10.1186/s12954-017-0154-1" TargetMode="External"/><Relationship Id="rId66" Type="http://schemas.openxmlformats.org/officeDocument/2006/relationships/hyperlink" Target="https://onlinelibrary.wiley.com/doi/10.1111/j.1564-913X.1994.tb00553.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2BE798C6FA64A449DDDB191C5CDAE75"/>
        <w:category>
          <w:name w:val="General"/>
          <w:gallery w:val="placeholder"/>
        </w:category>
        <w:types>
          <w:type w:val="bbPlcHdr"/>
        </w:types>
        <w:behaviors>
          <w:behavior w:val="content"/>
        </w:behaviors>
        <w:guid w:val="{ABE843D4-F14F-B043-BE9D-4EBF57BC662B}"/>
      </w:docPartPr>
      <w:docPartBody>
        <w:p w:rsidR="00017483" w:rsidRDefault="00AA5D02" w:rsidP="00AA5D02">
          <w:pPr>
            <w:pStyle w:val="52BE798C6FA64A449DDDB191C5CDAE75"/>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Apple Color Emoji">
    <w:panose1 w:val="00000000000000000000"/>
    <w:charset w:val="00"/>
    <w:family w:val="auto"/>
    <w:pitch w:val="variable"/>
    <w:sig w:usb0="00000003" w:usb1="18000000" w:usb2="14000000" w:usb3="00000000" w:csb0="00000001"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D02"/>
    <w:rsid w:val="00017483"/>
    <w:rsid w:val="001C005E"/>
    <w:rsid w:val="001C6B17"/>
    <w:rsid w:val="001D2979"/>
    <w:rsid w:val="00902697"/>
    <w:rsid w:val="00AA5D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BE798C6FA64A449DDDB191C5CDAE75">
    <w:name w:val="52BE798C6FA64A449DDDB191C5CDAE75"/>
    <w:rsid w:val="00AA5D0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BECAA4E8-B340-EC4A-A2C4-D967956BE3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975</TotalTime>
  <Pages>62</Pages>
  <Words>18019</Words>
  <Characters>102710</Characters>
  <Application>Microsoft Office Word</Application>
  <DocSecurity>0</DocSecurity>
  <Lines>855</Lines>
  <Paragraphs>240</Paragraphs>
  <ScaleCrop>false</ScaleCrop>
  <HeadingPairs>
    <vt:vector size="2" baseType="variant">
      <vt:variant>
        <vt:lpstr>Title</vt:lpstr>
      </vt:variant>
      <vt:variant>
        <vt:i4>1</vt:i4>
      </vt:variant>
    </vt:vector>
  </HeadingPairs>
  <TitlesOfParts>
    <vt:vector size="1" baseType="lpstr">
      <vt:lpstr>Institute of Inner-City Learning Birmingham Campus BSc (Hons) Health and Social Care</vt:lpstr>
    </vt:vector>
  </TitlesOfParts>
  <Company/>
  <LinksUpToDate>false</LinksUpToDate>
  <CharactersWithSpaces>120489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Institute of Inner-City Learning Birmingham Campus BSc (Hons) Health and Social Care</dc:title>
  <dc:subject/>
  <dc:creator>Fawaz Yaslam (2113070)</dc:creator>
  <cp:keywords/>
  <dc:description/>
  <cp:lastModifiedBy>Fawaz Yaslam (2113070)</cp:lastModifiedBy>
  <cp:revision>105</cp:revision>
  <dcterms:created xsi:type="dcterms:W3CDTF">2025-11-05T15:45:00Z</dcterms:created>
  <dcterms:modified xsi:type="dcterms:W3CDTF">2025-11-24T02:00:00Z</dcterms:modified>
</cp:coreProperties>
</file>