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C34FA9" w14:textId="77777777" w:rsidR="00AF103C" w:rsidRDefault="00537335" w:rsidP="0031195C">
      <w:pPr>
        <w:jc w:val="center"/>
      </w:pPr>
    </w:p>
    <w:p w14:paraId="3FD402A0" w14:textId="77777777" w:rsidR="0031195C" w:rsidRDefault="0031195C" w:rsidP="0031195C">
      <w:pPr>
        <w:jc w:val="center"/>
      </w:pPr>
    </w:p>
    <w:p w14:paraId="4375941C" w14:textId="77777777" w:rsidR="0031195C" w:rsidRDefault="0031195C" w:rsidP="0031195C">
      <w:pPr>
        <w:jc w:val="center"/>
      </w:pPr>
    </w:p>
    <w:p w14:paraId="10BFC3CD" w14:textId="77777777" w:rsidR="0031195C" w:rsidRPr="0031195C" w:rsidRDefault="0031195C" w:rsidP="0031195C">
      <w:pPr>
        <w:jc w:val="center"/>
        <w:rPr>
          <w:b/>
          <w:sz w:val="36"/>
        </w:rPr>
      </w:pPr>
    </w:p>
    <w:p w14:paraId="25CB1DA1" w14:textId="77777777" w:rsidR="006112FE" w:rsidRDefault="006112FE" w:rsidP="0031195C">
      <w:pPr>
        <w:jc w:val="center"/>
        <w:rPr>
          <w:b/>
          <w:sz w:val="36"/>
        </w:rPr>
      </w:pPr>
    </w:p>
    <w:p w14:paraId="27C749D8" w14:textId="052AEC73" w:rsidR="0031195C" w:rsidRPr="0031195C" w:rsidRDefault="0031195C" w:rsidP="006112FE">
      <w:pPr>
        <w:jc w:val="center"/>
        <w:rPr>
          <w:b/>
          <w:sz w:val="36"/>
        </w:rPr>
      </w:pPr>
      <w:r w:rsidRPr="0031195C">
        <w:rPr>
          <w:b/>
          <w:sz w:val="36"/>
        </w:rPr>
        <w:t>Describe the historical and social influences that have informed our understanding of the care and treatment of clients with mental health issues.</w:t>
      </w:r>
    </w:p>
    <w:p w14:paraId="0B153501" w14:textId="4158595F" w:rsidR="0031195C" w:rsidRDefault="0031195C" w:rsidP="006112FE">
      <w:pPr>
        <w:rPr>
          <w:sz w:val="28"/>
        </w:rPr>
      </w:pPr>
    </w:p>
    <w:p w14:paraId="479F2208" w14:textId="77777777" w:rsidR="0031195C" w:rsidRDefault="0031195C" w:rsidP="0031195C">
      <w:pPr>
        <w:jc w:val="center"/>
        <w:rPr>
          <w:sz w:val="28"/>
        </w:rPr>
      </w:pPr>
    </w:p>
    <w:p w14:paraId="3EE97ADD" w14:textId="77777777" w:rsidR="0031195C" w:rsidRDefault="0031195C" w:rsidP="0031195C">
      <w:pPr>
        <w:jc w:val="center"/>
        <w:rPr>
          <w:sz w:val="28"/>
        </w:rPr>
      </w:pPr>
      <w:r>
        <w:rPr>
          <w:sz w:val="28"/>
        </w:rPr>
        <w:t>1702887</w:t>
      </w:r>
    </w:p>
    <w:p w14:paraId="1E1B4C4D" w14:textId="77777777" w:rsidR="0031195C" w:rsidRDefault="0031195C" w:rsidP="0031195C">
      <w:pPr>
        <w:jc w:val="center"/>
        <w:rPr>
          <w:sz w:val="28"/>
        </w:rPr>
      </w:pPr>
    </w:p>
    <w:p w14:paraId="184ADB8D" w14:textId="77777777" w:rsidR="0031195C" w:rsidRDefault="0031195C" w:rsidP="0031195C">
      <w:pPr>
        <w:jc w:val="center"/>
        <w:rPr>
          <w:b/>
          <w:sz w:val="32"/>
        </w:rPr>
      </w:pPr>
      <w:r w:rsidRPr="0031195C">
        <w:rPr>
          <w:b/>
          <w:sz w:val="32"/>
        </w:rPr>
        <w:t>University of Wales Trinity St. David</w:t>
      </w:r>
    </w:p>
    <w:p w14:paraId="0AD55ED5" w14:textId="77777777" w:rsidR="0031195C" w:rsidRDefault="0031195C">
      <w:pPr>
        <w:rPr>
          <w:b/>
          <w:sz w:val="32"/>
        </w:rPr>
      </w:pPr>
      <w:r>
        <w:rPr>
          <w:b/>
          <w:sz w:val="32"/>
        </w:rPr>
        <w:br w:type="page"/>
      </w:r>
    </w:p>
    <w:p w14:paraId="36A3C41B" w14:textId="1AD06CC4" w:rsidR="0031195C" w:rsidRDefault="0069641C" w:rsidP="0069641C">
      <w:pPr>
        <w:tabs>
          <w:tab w:val="left" w:pos="750"/>
        </w:tabs>
        <w:rPr>
          <w:sz w:val="28"/>
        </w:rPr>
      </w:pPr>
      <w:r>
        <w:rPr>
          <w:sz w:val="28"/>
        </w:rPr>
        <w:lastRenderedPageBreak/>
        <w:tab/>
      </w:r>
    </w:p>
    <w:p w14:paraId="43A71886" w14:textId="2423FD44" w:rsidR="0031195C" w:rsidRPr="00D503AD" w:rsidRDefault="00272544" w:rsidP="00A2585E">
      <w:pPr>
        <w:spacing w:line="480" w:lineRule="auto"/>
        <w:ind w:firstLine="720"/>
        <w:rPr>
          <w:sz w:val="24"/>
        </w:rPr>
      </w:pPr>
      <w:r w:rsidRPr="00D503AD">
        <w:rPr>
          <w:sz w:val="24"/>
        </w:rPr>
        <w:t xml:space="preserve">This essay will be </w:t>
      </w:r>
      <w:r w:rsidR="00F0212C" w:rsidRPr="00D503AD">
        <w:rPr>
          <w:sz w:val="24"/>
        </w:rPr>
        <w:t xml:space="preserve">discussing the role of gender throughout history and its effect on mental health. </w:t>
      </w:r>
      <w:r w:rsidR="007100CB" w:rsidRPr="00D503AD">
        <w:rPr>
          <w:sz w:val="24"/>
        </w:rPr>
        <w:t xml:space="preserve">This essay will be detailing the different examples of gender archetypes and stereotypes </w:t>
      </w:r>
      <w:r w:rsidR="00203488" w:rsidRPr="00D503AD">
        <w:rPr>
          <w:sz w:val="24"/>
        </w:rPr>
        <w:t>throughout history and creating links to</w:t>
      </w:r>
      <w:r w:rsidR="00634ACC" w:rsidRPr="00D503AD">
        <w:rPr>
          <w:sz w:val="24"/>
        </w:rPr>
        <w:t xml:space="preserve"> their place</w:t>
      </w:r>
      <w:r w:rsidR="0048162E">
        <w:rPr>
          <w:sz w:val="24"/>
        </w:rPr>
        <w:t xml:space="preserve"> in the mental health discussion</w:t>
      </w:r>
      <w:r w:rsidR="00634ACC" w:rsidRPr="00D503AD">
        <w:rPr>
          <w:sz w:val="24"/>
        </w:rPr>
        <w:t xml:space="preserve"> </w:t>
      </w:r>
      <w:r w:rsidR="005D3D7C" w:rsidRPr="00D503AD">
        <w:rPr>
          <w:sz w:val="24"/>
        </w:rPr>
        <w:t>today</w:t>
      </w:r>
      <w:r w:rsidR="00634ACC" w:rsidRPr="00D503AD">
        <w:rPr>
          <w:sz w:val="24"/>
        </w:rPr>
        <w:t>.</w:t>
      </w:r>
      <w:r w:rsidR="00196890">
        <w:rPr>
          <w:sz w:val="24"/>
        </w:rPr>
        <w:t xml:space="preserve"> ‘Gender role’ is defined “</w:t>
      </w:r>
      <w:r w:rsidR="00196890" w:rsidRPr="00196890">
        <w:rPr>
          <w:sz w:val="24"/>
        </w:rPr>
        <w:t>a set of expectations held by society about the ways in which men and women are supposed to behave based on their gender</w:t>
      </w:r>
      <w:r w:rsidR="00196890">
        <w:rPr>
          <w:sz w:val="24"/>
        </w:rPr>
        <w:t>”</w:t>
      </w:r>
      <w:r w:rsidR="005D3D7C">
        <w:rPr>
          <w:sz w:val="24"/>
        </w:rPr>
        <w:t xml:space="preserve"> (Alleydog.com, n.d)</w:t>
      </w:r>
      <w:r w:rsidR="0048162E">
        <w:rPr>
          <w:sz w:val="24"/>
        </w:rPr>
        <w:t xml:space="preserve">. Women especially in history have been </w:t>
      </w:r>
      <w:r w:rsidR="00EE101E">
        <w:rPr>
          <w:sz w:val="24"/>
        </w:rPr>
        <w:t xml:space="preserve">expected to be subservient to men, meek, emotionless, but also clever, warm, </w:t>
      </w:r>
      <w:r w:rsidR="002B4EC2">
        <w:rPr>
          <w:sz w:val="24"/>
        </w:rPr>
        <w:t>and motherly at the same time. Different depictions of women in history have shaped the way they are treated throughout history.</w:t>
      </w:r>
    </w:p>
    <w:p w14:paraId="6BA3795F" w14:textId="77777777" w:rsidR="00D14660" w:rsidRDefault="00ED12F4" w:rsidP="0089028A">
      <w:pPr>
        <w:spacing w:line="480" w:lineRule="auto"/>
        <w:rPr>
          <w:sz w:val="24"/>
        </w:rPr>
      </w:pPr>
      <w:r>
        <w:rPr>
          <w:sz w:val="24"/>
        </w:rPr>
        <w:tab/>
      </w:r>
    </w:p>
    <w:p w14:paraId="6F478497" w14:textId="09786ABD" w:rsidR="0069641C" w:rsidRPr="0089028A" w:rsidRDefault="0069641C" w:rsidP="0089028A">
      <w:pPr>
        <w:spacing w:line="480" w:lineRule="auto"/>
        <w:rPr>
          <w:sz w:val="24"/>
        </w:rPr>
      </w:pPr>
      <w:r w:rsidRPr="0089028A">
        <w:rPr>
          <w:sz w:val="24"/>
        </w:rPr>
        <w:t>The</w:t>
      </w:r>
      <w:r>
        <w:t xml:space="preserve"> </w:t>
      </w:r>
      <w:r w:rsidRPr="0089028A">
        <w:rPr>
          <w:sz w:val="24"/>
        </w:rPr>
        <w:t xml:space="preserve">female gender </w:t>
      </w:r>
      <w:r w:rsidR="000169CB">
        <w:rPr>
          <w:sz w:val="24"/>
        </w:rPr>
        <w:t>role</w:t>
      </w:r>
      <w:r w:rsidRPr="0089028A">
        <w:rPr>
          <w:sz w:val="24"/>
        </w:rPr>
        <w:t xml:space="preserve"> has influenced the treatment of women throughout history. The common female </w:t>
      </w:r>
      <w:r w:rsidR="000169CB">
        <w:rPr>
          <w:sz w:val="24"/>
        </w:rPr>
        <w:t>archetype</w:t>
      </w:r>
      <w:r w:rsidRPr="0089028A">
        <w:rPr>
          <w:sz w:val="24"/>
        </w:rPr>
        <w:t xml:space="preserve"> </w:t>
      </w:r>
      <w:r w:rsidR="00567A2E">
        <w:rPr>
          <w:sz w:val="24"/>
        </w:rPr>
        <w:t>is of women being a seductress and man-eating.</w:t>
      </w:r>
      <w:r w:rsidR="003365F1">
        <w:rPr>
          <w:sz w:val="24"/>
        </w:rPr>
        <w:t xml:space="preserve"> Throughout history women have been thought to have been subservient to men and have been deemed unequal to men in both society and in the workforce. The role of the woman throughout most of the early modern era is to bear children, dote on men and be submissive to their every whim. Women were taught not to enjoy sex too much but must enthusiastically engage in the act when called upon</w:t>
      </w:r>
      <w:r w:rsidR="004B343D">
        <w:rPr>
          <w:sz w:val="24"/>
        </w:rPr>
        <w:t xml:space="preserve"> </w:t>
      </w:r>
      <w:r w:rsidR="004B343D" w:rsidRPr="004B343D">
        <w:rPr>
          <w:sz w:val="24"/>
        </w:rPr>
        <w:t>(Hawley &amp; Hensley, 2009)</w:t>
      </w:r>
      <w:r w:rsidR="004B343D">
        <w:rPr>
          <w:sz w:val="24"/>
        </w:rPr>
        <w:t>.</w:t>
      </w:r>
    </w:p>
    <w:p w14:paraId="6564F618" w14:textId="77777777" w:rsidR="0069641C" w:rsidRDefault="0069641C" w:rsidP="0089028A">
      <w:pPr>
        <w:spacing w:line="480" w:lineRule="auto"/>
        <w:rPr>
          <w:sz w:val="24"/>
        </w:rPr>
      </w:pPr>
    </w:p>
    <w:p w14:paraId="7910C6AC" w14:textId="0AE18A04" w:rsidR="006112FE" w:rsidRDefault="006D5E34" w:rsidP="005045D8">
      <w:pPr>
        <w:spacing w:line="480" w:lineRule="auto"/>
        <w:ind w:firstLine="720"/>
        <w:rPr>
          <w:sz w:val="24"/>
        </w:rPr>
      </w:pPr>
      <w:r>
        <w:rPr>
          <w:sz w:val="24"/>
        </w:rPr>
        <w:t xml:space="preserve">Strong female figures were surprisingly prevalent in ancient history. </w:t>
      </w:r>
      <w:r w:rsidR="00B837F0">
        <w:rPr>
          <w:sz w:val="24"/>
        </w:rPr>
        <w:t>Powerful w</w:t>
      </w:r>
      <w:r>
        <w:rPr>
          <w:sz w:val="24"/>
        </w:rPr>
        <w:t>omen such as Cleopatra, Zenob</w:t>
      </w:r>
      <w:r w:rsidR="00B837F0">
        <w:rPr>
          <w:sz w:val="24"/>
        </w:rPr>
        <w:t>i and Theodora in particular displayed great influence and leadership in ancient history. Cle</w:t>
      </w:r>
      <w:r w:rsidR="001A021F">
        <w:rPr>
          <w:sz w:val="24"/>
        </w:rPr>
        <w:t xml:space="preserve">opatra </w:t>
      </w:r>
      <w:r w:rsidR="00B837F0">
        <w:rPr>
          <w:sz w:val="24"/>
        </w:rPr>
        <w:t>was Pharaoh of Egypt during 50-</w:t>
      </w:r>
      <w:r w:rsidR="001A021F">
        <w:rPr>
          <w:sz w:val="24"/>
        </w:rPr>
        <w:t xml:space="preserve">30 BC, she exhibited impressive communication and self-presentation skills, and greatly improved the economy of her country at the time. </w:t>
      </w:r>
      <w:r w:rsidR="00937EE0">
        <w:rPr>
          <w:sz w:val="24"/>
        </w:rPr>
        <w:t>However,</w:t>
      </w:r>
      <w:r w:rsidR="001A021F">
        <w:rPr>
          <w:sz w:val="24"/>
        </w:rPr>
        <w:t xml:space="preserve"> in the modern day she is mostly remembered for her </w:t>
      </w:r>
      <w:r w:rsidR="001A021F">
        <w:rPr>
          <w:sz w:val="24"/>
        </w:rPr>
        <w:lastRenderedPageBreak/>
        <w:t xml:space="preserve">romantic affairs with Julius Caesar and Marc Anthony (Jones, 2006). </w:t>
      </w:r>
      <w:r w:rsidR="006112FE">
        <w:rPr>
          <w:sz w:val="24"/>
        </w:rPr>
        <w:t>She is often referred to as a seductress who charmed her way to success, whilst a lot of the positive rulings she enforced during her reign are discarded to promote the stereotype of a woman being “evil” or “tempting”.</w:t>
      </w:r>
      <w:r w:rsidR="00284FC0">
        <w:rPr>
          <w:sz w:val="24"/>
        </w:rPr>
        <w:t xml:space="preserve"> Her mastery of self-promotion and </w:t>
      </w:r>
      <w:r w:rsidR="00AA15C6">
        <w:rPr>
          <w:sz w:val="24"/>
        </w:rPr>
        <w:t>liaising</w:t>
      </w:r>
      <w:r w:rsidR="00EF59CC">
        <w:rPr>
          <w:sz w:val="24"/>
        </w:rPr>
        <w:t xml:space="preserve"> for political betterment has been twisted over time into a narrative of her being </w:t>
      </w:r>
      <w:r w:rsidR="00B82391">
        <w:rPr>
          <w:sz w:val="24"/>
        </w:rPr>
        <w:t xml:space="preserve">a promiscuous </w:t>
      </w:r>
      <w:r w:rsidR="00AA15C6">
        <w:rPr>
          <w:sz w:val="24"/>
        </w:rPr>
        <w:t>man-eater</w:t>
      </w:r>
      <w:r w:rsidR="0056205E">
        <w:rPr>
          <w:sz w:val="24"/>
        </w:rPr>
        <w:t xml:space="preserve">. An example of this is the </w:t>
      </w:r>
      <w:r w:rsidR="005045D8">
        <w:rPr>
          <w:sz w:val="24"/>
        </w:rPr>
        <w:t>1963 film ‘Cleopatra’</w:t>
      </w:r>
      <w:r w:rsidR="0006042D">
        <w:rPr>
          <w:sz w:val="24"/>
        </w:rPr>
        <w:t xml:space="preserve"> </w:t>
      </w:r>
      <w:r w:rsidR="0006042D" w:rsidRPr="0006042D">
        <w:rPr>
          <w:sz w:val="24"/>
        </w:rPr>
        <w:t>(Mankiewicz, 1963)</w:t>
      </w:r>
      <w:r w:rsidR="0006042D">
        <w:rPr>
          <w:sz w:val="24"/>
        </w:rPr>
        <w:t>, which depicts Cleopatra as a hyper-sexualised, lustful woman</w:t>
      </w:r>
      <w:r w:rsidR="00056F87">
        <w:rPr>
          <w:sz w:val="24"/>
        </w:rPr>
        <w:t xml:space="preserve"> who ensnares men for her own political gain. </w:t>
      </w:r>
      <w:r w:rsidR="00D14660">
        <w:rPr>
          <w:sz w:val="24"/>
        </w:rPr>
        <w:t>This is one of many examples of women being portrayed this way in the media, arts and film.</w:t>
      </w:r>
    </w:p>
    <w:p w14:paraId="39699748" w14:textId="48A1C61F" w:rsidR="001177BD" w:rsidRDefault="006112FE" w:rsidP="0089028A">
      <w:pPr>
        <w:spacing w:line="480" w:lineRule="auto"/>
        <w:rPr>
          <w:sz w:val="24"/>
        </w:rPr>
      </w:pPr>
      <w:r>
        <w:rPr>
          <w:sz w:val="24"/>
        </w:rPr>
        <w:tab/>
        <w:t>The stereotype of tempting evil women is commonly thought to have begun with the story of Adam and Eve</w:t>
      </w:r>
      <w:r w:rsidR="000C788C">
        <w:rPr>
          <w:sz w:val="24"/>
        </w:rPr>
        <w:t xml:space="preserve"> (</w:t>
      </w:r>
      <w:r>
        <w:rPr>
          <w:sz w:val="24"/>
        </w:rPr>
        <w:t>Book of Genesis</w:t>
      </w:r>
      <w:r w:rsidR="000C788C">
        <w:rPr>
          <w:sz w:val="24"/>
        </w:rPr>
        <w:t>, Genesis 2-3)</w:t>
      </w:r>
      <w:r>
        <w:rPr>
          <w:sz w:val="24"/>
        </w:rPr>
        <w:t>. Adam was created from dust by God to be the first man ever on Earth</w:t>
      </w:r>
      <w:r w:rsidR="005C12ED">
        <w:rPr>
          <w:sz w:val="24"/>
        </w:rPr>
        <w:t xml:space="preserve">, in the image of God himself. God then created Eve out of Adam’s rib to be his companion, and warned them of only one thing, they were told to never eat from the Tree of the Knowledge of Good and Evil or they would die. One of the </w:t>
      </w:r>
      <w:r w:rsidR="00937EE0">
        <w:rPr>
          <w:sz w:val="24"/>
        </w:rPr>
        <w:t>animal’s</w:t>
      </w:r>
      <w:r w:rsidR="005C12ED">
        <w:rPr>
          <w:sz w:val="24"/>
        </w:rPr>
        <w:t xml:space="preserve"> god had created, the deceitful serpent, </w:t>
      </w:r>
      <w:r w:rsidR="001177BD">
        <w:rPr>
          <w:sz w:val="24"/>
        </w:rPr>
        <w:t xml:space="preserve">convinced Eve to eat from the forbidden tree, who then offered some of the forbidden fruit to Adam. </w:t>
      </w:r>
      <w:r w:rsidR="00EB7BFE">
        <w:rPr>
          <w:sz w:val="24"/>
        </w:rPr>
        <w:t xml:space="preserve">God banished them from the Garden of Eden and punished them for their actions, he made all men </w:t>
      </w:r>
      <w:r w:rsidR="00937EE0">
        <w:rPr>
          <w:sz w:val="24"/>
        </w:rPr>
        <w:t>must</w:t>
      </w:r>
      <w:r w:rsidR="00EB7BFE">
        <w:rPr>
          <w:sz w:val="24"/>
        </w:rPr>
        <w:t xml:space="preserve"> work and struggle and made all women bear children and be subservient to their husbands. This </w:t>
      </w:r>
      <w:r w:rsidR="000C788C">
        <w:rPr>
          <w:sz w:val="24"/>
        </w:rPr>
        <w:t xml:space="preserve">origin story is often reflected in the way women </w:t>
      </w:r>
      <w:r w:rsidR="00AD6403">
        <w:rPr>
          <w:sz w:val="24"/>
        </w:rPr>
        <w:t>were treated throughout history as the Catholic Church came into power.</w:t>
      </w:r>
    </w:p>
    <w:p w14:paraId="381F6D03" w14:textId="1EA79234" w:rsidR="00AD6403" w:rsidRDefault="00AD6403" w:rsidP="0089028A">
      <w:pPr>
        <w:spacing w:line="480" w:lineRule="auto"/>
        <w:rPr>
          <w:sz w:val="24"/>
        </w:rPr>
      </w:pPr>
      <w:r>
        <w:rPr>
          <w:sz w:val="24"/>
        </w:rPr>
        <w:tab/>
      </w:r>
    </w:p>
    <w:p w14:paraId="3D7E70AE" w14:textId="53EEDD40" w:rsidR="003502D1" w:rsidRDefault="00AD6403" w:rsidP="0089028A">
      <w:pPr>
        <w:spacing w:line="480" w:lineRule="auto"/>
        <w:rPr>
          <w:sz w:val="24"/>
        </w:rPr>
      </w:pPr>
      <w:r>
        <w:rPr>
          <w:sz w:val="24"/>
        </w:rPr>
        <w:tab/>
      </w:r>
      <w:r w:rsidR="001838AD">
        <w:rPr>
          <w:sz w:val="24"/>
        </w:rPr>
        <w:t>Up until the late 15</w:t>
      </w:r>
      <w:r w:rsidR="001838AD" w:rsidRPr="001838AD">
        <w:rPr>
          <w:sz w:val="24"/>
          <w:vertAlign w:val="superscript"/>
        </w:rPr>
        <w:t>th</w:t>
      </w:r>
      <w:r w:rsidR="001838AD">
        <w:rPr>
          <w:sz w:val="24"/>
        </w:rPr>
        <w:t xml:space="preserve"> century, the Catholic Church had become increasingly prevalent and held great influence over Western Europe. The creation of Demonology (science of demons) by the Catholic Church was used as a way of facilitating fear into their followers. </w:t>
      </w:r>
      <w:r w:rsidR="00741982">
        <w:rPr>
          <w:sz w:val="24"/>
        </w:rPr>
        <w:lastRenderedPageBreak/>
        <w:t xml:space="preserve">Though not all people believed in religion, the fear of being exiled was enough to </w:t>
      </w:r>
      <w:r w:rsidR="00360C1C">
        <w:rPr>
          <w:sz w:val="24"/>
        </w:rPr>
        <w:t xml:space="preserve">control non-believers into being obedient. </w:t>
      </w:r>
      <w:r w:rsidR="001838AD">
        <w:rPr>
          <w:sz w:val="24"/>
        </w:rPr>
        <w:t xml:space="preserve">Anyone who was seen to be exhibiting symptoms of what we understand now as mental illness, </w:t>
      </w:r>
      <w:r w:rsidR="00937EE0">
        <w:rPr>
          <w:sz w:val="24"/>
        </w:rPr>
        <w:t>was</w:t>
      </w:r>
      <w:r w:rsidR="001838AD">
        <w:rPr>
          <w:sz w:val="24"/>
        </w:rPr>
        <w:t xml:space="preserve"> being punished by the devil, and they were often banished from society. </w:t>
      </w:r>
      <w:r w:rsidR="004E19A3">
        <w:rPr>
          <w:sz w:val="24"/>
        </w:rPr>
        <w:t xml:space="preserve">This ideology also led to the creation of Witchcraft and Witches. </w:t>
      </w:r>
    </w:p>
    <w:p w14:paraId="70A749C5" w14:textId="77777777" w:rsidR="003502D1" w:rsidRDefault="003502D1" w:rsidP="0089028A">
      <w:pPr>
        <w:spacing w:line="480" w:lineRule="auto"/>
        <w:rPr>
          <w:sz w:val="24"/>
        </w:rPr>
      </w:pPr>
    </w:p>
    <w:p w14:paraId="49D5F0C5" w14:textId="275BE2BA" w:rsidR="004E19A3" w:rsidRDefault="004E19A3" w:rsidP="0089028A">
      <w:pPr>
        <w:spacing w:line="480" w:lineRule="auto"/>
        <w:ind w:firstLine="720"/>
        <w:rPr>
          <w:sz w:val="24"/>
        </w:rPr>
      </w:pPr>
      <w:r>
        <w:rPr>
          <w:sz w:val="24"/>
        </w:rPr>
        <w:t xml:space="preserve">Witches were almost always </w:t>
      </w:r>
      <w:r w:rsidR="00937EE0">
        <w:rPr>
          <w:sz w:val="24"/>
        </w:rPr>
        <w:t>women and</w:t>
      </w:r>
      <w:r>
        <w:rPr>
          <w:sz w:val="24"/>
        </w:rPr>
        <w:t xml:space="preserve"> were deemed in league with the devil and accused of performing evil deeds under his instruction. The</w:t>
      </w:r>
      <w:r w:rsidR="003502D1">
        <w:rPr>
          <w:sz w:val="24"/>
        </w:rPr>
        <w:t xml:space="preserve">y were also known as ‘heretics’, and as such </w:t>
      </w:r>
      <w:r w:rsidR="00741982">
        <w:rPr>
          <w:sz w:val="24"/>
        </w:rPr>
        <w:t>performed evil deeds for the devil. People of the time lived in fear that the heretics could perform extremely powerful magic that could destroy not just Christianity but humankind.</w:t>
      </w:r>
      <w:r w:rsidR="0069641C">
        <w:rPr>
          <w:sz w:val="24"/>
        </w:rPr>
        <w:t xml:space="preserve"> Men were suspicious of women and were viewed at the time as being deceitful and potentially evil due to their connections with witchcraft.</w:t>
      </w:r>
    </w:p>
    <w:p w14:paraId="3D432BC9" w14:textId="77777777" w:rsidR="004E19A3" w:rsidRDefault="004E19A3" w:rsidP="0089028A">
      <w:pPr>
        <w:spacing w:line="480" w:lineRule="auto"/>
        <w:rPr>
          <w:sz w:val="24"/>
        </w:rPr>
      </w:pPr>
    </w:p>
    <w:p w14:paraId="1DA096C1" w14:textId="2F82855E" w:rsidR="00AD6403" w:rsidRDefault="001838AD" w:rsidP="0089028A">
      <w:pPr>
        <w:spacing w:line="480" w:lineRule="auto"/>
        <w:ind w:firstLine="720"/>
        <w:rPr>
          <w:sz w:val="24"/>
        </w:rPr>
      </w:pPr>
      <w:r>
        <w:rPr>
          <w:sz w:val="24"/>
        </w:rPr>
        <w:t>However, the late 15</w:t>
      </w:r>
      <w:r w:rsidRPr="001838AD">
        <w:rPr>
          <w:sz w:val="24"/>
          <w:vertAlign w:val="superscript"/>
        </w:rPr>
        <w:t>th</w:t>
      </w:r>
      <w:r>
        <w:rPr>
          <w:sz w:val="24"/>
        </w:rPr>
        <w:t xml:space="preserve"> century was a time of great change,</w:t>
      </w:r>
      <w:r w:rsidR="00F02915">
        <w:rPr>
          <w:sz w:val="24"/>
        </w:rPr>
        <w:t xml:space="preserve"> many voyages were undertaken to undiscovered parts of the world, and the impact of print culture allowed knowledge and information to be shared on a broader platform. As such, this enabled Demonology to be shared across Europe, in turn beginning the Witch Hunts.</w:t>
      </w:r>
    </w:p>
    <w:p w14:paraId="41ED7041" w14:textId="4CF855C3" w:rsidR="00F02915" w:rsidRDefault="00F02915" w:rsidP="0089028A">
      <w:pPr>
        <w:spacing w:line="480" w:lineRule="auto"/>
        <w:rPr>
          <w:sz w:val="24"/>
        </w:rPr>
      </w:pPr>
    </w:p>
    <w:p w14:paraId="6DFF061C" w14:textId="6C48E614" w:rsidR="00F02915" w:rsidRDefault="00F02915" w:rsidP="0089028A">
      <w:pPr>
        <w:spacing w:line="480" w:lineRule="auto"/>
        <w:rPr>
          <w:sz w:val="24"/>
        </w:rPr>
      </w:pPr>
      <w:r>
        <w:rPr>
          <w:sz w:val="24"/>
        </w:rPr>
        <w:tab/>
        <w:t xml:space="preserve">The origins of the witch hunts </w:t>
      </w:r>
      <w:r w:rsidR="00937EE0">
        <w:rPr>
          <w:sz w:val="24"/>
        </w:rPr>
        <w:t>begin</w:t>
      </w:r>
      <w:r>
        <w:rPr>
          <w:sz w:val="24"/>
        </w:rPr>
        <w:t xml:space="preserve"> with the story of Gei</w:t>
      </w:r>
      <w:r w:rsidR="004E19A3">
        <w:rPr>
          <w:sz w:val="24"/>
        </w:rPr>
        <w:t xml:space="preserve">llis Duncan. </w:t>
      </w:r>
      <w:r w:rsidR="00937EE0">
        <w:rPr>
          <w:sz w:val="24"/>
        </w:rPr>
        <w:t>Duncan</w:t>
      </w:r>
      <w:r w:rsidR="004E19A3">
        <w:rPr>
          <w:sz w:val="24"/>
        </w:rPr>
        <w:t xml:space="preserve"> was the maid of David Seaton. Seaton was suspicious of Duncan’s frequent trips out at night, so one evening upon her return he </w:t>
      </w:r>
      <w:r w:rsidR="00240BE4">
        <w:rPr>
          <w:sz w:val="24"/>
        </w:rPr>
        <w:t xml:space="preserve">accused her of being a witch, due in part to the marks on her neck (a sign of witchcraft at the time). She denied all his accusations, so he began to torture </w:t>
      </w:r>
      <w:r w:rsidR="00240BE4">
        <w:rPr>
          <w:sz w:val="24"/>
        </w:rPr>
        <w:lastRenderedPageBreak/>
        <w:t>her</w:t>
      </w:r>
      <w:r w:rsidR="00E30B76">
        <w:rPr>
          <w:sz w:val="24"/>
        </w:rPr>
        <w:t xml:space="preserve">. </w:t>
      </w:r>
      <w:r w:rsidR="00350249">
        <w:rPr>
          <w:sz w:val="24"/>
        </w:rPr>
        <w:t>She then confessed to being in alias with 8 other witches, all of whom claimed to have caused the storm that killed Anne of Denmark.</w:t>
      </w:r>
      <w:r w:rsidR="0069641C">
        <w:rPr>
          <w:sz w:val="24"/>
        </w:rPr>
        <w:t xml:space="preserve"> (5 Productions, 2015).</w:t>
      </w:r>
    </w:p>
    <w:p w14:paraId="6747B7DF" w14:textId="1214DE33" w:rsidR="00F179B9" w:rsidRDefault="00F179B9" w:rsidP="0089028A">
      <w:pPr>
        <w:spacing w:line="480" w:lineRule="auto"/>
        <w:rPr>
          <w:sz w:val="24"/>
        </w:rPr>
      </w:pPr>
      <w:r>
        <w:rPr>
          <w:sz w:val="24"/>
        </w:rPr>
        <w:tab/>
        <w:t xml:space="preserve">Women who openly admitted to being witches were cruelly tortured and killed, but modern interpretations suggest that these women may have suffered from mental illnesses. Could these women have been suffering from mental illness which in turn drove them to believe they were witches? Witch-like behaviour such as mumbling, incoherent speech and </w:t>
      </w:r>
      <w:r w:rsidR="00BB27EC">
        <w:rPr>
          <w:sz w:val="24"/>
        </w:rPr>
        <w:t>miserableness can be share symptoms with mental illnesses like melancholia, anxiety and depression.</w:t>
      </w:r>
      <w:r w:rsidR="0090743C">
        <w:rPr>
          <w:sz w:val="24"/>
        </w:rPr>
        <w:t xml:space="preserve"> </w:t>
      </w:r>
      <w:r w:rsidR="003976ED">
        <w:rPr>
          <w:sz w:val="24"/>
        </w:rPr>
        <w:t xml:space="preserve">Witchcraft is also commonly linked to melancholia, a mental disorder </w:t>
      </w:r>
      <w:r w:rsidR="003B2FCE">
        <w:rPr>
          <w:sz w:val="24"/>
        </w:rPr>
        <w:t>that has symptoms including low-mood and depression.</w:t>
      </w:r>
    </w:p>
    <w:p w14:paraId="361DB683" w14:textId="0A2516C4" w:rsidR="00BB27EC" w:rsidRDefault="00BB27EC" w:rsidP="0089028A">
      <w:pPr>
        <w:spacing w:line="480" w:lineRule="auto"/>
        <w:rPr>
          <w:sz w:val="24"/>
        </w:rPr>
      </w:pPr>
      <w:r>
        <w:rPr>
          <w:sz w:val="24"/>
        </w:rPr>
        <w:tab/>
        <w:t>Eventually the witch trials ceased to exist, as the ideology of “common sense” began to arise in the late 17</w:t>
      </w:r>
      <w:r w:rsidRPr="00BB27EC">
        <w:rPr>
          <w:sz w:val="24"/>
          <w:vertAlign w:val="superscript"/>
        </w:rPr>
        <w:t>th</w:t>
      </w:r>
      <w:r>
        <w:rPr>
          <w:sz w:val="24"/>
        </w:rPr>
        <w:t xml:space="preserve"> century (Scarre, 1987)</w:t>
      </w:r>
      <w:r w:rsidR="007D3E2D">
        <w:rPr>
          <w:sz w:val="24"/>
        </w:rPr>
        <w:t>, the paradigm shift enabled more scientific ideas and theories to take prominence, and the idea of witchcraft did not fit in with this. Female archetypes however, have not changed.</w:t>
      </w:r>
    </w:p>
    <w:p w14:paraId="4BE7079D" w14:textId="3282DE1C" w:rsidR="0074283E" w:rsidRDefault="0074283E" w:rsidP="0089028A">
      <w:pPr>
        <w:spacing w:line="480" w:lineRule="auto"/>
        <w:rPr>
          <w:sz w:val="24"/>
        </w:rPr>
      </w:pPr>
      <w:r>
        <w:rPr>
          <w:sz w:val="24"/>
        </w:rPr>
        <w:tab/>
        <w:t xml:space="preserve">In recent times, woman have battled against the injustices they face, the stereotypes that are forced upon them, and fought for the same rights as men. </w:t>
      </w:r>
      <w:r w:rsidR="003844A2">
        <w:rPr>
          <w:sz w:val="24"/>
        </w:rPr>
        <w:t xml:space="preserve">Movements such as Me Too have given women a platform to </w:t>
      </w:r>
      <w:r w:rsidR="007B7166">
        <w:rPr>
          <w:sz w:val="24"/>
        </w:rPr>
        <w:t>share their stories and simultaneously share their mental health issues</w:t>
      </w:r>
      <w:r w:rsidR="00780806">
        <w:rPr>
          <w:sz w:val="24"/>
        </w:rPr>
        <w:t xml:space="preserve"> </w:t>
      </w:r>
      <w:r w:rsidR="007B7166">
        <w:rPr>
          <w:sz w:val="24"/>
        </w:rPr>
        <w:t>(Khomami, 2018).</w:t>
      </w:r>
      <w:r w:rsidR="00780806">
        <w:rPr>
          <w:sz w:val="24"/>
        </w:rPr>
        <w:t xml:space="preserve"> </w:t>
      </w:r>
      <w:r w:rsidR="000C677D">
        <w:rPr>
          <w:sz w:val="24"/>
        </w:rPr>
        <w:t xml:space="preserve">The injustices and prejudice they have faced throughout history </w:t>
      </w:r>
      <w:r w:rsidR="00573FBB">
        <w:rPr>
          <w:sz w:val="24"/>
        </w:rPr>
        <w:t xml:space="preserve">holds weight in the discussion of </w:t>
      </w:r>
      <w:r w:rsidR="003C1BB4">
        <w:rPr>
          <w:sz w:val="24"/>
        </w:rPr>
        <w:t>women’s</w:t>
      </w:r>
      <w:r w:rsidR="00573FBB">
        <w:rPr>
          <w:sz w:val="24"/>
        </w:rPr>
        <w:t xml:space="preserve"> rights</w:t>
      </w:r>
      <w:r w:rsidR="002D0FC8">
        <w:rPr>
          <w:sz w:val="24"/>
        </w:rPr>
        <w:t xml:space="preserve"> today.</w:t>
      </w:r>
    </w:p>
    <w:p w14:paraId="06D97A2C" w14:textId="1CD722AD" w:rsidR="00D75AF4" w:rsidRDefault="00D75AF4" w:rsidP="0089028A">
      <w:pPr>
        <w:spacing w:line="480" w:lineRule="auto"/>
        <w:rPr>
          <w:sz w:val="24"/>
        </w:rPr>
      </w:pPr>
      <w:r>
        <w:rPr>
          <w:sz w:val="24"/>
        </w:rPr>
        <w:tab/>
      </w:r>
      <w:r w:rsidR="0061351E">
        <w:rPr>
          <w:sz w:val="24"/>
        </w:rPr>
        <w:t xml:space="preserve">To conclude, </w:t>
      </w:r>
      <w:r w:rsidR="00666A22">
        <w:rPr>
          <w:sz w:val="24"/>
        </w:rPr>
        <w:t>it can be suggested that gender impacts our mental health, now and in the past.</w:t>
      </w:r>
      <w:r w:rsidR="00C25635">
        <w:rPr>
          <w:sz w:val="24"/>
        </w:rPr>
        <w:t xml:space="preserve"> </w:t>
      </w:r>
      <w:r w:rsidR="0017314E">
        <w:rPr>
          <w:sz w:val="24"/>
        </w:rPr>
        <w:t xml:space="preserve">Statistics show that women are </w:t>
      </w:r>
      <w:r w:rsidR="00FE2ACE">
        <w:rPr>
          <w:sz w:val="24"/>
        </w:rPr>
        <w:t xml:space="preserve">more </w:t>
      </w:r>
      <w:r w:rsidR="0017314E">
        <w:rPr>
          <w:sz w:val="24"/>
        </w:rPr>
        <w:t>likely to have a mental health disorder than men,</w:t>
      </w:r>
      <w:r w:rsidR="00FE2ACE">
        <w:rPr>
          <w:sz w:val="24"/>
        </w:rPr>
        <w:t xml:space="preserve"> and the number of women diagnosed with anxiety disorders is almost double that of men</w:t>
      </w:r>
      <w:r w:rsidR="006B5F87">
        <w:rPr>
          <w:sz w:val="24"/>
        </w:rPr>
        <w:t xml:space="preserve"> </w:t>
      </w:r>
      <w:r w:rsidR="006B5F87" w:rsidRPr="006B5F87">
        <w:rPr>
          <w:sz w:val="24"/>
        </w:rPr>
        <w:t>("Mental health statistics: men and women", 2018)</w:t>
      </w:r>
      <w:r w:rsidR="006B5F87">
        <w:rPr>
          <w:sz w:val="24"/>
        </w:rPr>
        <w:t>.</w:t>
      </w:r>
      <w:r w:rsidR="00F365B5">
        <w:rPr>
          <w:sz w:val="24"/>
        </w:rPr>
        <w:t xml:space="preserve"> </w:t>
      </w:r>
      <w:r w:rsidR="00765F93">
        <w:rPr>
          <w:sz w:val="24"/>
        </w:rPr>
        <w:t>The social roles in which females fall in to can have a detrimental effect on their mental health.</w:t>
      </w:r>
      <w:r w:rsidR="0005359E">
        <w:rPr>
          <w:sz w:val="24"/>
        </w:rPr>
        <w:t xml:space="preserve"> </w:t>
      </w:r>
      <w:r w:rsidR="00EA29FD">
        <w:rPr>
          <w:sz w:val="24"/>
        </w:rPr>
        <w:t xml:space="preserve">The Mental Health </w:t>
      </w:r>
      <w:r w:rsidR="00EA29FD">
        <w:rPr>
          <w:sz w:val="24"/>
        </w:rPr>
        <w:lastRenderedPageBreak/>
        <w:t>Foundation (2018) outlined some of the different roles wo</w:t>
      </w:r>
      <w:r w:rsidR="0051567E">
        <w:rPr>
          <w:sz w:val="24"/>
        </w:rPr>
        <w:t>men are forced in to, “</w:t>
      </w:r>
      <w:r w:rsidR="00A3775F" w:rsidRPr="00A3775F">
        <w:rPr>
          <w:sz w:val="24"/>
        </w:rPr>
        <w:t>they may be mothers, partners and carers as well as doing paid work and running a household</w:t>
      </w:r>
      <w:r w:rsidR="00A3775F">
        <w:rPr>
          <w:sz w:val="24"/>
        </w:rPr>
        <w:t>”.</w:t>
      </w:r>
      <w:r w:rsidR="00476654">
        <w:rPr>
          <w:sz w:val="24"/>
        </w:rPr>
        <w:t xml:space="preserve"> The pressure of juggling </w:t>
      </w:r>
      <w:r w:rsidR="00553317">
        <w:rPr>
          <w:sz w:val="24"/>
        </w:rPr>
        <w:t>all</w:t>
      </w:r>
      <w:r w:rsidR="00476654">
        <w:rPr>
          <w:sz w:val="24"/>
        </w:rPr>
        <w:t xml:space="preserve"> these tasks </w:t>
      </w:r>
      <w:r w:rsidR="00DB6FCE">
        <w:rPr>
          <w:sz w:val="24"/>
        </w:rPr>
        <w:t xml:space="preserve">can cause stress, low mood and depression. </w:t>
      </w:r>
      <w:r w:rsidR="00B32F24">
        <w:rPr>
          <w:sz w:val="24"/>
        </w:rPr>
        <w:t xml:space="preserve">72% of </w:t>
      </w:r>
      <w:r w:rsidR="00A811AF">
        <w:rPr>
          <w:sz w:val="24"/>
        </w:rPr>
        <w:t>suicides are men,</w:t>
      </w:r>
      <w:r w:rsidR="00DB6FCE">
        <w:rPr>
          <w:sz w:val="24"/>
        </w:rPr>
        <w:t xml:space="preserve"> gender roles also exist for men</w:t>
      </w:r>
      <w:r w:rsidR="00B32F24">
        <w:rPr>
          <w:sz w:val="24"/>
        </w:rPr>
        <w:t xml:space="preserve">, and this may help explain why their rate is higher. </w:t>
      </w:r>
      <w:r w:rsidR="00A811AF">
        <w:rPr>
          <w:sz w:val="24"/>
        </w:rPr>
        <w:t xml:space="preserve">Men are expected to be masculine, </w:t>
      </w:r>
      <w:r w:rsidR="00312303">
        <w:rPr>
          <w:sz w:val="24"/>
        </w:rPr>
        <w:t>hardworking</w:t>
      </w:r>
      <w:r w:rsidR="00A811AF">
        <w:rPr>
          <w:sz w:val="24"/>
        </w:rPr>
        <w:t>, dependable people</w:t>
      </w:r>
      <w:r w:rsidR="00553317">
        <w:rPr>
          <w:sz w:val="24"/>
        </w:rPr>
        <w:t xml:space="preserve">, and there is </w:t>
      </w:r>
      <w:r w:rsidR="00312303">
        <w:rPr>
          <w:sz w:val="24"/>
        </w:rPr>
        <w:t>an</w:t>
      </w:r>
      <w:r w:rsidR="00553317">
        <w:rPr>
          <w:sz w:val="24"/>
        </w:rPr>
        <w:t xml:space="preserve"> archetype </w:t>
      </w:r>
      <w:r w:rsidR="00312303">
        <w:rPr>
          <w:sz w:val="24"/>
        </w:rPr>
        <w:t xml:space="preserve">for </w:t>
      </w:r>
      <w:r w:rsidR="00553317">
        <w:rPr>
          <w:sz w:val="24"/>
        </w:rPr>
        <w:t xml:space="preserve">men </w:t>
      </w:r>
      <w:r w:rsidR="00312303">
        <w:rPr>
          <w:sz w:val="24"/>
        </w:rPr>
        <w:t>that results in them not</w:t>
      </w:r>
      <w:r w:rsidR="00553317">
        <w:rPr>
          <w:sz w:val="24"/>
        </w:rPr>
        <w:t xml:space="preserve"> having an outlet to express emotion or talk about their mental health, out</w:t>
      </w:r>
      <w:r w:rsidR="00312303">
        <w:rPr>
          <w:sz w:val="24"/>
        </w:rPr>
        <w:t xml:space="preserve"> of</w:t>
      </w:r>
      <w:r w:rsidR="00553317">
        <w:rPr>
          <w:sz w:val="24"/>
        </w:rPr>
        <w:t xml:space="preserve"> fear of being seen less of a “man”</w:t>
      </w:r>
      <w:r w:rsidR="003353C1" w:rsidRPr="003353C1">
        <w:t xml:space="preserve"> </w:t>
      </w:r>
      <w:r w:rsidR="003353C1" w:rsidRPr="003353C1">
        <w:rPr>
          <w:sz w:val="24"/>
        </w:rPr>
        <w:t>("Suicide Statistics Report 2017",</w:t>
      </w:r>
      <w:r w:rsidR="003353C1">
        <w:rPr>
          <w:sz w:val="24"/>
        </w:rPr>
        <w:t xml:space="preserve"> 2017).</w:t>
      </w:r>
      <w:r w:rsidR="00B73FBD">
        <w:rPr>
          <w:sz w:val="24"/>
        </w:rPr>
        <w:t xml:space="preserve"> These archetypes can stem from the Bible, </w:t>
      </w:r>
      <w:r w:rsidR="00614760">
        <w:rPr>
          <w:sz w:val="24"/>
        </w:rPr>
        <w:t>milestones such as the creation of witchcraft and witch hunts</w:t>
      </w:r>
      <w:r w:rsidR="00B73FBD">
        <w:rPr>
          <w:sz w:val="24"/>
        </w:rPr>
        <w:t>,</w:t>
      </w:r>
      <w:r w:rsidR="00B01473">
        <w:rPr>
          <w:sz w:val="24"/>
        </w:rPr>
        <w:t xml:space="preserve"> </w:t>
      </w:r>
      <w:r w:rsidR="00283F8F">
        <w:rPr>
          <w:sz w:val="24"/>
        </w:rPr>
        <w:t>perception of ancient historic events</w:t>
      </w:r>
      <w:r w:rsidR="00EB5177">
        <w:rPr>
          <w:sz w:val="24"/>
        </w:rPr>
        <w:t xml:space="preserve"> and people</w:t>
      </w:r>
      <w:r w:rsidR="00283F8F">
        <w:rPr>
          <w:sz w:val="24"/>
        </w:rPr>
        <w:t xml:space="preserve"> and the depictions of gender in the media, arts and film.</w:t>
      </w:r>
    </w:p>
    <w:p w14:paraId="54A58365" w14:textId="1D6E1228" w:rsidR="00BB27EC" w:rsidRDefault="00BB27EC" w:rsidP="0089028A">
      <w:pPr>
        <w:spacing w:line="480" w:lineRule="auto"/>
        <w:rPr>
          <w:sz w:val="24"/>
        </w:rPr>
      </w:pPr>
      <w:r>
        <w:rPr>
          <w:sz w:val="24"/>
        </w:rPr>
        <w:tab/>
      </w:r>
    </w:p>
    <w:p w14:paraId="5EF2F80C" w14:textId="2A22C792" w:rsidR="000C788C" w:rsidRDefault="000C788C" w:rsidP="0089028A">
      <w:pPr>
        <w:spacing w:line="480" w:lineRule="auto"/>
        <w:rPr>
          <w:sz w:val="24"/>
        </w:rPr>
      </w:pPr>
    </w:p>
    <w:p w14:paraId="134EE30A" w14:textId="77ABEE1F" w:rsidR="000C788C" w:rsidRDefault="000C788C" w:rsidP="0089028A">
      <w:pPr>
        <w:spacing w:line="480" w:lineRule="auto"/>
        <w:rPr>
          <w:sz w:val="24"/>
        </w:rPr>
      </w:pPr>
      <w:r>
        <w:rPr>
          <w:sz w:val="24"/>
        </w:rPr>
        <w:tab/>
      </w:r>
    </w:p>
    <w:p w14:paraId="665A943B" w14:textId="31913D49" w:rsidR="000C788C" w:rsidRDefault="000C788C" w:rsidP="001A021F">
      <w:pPr>
        <w:rPr>
          <w:sz w:val="24"/>
        </w:rPr>
      </w:pPr>
    </w:p>
    <w:p w14:paraId="2BE8F648" w14:textId="77777777" w:rsidR="000C788C" w:rsidRDefault="000C788C" w:rsidP="001A021F">
      <w:pPr>
        <w:rPr>
          <w:sz w:val="24"/>
        </w:rPr>
      </w:pPr>
    </w:p>
    <w:p w14:paraId="3CB109DA" w14:textId="77777777" w:rsidR="001A021F" w:rsidRPr="00ED12F4" w:rsidRDefault="001A021F" w:rsidP="0031195C">
      <w:pPr>
        <w:rPr>
          <w:sz w:val="24"/>
        </w:rPr>
      </w:pPr>
    </w:p>
    <w:p w14:paraId="6ED3B8F3" w14:textId="77777777" w:rsidR="001A021F" w:rsidRDefault="001A021F">
      <w:pPr>
        <w:pStyle w:val="Heading1"/>
      </w:pPr>
    </w:p>
    <w:p w14:paraId="4B6B2A6D" w14:textId="77777777" w:rsidR="001A021F" w:rsidRDefault="001A021F">
      <w:pPr>
        <w:rPr>
          <w:rFonts w:asciiTheme="majorHAnsi" w:eastAsiaTheme="majorEastAsia" w:hAnsiTheme="majorHAnsi" w:cstheme="majorBidi"/>
          <w:color w:val="2E74B5" w:themeColor="accent1" w:themeShade="BF"/>
          <w:sz w:val="32"/>
          <w:szCs w:val="32"/>
          <w:lang w:val="en-US"/>
        </w:rPr>
      </w:pPr>
      <w:r>
        <w:br w:type="page"/>
      </w:r>
    </w:p>
    <w:p w14:paraId="69478404" w14:textId="77777777" w:rsidR="001A021F" w:rsidRDefault="001A021F">
      <w:pPr>
        <w:pStyle w:val="Heading1"/>
      </w:pPr>
    </w:p>
    <w:p w14:paraId="77A08749" w14:textId="77777777" w:rsidR="001A021F" w:rsidRDefault="001A021F">
      <w:pPr>
        <w:rPr>
          <w:rFonts w:asciiTheme="majorHAnsi" w:eastAsiaTheme="majorEastAsia" w:hAnsiTheme="majorHAnsi" w:cstheme="majorBidi"/>
          <w:color w:val="2E74B5" w:themeColor="accent1" w:themeShade="BF"/>
          <w:sz w:val="32"/>
          <w:szCs w:val="32"/>
          <w:lang w:val="en-US"/>
        </w:rPr>
      </w:pPr>
      <w:r>
        <w:br w:type="page"/>
      </w:r>
    </w:p>
    <w:sdt>
      <w:sdtPr>
        <w:id w:val="611021732"/>
        <w:docPartObj>
          <w:docPartGallery w:val="Bibliographies"/>
          <w:docPartUnique/>
        </w:docPartObj>
      </w:sdtPr>
      <w:sdtEndPr/>
      <w:sdtContent>
        <w:p w14:paraId="6472E2B2" w14:textId="77777777" w:rsidR="001A021F" w:rsidRDefault="001A021F" w:rsidP="001A021F">
          <w:r>
            <w:t>References</w:t>
          </w:r>
        </w:p>
        <w:p w14:paraId="67457461" w14:textId="2C582710" w:rsidR="001A021F" w:rsidRPr="001A021F" w:rsidRDefault="00537335">
          <w:pPr>
            <w:rPr>
              <w:sz w:val="24"/>
            </w:rPr>
          </w:pPr>
        </w:p>
      </w:sdtContent>
    </w:sdt>
    <w:p w14:paraId="72C149C2" w14:textId="1321A8DD" w:rsidR="00466913" w:rsidRPr="000E2B6C" w:rsidRDefault="00466913" w:rsidP="0031195C">
      <w:pPr>
        <w:rPr>
          <w:rFonts w:ascii="Arial Narrow" w:hAnsi="Arial Narrow"/>
          <w:color w:val="000000" w:themeColor="text1"/>
          <w:sz w:val="24"/>
          <w:szCs w:val="24"/>
        </w:rPr>
      </w:pPr>
      <w:r w:rsidRPr="000E2B6C">
        <w:rPr>
          <w:rFonts w:ascii="Arial Narrow" w:hAnsi="Arial Narrow"/>
          <w:color w:val="000000" w:themeColor="text1"/>
          <w:sz w:val="24"/>
          <w:szCs w:val="24"/>
        </w:rPr>
        <w:t xml:space="preserve">Gender Role. (n.d.). In Alleydog.com's online glossary. Retrieved from: </w:t>
      </w:r>
      <w:r w:rsidR="008B334C">
        <w:rPr>
          <w:rFonts w:ascii="Arial Narrow" w:hAnsi="Arial Narrow"/>
          <w:color w:val="000000" w:themeColor="text1"/>
          <w:sz w:val="24"/>
          <w:szCs w:val="24"/>
        </w:rPr>
        <w:tab/>
      </w:r>
      <w:bookmarkStart w:id="0" w:name="_GoBack"/>
      <w:bookmarkEnd w:id="0"/>
      <w:r w:rsidR="00DC7EFF" w:rsidRPr="000E2B6C">
        <w:rPr>
          <w:rFonts w:ascii="Arial Narrow" w:hAnsi="Arial Narrow"/>
          <w:color w:val="000000" w:themeColor="text1"/>
          <w:sz w:val="24"/>
          <w:szCs w:val="24"/>
        </w:rPr>
        <w:fldChar w:fldCharType="begin"/>
      </w:r>
      <w:r w:rsidR="00DC7EFF" w:rsidRPr="000E2B6C">
        <w:rPr>
          <w:rFonts w:ascii="Arial Narrow" w:hAnsi="Arial Narrow"/>
          <w:color w:val="000000" w:themeColor="text1"/>
          <w:sz w:val="24"/>
          <w:szCs w:val="24"/>
        </w:rPr>
        <w:instrText xml:space="preserve"> HYPERLINK "https://www.alleydog.com/glossary/definition-cit.php?term=Gender+Role" </w:instrText>
      </w:r>
      <w:r w:rsidR="00DC7EFF" w:rsidRPr="000E2B6C">
        <w:rPr>
          <w:rFonts w:ascii="Arial Narrow" w:hAnsi="Arial Narrow"/>
          <w:color w:val="000000" w:themeColor="text1"/>
          <w:sz w:val="24"/>
          <w:szCs w:val="24"/>
        </w:rPr>
        <w:fldChar w:fldCharType="separate"/>
      </w:r>
      <w:r w:rsidR="00DC7EFF" w:rsidRPr="000E2B6C">
        <w:rPr>
          <w:rStyle w:val="Hyperlink"/>
          <w:rFonts w:ascii="Arial Narrow" w:hAnsi="Arial Narrow"/>
          <w:color w:val="000000" w:themeColor="text1"/>
          <w:sz w:val="24"/>
          <w:szCs w:val="24"/>
        </w:rPr>
        <w:t>https://www.alleydog.com/glossary/definition-cit.php?term=Gender+Role</w:t>
      </w:r>
      <w:r w:rsidR="00DC7EFF" w:rsidRPr="000E2B6C">
        <w:rPr>
          <w:rFonts w:ascii="Arial Narrow" w:hAnsi="Arial Narrow"/>
          <w:color w:val="000000" w:themeColor="text1"/>
          <w:sz w:val="24"/>
          <w:szCs w:val="24"/>
        </w:rPr>
        <w:fldChar w:fldCharType="end"/>
      </w:r>
    </w:p>
    <w:p w14:paraId="2A0933FA" w14:textId="4D2DB70B" w:rsidR="00065809" w:rsidRPr="000E2B6C" w:rsidRDefault="00065809" w:rsidP="00065809">
      <w:pPr>
        <w:rPr>
          <w:rFonts w:ascii="Arial Narrow" w:hAnsi="Arial Narrow" w:cs="Arial"/>
          <w:color w:val="000000" w:themeColor="text1"/>
          <w:sz w:val="24"/>
          <w:szCs w:val="24"/>
          <w:shd w:val="clear" w:color="auto" w:fill="FFFFFF"/>
        </w:rPr>
      </w:pPr>
      <w:r w:rsidRPr="000E2B6C">
        <w:rPr>
          <w:rFonts w:ascii="Arial Narrow" w:hAnsi="Arial Narrow" w:cs="Arial"/>
          <w:color w:val="000000" w:themeColor="text1"/>
          <w:sz w:val="24"/>
          <w:szCs w:val="24"/>
          <w:shd w:val="clear" w:color="auto" w:fill="FFFFFF"/>
        </w:rPr>
        <w:t xml:space="preserve">Hawley, P., &amp; Hensley, W. (2009). Social Dominance and Forceful Submission Fantasies: Feminine </w:t>
      </w:r>
      <w:r w:rsidRPr="000E2B6C">
        <w:rPr>
          <w:rFonts w:ascii="Arial Narrow" w:hAnsi="Arial Narrow" w:cs="Arial"/>
          <w:color w:val="000000" w:themeColor="text1"/>
          <w:sz w:val="24"/>
          <w:szCs w:val="24"/>
          <w:shd w:val="clear" w:color="auto" w:fill="FFFFFF"/>
        </w:rPr>
        <w:tab/>
        <w:t>Pathology or Power? </w:t>
      </w:r>
      <w:r w:rsidRPr="000E2B6C">
        <w:rPr>
          <w:rFonts w:ascii="Arial Narrow" w:hAnsi="Arial Narrow" w:cs="Arial"/>
          <w:i/>
          <w:iCs/>
          <w:color w:val="000000" w:themeColor="text1"/>
          <w:sz w:val="24"/>
          <w:szCs w:val="24"/>
          <w:shd w:val="clear" w:color="auto" w:fill="FFFFFF"/>
        </w:rPr>
        <w:t>Journal of Sex Research</w:t>
      </w:r>
      <w:r w:rsidRPr="000E2B6C">
        <w:rPr>
          <w:rFonts w:ascii="Arial Narrow" w:hAnsi="Arial Narrow" w:cs="Arial"/>
          <w:color w:val="000000" w:themeColor="text1"/>
          <w:sz w:val="24"/>
          <w:szCs w:val="24"/>
          <w:shd w:val="clear" w:color="auto" w:fill="FFFFFF"/>
        </w:rPr>
        <w:t>, </w:t>
      </w:r>
      <w:r w:rsidRPr="000E2B6C">
        <w:rPr>
          <w:rFonts w:ascii="Arial Narrow" w:hAnsi="Arial Narrow" w:cs="Arial"/>
          <w:i/>
          <w:iCs/>
          <w:color w:val="000000" w:themeColor="text1"/>
          <w:sz w:val="24"/>
          <w:szCs w:val="24"/>
          <w:shd w:val="clear" w:color="auto" w:fill="FFFFFF"/>
        </w:rPr>
        <w:t>46</w:t>
      </w:r>
      <w:r w:rsidRPr="000E2B6C">
        <w:rPr>
          <w:rFonts w:ascii="Arial Narrow" w:hAnsi="Arial Narrow" w:cs="Arial"/>
          <w:color w:val="000000" w:themeColor="text1"/>
          <w:sz w:val="24"/>
          <w:szCs w:val="24"/>
          <w:shd w:val="clear" w:color="auto" w:fill="FFFFFF"/>
        </w:rPr>
        <w:t xml:space="preserve">(6), 568-585. </w:t>
      </w:r>
      <w:r w:rsidRPr="000E2B6C">
        <w:rPr>
          <w:rFonts w:ascii="Arial Narrow" w:hAnsi="Arial Narrow" w:cs="Arial"/>
          <w:color w:val="000000" w:themeColor="text1"/>
          <w:sz w:val="24"/>
          <w:szCs w:val="24"/>
          <w:shd w:val="clear" w:color="auto" w:fill="FFFFFF"/>
        </w:rPr>
        <w:tab/>
      </w:r>
      <w:hyperlink r:id="rId6" w:history="1">
        <w:r w:rsidRPr="000E2B6C">
          <w:rPr>
            <w:rStyle w:val="Hyperlink"/>
            <w:rFonts w:ascii="Arial Narrow" w:hAnsi="Arial Narrow" w:cs="Arial"/>
            <w:color w:val="000000" w:themeColor="text1"/>
            <w:sz w:val="24"/>
            <w:szCs w:val="24"/>
            <w:shd w:val="clear" w:color="auto" w:fill="FFFFFF"/>
          </w:rPr>
          <w:t>http://dx.doi.org/10.1080/00224490902878985</w:t>
        </w:r>
      </w:hyperlink>
    </w:p>
    <w:p w14:paraId="7AD7380E" w14:textId="77777777" w:rsidR="00065809" w:rsidRPr="000E2B6C" w:rsidRDefault="00065809" w:rsidP="00065809">
      <w:pPr>
        <w:pStyle w:val="Heading1"/>
        <w:rPr>
          <w:rFonts w:ascii="Arial Narrow" w:hAnsi="Arial Narrow" w:cs="Arial"/>
          <w:color w:val="000000" w:themeColor="text1"/>
          <w:sz w:val="24"/>
          <w:szCs w:val="24"/>
          <w:shd w:val="clear" w:color="auto" w:fill="FFFFFF"/>
        </w:rPr>
      </w:pPr>
      <w:r w:rsidRPr="000E2B6C">
        <w:rPr>
          <w:rFonts w:ascii="Arial Narrow" w:hAnsi="Arial Narrow" w:cs="Arial"/>
          <w:color w:val="000000" w:themeColor="text1"/>
          <w:sz w:val="24"/>
          <w:szCs w:val="24"/>
          <w:shd w:val="clear" w:color="auto" w:fill="FFFFFF"/>
        </w:rPr>
        <w:t>Jones, P. (2006). </w:t>
      </w:r>
      <w:r w:rsidRPr="000E2B6C">
        <w:rPr>
          <w:rFonts w:ascii="Arial Narrow" w:hAnsi="Arial Narrow" w:cs="Arial"/>
          <w:i/>
          <w:iCs/>
          <w:color w:val="000000" w:themeColor="text1"/>
          <w:sz w:val="24"/>
          <w:szCs w:val="24"/>
          <w:shd w:val="clear" w:color="auto" w:fill="FFFFFF"/>
        </w:rPr>
        <w:t>Cleopatra</w:t>
      </w:r>
      <w:r w:rsidRPr="000E2B6C">
        <w:rPr>
          <w:rFonts w:ascii="Arial Narrow" w:hAnsi="Arial Narrow" w:cs="Arial"/>
          <w:color w:val="000000" w:themeColor="text1"/>
          <w:sz w:val="24"/>
          <w:szCs w:val="24"/>
          <w:shd w:val="clear" w:color="auto" w:fill="FFFFFF"/>
        </w:rPr>
        <w:t>. Norman: University of Oklahoma Press, pp.1-2.</w:t>
      </w:r>
    </w:p>
    <w:p w14:paraId="6DD40BD7" w14:textId="77777777" w:rsidR="00065809" w:rsidRPr="000E2B6C" w:rsidRDefault="00065809" w:rsidP="00065809">
      <w:pPr>
        <w:rPr>
          <w:rFonts w:ascii="Arial Narrow" w:hAnsi="Arial Narrow" w:cs="Arial"/>
          <w:color w:val="000000" w:themeColor="text1"/>
          <w:sz w:val="24"/>
          <w:szCs w:val="24"/>
          <w:shd w:val="clear" w:color="auto" w:fill="FFFFFF"/>
        </w:rPr>
      </w:pPr>
    </w:p>
    <w:p w14:paraId="075CDE8D" w14:textId="2EB6C538" w:rsidR="00065809" w:rsidRPr="000E2B6C" w:rsidRDefault="00065809" w:rsidP="0031195C">
      <w:pPr>
        <w:rPr>
          <w:rFonts w:ascii="Arial Narrow" w:hAnsi="Arial Narrow"/>
          <w:color w:val="000000" w:themeColor="text1"/>
          <w:sz w:val="24"/>
          <w:szCs w:val="24"/>
        </w:rPr>
      </w:pPr>
      <w:r w:rsidRPr="000E2B6C">
        <w:rPr>
          <w:rFonts w:ascii="Arial Narrow" w:hAnsi="Arial Narrow"/>
          <w:color w:val="000000" w:themeColor="text1"/>
          <w:sz w:val="24"/>
          <w:szCs w:val="24"/>
        </w:rPr>
        <w:t xml:space="preserve">Khomami, N. (2018). #MeToo: how a hashtag became a rallying cry against sexual harassment. The </w:t>
      </w:r>
      <w:r w:rsidR="008B334C">
        <w:rPr>
          <w:rFonts w:ascii="Arial Narrow" w:hAnsi="Arial Narrow"/>
          <w:color w:val="000000" w:themeColor="text1"/>
          <w:sz w:val="24"/>
          <w:szCs w:val="24"/>
        </w:rPr>
        <w:tab/>
      </w:r>
      <w:r w:rsidRPr="000E2B6C">
        <w:rPr>
          <w:rFonts w:ascii="Arial Narrow" w:hAnsi="Arial Narrow"/>
          <w:color w:val="000000" w:themeColor="text1"/>
          <w:sz w:val="24"/>
          <w:szCs w:val="24"/>
        </w:rPr>
        <w:t xml:space="preserve">Guardian. Retrieved 24 April 2018, from </w:t>
      </w:r>
      <w:r w:rsidR="008B334C">
        <w:rPr>
          <w:rFonts w:ascii="Arial Narrow" w:hAnsi="Arial Narrow"/>
          <w:color w:val="000000" w:themeColor="text1"/>
          <w:sz w:val="24"/>
          <w:szCs w:val="24"/>
        </w:rPr>
        <w:tab/>
      </w:r>
      <w:hyperlink r:id="rId7" w:history="1">
        <w:r w:rsidR="008B334C" w:rsidRPr="00687CEE">
          <w:rPr>
            <w:rStyle w:val="Hyperlink"/>
            <w:rFonts w:ascii="Arial Narrow" w:hAnsi="Arial Narrow"/>
            <w:sz w:val="24"/>
            <w:szCs w:val="24"/>
          </w:rPr>
          <w:t>https://www.theguardian.com/world/2017/oct/20/women-worldwide-use-hashtag-metoo-against-</w:t>
        </w:r>
        <w:r w:rsidR="008B334C" w:rsidRPr="00687CEE">
          <w:rPr>
            <w:rStyle w:val="Hyperlink"/>
            <w:rFonts w:ascii="Arial Narrow" w:hAnsi="Arial Narrow"/>
            <w:sz w:val="24"/>
            <w:szCs w:val="24"/>
          </w:rPr>
          <w:tab/>
          <w:t>sexual-harassment</w:t>
        </w:r>
      </w:hyperlink>
    </w:p>
    <w:p w14:paraId="6CD28DC6" w14:textId="0FAA8F66" w:rsidR="00DC7EFF" w:rsidRPr="000E2B6C" w:rsidRDefault="00DC7EFF" w:rsidP="0031195C">
      <w:pPr>
        <w:rPr>
          <w:rFonts w:ascii="Arial Narrow" w:hAnsi="Arial Narrow"/>
          <w:color w:val="000000" w:themeColor="text1"/>
          <w:sz w:val="24"/>
          <w:szCs w:val="24"/>
        </w:rPr>
      </w:pPr>
      <w:r w:rsidRPr="000E2B6C">
        <w:rPr>
          <w:rFonts w:ascii="Arial Narrow" w:hAnsi="Arial Narrow"/>
          <w:color w:val="000000" w:themeColor="text1"/>
          <w:sz w:val="24"/>
          <w:szCs w:val="24"/>
        </w:rPr>
        <w:t>Mankiewicz, J. (1963). Cleopatra. United States: 20th Century Fox.</w:t>
      </w:r>
    </w:p>
    <w:p w14:paraId="52EC9936" w14:textId="14FDE751" w:rsidR="00065809" w:rsidRPr="000E2B6C" w:rsidRDefault="00065809" w:rsidP="00065809">
      <w:pPr>
        <w:rPr>
          <w:rFonts w:ascii="Arial Narrow" w:hAnsi="Arial Narrow"/>
          <w:color w:val="000000" w:themeColor="text1"/>
          <w:sz w:val="24"/>
          <w:szCs w:val="24"/>
        </w:rPr>
      </w:pPr>
      <w:r w:rsidRPr="000E2B6C">
        <w:rPr>
          <w:rFonts w:ascii="Arial Narrow" w:hAnsi="Arial Narrow"/>
          <w:color w:val="000000" w:themeColor="text1"/>
          <w:sz w:val="24"/>
          <w:szCs w:val="24"/>
        </w:rPr>
        <w:t xml:space="preserve">Mental health statistics: men and women. (2018). Mental Health Foundation. Retrieved 24 </w:t>
      </w:r>
      <w:r w:rsidRPr="000E2B6C">
        <w:rPr>
          <w:rFonts w:ascii="Arial Narrow" w:hAnsi="Arial Narrow"/>
          <w:color w:val="000000" w:themeColor="text1"/>
          <w:sz w:val="24"/>
          <w:szCs w:val="24"/>
        </w:rPr>
        <w:tab/>
      </w:r>
      <w:r w:rsidRPr="000E2B6C">
        <w:rPr>
          <w:rFonts w:ascii="Arial Narrow" w:hAnsi="Arial Narrow"/>
          <w:color w:val="000000" w:themeColor="text1"/>
          <w:sz w:val="24"/>
          <w:szCs w:val="24"/>
        </w:rPr>
        <w:t xml:space="preserve">April 2018, </w:t>
      </w:r>
      <w:r w:rsidR="000E2B6C">
        <w:rPr>
          <w:rFonts w:ascii="Arial Narrow" w:hAnsi="Arial Narrow"/>
          <w:color w:val="000000" w:themeColor="text1"/>
          <w:sz w:val="24"/>
          <w:szCs w:val="24"/>
        </w:rPr>
        <w:tab/>
      </w:r>
      <w:r w:rsidRPr="000E2B6C">
        <w:rPr>
          <w:rFonts w:ascii="Arial Narrow" w:hAnsi="Arial Narrow"/>
          <w:color w:val="000000" w:themeColor="text1"/>
          <w:sz w:val="24"/>
          <w:szCs w:val="24"/>
        </w:rPr>
        <w:t xml:space="preserve">from </w:t>
      </w:r>
      <w:hyperlink r:id="rId8" w:history="1">
        <w:r w:rsidR="000E2B6C" w:rsidRPr="00687CEE">
          <w:rPr>
            <w:rStyle w:val="Hyperlink"/>
            <w:rFonts w:ascii="Arial Narrow" w:hAnsi="Arial Narrow"/>
            <w:sz w:val="24"/>
            <w:szCs w:val="24"/>
          </w:rPr>
          <w:t>https://www.mentalhealth.org.uk/statistics/mental-health-statistics-men-and-women</w:t>
        </w:r>
      </w:hyperlink>
    </w:p>
    <w:p w14:paraId="36D08259" w14:textId="5EF6A154" w:rsidR="00065809" w:rsidRPr="000E2B6C" w:rsidRDefault="00065809" w:rsidP="00065809">
      <w:pPr>
        <w:rPr>
          <w:rFonts w:ascii="Arial Narrow" w:hAnsi="Arial Narrow"/>
          <w:color w:val="000000" w:themeColor="text1"/>
          <w:sz w:val="24"/>
          <w:szCs w:val="24"/>
          <w:lang w:val="en-US"/>
        </w:rPr>
      </w:pPr>
      <w:r w:rsidRPr="000E2B6C">
        <w:rPr>
          <w:rFonts w:ascii="Arial Narrow" w:hAnsi="Arial Narrow"/>
          <w:color w:val="000000" w:themeColor="text1"/>
          <w:sz w:val="24"/>
          <w:szCs w:val="24"/>
          <w:lang w:val="en-US"/>
        </w:rPr>
        <w:t xml:space="preserve">Scarre, G. (1987). Witchcraft and Magic in 16th and 17th Century Europe. Macmillan Education Ltd. </w:t>
      </w:r>
      <w:r w:rsidR="000E2B6C">
        <w:rPr>
          <w:rFonts w:ascii="Arial Narrow" w:hAnsi="Arial Narrow"/>
          <w:color w:val="000000" w:themeColor="text1"/>
          <w:sz w:val="24"/>
          <w:szCs w:val="24"/>
          <w:lang w:val="en-US"/>
        </w:rPr>
        <w:tab/>
      </w:r>
      <w:r w:rsidRPr="000E2B6C">
        <w:rPr>
          <w:rFonts w:ascii="Arial Narrow" w:hAnsi="Arial Narrow"/>
          <w:color w:val="000000" w:themeColor="text1"/>
          <w:sz w:val="24"/>
          <w:szCs w:val="24"/>
          <w:lang w:val="en-US"/>
        </w:rPr>
        <w:t>London</w:t>
      </w:r>
    </w:p>
    <w:p w14:paraId="6C3B5874" w14:textId="7794CE4F" w:rsidR="003871C9" w:rsidRPr="000E2B6C" w:rsidRDefault="003871C9" w:rsidP="0031195C">
      <w:pPr>
        <w:rPr>
          <w:rFonts w:ascii="Arial Narrow" w:hAnsi="Arial Narrow"/>
          <w:color w:val="000000" w:themeColor="text1"/>
          <w:sz w:val="24"/>
          <w:szCs w:val="24"/>
        </w:rPr>
      </w:pPr>
      <w:r w:rsidRPr="000E2B6C">
        <w:rPr>
          <w:rFonts w:ascii="Arial Narrow" w:hAnsi="Arial Narrow"/>
          <w:color w:val="000000" w:themeColor="text1"/>
          <w:sz w:val="24"/>
          <w:szCs w:val="24"/>
        </w:rPr>
        <w:t xml:space="preserve">Suicide Statistics Report 2017. (2018). Samaritans.org. Retrieved 24 April 2018, from </w:t>
      </w:r>
      <w:r w:rsidR="00065809" w:rsidRPr="000E2B6C">
        <w:rPr>
          <w:rFonts w:ascii="Arial Narrow" w:hAnsi="Arial Narrow"/>
          <w:color w:val="000000" w:themeColor="text1"/>
          <w:sz w:val="24"/>
          <w:szCs w:val="24"/>
        </w:rPr>
        <w:tab/>
      </w:r>
      <w:hyperlink r:id="rId9" w:history="1">
        <w:r w:rsidR="00065809" w:rsidRPr="000E2B6C">
          <w:rPr>
            <w:rStyle w:val="Hyperlink"/>
            <w:rFonts w:ascii="Arial Narrow" w:hAnsi="Arial Narrow"/>
            <w:color w:val="000000" w:themeColor="text1"/>
            <w:sz w:val="24"/>
            <w:szCs w:val="24"/>
          </w:rPr>
          <w:t>https://www.samaritans.org/sites/default/files/kcfinder/files/Suicide_statistics_repo</w:t>
        </w:r>
        <w:r w:rsidR="00065809" w:rsidRPr="000E2B6C">
          <w:rPr>
            <w:rStyle w:val="Hyperlink"/>
            <w:rFonts w:ascii="Arial Narrow" w:hAnsi="Arial Narrow"/>
            <w:color w:val="000000" w:themeColor="text1"/>
            <w:sz w:val="24"/>
            <w:szCs w:val="24"/>
          </w:rPr>
          <w:tab/>
          <w:t>rt_2017_Final.pdf</w:t>
        </w:r>
      </w:hyperlink>
    </w:p>
    <w:p w14:paraId="22BBA45D" w14:textId="139D3A69" w:rsidR="00065809" w:rsidRPr="000E2B6C" w:rsidRDefault="00065809" w:rsidP="0031195C">
      <w:pPr>
        <w:rPr>
          <w:rFonts w:ascii="Arial Narrow" w:hAnsi="Arial Narrow"/>
          <w:color w:val="000000" w:themeColor="text1"/>
          <w:sz w:val="24"/>
          <w:szCs w:val="24"/>
        </w:rPr>
      </w:pPr>
      <w:r w:rsidRPr="000E2B6C">
        <w:rPr>
          <w:rFonts w:ascii="Arial Narrow" w:hAnsi="Arial Narrow" w:cs="Arial"/>
          <w:i/>
          <w:iCs/>
          <w:color w:val="000000" w:themeColor="text1"/>
          <w:sz w:val="24"/>
          <w:szCs w:val="24"/>
          <w:shd w:val="clear" w:color="auto" w:fill="FFFFFF"/>
        </w:rPr>
        <w:t>Witch Hunt: A Century of Murder</w:t>
      </w:r>
      <w:r w:rsidRPr="000E2B6C">
        <w:rPr>
          <w:rFonts w:ascii="Arial Narrow" w:hAnsi="Arial Narrow" w:cs="Arial"/>
          <w:color w:val="000000" w:themeColor="text1"/>
          <w:sz w:val="24"/>
          <w:szCs w:val="24"/>
          <w:shd w:val="clear" w:color="auto" w:fill="FFFFFF"/>
        </w:rPr>
        <w:t>, (2015). [TV programme] Channel 5: 5 Productions.</w:t>
      </w:r>
    </w:p>
    <w:p w14:paraId="41B48E47" w14:textId="37F17B5C" w:rsidR="00990DDD" w:rsidRPr="000E2B6C" w:rsidRDefault="00990DDD" w:rsidP="00990DDD">
      <w:pPr>
        <w:rPr>
          <w:rFonts w:ascii="Arial Narrow" w:hAnsi="Arial Narrow"/>
          <w:color w:val="000000" w:themeColor="text1"/>
          <w:sz w:val="24"/>
          <w:szCs w:val="24"/>
        </w:rPr>
      </w:pPr>
      <w:r w:rsidRPr="000E2B6C">
        <w:rPr>
          <w:rFonts w:ascii="Arial Narrow" w:hAnsi="Arial Narrow"/>
          <w:color w:val="000000" w:themeColor="text1"/>
          <w:sz w:val="24"/>
          <w:szCs w:val="24"/>
        </w:rPr>
        <w:t xml:space="preserve">Women and mental health. (2018). Mental Health Foundation. Retrieved 24 April 2018, from </w:t>
      </w:r>
      <w:r w:rsidR="000E2B6C">
        <w:rPr>
          <w:rFonts w:ascii="Arial Narrow" w:hAnsi="Arial Narrow"/>
          <w:color w:val="000000" w:themeColor="text1"/>
          <w:sz w:val="24"/>
          <w:szCs w:val="24"/>
        </w:rPr>
        <w:tab/>
      </w:r>
      <w:hyperlink r:id="rId10" w:history="1">
        <w:r w:rsidR="000E2B6C" w:rsidRPr="00687CEE">
          <w:rPr>
            <w:rStyle w:val="Hyperlink"/>
            <w:rFonts w:ascii="Arial Narrow" w:hAnsi="Arial Narrow"/>
            <w:sz w:val="24"/>
            <w:szCs w:val="24"/>
          </w:rPr>
          <w:t>https://www.mentalhealth.org.uk/a-to-z/w/women-and-mental-health</w:t>
        </w:r>
      </w:hyperlink>
    </w:p>
    <w:p w14:paraId="1B2E152F" w14:textId="77777777" w:rsidR="00990DDD" w:rsidRPr="000E2B6C" w:rsidRDefault="00990DDD" w:rsidP="0031195C">
      <w:pPr>
        <w:rPr>
          <w:color w:val="000000" w:themeColor="text1"/>
          <w:sz w:val="24"/>
        </w:rPr>
      </w:pPr>
    </w:p>
    <w:sectPr w:rsidR="00990DDD" w:rsidRPr="000E2B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195C"/>
    <w:rsid w:val="000169CB"/>
    <w:rsid w:val="0005359E"/>
    <w:rsid w:val="00056F87"/>
    <w:rsid w:val="0006042D"/>
    <w:rsid w:val="00065809"/>
    <w:rsid w:val="000C677D"/>
    <w:rsid w:val="000C788C"/>
    <w:rsid w:val="000E2B6C"/>
    <w:rsid w:val="001177BD"/>
    <w:rsid w:val="0017314E"/>
    <w:rsid w:val="001838AD"/>
    <w:rsid w:val="00196890"/>
    <w:rsid w:val="001A021F"/>
    <w:rsid w:val="001E73F9"/>
    <w:rsid w:val="00203488"/>
    <w:rsid w:val="00224E88"/>
    <w:rsid w:val="00240BE4"/>
    <w:rsid w:val="00272544"/>
    <w:rsid w:val="00283F8F"/>
    <w:rsid w:val="00284FC0"/>
    <w:rsid w:val="002B4EC2"/>
    <w:rsid w:val="002D0FC8"/>
    <w:rsid w:val="0031195C"/>
    <w:rsid w:val="00312303"/>
    <w:rsid w:val="003353C1"/>
    <w:rsid w:val="003365F1"/>
    <w:rsid w:val="0034409B"/>
    <w:rsid w:val="00350249"/>
    <w:rsid w:val="003502D1"/>
    <w:rsid w:val="00360C1C"/>
    <w:rsid w:val="003844A2"/>
    <w:rsid w:val="003871C9"/>
    <w:rsid w:val="003976ED"/>
    <w:rsid w:val="003B2FCE"/>
    <w:rsid w:val="003C1BB4"/>
    <w:rsid w:val="00421B70"/>
    <w:rsid w:val="00433FF9"/>
    <w:rsid w:val="00466913"/>
    <w:rsid w:val="00476654"/>
    <w:rsid w:val="0048162E"/>
    <w:rsid w:val="004B343D"/>
    <w:rsid w:val="004E19A3"/>
    <w:rsid w:val="005045D8"/>
    <w:rsid w:val="0051567E"/>
    <w:rsid w:val="00537335"/>
    <w:rsid w:val="00553317"/>
    <w:rsid w:val="0056205E"/>
    <w:rsid w:val="00567A2E"/>
    <w:rsid w:val="00570878"/>
    <w:rsid w:val="00573FBB"/>
    <w:rsid w:val="005C12ED"/>
    <w:rsid w:val="005D3D7C"/>
    <w:rsid w:val="006112FE"/>
    <w:rsid w:val="0061351E"/>
    <w:rsid w:val="00614760"/>
    <w:rsid w:val="00634ACC"/>
    <w:rsid w:val="00664121"/>
    <w:rsid w:val="00666A22"/>
    <w:rsid w:val="0069641C"/>
    <w:rsid w:val="006B5F87"/>
    <w:rsid w:val="006D5E34"/>
    <w:rsid w:val="007100CB"/>
    <w:rsid w:val="00741982"/>
    <w:rsid w:val="0074283E"/>
    <w:rsid w:val="0075427F"/>
    <w:rsid w:val="00765F93"/>
    <w:rsid w:val="00780806"/>
    <w:rsid w:val="007B7166"/>
    <w:rsid w:val="007D1920"/>
    <w:rsid w:val="007D3E2D"/>
    <w:rsid w:val="007E71F1"/>
    <w:rsid w:val="0089028A"/>
    <w:rsid w:val="008B334C"/>
    <w:rsid w:val="008C6181"/>
    <w:rsid w:val="0090743C"/>
    <w:rsid w:val="00937EE0"/>
    <w:rsid w:val="009538C7"/>
    <w:rsid w:val="00990DDD"/>
    <w:rsid w:val="009A6399"/>
    <w:rsid w:val="009B6D96"/>
    <w:rsid w:val="00A1455C"/>
    <w:rsid w:val="00A2585E"/>
    <w:rsid w:val="00A3775F"/>
    <w:rsid w:val="00A811AF"/>
    <w:rsid w:val="00AA15C6"/>
    <w:rsid w:val="00AD6403"/>
    <w:rsid w:val="00B01473"/>
    <w:rsid w:val="00B32F24"/>
    <w:rsid w:val="00B73FBD"/>
    <w:rsid w:val="00B82391"/>
    <w:rsid w:val="00B837F0"/>
    <w:rsid w:val="00BB27EC"/>
    <w:rsid w:val="00C25635"/>
    <w:rsid w:val="00D14660"/>
    <w:rsid w:val="00D503AD"/>
    <w:rsid w:val="00D75AF4"/>
    <w:rsid w:val="00DB6FCE"/>
    <w:rsid w:val="00DC7EFF"/>
    <w:rsid w:val="00E30B76"/>
    <w:rsid w:val="00E96FF4"/>
    <w:rsid w:val="00EA29FD"/>
    <w:rsid w:val="00EB5177"/>
    <w:rsid w:val="00EB7BFE"/>
    <w:rsid w:val="00ED12F4"/>
    <w:rsid w:val="00EE101E"/>
    <w:rsid w:val="00EF59CC"/>
    <w:rsid w:val="00F0212C"/>
    <w:rsid w:val="00F02915"/>
    <w:rsid w:val="00F179B9"/>
    <w:rsid w:val="00F365B5"/>
    <w:rsid w:val="00F82E84"/>
    <w:rsid w:val="00FB2944"/>
    <w:rsid w:val="00FE2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DF367"/>
  <w15:chartTrackingRefBased/>
  <w15:docId w15:val="{245A984E-EF51-4D1F-8912-B797E6B8E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21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21F"/>
    <w:rPr>
      <w:rFonts w:asciiTheme="majorHAnsi" w:eastAsiaTheme="majorEastAsia" w:hAnsiTheme="majorHAnsi" w:cstheme="majorBidi"/>
      <w:color w:val="2E74B5" w:themeColor="accent1" w:themeShade="BF"/>
      <w:sz w:val="32"/>
      <w:szCs w:val="32"/>
      <w:lang w:val="en-US"/>
    </w:rPr>
  </w:style>
  <w:style w:type="character" w:styleId="Hyperlink">
    <w:name w:val="Hyperlink"/>
    <w:basedOn w:val="DefaultParagraphFont"/>
    <w:uiPriority w:val="99"/>
    <w:unhideWhenUsed/>
    <w:rsid w:val="007B7166"/>
    <w:rPr>
      <w:color w:val="0563C1" w:themeColor="hyperlink"/>
      <w:u w:val="single"/>
    </w:rPr>
  </w:style>
  <w:style w:type="character" w:styleId="UnresolvedMention">
    <w:name w:val="Unresolved Mention"/>
    <w:basedOn w:val="DefaultParagraphFont"/>
    <w:uiPriority w:val="99"/>
    <w:semiHidden/>
    <w:unhideWhenUsed/>
    <w:rsid w:val="007B7166"/>
    <w:rPr>
      <w:color w:val="808080"/>
      <w:shd w:val="clear" w:color="auto" w:fill="E6E6E6"/>
    </w:rPr>
  </w:style>
  <w:style w:type="paragraph" w:styleId="Revision">
    <w:name w:val="Revision"/>
    <w:hidden/>
    <w:uiPriority w:val="99"/>
    <w:semiHidden/>
    <w:rsid w:val="003353C1"/>
    <w:pPr>
      <w:spacing w:after="0" w:line="240" w:lineRule="auto"/>
    </w:pPr>
  </w:style>
  <w:style w:type="paragraph" w:styleId="BalloonText">
    <w:name w:val="Balloon Text"/>
    <w:basedOn w:val="Normal"/>
    <w:link w:val="BalloonTextChar"/>
    <w:uiPriority w:val="99"/>
    <w:semiHidden/>
    <w:unhideWhenUsed/>
    <w:rsid w:val="003353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53C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statistics/mental-health-statistics-men-and-women" TargetMode="External"/><Relationship Id="rId3" Type="http://schemas.openxmlformats.org/officeDocument/2006/relationships/styles" Target="styles.xml"/><Relationship Id="rId7" Type="http://schemas.openxmlformats.org/officeDocument/2006/relationships/hyperlink" Target="https://www.theguardian.com/world/2017/oct/20/women-worldwide-use-hashtag-metoo-against-%09sexual-harassment"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dx.doi.org/10.1080/00224490902878985"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entalhealth.org.uk/a-to-z/w/women-and-mental-health" TargetMode="External"/><Relationship Id="rId4" Type="http://schemas.openxmlformats.org/officeDocument/2006/relationships/settings" Target="settings.xml"/><Relationship Id="rId9" Type="http://schemas.openxmlformats.org/officeDocument/2006/relationships/hyperlink" Target="https://www.samaritans.org/sites/default/files/kcfinder/files/Suicide_statistics_repo%09rt_2017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70DC66-F139-4A22-B7C7-4CB034F38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1513</Words>
  <Characters>8625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Farmer (1702887)</dc:creator>
  <cp:keywords/>
  <dc:description/>
  <cp:lastModifiedBy>Bobby Farmer (1702887)</cp:lastModifiedBy>
  <cp:revision>2</cp:revision>
  <dcterms:created xsi:type="dcterms:W3CDTF">2018-04-24T09:54:00Z</dcterms:created>
  <dcterms:modified xsi:type="dcterms:W3CDTF">2018-04-24T09:54:00Z</dcterms:modified>
</cp:coreProperties>
</file>