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Report on Navigating Change: A Case Study of Seesaw Coffee Adaptation to the COVID-19 Pandemic</w:t>
      </w:r>
    </w:p>
    <w:p>
      <w:pPr>
        <w:spacing w:line="480" w:lineRule="auto"/>
        <w:rPr>
          <w:rFonts w:ascii="Times New Roman" w:hAnsi="Times New Roman" w:cs="Times New Roman"/>
          <w:sz w:val="24"/>
          <w:szCs w:val="24"/>
        </w:rPr>
      </w:pPr>
    </w:p>
    <w:p>
      <w:pPr>
        <w:spacing w:line="480" w:lineRule="auto"/>
        <w:jc w:val="center"/>
        <w:rPr>
          <w:rFonts w:hint="default" w:ascii="Times New Roman" w:hAnsi="Times New Roman" w:eastAsia="宋体" w:cs="Times New Roman"/>
          <w:sz w:val="24"/>
          <w:szCs w:val="24"/>
          <w:lang w:val="en-US" w:eastAsia="zh-CN"/>
        </w:rPr>
      </w:pPr>
      <w:r>
        <w:rPr>
          <w:rFonts w:ascii="Times New Roman" w:hAnsi="Times New Roman" w:cs="Times New Roman"/>
          <w:sz w:val="24"/>
          <w:szCs w:val="24"/>
        </w:rPr>
        <w:t>Student’s Name:</w:t>
      </w:r>
      <w:r>
        <w:rPr>
          <w:rFonts w:hint="eastAsia" w:ascii="Times New Roman" w:hAnsi="Times New Roman" w:eastAsia="宋体" w:cs="Times New Roman"/>
          <w:sz w:val="24"/>
          <w:szCs w:val="24"/>
          <w:lang w:val="en-US" w:eastAsia="zh-CN"/>
        </w:rPr>
        <w:t>Suibin Yang</w:t>
      </w:r>
    </w:p>
    <w:p>
      <w:pPr>
        <w:spacing w:line="480" w:lineRule="auto"/>
        <w:jc w:val="center"/>
        <w:rPr>
          <w:rFonts w:ascii="Times New Roman" w:hAnsi="Times New Roman" w:cs="Times New Roman"/>
          <w:sz w:val="24"/>
          <w:szCs w:val="24"/>
        </w:rPr>
      </w:pPr>
    </w:p>
    <w:p>
      <w:pPr>
        <w:spacing w:line="480" w:lineRule="auto"/>
        <w:jc w:val="center"/>
        <w:rPr>
          <w:rFonts w:hint="default" w:ascii="Times New Roman" w:hAnsi="Times New Roman" w:eastAsia="宋体" w:cs="Times New Roman"/>
          <w:sz w:val="24"/>
          <w:szCs w:val="24"/>
          <w:lang w:val="en-US" w:eastAsia="zh-CN"/>
        </w:rPr>
      </w:pPr>
      <w:r>
        <w:rPr>
          <w:rFonts w:ascii="Times New Roman" w:hAnsi="Times New Roman" w:cs="Times New Roman"/>
          <w:sz w:val="24"/>
          <w:szCs w:val="24"/>
        </w:rPr>
        <w:t>Student’s No:</w:t>
      </w:r>
      <w:r>
        <w:rPr>
          <w:rFonts w:hint="eastAsia" w:ascii="Times New Roman" w:hAnsi="Times New Roman" w:eastAsia="宋体" w:cs="Times New Roman"/>
          <w:sz w:val="24"/>
          <w:szCs w:val="24"/>
          <w:lang w:val="en-US" w:eastAsia="zh-CN"/>
        </w:rPr>
        <w:t>2227824</w:t>
      </w:r>
    </w:p>
    <w:p>
      <w:pPr>
        <w:spacing w:line="480" w:lineRule="auto"/>
        <w:jc w:val="center"/>
        <w:rPr>
          <w:rFonts w:ascii="Times New Roman" w:hAnsi="Times New Roman" w:cs="Times New Roman"/>
          <w:sz w:val="24"/>
          <w:szCs w:val="24"/>
        </w:rPr>
      </w:pPr>
    </w:p>
    <w:p>
      <w:pPr>
        <w:spacing w:line="480" w:lineRule="auto"/>
        <w:jc w:val="center"/>
        <w:rPr>
          <w:rFonts w:ascii="Times New Roman" w:hAnsi="Times New Roman" w:cs="Times New Roman"/>
          <w:sz w:val="24"/>
          <w:szCs w:val="24"/>
        </w:rPr>
      </w:pPr>
      <w:r>
        <w:rPr>
          <w:rFonts w:ascii="Times New Roman" w:hAnsi="Times New Roman" w:cs="Times New Roman"/>
          <w:sz w:val="24"/>
          <w:szCs w:val="24"/>
        </w:rPr>
        <w:t>Module Name:</w:t>
      </w:r>
      <w:r>
        <w:rPr>
          <w:rFonts w:ascii="Times New Roman" w:hAnsi="Times New Roman" w:cs="Times New Roman"/>
          <w:sz w:val="24"/>
          <w:szCs w:val="24"/>
          <w:lang w:val="en-US" w:eastAsia="zh-CN"/>
        </w:rPr>
        <w:fldChar w:fldCharType="begin"/>
      </w:r>
      <w:r>
        <w:rPr>
          <w:rFonts w:ascii="Times New Roman" w:hAnsi="Times New Roman" w:cs="Times New Roman"/>
          <w:sz w:val="24"/>
          <w:szCs w:val="24"/>
          <w:lang w:val="en-US" w:eastAsia="zh-CN"/>
        </w:rPr>
        <w:instrText xml:space="preserve"> HYPERLINK "https://moodle.uwtsd.ac.uk/course/view.php?id=2703" </w:instrText>
      </w:r>
      <w:r>
        <w:rPr>
          <w:rFonts w:ascii="Times New Roman" w:hAnsi="Times New Roman" w:cs="Times New Roman"/>
          <w:sz w:val="24"/>
          <w:szCs w:val="24"/>
          <w:lang w:val="en-US" w:eastAsia="zh-CN"/>
        </w:rPr>
        <w:fldChar w:fldCharType="separate"/>
      </w:r>
    </w:p>
    <w:p>
      <w:pPr>
        <w:spacing w:line="480" w:lineRule="auto"/>
        <w:jc w:val="center"/>
        <w:rPr>
          <w:rFonts w:ascii="Times New Roman" w:hAnsi="Times New Roman" w:cs="Times New Roman"/>
          <w:sz w:val="24"/>
          <w:szCs w:val="24"/>
        </w:rPr>
      </w:pPr>
      <w:r>
        <w:rPr>
          <w:rFonts w:ascii="Times New Roman" w:hAnsi="Times New Roman" w:cs="Times New Roman"/>
          <w:sz w:val="24"/>
          <w:szCs w:val="24"/>
        </w:rPr>
        <w:t>Change and Stability Management (BMMB7000)</w:t>
      </w:r>
    </w:p>
    <w:p>
      <w:pPr>
        <w:spacing w:line="480" w:lineRule="auto"/>
        <w:jc w:val="both"/>
        <w:rPr>
          <w:rFonts w:ascii="Times New Roman" w:hAnsi="Times New Roman" w:cs="Times New Roman"/>
          <w:sz w:val="24"/>
          <w:szCs w:val="24"/>
        </w:rPr>
      </w:pPr>
      <w:r>
        <w:rPr>
          <w:rFonts w:hint="default" w:ascii="Times New Roman" w:hAnsi="Times New Roman" w:cs="Times New Roman"/>
          <w:sz w:val="24"/>
          <w:szCs w:val="24"/>
          <w:lang w:val="en-US" w:eastAsia="zh-CN"/>
        </w:rPr>
        <w:fldChar w:fldCharType="end"/>
      </w:r>
      <w:bookmarkStart w:id="37" w:name="_GoBack"/>
      <w:bookmarkEnd w:id="37"/>
    </w:p>
    <w:p>
      <w:pPr>
        <w:spacing w:line="480" w:lineRule="auto"/>
        <w:jc w:val="center"/>
        <w:rPr>
          <w:rFonts w:ascii="Times New Roman" w:hAnsi="Times New Roman" w:cs="Times New Roman"/>
          <w:sz w:val="24"/>
          <w:szCs w:val="24"/>
        </w:rPr>
      </w:pPr>
      <w:r>
        <w:rPr>
          <w:rFonts w:ascii="Times New Roman" w:hAnsi="Times New Roman" w:cs="Times New Roman"/>
          <w:sz w:val="24"/>
          <w:szCs w:val="24"/>
        </w:rPr>
        <w:t>Word Count: 3625</w:t>
      </w:r>
      <w:r>
        <w:rPr>
          <w:rFonts w:ascii="Times New Roman" w:hAnsi="Times New Roman" w:cs="Times New Roman"/>
          <w:sz w:val="24"/>
          <w:szCs w:val="24"/>
        </w:rPr>
        <w:br w:type="textWrapping"/>
      </w:r>
    </w:p>
    <w:p>
      <w:pPr>
        <w:pStyle w:val="2"/>
        <w:numPr>
          <w:ilvl w:val="0"/>
          <w:numId w:val="0"/>
        </w:numPr>
        <w:ind w:left="360"/>
        <w:jc w:val="center"/>
      </w:pPr>
      <w:r>
        <w:br w:type="page"/>
      </w:r>
      <w:bookmarkStart w:id="0" w:name="_Toc137934924"/>
      <w:r>
        <w:t>EXECUTIVE SUMMARY</w:t>
      </w:r>
      <w:bookmarkEnd w:id="0"/>
    </w:p>
    <w:p>
      <w:pPr>
        <w:spacing w:line="480" w:lineRule="auto"/>
        <w:rPr>
          <w:rFonts w:ascii="Times New Roman" w:hAnsi="Times New Roman" w:cs="Times New Roman"/>
          <w:sz w:val="24"/>
          <w:szCs w:val="24"/>
        </w:rPr>
      </w:pPr>
      <w:r>
        <w:rPr>
          <w:rFonts w:ascii="Times New Roman" w:hAnsi="Times New Roman" w:cs="Times New Roman"/>
          <w:sz w:val="24"/>
          <w:szCs w:val="24"/>
        </w:rPr>
        <w:t>The following document presents an in-depth study of the impact of COVID-19 on Seesaw Coffee, a prominent Chinese coffee business, and how the company adapted to the crisis using various change management strategies. Acknowledging the essential role of Small and Medium-sized Enterprises (SMEs) in the global economy, this report highlights how Seesaw Coffee, despite facing significant challenges due to the pandemic, continued to serve its loyal customer base and provide high-quality coffee experiences.</w:t>
      </w:r>
    </w:p>
    <w:p>
      <w:pPr>
        <w:spacing w:line="480" w:lineRule="auto"/>
        <w:rPr>
          <w:rFonts w:ascii="Times New Roman" w:hAnsi="Times New Roman" w:cs="Times New Roman"/>
          <w:sz w:val="24"/>
          <w:szCs w:val="24"/>
        </w:rPr>
      </w:pPr>
      <w:r>
        <w:rPr>
          <w:rFonts w:ascii="Times New Roman" w:hAnsi="Times New Roman" w:cs="Times New Roman"/>
          <w:sz w:val="24"/>
          <w:szCs w:val="24"/>
        </w:rPr>
        <w:t>Recognizing the effects of the pandemic on businesses worldwide, Seesaw Coffee had to revise its business model, demonstrating flexibility and innovation. The primary focus of this study is to analyze how Seesaw Coffee navigated the changing business landscape during the pandemic and successfully implemented changes in its operations.</w:t>
      </w:r>
    </w:p>
    <w:p>
      <w:pPr>
        <w:spacing w:line="480" w:lineRule="auto"/>
        <w:rPr>
          <w:rFonts w:ascii="Times New Roman" w:hAnsi="Times New Roman" w:cs="Times New Roman"/>
          <w:sz w:val="24"/>
          <w:szCs w:val="24"/>
        </w:rPr>
      </w:pPr>
      <w:r>
        <w:rPr>
          <w:rFonts w:ascii="Times New Roman" w:hAnsi="Times New Roman" w:cs="Times New Roman"/>
          <w:sz w:val="24"/>
          <w:szCs w:val="24"/>
        </w:rPr>
        <w:t>The report also proposes a comprehensive change program and its evaluation. The efficacy of the program can be measured using specific criteria such as increased revenue, enhanced customer satisfaction, and improved employee engagement. The implementation process requires a practical timeline with clear milestones, specific deadlines, and task assignments. The creation of a dedicated change management team, comprising members from various departments and levels within the organization, is highly advisable for effective implementation.</w:t>
      </w:r>
    </w:p>
    <w:p>
      <w:pPr>
        <w:rPr>
          <w:rFonts w:ascii="Times New Roman" w:hAnsi="Times New Roman" w:cs="Times New Roman"/>
          <w:sz w:val="24"/>
          <w:szCs w:val="24"/>
        </w:rPr>
      </w:pPr>
    </w:p>
    <w:p>
      <w:pPr>
        <w:rPr>
          <w:rFonts w:ascii="Times New Roman" w:hAnsi="Times New Roman" w:cs="Times New Roman" w:eastAsiaTheme="majorEastAsia"/>
          <w:color w:val="2F5597" w:themeColor="accent1" w:themeShade="BF"/>
          <w:sz w:val="24"/>
          <w:szCs w:val="24"/>
        </w:rPr>
      </w:pPr>
      <w:r>
        <w:rPr>
          <w:rFonts w:ascii="Times New Roman" w:hAnsi="Times New Roman" w:cs="Times New Roman"/>
          <w:sz w:val="24"/>
          <w:szCs w:val="24"/>
        </w:rPr>
        <w:br w:type="page"/>
      </w:r>
    </w:p>
    <w:sdt>
      <w:sdtPr>
        <w:rPr>
          <w:rFonts w:ascii="Times New Roman" w:hAnsi="Times New Roman"/>
          <w:sz w:val="24"/>
          <w:szCs w:val="24"/>
        </w:rPr>
        <w:id w:val="90820940"/>
        <w:docPartObj>
          <w:docPartGallery w:val="Table of Contents"/>
          <w:docPartUnique/>
        </w:docPartObj>
      </w:sdtPr>
      <w:sdtEndPr>
        <w:rPr>
          <w:rFonts w:ascii="Times New Roman" w:hAnsi="Times New Roman" w:eastAsiaTheme="minorHAnsi"/>
          <w:b/>
          <w:bCs/>
          <w:sz w:val="24"/>
          <w:szCs w:val="24"/>
        </w:rPr>
      </w:sdtEndPr>
      <w:sdtContent>
        <w:p>
          <w:pPr>
            <w:pStyle w:val="23"/>
            <w:rPr>
              <w:rFonts w:ascii="Times New Roman" w:hAnsi="Times New Roman"/>
              <w:b/>
              <w:bCs/>
              <w:sz w:val="28"/>
              <w:szCs w:val="28"/>
            </w:rPr>
          </w:pPr>
          <w:r>
            <w:rPr>
              <w:rFonts w:ascii="Times New Roman" w:hAnsi="Times New Roman"/>
              <w:b/>
              <w:bCs/>
              <w:sz w:val="28"/>
              <w:szCs w:val="28"/>
            </w:rPr>
            <w:t>Table of Contents</w:t>
          </w:r>
        </w:p>
        <w:p>
          <w:pPr>
            <w:pStyle w:val="8"/>
            <w:tabs>
              <w:tab w:val="right" w:leader="dot" w:pos="9350"/>
            </w:tabs>
            <w:rPr>
              <w:rFonts w:ascii="Times New Roman" w:hAnsi="Times New Roman" w:cs="Times New Roman" w:eastAsiaTheme="minorEastAsia"/>
              <w:kern w:val="2"/>
              <w:sz w:val="24"/>
              <w:szCs w:val="24"/>
              <w14:ligatures w14:val="standardContextual"/>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"_Toc137934924" </w:instrText>
          </w:r>
          <w:r>
            <w:fldChar w:fldCharType="separate"/>
          </w:r>
          <w:r>
            <w:rPr>
              <w:rStyle w:val="14"/>
              <w:rFonts w:ascii="Times New Roman" w:hAnsi="Times New Roman" w:cs="Times New Roman"/>
              <w:sz w:val="24"/>
              <w:szCs w:val="24"/>
            </w:rPr>
            <w:t>EXECUTIVE SUMMARY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_Toc137934924 \h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left" w:pos="44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"_Toc137934925" </w:instrText>
          </w:r>
          <w:r>
            <w:fldChar w:fldCharType="separate"/>
          </w:r>
          <w:r>
            <w:rPr>
              <w:rStyle w:val="14"/>
              <w:rFonts w:ascii="Times New Roman" w:hAnsi="Times New Roman" w:cs="Times New Roman"/>
              <w:sz w:val="24"/>
              <w:szCs w:val="24"/>
            </w:rPr>
            <w:t>1.</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_Toc137934925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"_Toc137934926" </w:instrText>
          </w:r>
          <w:r>
            <w:fldChar w:fldCharType="separate"/>
          </w:r>
          <w:r>
            <w:rPr>
              <w:rStyle w:val="14"/>
              <w:rFonts w:ascii="Times New Roman" w:hAnsi="Times New Roman" w:cs="Times New Roman"/>
              <w:sz w:val="24"/>
              <w:szCs w:val="24"/>
            </w:rPr>
            <w:t>1.1</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Background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_Toc137934926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"_Toc137934927" </w:instrText>
          </w:r>
          <w:r>
            <w:fldChar w:fldCharType="separate"/>
          </w:r>
          <w:r>
            <w:rPr>
              <w:rStyle w:val="14"/>
              <w:rFonts w:ascii="Times New Roman" w:hAnsi="Times New Roman" w:cs="Times New Roman"/>
              <w:sz w:val="24"/>
              <w:szCs w:val="24"/>
            </w:rPr>
            <w:t>1.2</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Seesaw Coffee and Its Pandemic Response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_Toc137934927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"_Toc137934928" </w:instrText>
          </w:r>
          <w:r>
            <w:fldChar w:fldCharType="separate"/>
          </w:r>
          <w:r>
            <w:rPr>
              <w:rStyle w:val="14"/>
              <w:rFonts w:ascii="Times New Roman" w:hAnsi="Times New Roman" w:cs="Times New Roman"/>
              <w:sz w:val="24"/>
              <w:szCs w:val="24"/>
            </w:rPr>
            <w:t>1.3</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Effect of the COVID-19 on Seesaw Coffee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_Toc137934928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"_Toc137934929" </w:instrText>
          </w:r>
          <w:r>
            <w:fldChar w:fldCharType="separate"/>
          </w:r>
          <w:r>
            <w:rPr>
              <w:rStyle w:val="14"/>
              <w:rFonts w:ascii="Times New Roman" w:hAnsi="Times New Roman" w:cs="Times New Roman"/>
              <w:sz w:val="24"/>
              <w:szCs w:val="24"/>
            </w:rPr>
            <w:t>1.4</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Purpose of the Study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_Toc137934929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"_Toc137934930" </w:instrText>
          </w:r>
          <w:r>
            <w:fldChar w:fldCharType="separate"/>
          </w:r>
          <w:r>
            <w:rPr>
              <w:rStyle w:val="14"/>
              <w:rFonts w:ascii="Times New Roman" w:hAnsi="Times New Roman" w:cs="Times New Roman"/>
              <w:sz w:val="24"/>
              <w:szCs w:val="24"/>
            </w:rPr>
            <w:t>1.5</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Research Objectives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_Toc137934930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left" w:pos="44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"_Toc137934931" </w:instrText>
          </w:r>
          <w:r>
            <w:fldChar w:fldCharType="separate"/>
          </w:r>
          <w:r>
            <w:rPr>
              <w:rStyle w:val="14"/>
              <w:rFonts w:ascii="Times New Roman" w:hAnsi="Times New Roman" w:cs="Times New Roman"/>
              <w:sz w:val="24"/>
              <w:szCs w:val="24"/>
            </w:rPr>
            <w:t>2.</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Literature Review and Theoretical Framework</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_Toc137934931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"_Toc137934932" </w:instrText>
          </w:r>
          <w:r>
            <w:fldChar w:fldCharType="separate"/>
          </w:r>
          <w:r>
            <w:rPr>
              <w:rStyle w:val="14"/>
              <w:rFonts w:ascii="Times New Roman" w:hAnsi="Times New Roman" w:cs="Times New Roman"/>
              <w:sz w:val="24"/>
              <w:szCs w:val="24"/>
            </w:rPr>
            <w:t>2.1</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_Toc137934932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"_Toc137934933" </w:instrText>
          </w:r>
          <w:r>
            <w:fldChar w:fldCharType="separate"/>
          </w:r>
          <w:r>
            <w:rPr>
              <w:rStyle w:val="14"/>
              <w:rFonts w:ascii="Times New Roman" w:hAnsi="Times New Roman" w:cs="Times New Roman"/>
              <w:sz w:val="24"/>
              <w:szCs w:val="24"/>
            </w:rPr>
            <w:t>2.2</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Organizational Change in SMEs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_Toc137934933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"_Toc137934934" </w:instrText>
          </w:r>
          <w:r>
            <w:fldChar w:fldCharType="separate"/>
          </w:r>
          <w:r>
            <w:rPr>
              <w:rStyle w:val="14"/>
              <w:rFonts w:ascii="Times New Roman" w:hAnsi="Times New Roman" w:cs="Times New Roman"/>
              <w:sz w:val="24"/>
              <w:szCs w:val="24"/>
            </w:rPr>
            <w:t>2.3</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Impact of COVID-19 on SMEs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_Toc137934934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"_Toc137934935" </w:instrText>
          </w:r>
          <w:r>
            <w:fldChar w:fldCharType="separate"/>
          </w:r>
          <w:r>
            <w:rPr>
              <w:rStyle w:val="14"/>
              <w:rFonts w:ascii="Times New Roman" w:hAnsi="Times New Roman" w:cs="Times New Roman"/>
              <w:sz w:val="24"/>
              <w:szCs w:val="24"/>
            </w:rPr>
            <w:t>2.4</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Change Management Models for SMEs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_Toc137934935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"_Toc137934936" </w:instrText>
          </w:r>
          <w:r>
            <w:fldChar w:fldCharType="separate"/>
          </w:r>
          <w:r>
            <w:rPr>
              <w:rStyle w:val="14"/>
              <w:rFonts w:ascii="Times New Roman" w:hAnsi="Times New Roman" w:cs="Times New Roman"/>
              <w:sz w:val="24"/>
              <w:szCs w:val="24"/>
            </w:rPr>
            <w:t>2.5</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Factors Affecting Organizational Change in SMEs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_Toc137934936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left" w:pos="44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"_Toc137934937" </w:instrText>
          </w:r>
          <w:r>
            <w:fldChar w:fldCharType="separate"/>
          </w:r>
          <w:r>
            <w:rPr>
              <w:rStyle w:val="14"/>
              <w:rFonts w:ascii="Times New Roman" w:hAnsi="Times New Roman" w:cs="Times New Roman"/>
              <w:sz w:val="24"/>
              <w:szCs w:val="24"/>
            </w:rPr>
            <w:t>3.</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Drivers of Change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_Toc137934937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"_Toc137934938" </w:instrText>
          </w:r>
          <w:r>
            <w:fldChar w:fldCharType="separate"/>
          </w:r>
          <w:r>
            <w:rPr>
              <w:rStyle w:val="14"/>
              <w:rFonts w:ascii="Times New Roman" w:hAnsi="Times New Roman" w:cs="Times New Roman"/>
              <w:sz w:val="24"/>
              <w:szCs w:val="24"/>
            </w:rPr>
            <w:t>3.1</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Organizational culture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_Toc137934938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"_Toc137934939" </w:instrText>
          </w:r>
          <w:r>
            <w:fldChar w:fldCharType="separate"/>
          </w:r>
          <w:r>
            <w:rPr>
              <w:rStyle w:val="14"/>
              <w:rFonts w:ascii="Times New Roman" w:hAnsi="Times New Roman" w:cs="Times New Roman"/>
              <w:sz w:val="24"/>
              <w:szCs w:val="24"/>
            </w:rPr>
            <w:t>3.2</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Leadership</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_Toc137934939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"_Toc137934940" </w:instrText>
          </w:r>
          <w:r>
            <w:fldChar w:fldCharType="separate"/>
          </w:r>
          <w:r>
            <w:rPr>
              <w:rStyle w:val="14"/>
              <w:rFonts w:ascii="Times New Roman" w:hAnsi="Times New Roman" w:cs="Times New Roman"/>
              <w:sz w:val="24"/>
              <w:szCs w:val="24"/>
            </w:rPr>
            <w:t>3.3</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Power dynamics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_Toc137934940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"_Toc137934941" </w:instrText>
          </w:r>
          <w:r>
            <w:fldChar w:fldCharType="separate"/>
          </w:r>
          <w:r>
            <w:rPr>
              <w:rStyle w:val="14"/>
              <w:rFonts w:ascii="Times New Roman" w:hAnsi="Times New Roman" w:cs="Times New Roman"/>
              <w:sz w:val="24"/>
              <w:szCs w:val="24"/>
            </w:rPr>
            <w:t>3.4</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Digitalization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_Toc137934941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"_Toc137934942" </w:instrText>
          </w:r>
          <w:r>
            <w:fldChar w:fldCharType="separate"/>
          </w:r>
          <w:r>
            <w:rPr>
              <w:rStyle w:val="14"/>
              <w:rFonts w:ascii="Times New Roman" w:hAnsi="Times New Roman" w:cs="Times New Roman"/>
              <w:sz w:val="24"/>
              <w:szCs w:val="24"/>
            </w:rPr>
            <w:t>3.5</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Competition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_Toc137934942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left" w:pos="44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"_Toc137934943" </w:instrText>
          </w:r>
          <w:r>
            <w:fldChar w:fldCharType="separate"/>
          </w:r>
          <w:r>
            <w:rPr>
              <w:rStyle w:val="14"/>
              <w:rFonts w:ascii="Times New Roman" w:hAnsi="Times New Roman" w:cs="Times New Roman"/>
              <w:sz w:val="24"/>
              <w:szCs w:val="24"/>
            </w:rPr>
            <w:t>4.</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Adapting to Change and Driving Business Growth during the Pandemic</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_Toc137934943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"_Toc137934944" </w:instrText>
          </w:r>
          <w:r>
            <w:fldChar w:fldCharType="separate"/>
          </w:r>
          <w:r>
            <w:rPr>
              <w:rStyle w:val="14"/>
              <w:rFonts w:ascii="Times New Roman" w:hAnsi="Times New Roman" w:cs="Times New Roman"/>
              <w:sz w:val="24"/>
              <w:szCs w:val="24"/>
            </w:rPr>
            <w:t>4.1</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_Toc137934944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"_Toc137934945" </w:instrText>
          </w:r>
          <w:r>
            <w:fldChar w:fldCharType="separate"/>
          </w:r>
          <w:r>
            <w:rPr>
              <w:rStyle w:val="14"/>
              <w:rFonts w:ascii="Times New Roman" w:hAnsi="Times New Roman" w:cs="Times New Roman"/>
              <w:sz w:val="24"/>
              <w:szCs w:val="24"/>
            </w:rPr>
            <w:t>4.2</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Embracing Digital Transformation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_Toc137934945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"_Toc137934946" </w:instrText>
          </w:r>
          <w:r>
            <w:fldChar w:fldCharType="separate"/>
          </w:r>
          <w:r>
            <w:rPr>
              <w:rStyle w:val="14"/>
              <w:rFonts w:ascii="Times New Roman" w:hAnsi="Times New Roman" w:cs="Times New Roman"/>
              <w:sz w:val="24"/>
              <w:szCs w:val="24"/>
            </w:rPr>
            <w:t>4.3</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Enhancing Customer Experience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_Toc137934946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"_Toc137934947" </w:instrText>
          </w:r>
          <w:r>
            <w:fldChar w:fldCharType="separate"/>
          </w:r>
          <w:r>
            <w:rPr>
              <w:rStyle w:val="14"/>
              <w:rFonts w:ascii="Times New Roman" w:hAnsi="Times New Roman" w:cs="Times New Roman"/>
              <w:sz w:val="24"/>
              <w:szCs w:val="24"/>
            </w:rPr>
            <w:t>4.4</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Adapting to Changing Consumer Preferences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_Toc137934947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"_Toc137934948" </w:instrText>
          </w:r>
          <w:r>
            <w:fldChar w:fldCharType="separate"/>
          </w:r>
          <w:r>
            <w:rPr>
              <w:rStyle w:val="14"/>
              <w:rFonts w:ascii="Times New Roman" w:hAnsi="Times New Roman" w:cs="Times New Roman"/>
              <w:sz w:val="24"/>
              <w:szCs w:val="24"/>
            </w:rPr>
            <w:t>4.5</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Strengthening the Supply Chain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_Toc137934948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"_Toc137934949" </w:instrText>
          </w:r>
          <w:r>
            <w:fldChar w:fldCharType="separate"/>
          </w:r>
          <w:r>
            <w:rPr>
              <w:rStyle w:val="14"/>
              <w:rFonts w:ascii="Times New Roman" w:hAnsi="Times New Roman" w:cs="Times New Roman"/>
              <w:sz w:val="24"/>
              <w:szCs w:val="24"/>
            </w:rPr>
            <w:t>4.6</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Community Engagement and Social Responsibility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_Toc137934949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"_Toc137934950" </w:instrText>
          </w:r>
          <w:r>
            <w:fldChar w:fldCharType="separate"/>
          </w:r>
          <w:r>
            <w:rPr>
              <w:rStyle w:val="14"/>
              <w:rFonts w:ascii="Times New Roman" w:hAnsi="Times New Roman" w:cs="Times New Roman"/>
              <w:sz w:val="24"/>
              <w:szCs w:val="24"/>
            </w:rPr>
            <w:t>4.7</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_Toc137934950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left" w:pos="44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"_Toc137934951" </w:instrText>
          </w:r>
          <w:r>
            <w:fldChar w:fldCharType="separate"/>
          </w:r>
          <w:r>
            <w:rPr>
              <w:rStyle w:val="14"/>
              <w:rFonts w:ascii="Times New Roman" w:hAnsi="Times New Roman" w:cs="Times New Roman"/>
              <w:sz w:val="24"/>
              <w:szCs w:val="24"/>
            </w:rPr>
            <w:t>5.</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Application of Change Management Models to the Organization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_Toc137934951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"_Toc137934952" </w:instrText>
          </w:r>
          <w:r>
            <w:fldChar w:fldCharType="separate"/>
          </w:r>
          <w:r>
            <w:rPr>
              <w:rStyle w:val="14"/>
              <w:rFonts w:ascii="Times New Roman" w:hAnsi="Times New Roman" w:cs="Times New Roman"/>
              <w:sz w:val="24"/>
              <w:szCs w:val="24"/>
            </w:rPr>
            <w:t>5.1</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Selection of appropriate change management model(s)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_Toc137934952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"_Toc137934953" </w:instrText>
          </w:r>
          <w:r>
            <w:fldChar w:fldCharType="separate"/>
          </w:r>
          <w:r>
            <w:rPr>
              <w:rStyle w:val="14"/>
              <w:rFonts w:ascii="Times New Roman" w:hAnsi="Times New Roman" w:cs="Times New Roman"/>
              <w:sz w:val="24"/>
              <w:szCs w:val="24"/>
            </w:rPr>
            <w:t>5.2</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Implementation plan for the change program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_Toc137934953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left" w:pos="132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"_Toc137934954" </w:instrText>
          </w:r>
          <w:r>
            <w:fldChar w:fldCharType="separate"/>
          </w:r>
          <w:r>
            <w:rPr>
              <w:rStyle w:val="14"/>
              <w:rFonts w:ascii="Times New Roman" w:hAnsi="Times New Roman" w:cs="Times New Roman"/>
              <w:sz w:val="24"/>
              <w:szCs w:val="24"/>
            </w:rPr>
            <w:t>5.2.1</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Steps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_Toc137934954 \h </w:instrText>
          </w:r>
          <w:r>
            <w:rPr>
              <w:rFonts w:ascii="Times New Roman" w:hAnsi="Times New Roman" w:cs="Times New Roman"/>
              <w:sz w:val="24"/>
              <w:szCs w:val="24"/>
            </w:rPr>
            <w:fldChar w:fldCharType="separate"/>
          </w:r>
          <w:r>
            <w:rPr>
              <w:rFonts w:ascii="Times New Roman" w:hAnsi="Times New Roman" w:cs="Times New Roman"/>
              <w:sz w:val="24"/>
              <w:szCs w:val="24"/>
            </w:rPr>
            <w:t>13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5"/>
            <w:tabs>
              <w:tab w:val="left" w:pos="132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"_Toc137934955" </w:instrText>
          </w:r>
          <w:r>
            <w:fldChar w:fldCharType="separate"/>
          </w:r>
          <w:r>
            <w:rPr>
              <w:rStyle w:val="14"/>
              <w:rFonts w:ascii="Times New Roman" w:hAnsi="Times New Roman" w:cs="Times New Roman"/>
              <w:sz w:val="24"/>
              <w:szCs w:val="24"/>
            </w:rPr>
            <w:t>5.2.2</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Timelines, roles and responsibilities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_Toc137934955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left" w:pos="44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"_Toc137934956" </w:instrText>
          </w:r>
          <w:r>
            <w:fldChar w:fldCharType="separate"/>
          </w:r>
          <w:r>
            <w:rPr>
              <w:rStyle w:val="14"/>
              <w:rFonts w:ascii="Times New Roman" w:hAnsi="Times New Roman" w:cs="Times New Roman"/>
              <w:sz w:val="24"/>
              <w:szCs w:val="24"/>
            </w:rPr>
            <w:t>6.</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Assessment of Change Program Effectiveness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_Toc137934956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"_Toc137934957" </w:instrText>
          </w:r>
          <w:r>
            <w:fldChar w:fldCharType="separate"/>
          </w:r>
          <w:r>
            <w:rPr>
              <w:rStyle w:val="14"/>
              <w:rFonts w:ascii="Times New Roman" w:hAnsi="Times New Roman" w:cs="Times New Roman"/>
              <w:sz w:val="24"/>
              <w:szCs w:val="24"/>
            </w:rPr>
            <w:t>6.1</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Criteria for success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_Toc137934957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"_Toc137934958" </w:instrText>
          </w:r>
          <w:r>
            <w:fldChar w:fldCharType="separate"/>
          </w:r>
          <w:r>
            <w:rPr>
              <w:rStyle w:val="14"/>
              <w:rFonts w:ascii="Times New Roman" w:hAnsi="Times New Roman" w:cs="Times New Roman"/>
              <w:sz w:val="24"/>
              <w:szCs w:val="24"/>
            </w:rPr>
            <w:t>6.2</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Methods for measuring change program effectiveness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_Toc137934958 \h </w:instrText>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left" w:pos="880"/>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"_Toc137934959" </w:instrText>
          </w:r>
          <w:r>
            <w:fldChar w:fldCharType="separate"/>
          </w:r>
          <w:r>
            <w:rPr>
              <w:rStyle w:val="14"/>
              <w:rFonts w:ascii="Times New Roman" w:hAnsi="Times New Roman" w:cs="Times New Roman"/>
              <w:sz w:val="24"/>
              <w:szCs w:val="24"/>
            </w:rPr>
            <w:t>6.3</w:t>
          </w:r>
          <w:r>
            <w:rPr>
              <w:rFonts w:ascii="Times New Roman" w:hAnsi="Times New Roman" w:cs="Times New Roman" w:eastAsiaTheme="minorEastAsia"/>
              <w:kern w:val="2"/>
              <w:sz w:val="24"/>
              <w:szCs w:val="24"/>
              <w14:ligatures w14:val="standardContextual"/>
            </w:rPr>
            <w:tab/>
          </w:r>
          <w:r>
            <w:rPr>
              <w:rStyle w:val="14"/>
              <w:rFonts w:ascii="Times New Roman" w:hAnsi="Times New Roman" w:cs="Times New Roman"/>
              <w:sz w:val="24"/>
              <w:szCs w:val="24"/>
            </w:rPr>
            <w:t>Evaluation of change program completion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_Toc137934959 \h </w:instrText>
          </w:r>
          <w:r>
            <w:rPr>
              <w:rFonts w:ascii="Times New Roman" w:hAnsi="Times New Roman" w:cs="Times New Roman"/>
              <w:sz w:val="24"/>
              <w:szCs w:val="24"/>
            </w:rPr>
            <w:fldChar w:fldCharType="separate"/>
          </w:r>
          <w:r>
            <w:rPr>
              <w:rFonts w:ascii="Times New Roman" w:hAnsi="Times New Roman" w:cs="Times New Roman"/>
              <w:sz w:val="24"/>
              <w:szCs w:val="24"/>
            </w:rPr>
            <w:t>19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8"/>
            <w:tabs>
              <w:tab w:val="right" w:leader="dot" w:pos="9350"/>
            </w:tabs>
            <w:rPr>
              <w:rFonts w:ascii="Times New Roman" w:hAnsi="Times New Roman" w:cs="Times New Roman" w:eastAsiaTheme="minorEastAsia"/>
              <w:kern w:val="2"/>
              <w:sz w:val="24"/>
              <w:szCs w:val="24"/>
              <w14:ligatures w14:val="standardContextual"/>
            </w:rPr>
          </w:pPr>
          <w:r>
            <w:fldChar w:fldCharType="begin"/>
          </w:r>
          <w:r>
            <w:instrText xml:space="preserve"> HYPERLINK \l "_Toc137934960" </w:instrText>
          </w:r>
          <w:r>
            <w:fldChar w:fldCharType="separate"/>
          </w:r>
          <w:r>
            <w:rPr>
              <w:rStyle w:val="14"/>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_Toc137934960 \h </w:instrText>
          </w:r>
          <w:r>
            <w:rPr>
              <w:rFonts w:ascii="Times New Roman" w:hAnsi="Times New Roman" w:cs="Times New Roman"/>
              <w:sz w:val="24"/>
              <w:szCs w:val="24"/>
            </w:rPr>
            <w:fldChar w:fldCharType="separate"/>
          </w:r>
          <w:r>
            <w:rPr>
              <w:rFonts w:ascii="Times New Roman" w:hAnsi="Times New Roman" w:cs="Times New Roman"/>
              <w:sz w:val="24"/>
              <w:szCs w:val="24"/>
            </w:rPr>
            <w:t>20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rPr>
              <w:rFonts w:ascii="Times New Roman" w:hAnsi="Times New Roman" w:cs="Times New Roman"/>
              <w:sz w:val="24"/>
              <w:szCs w:val="24"/>
            </w:rPr>
          </w:pPr>
          <w:r>
            <w:rPr>
              <w:rFonts w:ascii="Times New Roman" w:hAnsi="Times New Roman" w:cs="Times New Roman"/>
              <w:b/>
              <w:bCs/>
              <w:sz w:val="24"/>
              <w:szCs w:val="24"/>
            </w:rPr>
            <w:fldChar w:fldCharType="end"/>
          </w:r>
        </w:p>
      </w:sdtContent>
    </w:sdt>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pPr>
        <w:pStyle w:val="2"/>
      </w:pPr>
      <w:bookmarkStart w:id="1" w:name="_Toc137934925"/>
      <w:r>
        <w:t>Introduction</w:t>
      </w:r>
      <w:bookmarkEnd w:id="1"/>
    </w:p>
    <w:p>
      <w:pPr>
        <w:pStyle w:val="3"/>
        <w:spacing w:line="480" w:lineRule="auto"/>
        <w:rPr>
          <w:rFonts w:ascii="Times New Roman" w:hAnsi="Times New Roman" w:cs="Times New Roman"/>
          <w:color w:val="auto"/>
        </w:rPr>
      </w:pPr>
      <w:bookmarkStart w:id="2" w:name="_Toc137934926"/>
      <w:r>
        <w:rPr>
          <w:rFonts w:ascii="Times New Roman" w:hAnsi="Times New Roman" w:cs="Times New Roman"/>
          <w:color w:val="auto"/>
        </w:rPr>
        <w:t>Background</w:t>
      </w:r>
      <w:bookmarkEnd w:id="2"/>
    </w:p>
    <w:p>
      <w:pPr>
        <w:spacing w:line="480" w:lineRule="auto"/>
        <w:rPr>
          <w:rFonts w:ascii="Times New Roman" w:hAnsi="Times New Roman" w:cs="Times New Roman"/>
          <w:sz w:val="24"/>
          <w:szCs w:val="24"/>
        </w:rPr>
      </w:pPr>
      <w:r>
        <w:rPr>
          <w:rFonts w:ascii="Times New Roman" w:hAnsi="Times New Roman" w:cs="Times New Roman"/>
          <w:sz w:val="24"/>
          <w:szCs w:val="24"/>
        </w:rPr>
        <w:t>Small and Medium-sized Enterprises (SMEs) hold a critical position in the world's economic structure. They are the core engine of economic development and job creation globally. Koirala (2019) pointed out that SMEs comprise over 90% of all businesses around the world. Astonishingly, they're responsible for spawning 60-70% of all jobs in developing nations.</w:t>
      </w:r>
    </w:p>
    <w:p>
      <w:pPr>
        <w:spacing w:line="480" w:lineRule="auto"/>
        <w:rPr>
          <w:rFonts w:ascii="Times New Roman" w:hAnsi="Times New Roman" w:cs="Times New Roman"/>
          <w:sz w:val="24"/>
          <w:szCs w:val="24"/>
        </w:rPr>
      </w:pPr>
      <w:r>
        <w:rPr>
          <w:rFonts w:ascii="Times New Roman" w:hAnsi="Times New Roman" w:cs="Times New Roman"/>
          <w:sz w:val="24"/>
          <w:szCs w:val="24"/>
        </w:rPr>
        <w:t>Despite their undeniable importance, SMEs face a series of hurdles. These range from scarce resources, financial limitations, to intense market competition. These challenges often hamper their growth and overall success. Yet, their ability to pivot quickly, embrace innovation, and adapt to changes sets them apart. These qualities often allow SMEs to thrive even in challenging circumstances, making it critical to extend support and resources to them. Their resilience contributes immensely to fostering economic growth and creating jobs, strengthening the economic fabric of nations.</w:t>
      </w:r>
    </w:p>
    <w:p>
      <w:pPr>
        <w:pStyle w:val="3"/>
        <w:spacing w:line="480" w:lineRule="auto"/>
        <w:rPr>
          <w:rFonts w:ascii="Times New Roman" w:hAnsi="Times New Roman" w:cs="Times New Roman"/>
          <w:color w:val="auto"/>
        </w:rPr>
      </w:pPr>
      <w:bookmarkStart w:id="3" w:name="_Toc137934927"/>
      <w:r>
        <w:rPr>
          <w:rFonts w:ascii="Times New Roman" w:hAnsi="Times New Roman" w:cs="Times New Roman"/>
          <w:color w:val="auto"/>
        </w:rPr>
        <w:t>Seesaw Coffee and Its Pandemic Response</w:t>
      </w:r>
      <w:bookmarkEnd w:id="3"/>
    </w:p>
    <w:p>
      <w:pPr>
        <w:spacing w:line="480" w:lineRule="auto"/>
        <w:rPr>
          <w:rFonts w:ascii="Times New Roman" w:hAnsi="Times New Roman" w:cs="Times New Roman"/>
          <w:sz w:val="24"/>
          <w:szCs w:val="24"/>
        </w:rPr>
      </w:pPr>
      <w:r>
        <w:rPr>
          <w:rFonts w:ascii="Times New Roman" w:hAnsi="Times New Roman" w:cs="Times New Roman"/>
          <w:sz w:val="24"/>
          <w:szCs w:val="24"/>
        </w:rPr>
        <w:t>Seesaw Coffee, an SME from China, exemplifies the spirit of SMEs. Renowned for its high-quality coffee sourced from different Chinese regions, Seesaw Coffee has cultivated a loyal customer base despite its smaller size compared to large corporations. Its unique approach to coffee culture has won it recognition and admiration. However, like most businesses, Seesaw Coffee was hit hard by the COVID-19 pandemic (Carracedo et al., 2021). To adapt to the new normal, businesses had to shut their stores temporarily and practice social distancing. This caused less foot traffic in stores (Pantano et al., 2020). Seesaw Coffee also had to change its business model quickly to keep their customers and make money during the crisis (Booker, 2022).</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The pandemic posed numerous challenges to Seesaw Coffee. It found itself grappling with a rapidly evolving situation, much like other SMEs around the world (Seesaw Coffee, 2022). The pandemic tested its resilience, forcing it to innovate and adapt to continue serving its customers. Seesaw Coffee stood up to these challenges, demonstrating unwavering commitment to its customers. It strived to continue offering unique, exceptional coffee experiences, even amidst a global crisis (Ferreira &amp; Ferreira, 2018).  </w:t>
      </w:r>
    </w:p>
    <w:p>
      <w:pPr>
        <w:pStyle w:val="3"/>
        <w:spacing w:line="480" w:lineRule="auto"/>
        <w:rPr>
          <w:rFonts w:ascii="Times New Roman" w:hAnsi="Times New Roman" w:cs="Times New Roman"/>
          <w:color w:val="auto"/>
        </w:rPr>
      </w:pPr>
      <w:bookmarkStart w:id="4" w:name="_Toc137934928"/>
      <w:r>
        <w:rPr>
          <w:rFonts w:ascii="Times New Roman" w:hAnsi="Times New Roman" w:cs="Times New Roman"/>
          <w:color w:val="auto"/>
        </w:rPr>
        <w:t>Effect of the COVID-19 on Seesaw Coffee</w:t>
      </w:r>
      <w:bookmarkEnd w:id="4"/>
    </w:p>
    <w:p>
      <w:pPr>
        <w:pStyle w:val="3"/>
        <w:spacing w:line="480" w:lineRule="auto"/>
        <w:rPr>
          <w:rFonts w:ascii="Times New Roman" w:hAnsi="Times New Roman" w:cs="Times New Roman"/>
          <w:color w:val="auto"/>
        </w:rPr>
      </w:pPr>
      <w:bookmarkStart w:id="5" w:name="_Toc137934929"/>
      <w:r>
        <w:rPr>
          <w:rFonts w:ascii="Times New Roman" w:hAnsi="Times New Roman" w:cs="Times New Roman"/>
          <w:color w:val="auto"/>
        </w:rPr>
        <w:t>Purpose of the Study</w:t>
      </w:r>
      <w:bookmarkEnd w:id="5"/>
    </w:p>
    <w:p>
      <w:pPr>
        <w:spacing w:line="480" w:lineRule="auto"/>
        <w:rPr>
          <w:rFonts w:ascii="Times New Roman" w:hAnsi="Times New Roman" w:cs="Times New Roman"/>
          <w:sz w:val="24"/>
          <w:szCs w:val="24"/>
        </w:rPr>
      </w:pPr>
      <w:r>
        <w:rPr>
          <w:rFonts w:ascii="Times New Roman" w:hAnsi="Times New Roman" w:cs="Times New Roman"/>
          <w:sz w:val="24"/>
          <w:szCs w:val="24"/>
        </w:rPr>
        <w:t>This study examines Seesaw Coffee's response to COVID-19 challenges through the implementation of change management models and strategies. The objective is to comprehend how the company leveraged its strengths to effectuate both minor and major modifications during the pandemic.</w:t>
      </w:r>
    </w:p>
    <w:p>
      <w:pPr>
        <w:pStyle w:val="3"/>
        <w:spacing w:line="480" w:lineRule="auto"/>
        <w:rPr>
          <w:rFonts w:ascii="Times New Roman" w:hAnsi="Times New Roman" w:cs="Times New Roman"/>
          <w:color w:val="auto"/>
        </w:rPr>
      </w:pPr>
      <w:bookmarkStart w:id="6" w:name="_Toc137934930"/>
      <w:r>
        <w:rPr>
          <w:rFonts w:ascii="Times New Roman" w:hAnsi="Times New Roman" w:cs="Times New Roman"/>
          <w:color w:val="auto"/>
        </w:rPr>
        <w:t>Research Objectives</w:t>
      </w:r>
      <w:bookmarkEnd w:id="6"/>
    </w:p>
    <w:p>
      <w:pPr>
        <w:spacing w:line="480" w:lineRule="auto"/>
        <w:rPr>
          <w:rFonts w:ascii="Times New Roman" w:hAnsi="Times New Roman" w:cs="Times New Roman"/>
          <w:sz w:val="24"/>
          <w:szCs w:val="24"/>
        </w:rPr>
      </w:pPr>
      <w:r>
        <w:rPr>
          <w:rFonts w:ascii="Times New Roman" w:hAnsi="Times New Roman" w:cs="Times New Roman"/>
          <w:sz w:val="24"/>
          <w:szCs w:val="24"/>
        </w:rPr>
        <w:t>The main objectives of this study are:</w:t>
      </w:r>
    </w:p>
    <w:p>
      <w:pPr>
        <w:pStyle w:val="15"/>
        <w:numPr>
          <w:ilvl w:val="0"/>
          <w:numId w:val="2"/>
        </w:numPr>
        <w:spacing w:line="480" w:lineRule="auto"/>
        <w:rPr>
          <w:sz w:val="24"/>
          <w:szCs w:val="24"/>
        </w:rPr>
      </w:pPr>
      <w:r>
        <w:rPr>
          <w:sz w:val="24"/>
          <w:szCs w:val="24"/>
        </w:rPr>
        <w:t>Understand Seesaw Coffee and why it had to change during the pandemic.</w:t>
      </w:r>
    </w:p>
    <w:p>
      <w:pPr>
        <w:pStyle w:val="15"/>
        <w:numPr>
          <w:ilvl w:val="0"/>
          <w:numId w:val="2"/>
        </w:numPr>
        <w:spacing w:line="480" w:lineRule="auto"/>
        <w:rPr>
          <w:sz w:val="24"/>
          <w:szCs w:val="24"/>
        </w:rPr>
      </w:pPr>
      <w:r>
        <w:rPr>
          <w:sz w:val="24"/>
          <w:szCs w:val="24"/>
        </w:rPr>
        <w:t>Study different models of change management and see how they worked for Seesaw Coffee during the pandemic.</w:t>
      </w:r>
    </w:p>
    <w:p>
      <w:pPr>
        <w:pStyle w:val="15"/>
        <w:numPr>
          <w:ilvl w:val="0"/>
          <w:numId w:val="2"/>
        </w:numPr>
        <w:spacing w:line="480" w:lineRule="auto"/>
        <w:rPr>
          <w:sz w:val="24"/>
          <w:szCs w:val="24"/>
        </w:rPr>
      </w:pPr>
      <w:r>
        <w:rPr>
          <w:sz w:val="24"/>
          <w:szCs w:val="24"/>
        </w:rPr>
        <w:t>Look at what caused change within the company, like culture, leadership, and customer likes and dislikes.</w:t>
      </w:r>
    </w:p>
    <w:p>
      <w:pPr>
        <w:pStyle w:val="15"/>
        <w:numPr>
          <w:ilvl w:val="0"/>
          <w:numId w:val="2"/>
        </w:numPr>
        <w:spacing w:line="480" w:lineRule="auto"/>
        <w:rPr>
          <w:sz w:val="24"/>
          <w:szCs w:val="24"/>
        </w:rPr>
      </w:pPr>
      <w:r>
        <w:rPr>
          <w:sz w:val="24"/>
          <w:szCs w:val="24"/>
        </w:rPr>
        <w:t>Figure out what made change difficult and how the company handled it.</w:t>
      </w:r>
    </w:p>
    <w:p>
      <w:pPr>
        <w:pStyle w:val="15"/>
        <w:numPr>
          <w:ilvl w:val="0"/>
          <w:numId w:val="2"/>
        </w:numPr>
        <w:spacing w:line="480" w:lineRule="auto"/>
        <w:rPr>
          <w:sz w:val="24"/>
          <w:szCs w:val="24"/>
        </w:rPr>
      </w:pPr>
      <w:r>
        <w:rPr>
          <w:sz w:val="24"/>
          <w:szCs w:val="24"/>
        </w:rPr>
        <w:t>See how effective Seesaw Coffee's change strategies were and how they will affect the company in the future.</w:t>
      </w:r>
    </w:p>
    <w:p>
      <w:pPr>
        <w:pStyle w:val="2"/>
      </w:pPr>
      <w:bookmarkStart w:id="7" w:name="_Toc137934931"/>
      <w:r>
        <w:t>Literature Review and Theoretical Framework</w:t>
      </w:r>
      <w:bookmarkEnd w:id="7"/>
    </w:p>
    <w:p>
      <w:pPr>
        <w:pStyle w:val="3"/>
        <w:spacing w:line="480" w:lineRule="auto"/>
        <w:rPr>
          <w:rFonts w:ascii="Times New Roman" w:hAnsi="Times New Roman" w:cs="Times New Roman"/>
          <w:color w:val="auto"/>
        </w:rPr>
      </w:pPr>
      <w:bookmarkStart w:id="8" w:name="_Toc137934932"/>
      <w:r>
        <w:rPr>
          <w:rFonts w:ascii="Times New Roman" w:hAnsi="Times New Roman" w:cs="Times New Roman"/>
          <w:color w:val="auto"/>
        </w:rPr>
        <w:t>Introduction</w:t>
      </w:r>
      <w:bookmarkEnd w:id="8"/>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chapter presents a literature review on the impact of organizational change on SMEs, specifically in relation to the COVID-19 pandemic.   </w:t>
      </w:r>
    </w:p>
    <w:p>
      <w:pPr>
        <w:pStyle w:val="3"/>
        <w:spacing w:line="480" w:lineRule="auto"/>
        <w:rPr>
          <w:rFonts w:ascii="Times New Roman" w:hAnsi="Times New Roman" w:cs="Times New Roman"/>
          <w:color w:val="auto"/>
        </w:rPr>
      </w:pPr>
      <w:bookmarkStart w:id="9" w:name="_Toc137934933"/>
      <w:r>
        <w:rPr>
          <w:rFonts w:ascii="Times New Roman" w:hAnsi="Times New Roman" w:cs="Times New Roman"/>
          <w:color w:val="auto"/>
        </w:rPr>
        <w:t>Organizational Change in SMEs</w:t>
      </w:r>
      <w:bookmarkEnd w:id="9"/>
    </w:p>
    <w:p>
      <w:pPr>
        <w:spacing w:line="480" w:lineRule="auto"/>
        <w:rPr>
          <w:rFonts w:ascii="Times New Roman" w:hAnsi="Times New Roman" w:cs="Times New Roman"/>
          <w:sz w:val="24"/>
          <w:szCs w:val="24"/>
        </w:rPr>
      </w:pPr>
      <w:r>
        <w:rPr>
          <w:rFonts w:ascii="Times New Roman" w:hAnsi="Times New Roman" w:cs="Times New Roman"/>
          <w:sz w:val="24"/>
          <w:szCs w:val="24"/>
        </w:rPr>
        <w:t>Organizational change is essential for the growth, adaptation, and survival of businesses, especially SMEs operating in a dynamic business environment (Min &amp; Kim, 2022). Gorjian et al. (2021) emphasize the importance of SMEs adapting their strategies, processes, and structures to environmental changes to maintain competitiveness. This may entail implementing novel technologies, restructuring the entity, or redefining the organizational culture.</w:t>
      </w:r>
    </w:p>
    <w:p>
      <w:pPr>
        <w:pStyle w:val="3"/>
        <w:spacing w:line="480" w:lineRule="auto"/>
        <w:rPr>
          <w:rFonts w:ascii="Times New Roman" w:hAnsi="Times New Roman" w:cs="Times New Roman"/>
          <w:color w:val="auto"/>
        </w:rPr>
      </w:pPr>
      <w:bookmarkStart w:id="10" w:name="_Toc137934934"/>
      <w:r>
        <w:rPr>
          <w:rFonts w:ascii="Times New Roman" w:hAnsi="Times New Roman" w:cs="Times New Roman"/>
          <w:color w:val="auto"/>
        </w:rPr>
        <w:t>Impact of COVID-19 on SMEs</w:t>
      </w:r>
      <w:bookmarkEnd w:id="10"/>
    </w:p>
    <w:p>
      <w:pPr>
        <w:spacing w:line="480" w:lineRule="auto"/>
        <w:rPr>
          <w:rFonts w:ascii="Times New Roman" w:hAnsi="Times New Roman" w:cs="Times New Roman"/>
          <w:sz w:val="24"/>
          <w:szCs w:val="24"/>
        </w:rPr>
      </w:pPr>
      <w:r>
        <w:rPr>
          <w:rFonts w:ascii="Times New Roman" w:hAnsi="Times New Roman" w:cs="Times New Roman"/>
          <w:sz w:val="24"/>
          <w:szCs w:val="24"/>
        </w:rPr>
        <w:t>Klein and Todesco (2021) observed that the business sector, specifically SMEs with restricted resources and flexibility, have been significantly impacted by the worldwide COVID-19 outbreak. Kalogiannidis (2020) discovered that the pandemic has led to the closure of numerous SMEs, causing supply chain disruptions and significant financial difficulties for these enterprises. SMEs promptly responded to the challenges by implementing changes in their operations, including remote work, new health and safety protocols, and modifying their products or services to meet the evolving demands of their customers (Rapaccini et al., 2020).</w:t>
      </w:r>
    </w:p>
    <w:p>
      <w:pPr>
        <w:pStyle w:val="3"/>
        <w:spacing w:line="480" w:lineRule="auto"/>
        <w:rPr>
          <w:rFonts w:ascii="Times New Roman" w:hAnsi="Times New Roman" w:cs="Times New Roman"/>
          <w:color w:val="auto"/>
        </w:rPr>
      </w:pPr>
      <w:bookmarkStart w:id="11" w:name="_Toc137934935"/>
      <w:r>
        <w:rPr>
          <w:rFonts w:ascii="Times New Roman" w:hAnsi="Times New Roman" w:cs="Times New Roman"/>
          <w:color w:val="auto"/>
        </w:rPr>
        <w:t>Change Management Models for SMEs</w:t>
      </w:r>
      <w:bookmarkEnd w:id="11"/>
    </w:p>
    <w:p>
      <w:pPr>
        <w:spacing w:line="480" w:lineRule="auto"/>
        <w:rPr>
          <w:rFonts w:ascii="Times New Roman" w:hAnsi="Times New Roman" w:cs="Times New Roman"/>
          <w:sz w:val="24"/>
          <w:szCs w:val="24"/>
        </w:rPr>
      </w:pPr>
      <w:r>
        <w:rPr>
          <w:rFonts w:ascii="Times New Roman" w:hAnsi="Times New Roman" w:cs="Times New Roman"/>
          <w:sz w:val="24"/>
          <w:szCs w:val="24"/>
        </w:rPr>
        <w:t>SMEs have the potential to effectively manage organizational change by employing change management models such as Lewin's Change Management Model, Kotter's 8-Step Change Model, and the McKinsey 7S Model (Tang &amp; Tang, 2019). These models provide a structured approach to change implementation, assisting organizations in identifying key change drivers, overcoming resistance, and ensuring the successful integration of new strategies, processes, and structures.</w:t>
      </w:r>
    </w:p>
    <w:p>
      <w:pPr>
        <w:pStyle w:val="3"/>
        <w:spacing w:line="480" w:lineRule="auto"/>
        <w:rPr>
          <w:rFonts w:ascii="Times New Roman" w:hAnsi="Times New Roman" w:cs="Times New Roman"/>
          <w:color w:val="auto"/>
        </w:rPr>
      </w:pPr>
      <w:bookmarkStart w:id="12" w:name="_Toc137934936"/>
      <w:r>
        <w:rPr>
          <w:rFonts w:ascii="Times New Roman" w:hAnsi="Times New Roman" w:cs="Times New Roman"/>
          <w:color w:val="auto"/>
        </w:rPr>
        <w:t>Factors Affecting Organizational Change in SMEs</w:t>
      </w:r>
      <w:bookmarkEnd w:id="12"/>
    </w:p>
    <w:p>
      <w:pPr>
        <w:spacing w:line="480" w:lineRule="auto"/>
        <w:rPr>
          <w:rFonts w:ascii="Times New Roman" w:hAnsi="Times New Roman" w:cs="Times New Roman"/>
          <w:sz w:val="24"/>
          <w:szCs w:val="24"/>
        </w:rPr>
      </w:pPr>
      <w:r>
        <w:rPr>
          <w:rFonts w:ascii="Times New Roman" w:hAnsi="Times New Roman" w:cs="Times New Roman"/>
          <w:sz w:val="24"/>
          <w:szCs w:val="24"/>
        </w:rPr>
        <w:t>Several variables can influence the consequences of transformational endeavours in small and medium-sized enterprises. Cândido &amp; Santos (2019) have recognized leadership, organizational culture, employee engagement, and communication as significant variables. Effective management is crucial for small and medium-sized enterprises (SMEs) to navigate through periods of transformation adeptly. The process entails formulating a distinct perspective, specifying anticipated outcomes, and fostering a conducive environment (Tajasom et al., 2015). The compatibility between the desired change outcomes and the organizational culture determines the impact on change outcomes. Corporate culture encompasses commonly held principles, convictions, and standards among individuals within an organization (Cândido &amp; Santos, 2019). Optimal employee engagement and communication are essential for the triumphant execution of change, as well-informed and dedicated employees are more inclined to endorse and engage in the process (Georgiades &amp; Georgiades et al., 2015).</w:t>
      </w:r>
    </w:p>
    <w:p>
      <w:pPr>
        <w:spacing w:line="480" w:lineRule="auto"/>
        <w:rPr>
          <w:rFonts w:ascii="Times New Roman" w:hAnsi="Times New Roman" w:cs="Times New Roman"/>
          <w:sz w:val="24"/>
          <w:szCs w:val="24"/>
        </w:rPr>
      </w:pPr>
    </w:p>
    <w:p>
      <w:pPr>
        <w:pStyle w:val="2"/>
      </w:pPr>
      <w:bookmarkStart w:id="13" w:name="_Toc137934937"/>
      <w:r>
        <w:t>Drivers of Change</w:t>
      </w:r>
      <w:bookmarkEnd w:id="13"/>
    </w:p>
    <w:p>
      <w:pPr>
        <w:pStyle w:val="3"/>
        <w:spacing w:line="480" w:lineRule="auto"/>
        <w:rPr>
          <w:rFonts w:ascii="Times New Roman" w:hAnsi="Times New Roman" w:cs="Times New Roman"/>
          <w:color w:val="auto"/>
        </w:rPr>
      </w:pPr>
      <w:bookmarkStart w:id="14" w:name="_Toc137934938"/>
      <w:r>
        <w:rPr>
          <w:rFonts w:ascii="Times New Roman" w:hAnsi="Times New Roman" w:cs="Times New Roman"/>
          <w:color w:val="auto"/>
        </w:rPr>
        <w:t>Organizational culture</w:t>
      </w:r>
      <w:bookmarkEnd w:id="14"/>
    </w:p>
    <w:p>
      <w:pPr>
        <w:spacing w:line="480" w:lineRule="auto"/>
        <w:rPr>
          <w:rFonts w:ascii="Times New Roman" w:hAnsi="Times New Roman" w:cs="Times New Roman"/>
          <w:sz w:val="24"/>
          <w:szCs w:val="24"/>
        </w:rPr>
      </w:pPr>
      <w:r>
        <w:rPr>
          <w:rFonts w:ascii="Times New Roman" w:hAnsi="Times New Roman" w:cs="Times New Roman"/>
          <w:sz w:val="24"/>
          <w:szCs w:val="24"/>
        </w:rPr>
        <w:t>Seesaw Coffee's organizational culture was instrumental in facilitating change during the pandemic. The company's adaptable, innovative, and customer-centric values and beliefs facilitated a proactive response to the challenges posed by COVID-19. Seesaw Coffee's ability to adapt to the changing business environment and maintain its competitive advantage was enhanced by fostering a culture that embraced change (Chen, 2019).</w:t>
      </w:r>
    </w:p>
    <w:p>
      <w:pPr>
        <w:pStyle w:val="3"/>
        <w:spacing w:line="480" w:lineRule="auto"/>
        <w:rPr>
          <w:rFonts w:ascii="Times New Roman" w:hAnsi="Times New Roman" w:cs="Times New Roman"/>
          <w:color w:val="auto"/>
        </w:rPr>
      </w:pPr>
      <w:bookmarkStart w:id="15" w:name="_Toc137934939"/>
      <w:r>
        <w:rPr>
          <w:rFonts w:ascii="Times New Roman" w:hAnsi="Times New Roman" w:cs="Times New Roman"/>
          <w:color w:val="auto"/>
        </w:rPr>
        <w:t>Leadership</w:t>
      </w:r>
      <w:bookmarkEnd w:id="15"/>
    </w:p>
    <w:p>
      <w:pPr>
        <w:spacing w:line="480" w:lineRule="auto"/>
        <w:rPr>
          <w:rFonts w:ascii="Times New Roman" w:hAnsi="Times New Roman" w:cs="Times New Roman"/>
          <w:sz w:val="24"/>
          <w:szCs w:val="24"/>
        </w:rPr>
      </w:pPr>
      <w:r>
        <w:rPr>
          <w:rFonts w:ascii="Times New Roman" w:hAnsi="Times New Roman" w:cs="Times New Roman"/>
          <w:sz w:val="24"/>
          <w:szCs w:val="24"/>
        </w:rPr>
        <w:t>Leadership was crucial in implementing successful changes at Seesaw Coffee during the pandemic (Cavish, 2018). The leaders of the company exhibited proficient decision-making abilities, effective communication, and perseverance in challenging circumstances (Elishaer &amp; Saad, 2022). Seesaw Coffee's leaders modelled behaviours that fostered trust and inspired employees to embrace change initiatives, ensuring the organization's ability to adapt and thrive during crises.</w:t>
      </w:r>
    </w:p>
    <w:p>
      <w:pPr>
        <w:pStyle w:val="3"/>
        <w:spacing w:line="480" w:lineRule="auto"/>
        <w:rPr>
          <w:rFonts w:ascii="Times New Roman" w:hAnsi="Times New Roman" w:cs="Times New Roman"/>
          <w:color w:val="auto"/>
        </w:rPr>
      </w:pPr>
      <w:bookmarkStart w:id="16" w:name="_Toc137934940"/>
      <w:r>
        <w:rPr>
          <w:rFonts w:ascii="Times New Roman" w:hAnsi="Times New Roman" w:cs="Times New Roman"/>
          <w:color w:val="auto"/>
        </w:rPr>
        <w:t>Power dynamics</w:t>
      </w:r>
      <w:bookmarkEnd w:id="16"/>
    </w:p>
    <w:p>
      <w:pPr>
        <w:spacing w:line="480" w:lineRule="auto"/>
        <w:rPr>
          <w:rFonts w:ascii="Times New Roman" w:hAnsi="Times New Roman" w:cs="Times New Roman"/>
          <w:sz w:val="24"/>
          <w:szCs w:val="24"/>
        </w:rPr>
      </w:pPr>
      <w:r>
        <w:rPr>
          <w:rFonts w:ascii="Times New Roman" w:hAnsi="Times New Roman" w:cs="Times New Roman"/>
          <w:sz w:val="24"/>
          <w:szCs w:val="24"/>
        </w:rPr>
        <w:t>Power dynamics at Seesaw Coffee impacted the change process by influencing stakeholders' reactions to the proposed changes. The company's leadership prioritized stakeholder buy-in by engaging employees at all levels by soliciting input and providing opportunities for open dialogue (Roulet, 2022). Seesaw Coffee successfully facilitated stakeholder participation in the organizational adaptation by proactively managing resistance and promoting ownership of change initiatives.</w:t>
      </w:r>
    </w:p>
    <w:p>
      <w:pPr>
        <w:pStyle w:val="3"/>
        <w:spacing w:line="480" w:lineRule="auto"/>
        <w:rPr>
          <w:rFonts w:ascii="Times New Roman" w:hAnsi="Times New Roman" w:cs="Times New Roman"/>
          <w:color w:val="auto"/>
        </w:rPr>
      </w:pPr>
      <w:bookmarkStart w:id="17" w:name="_Toc137934941"/>
      <w:r>
        <w:rPr>
          <w:rFonts w:ascii="Times New Roman" w:hAnsi="Times New Roman" w:cs="Times New Roman"/>
          <w:color w:val="auto"/>
        </w:rPr>
        <w:t>Digitalization</w:t>
      </w:r>
      <w:bookmarkEnd w:id="17"/>
    </w:p>
    <w:p>
      <w:pPr>
        <w:spacing w:line="480" w:lineRule="auto"/>
        <w:rPr>
          <w:rFonts w:ascii="Times New Roman" w:hAnsi="Times New Roman" w:cs="Times New Roman"/>
          <w:sz w:val="24"/>
          <w:szCs w:val="24"/>
        </w:rPr>
      </w:pPr>
      <w:r>
        <w:rPr>
          <w:rFonts w:ascii="Times New Roman" w:hAnsi="Times New Roman" w:cs="Times New Roman"/>
          <w:sz w:val="24"/>
          <w:szCs w:val="24"/>
        </w:rPr>
        <w:t>Seesaw Coffee utilized digitalization to sustain operations and cater to customer demands during the pandemic. Seesaw Coffee leveraged digital infrastructure and tools, including online ordering platforms, mobile apps, and contactless payment options, to swiftly adapt to and benefit from emerging opportunities in the digital realm (Bharadwaj et al., 2013). This facilitated the organization's ability to sustain customer engagement and establish fresh revenue streams and competitive advantages.</w:t>
      </w:r>
    </w:p>
    <w:p>
      <w:pPr>
        <w:pStyle w:val="3"/>
        <w:spacing w:line="480" w:lineRule="auto"/>
        <w:rPr>
          <w:rFonts w:ascii="Times New Roman" w:hAnsi="Times New Roman" w:cs="Times New Roman"/>
          <w:color w:val="auto"/>
        </w:rPr>
      </w:pPr>
      <w:bookmarkStart w:id="18" w:name="_Toc137934942"/>
      <w:r>
        <w:rPr>
          <w:rFonts w:ascii="Times New Roman" w:hAnsi="Times New Roman" w:cs="Times New Roman"/>
          <w:color w:val="auto"/>
        </w:rPr>
        <w:t>Competition</w:t>
      </w:r>
      <w:bookmarkEnd w:id="18"/>
    </w:p>
    <w:p>
      <w:pPr>
        <w:spacing w:line="480" w:lineRule="auto"/>
        <w:rPr>
          <w:rFonts w:ascii="Times New Roman" w:hAnsi="Times New Roman" w:cs="Times New Roman"/>
          <w:sz w:val="24"/>
          <w:szCs w:val="24"/>
        </w:rPr>
      </w:pPr>
      <w:r>
        <w:rPr>
          <w:rFonts w:ascii="Times New Roman" w:hAnsi="Times New Roman" w:cs="Times New Roman"/>
          <w:sz w:val="24"/>
          <w:szCs w:val="24"/>
        </w:rPr>
        <w:t>Seesaw Coffee changed during the pandemic due to competitive pressures within the coffee sector. Due to the rapidly changing market conditions, the company had to adjust its strategies and offerings to stay competitive and appeal to customers (Nastasolu &amp; Vandenbosch, 2019). Seesaw Coffee exhibited agility and adaptability by vigilantly observing the actions of rivals and promptly responding to market trends, establishing itself as an industry leader despite unprecedented challenges.</w:t>
      </w:r>
    </w:p>
    <w:p>
      <w:pPr>
        <w:pStyle w:val="2"/>
      </w:pPr>
      <w:bookmarkStart w:id="19" w:name="_Toc137934943"/>
      <w:r>
        <w:t>Adapting to Change and Driving Business Growth during the Pandemic</w:t>
      </w:r>
      <w:bookmarkEnd w:id="19"/>
    </w:p>
    <w:p>
      <w:pPr>
        <w:pStyle w:val="3"/>
        <w:spacing w:line="480" w:lineRule="auto"/>
        <w:rPr>
          <w:rFonts w:ascii="Times New Roman" w:hAnsi="Times New Roman" w:cs="Times New Roman"/>
          <w:color w:val="auto"/>
        </w:rPr>
      </w:pPr>
      <w:bookmarkStart w:id="20" w:name="_Toc137934944"/>
      <w:r>
        <w:rPr>
          <w:rFonts w:ascii="Times New Roman" w:hAnsi="Times New Roman" w:cs="Times New Roman"/>
          <w:color w:val="auto"/>
        </w:rPr>
        <w:t>Introduction</w:t>
      </w:r>
      <w:bookmarkEnd w:id="20"/>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chapter examines Seesaw Coffee's response to the COVID-19 pandemic and the measures taken to promote business expansion amidst the difficulties encountered. Hartmann et al. (2020) emphasizes the importance of innovation, digital transformation, and customer-centric approaches for maintaining an organization's resilience and ongoing success. </w:t>
      </w:r>
    </w:p>
    <w:p>
      <w:pPr>
        <w:pStyle w:val="3"/>
        <w:spacing w:line="480" w:lineRule="auto"/>
        <w:rPr>
          <w:rFonts w:ascii="Times New Roman" w:hAnsi="Times New Roman" w:cs="Times New Roman"/>
          <w:color w:val="auto"/>
        </w:rPr>
      </w:pPr>
      <w:bookmarkStart w:id="21" w:name="_Toc137934945"/>
      <w:r>
        <w:rPr>
          <w:rFonts w:ascii="Times New Roman" w:hAnsi="Times New Roman" w:cs="Times New Roman"/>
          <w:color w:val="auto"/>
        </w:rPr>
        <w:t>Embracing Digital Transformation</w:t>
      </w:r>
      <w:bookmarkEnd w:id="21"/>
    </w:p>
    <w:p>
      <w:pPr>
        <w:spacing w:line="480" w:lineRule="auto"/>
        <w:rPr>
          <w:rFonts w:ascii="Times New Roman" w:hAnsi="Times New Roman" w:cs="Times New Roman"/>
          <w:sz w:val="24"/>
          <w:szCs w:val="24"/>
        </w:rPr>
      </w:pPr>
      <w:r>
        <w:rPr>
          <w:rFonts w:ascii="Times New Roman" w:hAnsi="Times New Roman" w:cs="Times New Roman"/>
          <w:sz w:val="24"/>
          <w:szCs w:val="24"/>
        </w:rPr>
        <w:t>Seesaw Coffee promptly adopted digital transformation to address the challenges posed by the pandemic. The company upgraded its digital infrastructure, resulting in the launch of a user-friendly mobile app and online platform. Customers can utilize these channels to place their orders, pay, and arrange delivery or pick-up. This strategy was instrumental in customer retention and acquisition amidst lockdowns and social distancing measures.</w:t>
      </w:r>
    </w:p>
    <w:p>
      <w:pPr>
        <w:pStyle w:val="3"/>
        <w:spacing w:line="480" w:lineRule="auto"/>
        <w:rPr>
          <w:rFonts w:ascii="Times New Roman" w:hAnsi="Times New Roman" w:cs="Times New Roman"/>
          <w:color w:val="auto"/>
        </w:rPr>
      </w:pPr>
      <w:bookmarkStart w:id="22" w:name="_Toc137934946"/>
      <w:r>
        <w:rPr>
          <w:rFonts w:ascii="Times New Roman" w:hAnsi="Times New Roman" w:cs="Times New Roman"/>
          <w:color w:val="auto"/>
        </w:rPr>
        <w:t>Enhancing Customer Experience</w:t>
      </w:r>
      <w:bookmarkEnd w:id="22"/>
    </w:p>
    <w:p>
      <w:pPr>
        <w:spacing w:line="480" w:lineRule="auto"/>
        <w:rPr>
          <w:rFonts w:ascii="Times New Roman" w:hAnsi="Times New Roman" w:cs="Times New Roman"/>
          <w:sz w:val="24"/>
          <w:szCs w:val="24"/>
        </w:rPr>
      </w:pPr>
      <w:r>
        <w:rPr>
          <w:rFonts w:ascii="Times New Roman" w:hAnsi="Times New Roman" w:cs="Times New Roman"/>
          <w:sz w:val="24"/>
          <w:szCs w:val="24"/>
        </w:rPr>
        <w:t>Seesaw Coffee prioritized improving the customer experience amidst the pandemic. The company employed data-driven insights and customer feedback to enhance its digital offerings, optimize the ordering process, and extend its delivery services. Seesaw Coffee, along with other small and medium-sized enterprises, utilized innovative social media marketing strategies to sustain customer engagement and brand recognition (Dubbelink et al., 2020).</w:t>
      </w:r>
    </w:p>
    <w:p>
      <w:pPr>
        <w:pStyle w:val="3"/>
        <w:spacing w:line="480" w:lineRule="auto"/>
        <w:rPr>
          <w:rFonts w:ascii="Times New Roman" w:hAnsi="Times New Roman" w:cs="Times New Roman"/>
          <w:color w:val="auto"/>
        </w:rPr>
      </w:pPr>
      <w:bookmarkStart w:id="23" w:name="_Toc137934947"/>
      <w:r>
        <w:rPr>
          <w:rFonts w:ascii="Times New Roman" w:hAnsi="Times New Roman" w:cs="Times New Roman"/>
          <w:color w:val="auto"/>
        </w:rPr>
        <w:t>Adapting to Changing Consumer Preferences</w:t>
      </w:r>
      <w:bookmarkEnd w:id="23"/>
    </w:p>
    <w:p>
      <w:pPr>
        <w:spacing w:line="480" w:lineRule="auto"/>
        <w:rPr>
          <w:rFonts w:ascii="Times New Roman" w:hAnsi="Times New Roman" w:cs="Times New Roman"/>
          <w:sz w:val="24"/>
          <w:szCs w:val="24"/>
        </w:rPr>
      </w:pPr>
      <w:r>
        <w:rPr>
          <w:rFonts w:ascii="Times New Roman" w:hAnsi="Times New Roman" w:cs="Times New Roman"/>
          <w:sz w:val="24"/>
          <w:szCs w:val="24"/>
        </w:rPr>
        <w:t>Seesaw Coffee adapted its product offerings to cater to changing consumer preferences during the pandemic. The company responded to the increasing consumer demand for health-conscious options during the pandemic by introducing new menu items and beverages that emphasized health and well-being (Birtus &amp; Lăzăroiu, 2021).</w:t>
      </w:r>
    </w:p>
    <w:p>
      <w:pPr>
        <w:pStyle w:val="3"/>
        <w:spacing w:line="480" w:lineRule="auto"/>
        <w:rPr>
          <w:rFonts w:ascii="Times New Roman" w:hAnsi="Times New Roman" w:cs="Times New Roman"/>
          <w:color w:val="auto"/>
        </w:rPr>
      </w:pPr>
      <w:bookmarkStart w:id="24" w:name="_Toc137934948"/>
      <w:r>
        <w:rPr>
          <w:rFonts w:ascii="Times New Roman" w:hAnsi="Times New Roman" w:cs="Times New Roman"/>
          <w:color w:val="auto"/>
        </w:rPr>
        <w:t>Strengthening the Supply Chain</w:t>
      </w:r>
      <w:bookmarkEnd w:id="24"/>
    </w:p>
    <w:p>
      <w:pPr>
        <w:spacing w:line="480" w:lineRule="auto"/>
        <w:rPr>
          <w:rFonts w:ascii="Times New Roman" w:hAnsi="Times New Roman" w:cs="Times New Roman"/>
          <w:sz w:val="24"/>
          <w:szCs w:val="24"/>
        </w:rPr>
      </w:pPr>
      <w:r>
        <w:rPr>
          <w:rFonts w:ascii="Times New Roman" w:hAnsi="Times New Roman" w:cs="Times New Roman"/>
          <w:sz w:val="24"/>
          <w:szCs w:val="24"/>
        </w:rPr>
        <w:t>The COVID-19 pandemic revealed supply chain vulnerabilities in various companies, leading to a reassessment and reinforcement of their operations (Pujawan &amp; Bah, 2022). Seesaw Coffee implemented proactive measures to maintain a consistent supply of raw materials and ingredients amidst the pandemic. The company reduced its reliance on international sources by diversifying its supplier base, implementing contingency plans, and fostering strong relationships with local suppliers. The implementation of this measure not only ensured the continuity of business operations but also improved the company's capacity to address potential supply chain disruptions in the future.</w:t>
      </w:r>
    </w:p>
    <w:p>
      <w:pPr>
        <w:pStyle w:val="3"/>
        <w:spacing w:line="480" w:lineRule="auto"/>
        <w:rPr>
          <w:rFonts w:ascii="Times New Roman" w:hAnsi="Times New Roman" w:cs="Times New Roman"/>
          <w:color w:val="auto"/>
        </w:rPr>
      </w:pPr>
      <w:bookmarkStart w:id="25" w:name="_Toc137934949"/>
      <w:r>
        <w:rPr>
          <w:rFonts w:ascii="Times New Roman" w:hAnsi="Times New Roman" w:cs="Times New Roman"/>
          <w:color w:val="auto"/>
        </w:rPr>
        <w:t>Community Engagement and Social Responsibility</w:t>
      </w:r>
      <w:bookmarkEnd w:id="25"/>
    </w:p>
    <w:p>
      <w:pPr>
        <w:spacing w:line="480" w:lineRule="auto"/>
        <w:rPr>
          <w:rFonts w:ascii="Times New Roman" w:hAnsi="Times New Roman" w:cs="Times New Roman"/>
          <w:sz w:val="24"/>
          <w:szCs w:val="24"/>
        </w:rPr>
      </w:pPr>
      <w:r>
        <w:rPr>
          <w:rFonts w:ascii="Times New Roman" w:hAnsi="Times New Roman" w:cs="Times New Roman"/>
          <w:sz w:val="24"/>
          <w:szCs w:val="24"/>
        </w:rPr>
        <w:t>Seesaw Coffee exhibited social responsibility during the pandemic through community support endeavors. The initiatives comprised providing discounts to essential workers, contributing a fraction of their earnings towards COVID-19 relief, and collaborating with regional non-governmental organizations to aid susceptible communities. Seesaw Coffee enhanced its brand image and customer loyalty through active and responsible community participation.</w:t>
      </w:r>
    </w:p>
    <w:p>
      <w:pPr>
        <w:pStyle w:val="3"/>
        <w:spacing w:line="480" w:lineRule="auto"/>
        <w:rPr>
          <w:rFonts w:ascii="Times New Roman" w:hAnsi="Times New Roman" w:cs="Times New Roman"/>
          <w:color w:val="auto"/>
        </w:rPr>
      </w:pPr>
      <w:bookmarkStart w:id="26" w:name="_Toc137934950"/>
      <w:r>
        <w:rPr>
          <w:rFonts w:ascii="Times New Roman" w:hAnsi="Times New Roman" w:cs="Times New Roman"/>
          <w:color w:val="auto"/>
        </w:rPr>
        <w:t>Conclusion</w:t>
      </w:r>
      <w:bookmarkEnd w:id="26"/>
    </w:p>
    <w:p>
      <w:pPr>
        <w:spacing w:line="480" w:lineRule="auto"/>
        <w:rPr>
          <w:rFonts w:ascii="Times New Roman" w:hAnsi="Times New Roman" w:cs="Times New Roman"/>
          <w:sz w:val="24"/>
          <w:szCs w:val="24"/>
        </w:rPr>
      </w:pPr>
      <w:r>
        <w:rPr>
          <w:rFonts w:ascii="Times New Roman" w:hAnsi="Times New Roman" w:cs="Times New Roman"/>
          <w:sz w:val="24"/>
          <w:szCs w:val="24"/>
        </w:rPr>
        <w:t>Seesaw Coffee's resilience and strategic thinking during the COVID-19 pandemic is evidenced by their ability to adapt and drive business growth. Seesaw Coffee has successfully navigated the challenges of the pandemic by adopting digital transformation, improving customer experience, adapting to changing consumer preferences, strengthening the supply chain, and demonstrating social responsibility. The case study offers valuable insights for SMEs seeking to learn from successful organizations' experiences during crises.</w:t>
      </w:r>
    </w:p>
    <w:p>
      <w:pPr>
        <w:pStyle w:val="2"/>
      </w:pPr>
      <w:bookmarkStart w:id="27" w:name="_Toc137934951"/>
      <w:r>
        <w:t>Application of Change Management Models to the Organization</w:t>
      </w:r>
      <w:bookmarkEnd w:id="27"/>
    </w:p>
    <w:p>
      <w:pPr>
        <w:pStyle w:val="3"/>
        <w:spacing w:line="480" w:lineRule="auto"/>
        <w:rPr>
          <w:rFonts w:ascii="Times New Roman" w:hAnsi="Times New Roman" w:cs="Times New Roman"/>
          <w:color w:val="auto"/>
        </w:rPr>
      </w:pPr>
      <w:bookmarkStart w:id="28" w:name="_Toc137934952"/>
      <w:r>
        <w:rPr>
          <w:rFonts w:ascii="Times New Roman" w:hAnsi="Times New Roman" w:cs="Times New Roman"/>
          <w:color w:val="auto"/>
        </w:rPr>
        <w:t>Selection of appropriate change management model(s)</w:t>
      </w:r>
      <w:bookmarkEnd w:id="28"/>
    </w:p>
    <w:p>
      <w:pPr>
        <w:spacing w:line="480" w:lineRule="auto"/>
        <w:rPr>
          <w:rFonts w:ascii="Times New Roman" w:hAnsi="Times New Roman" w:cs="Times New Roman"/>
          <w:sz w:val="24"/>
          <w:szCs w:val="24"/>
        </w:rPr>
      </w:pPr>
      <w:r>
        <w:rPr>
          <w:rFonts w:ascii="Times New Roman" w:hAnsi="Times New Roman" w:cs="Times New Roman"/>
          <w:sz w:val="24"/>
          <w:szCs w:val="24"/>
        </w:rPr>
        <w:t>Organizations must choose appropriate change management models to successfully implement organizational changes. Kotter's 8-Step Process was selected for its established efficacy in facilitating change and organizational transformation (Tang &amp; Tang, 2019). Kotter's model is an action-oriented approach that offers a clear roadmap for implementing the change process.</w:t>
      </w:r>
    </w:p>
    <w:p>
      <w:pPr>
        <w:pStyle w:val="3"/>
        <w:spacing w:line="480" w:lineRule="auto"/>
        <w:rPr>
          <w:rFonts w:ascii="Times New Roman" w:hAnsi="Times New Roman" w:cs="Times New Roman"/>
          <w:color w:val="auto"/>
        </w:rPr>
      </w:pPr>
      <w:bookmarkStart w:id="29" w:name="_Toc137934953"/>
      <w:r>
        <w:rPr>
          <w:rFonts w:ascii="Times New Roman" w:hAnsi="Times New Roman" w:cs="Times New Roman"/>
          <w:color w:val="auto"/>
        </w:rPr>
        <w:t>Implementation plan for the change program</w:t>
      </w:r>
      <w:bookmarkEnd w:id="29"/>
    </w:p>
    <w:p>
      <w:pPr>
        <w:pStyle w:val="4"/>
        <w:spacing w:line="480" w:lineRule="auto"/>
        <w:rPr>
          <w:rFonts w:ascii="Times New Roman" w:hAnsi="Times New Roman" w:cs="Times New Roman"/>
          <w:color w:val="auto"/>
        </w:rPr>
      </w:pPr>
      <w:bookmarkStart w:id="30" w:name="_Toc137934954"/>
      <w:r>
        <w:rPr>
          <w:rFonts w:ascii="Times New Roman" w:hAnsi="Times New Roman" w:cs="Times New Roman"/>
          <w:color w:val="auto"/>
        </w:rPr>
        <w:t>Steps</w:t>
      </w:r>
      <w:bookmarkEnd w:id="30"/>
      <w:r>
        <w:rPr>
          <w:rFonts w:ascii="Times New Roman" w:hAnsi="Times New Roman" w:cs="Times New Roman"/>
          <w:color w:val="auto"/>
        </w:rPr>
        <w:t xml:space="preserve">  </w:t>
      </w:r>
    </w:p>
    <w:p>
      <w:pPr>
        <w:spacing w:line="480" w:lineRule="auto"/>
        <w:rPr>
          <w:rFonts w:ascii="Times New Roman" w:hAnsi="Times New Roman" w:cs="Times New Roman"/>
          <w:sz w:val="24"/>
          <w:szCs w:val="24"/>
        </w:rPr>
      </w:pPr>
      <w:r>
        <w:rPr>
          <w:rFonts w:ascii="Times New Roman" w:hAnsi="Times New Roman" w:cs="Times New Roman"/>
          <w:sz w:val="24"/>
          <w:szCs w:val="24"/>
        </w:rPr>
        <w:t>Change management is a crucial process that SMEs must undertake to stay competitive and respond to market demands (Fabrizio et al., 2022). The COVID-19 pandemic has underscored the importance of change management for SMEs as they have had to reorganize their operations and business strategies endure. Seesaw Coffee, a Chinese SME operating in the specialty coffee sector, has faced pandemic-related difficulties. This chapter will examine the implementation of Kotter's 8-Step Process by Seesaw Coffee for efficient change management and resistance mitigation.</w:t>
      </w:r>
    </w:p>
    <w:p>
      <w:pPr>
        <w:spacing w:line="480" w:lineRule="auto"/>
        <w:rPr>
          <w:rFonts w:ascii="Times New Roman" w:hAnsi="Times New Roman" w:cs="Times New Roman"/>
          <w:sz w:val="24"/>
          <w:szCs w:val="24"/>
        </w:rPr>
      </w:pPr>
      <w:r>
        <w:rPr>
          <w:rFonts w:ascii="Times New Roman" w:hAnsi="Times New Roman" w:cs="Times New Roman"/>
          <w:sz w:val="24"/>
          <w:szCs w:val="24"/>
        </w:rPr>
        <w:t>The initial stage of Kotter's 8-Step Process involves creating a perception of urgency. This consists in fostering awareness of the need for organizational change and emphasizing the repercussions of not taking action (Mitcheltree, 2023). Seesaw Coffee ought to effectively convey the significance of the transition to its employees and stakeholders to establish momentum and dedication towards the process. The COVID-19 pandemic has prompted Seesaw Coffee to modify its operations in response to the evolving market conditions. The urgency can be utilized by the company to create momentum and garner support for the change initiative.</w:t>
      </w:r>
    </w:p>
    <w:p>
      <w:pPr>
        <w:spacing w:line="480" w:lineRule="auto"/>
        <w:rPr>
          <w:rFonts w:ascii="Times New Roman" w:hAnsi="Times New Roman" w:cs="Times New Roman"/>
          <w:sz w:val="24"/>
          <w:szCs w:val="24"/>
        </w:rPr>
      </w:pPr>
      <w:r>
        <w:rPr>
          <w:rFonts w:ascii="Times New Roman" w:hAnsi="Times New Roman" w:cs="Times New Roman"/>
          <w:sz w:val="24"/>
          <w:szCs w:val="24"/>
        </w:rPr>
        <w:t>The next phase involves establishing a robust guiding coalition (Tang &amp; Tang, 2019). Seesaw Coffee should form a team of influential and dedicated individuals to spearhead the change initiative. The alliance must comprise members from diverse organizational divisions and levels to ensure a comprehensive and varied perspective on the change process. The effectiveness of the change program is contingent upon the authority and credibility of the guiding coalition. Coalition members require the skills and knowledge to recognize and manage challenges that may arise during the change process.</w:t>
      </w:r>
    </w:p>
    <w:p>
      <w:pPr>
        <w:spacing w:line="480" w:lineRule="auto"/>
        <w:rPr>
          <w:rFonts w:ascii="Times New Roman" w:hAnsi="Times New Roman" w:cs="Times New Roman"/>
          <w:sz w:val="24"/>
          <w:szCs w:val="24"/>
        </w:rPr>
      </w:pPr>
      <w:r>
        <w:rPr>
          <w:rFonts w:ascii="Times New Roman" w:hAnsi="Times New Roman" w:cs="Times New Roman"/>
          <w:sz w:val="24"/>
          <w:szCs w:val="24"/>
        </w:rPr>
        <w:t>The third stage of Kotter's 8-Step Process involves the development of a vision and strategy. It is imperative to establish a distinct vision and strategy for the change process to steer the organization towards its intended future state. Seesaw Coffee's vision should be clear, inspiring, and consistent with the company's mission and values. According to Men et al. (2020), the vision must guide and concentrate the change program and be frequently communicated to employees and stakeholders.</w:t>
      </w:r>
    </w:p>
    <w:p>
      <w:pPr>
        <w:spacing w:line="480" w:lineRule="auto"/>
        <w:rPr>
          <w:rFonts w:ascii="Times New Roman" w:hAnsi="Times New Roman" w:cs="Times New Roman"/>
          <w:sz w:val="24"/>
          <w:szCs w:val="24"/>
        </w:rPr>
      </w:pPr>
      <w:r>
        <w:rPr>
          <w:rFonts w:ascii="Times New Roman" w:hAnsi="Times New Roman" w:cs="Times New Roman"/>
          <w:sz w:val="24"/>
          <w:szCs w:val="24"/>
        </w:rPr>
        <w:t>Step four involves communicating the vision for change. The guiding coalition should actively and consistently communicate the change vision to stakeholders and employees (Errida &amp; Lotfi, 2021). This may entail utilizing diverse channels, including newsletters, meetings, and social media, to promote comprehension and endorsement of the vision among all stakeholders. Efficient communication is crucial for garnering support for the change initiative and surmounting opposition.</w:t>
      </w:r>
    </w:p>
    <w:p>
      <w:pPr>
        <w:spacing w:line="480" w:lineRule="auto"/>
        <w:rPr>
          <w:rFonts w:ascii="Times New Roman" w:hAnsi="Times New Roman" w:cs="Times New Roman"/>
          <w:sz w:val="24"/>
          <w:szCs w:val="24"/>
        </w:rPr>
      </w:pPr>
      <w:r>
        <w:rPr>
          <w:rFonts w:ascii="Times New Roman" w:hAnsi="Times New Roman" w:cs="Times New Roman"/>
          <w:sz w:val="24"/>
          <w:szCs w:val="24"/>
        </w:rPr>
        <w:t>The fifth stage in Kotter's 8-Step Process involves empowering employees for broad-based action. Tang and Tang (2019) suggest that Seesaw Coffee should eliminate obstacles to change and enable its employees to initiate action. This entails furnishing employees with the essential resources, training, and support to adopt and propel change initiatives. Enabling employees can foster a sense of ownership and dedication towards the change initiative, thereby enhancing the probability of its success.</w:t>
      </w:r>
    </w:p>
    <w:p>
      <w:pPr>
        <w:spacing w:line="480" w:lineRule="auto"/>
        <w:rPr>
          <w:rFonts w:ascii="Times New Roman" w:hAnsi="Times New Roman" w:cs="Times New Roman"/>
          <w:sz w:val="24"/>
          <w:szCs w:val="24"/>
        </w:rPr>
      </w:pPr>
      <w:r>
        <w:rPr>
          <w:rFonts w:ascii="Times New Roman" w:hAnsi="Times New Roman" w:cs="Times New Roman"/>
          <w:sz w:val="24"/>
          <w:szCs w:val="24"/>
        </w:rPr>
        <w:t>The sixth step in Kotter's 8-Step Process is to establish short-term victories. Adelman-Mullally et al. (2013) suggest that Seesaw Coffee should monitor and acknowledge small successes in order to sustain progress and encourage staff during the transition. The victories ought to be observable, quantifiable, and closely associated with the initiative for change. Acknowledging small victories can foster self-assurance and generate impetus towards accomplishing the ultimate objectives of the transformation initiative.</w:t>
      </w:r>
    </w:p>
    <w:p>
      <w:pPr>
        <w:spacing w:line="480" w:lineRule="auto"/>
        <w:rPr>
          <w:rFonts w:ascii="Times New Roman" w:hAnsi="Times New Roman" w:cs="Times New Roman"/>
          <w:sz w:val="24"/>
          <w:szCs w:val="24"/>
        </w:rPr>
      </w:pPr>
      <w:r>
        <w:rPr>
          <w:rFonts w:ascii="Times New Roman" w:hAnsi="Times New Roman" w:cs="Times New Roman"/>
          <w:sz w:val="24"/>
          <w:szCs w:val="24"/>
        </w:rPr>
        <w:t>The seventh stage in Kotter's 8-Step Process involves consolidating gains and generating further change. Seesaw Coffee should sustain its short-term successes and strive for further progress. The next step entails leveraging the achievements of the immediate victories through ongoing enhancements of procedures and promoting additional modifications (Adelman-Mullally et al., 2013). The organization must refrain from complacency following initial achievements. The organization should sustain its momentum by identifying fresh improvement opportunities and exploring novel ways to enhance its operations.</w:t>
      </w:r>
    </w:p>
    <w:p>
      <w:pPr>
        <w:spacing w:line="480" w:lineRule="auto"/>
        <w:rPr>
          <w:rFonts w:ascii="Times New Roman" w:hAnsi="Times New Roman" w:cs="Times New Roman"/>
          <w:sz w:val="24"/>
          <w:szCs w:val="24"/>
        </w:rPr>
      </w:pPr>
      <w:r>
        <w:rPr>
          <w:rFonts w:ascii="Times New Roman" w:hAnsi="Times New Roman" w:cs="Times New Roman"/>
          <w:sz w:val="24"/>
          <w:szCs w:val="24"/>
        </w:rPr>
        <w:t>Establishing a culture of continuous improvement can aid in consolidating gains. According to Azevedo et al. (2021), promoting a culture of innovation, soliciting employee feedback and suggestions, and investing in employee training and development are effective ways to achieve this goal. Seesaw Coffee can enable its employees to effect change and contribute significantly to the organization's achievements.</w:t>
      </w:r>
    </w:p>
    <w:p>
      <w:pPr>
        <w:spacing w:line="480" w:lineRule="auto"/>
        <w:rPr>
          <w:rFonts w:ascii="Times New Roman" w:hAnsi="Times New Roman" w:cs="Times New Roman"/>
          <w:sz w:val="24"/>
          <w:szCs w:val="24"/>
        </w:rPr>
      </w:pPr>
      <w:r>
        <w:rPr>
          <w:rFonts w:ascii="Times New Roman" w:hAnsi="Times New Roman" w:cs="Times New Roman"/>
          <w:sz w:val="24"/>
          <w:szCs w:val="24"/>
        </w:rPr>
        <w:t>Kotter's 8-step process culminates in integrating novel methodologies into the prevailing culture. To maintain the change, Seesaw Coffee must institutionalize the new behaviours and processes within its organizational culture. Stahl et al. (2020) suggest reinforcing new values can be achieved through leadership, performance management, and employee recognition programs. Seesaw Coffee can ensure the long-term sustainability of changes by integrating them into the company's culture.</w:t>
      </w:r>
    </w:p>
    <w:p>
      <w:pPr>
        <w:spacing w:line="480" w:lineRule="auto"/>
        <w:rPr>
          <w:rFonts w:ascii="Times New Roman" w:hAnsi="Times New Roman" w:cs="Times New Roman"/>
          <w:sz w:val="24"/>
          <w:szCs w:val="24"/>
        </w:rPr>
      </w:pPr>
      <w:r>
        <w:rPr>
          <w:rFonts w:ascii="Times New Roman" w:hAnsi="Times New Roman" w:cs="Times New Roman"/>
          <w:sz w:val="24"/>
          <w:szCs w:val="24"/>
        </w:rPr>
        <w:t>Organizational change in Seesaw Coffee necessitates a systematic approach that adheres to a change management framework. Kotter's 8-step process is a widely recognized framework that offers guidance for effectively managing organizational change (Neto et al., 2022). This process enables Seesaw Coffee to surmount resistance to change, establish employee alignment with a shared vision, and foster a culture of ongoing enhancement. The COVID-19 pandemic presents an opportunity for the organization to enhance its strength and resilience while establishing a distinct trajectory for the future.</w:t>
      </w:r>
    </w:p>
    <w:p>
      <w:pPr>
        <w:pStyle w:val="4"/>
        <w:spacing w:line="480" w:lineRule="auto"/>
        <w:rPr>
          <w:rFonts w:ascii="Times New Roman" w:hAnsi="Times New Roman" w:cs="Times New Roman"/>
          <w:color w:val="auto"/>
        </w:rPr>
      </w:pPr>
      <w:bookmarkStart w:id="31" w:name="_Toc137934955"/>
      <w:r>
        <w:rPr>
          <w:rFonts w:ascii="Times New Roman" w:hAnsi="Times New Roman" w:cs="Times New Roman"/>
          <w:color w:val="auto"/>
        </w:rPr>
        <w:t>Timelines, roles and responsibilities</w:t>
      </w:r>
      <w:bookmarkEnd w:id="31"/>
    </w:p>
    <w:p>
      <w:pPr>
        <w:spacing w:line="480" w:lineRule="auto"/>
        <w:rPr>
          <w:rFonts w:ascii="Times New Roman" w:hAnsi="Times New Roman" w:cs="Times New Roman"/>
          <w:sz w:val="24"/>
          <w:szCs w:val="24"/>
        </w:rPr>
      </w:pPr>
      <w:r>
        <w:rPr>
          <w:rFonts w:ascii="Times New Roman" w:hAnsi="Times New Roman" w:cs="Times New Roman"/>
          <w:sz w:val="24"/>
          <w:szCs w:val="24"/>
        </w:rPr>
        <w:t>Setting a change program's timeline that includes clear milestones, specific deadlines, and task assignments for different teams or individuals becomes essential. A critical factor here is the feasibility of this timeline, which must account for potential hurdles or unforeseen occurrences that may arise during the implementation process. Seesaw Coffee must allocate resources, such as budget, staff, and technology, to ensure the successful implementation of the change program.</w:t>
      </w:r>
    </w:p>
    <w:p>
      <w:pPr>
        <w:spacing w:line="480" w:lineRule="auto"/>
        <w:rPr>
          <w:rFonts w:ascii="Times New Roman" w:hAnsi="Times New Roman" w:cs="Times New Roman"/>
          <w:sz w:val="24"/>
          <w:szCs w:val="24"/>
        </w:rPr>
      </w:pPr>
      <w:r>
        <w:rPr>
          <w:rFonts w:ascii="Times New Roman" w:hAnsi="Times New Roman" w:cs="Times New Roman"/>
          <w:sz w:val="24"/>
          <w:szCs w:val="24"/>
        </w:rPr>
        <w:t>For Seesaw Coffee, the establishment of a dedicated change management team is highly advisable. Incorporating members from various departments and levels within the organization enables a more well-rounded and diverse perspective on the change process. This team assumes a supervisory role over the progress of the implementation plan, proactively identifying and resolving issues that may surface, and executing necessary adjustments to keep the plan on track. The team should provide regular updates to employees and stakeholders to ensure transparency and effective communication throughout the process.</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Seesaw Coffee ought to perform a case study analysis to assess the efficacy of its change management strategy, in conjunction with the implementation plan. The study should identify driving factors, obstacles, and the effectiveness of implemented strategies. Upon completion of the change program, a thorough analysis can prove beneficial for Seesaw Coffee. This review process can uncover opportunities for improvement and guide the development of a more efficient strategy for managing change in future endeavors. Such a process is integral to continuous learning and the iterative improvement of organizational processes.  </w:t>
      </w:r>
    </w:p>
    <w:p>
      <w:pPr>
        <w:pStyle w:val="2"/>
      </w:pPr>
      <w:bookmarkStart w:id="32" w:name="_Toc137934956"/>
      <w:r>
        <w:t>Assessment of Change Program Effectiveness</w:t>
      </w:r>
      <w:bookmarkEnd w:id="32"/>
    </w:p>
    <w:p>
      <w:pPr>
        <w:pStyle w:val="3"/>
        <w:spacing w:line="480" w:lineRule="auto"/>
        <w:rPr>
          <w:rFonts w:ascii="Times New Roman" w:hAnsi="Times New Roman" w:cs="Times New Roman"/>
          <w:color w:val="auto"/>
        </w:rPr>
      </w:pPr>
      <w:bookmarkStart w:id="33" w:name="_Toc137934957"/>
      <w:r>
        <w:rPr>
          <w:rFonts w:ascii="Times New Roman" w:hAnsi="Times New Roman" w:cs="Times New Roman"/>
          <w:color w:val="auto"/>
        </w:rPr>
        <w:t>Criteria for success</w:t>
      </w:r>
      <w:bookmarkEnd w:id="33"/>
    </w:p>
    <w:p>
      <w:pPr>
        <w:spacing w:line="480" w:lineRule="auto"/>
        <w:rPr>
          <w:rFonts w:ascii="Times New Roman" w:hAnsi="Times New Roman" w:cs="Times New Roman"/>
          <w:sz w:val="24"/>
          <w:szCs w:val="24"/>
        </w:rPr>
      </w:pPr>
      <w:r>
        <w:rPr>
          <w:rFonts w:ascii="Times New Roman" w:hAnsi="Times New Roman" w:cs="Times New Roman"/>
          <w:sz w:val="24"/>
          <w:szCs w:val="24"/>
        </w:rPr>
        <w:t>It is essential to define precise and measurable benchmarks to assess the efficacy of the Seesaw Coffee transformation initiative. The change program's criteria must adhere to the SMART principle, which entails being specific, measurable, achievable, relevant, and time-bound while aligning with the program's objectives. Seesaw Coffee can assess the success of the change program by establishing these criteria.</w:t>
      </w:r>
    </w:p>
    <w:p>
      <w:pPr>
        <w:spacing w:line="480" w:lineRule="auto"/>
        <w:rPr>
          <w:rFonts w:ascii="Times New Roman" w:hAnsi="Times New Roman" w:cs="Times New Roman"/>
          <w:sz w:val="24"/>
          <w:szCs w:val="24"/>
        </w:rPr>
      </w:pPr>
      <w:r>
        <w:rPr>
          <w:rFonts w:ascii="Times New Roman" w:hAnsi="Times New Roman" w:cs="Times New Roman"/>
          <w:sz w:val="24"/>
          <w:szCs w:val="24"/>
        </w:rPr>
        <w:t>One of the objectives of the change program was to increase revenue. An increase in revenue can serve as a measure of success and assessing revenue growth is a simple method for assessing the success of the change initiative. Seesaw Coffee can assess the effectiveness of the change program in generating revenue by comparing revenue figures before and after its implementation.</w:t>
      </w:r>
    </w:p>
    <w:p>
      <w:pPr>
        <w:spacing w:line="480" w:lineRule="auto"/>
        <w:rPr>
          <w:rFonts w:ascii="Times New Roman" w:hAnsi="Times New Roman" w:cs="Times New Roman"/>
          <w:sz w:val="24"/>
          <w:szCs w:val="24"/>
        </w:rPr>
      </w:pPr>
      <w:r>
        <w:rPr>
          <w:rFonts w:ascii="Times New Roman" w:hAnsi="Times New Roman" w:cs="Times New Roman"/>
          <w:sz w:val="24"/>
          <w:szCs w:val="24"/>
        </w:rPr>
        <w:t>The change program is also designed to enhance the customer experience. Enhancement of customer satisfaction can serve as a measure of success and this can be assessed via surveys, feedback forms, and online reviews. Seesaw Coffee can evaluate the effectiveness of the change initiative for improving customer experience through a comparison of pre- and post-implementation levels of satisfaction among customers.</w:t>
      </w:r>
    </w:p>
    <w:p>
      <w:pPr>
        <w:spacing w:line="480" w:lineRule="auto"/>
        <w:rPr>
          <w:rFonts w:ascii="Times New Roman" w:hAnsi="Times New Roman" w:cs="Times New Roman"/>
          <w:sz w:val="24"/>
          <w:szCs w:val="24"/>
        </w:rPr>
      </w:pPr>
      <w:r>
        <w:rPr>
          <w:rFonts w:ascii="Times New Roman" w:hAnsi="Times New Roman" w:cs="Times New Roman"/>
          <w:sz w:val="24"/>
          <w:szCs w:val="24"/>
        </w:rPr>
        <w:t>Besides, the change program is intended to enhance employee engagement, thus, enhancing employee engagement can serve as a measure of achievement. Employee engagement can be evaluated by utilizing surveys, feedback forms, and other metrics to gauge employee satisfaction and dedication. Seesaw Coffee can assess the effectiveness of the change program in enhancing employee engagement by comparing engagement levels pre- and post-implementation.</w:t>
      </w:r>
    </w:p>
    <w:p>
      <w:pPr>
        <w:spacing w:line="480" w:lineRule="auto"/>
        <w:rPr>
          <w:rFonts w:ascii="Times New Roman" w:hAnsi="Times New Roman" w:cs="Times New Roman"/>
          <w:sz w:val="24"/>
          <w:szCs w:val="24"/>
        </w:rPr>
      </w:pPr>
      <w:r>
        <w:rPr>
          <w:rFonts w:ascii="Times New Roman" w:hAnsi="Times New Roman" w:cs="Times New Roman"/>
          <w:sz w:val="24"/>
          <w:szCs w:val="24"/>
        </w:rPr>
        <w:t>Apart from the mentioned criteria, the successful execution of the change program can be assessed based on the degree of employee opposition and the promptness and effectiveness of the implementation procedure. Through evaluating these factors, Seesaw Coffee can ascertain the effectiveness of the change program in mitigating the challenges posed by the COVID-19 pandemic.</w:t>
      </w:r>
    </w:p>
    <w:p>
      <w:pPr>
        <w:pStyle w:val="3"/>
        <w:spacing w:line="480" w:lineRule="auto"/>
        <w:rPr>
          <w:rFonts w:ascii="Times New Roman" w:hAnsi="Times New Roman" w:cs="Times New Roman"/>
          <w:color w:val="auto"/>
        </w:rPr>
      </w:pPr>
      <w:bookmarkStart w:id="34" w:name="_Toc137934958"/>
      <w:r>
        <w:rPr>
          <w:rFonts w:ascii="Times New Roman" w:hAnsi="Times New Roman" w:cs="Times New Roman"/>
          <w:color w:val="auto"/>
        </w:rPr>
        <w:t>Methods for measuring change program effectiveness</w:t>
      </w:r>
      <w:bookmarkEnd w:id="34"/>
    </w:p>
    <w:p>
      <w:pPr>
        <w:spacing w:line="480" w:lineRule="auto"/>
        <w:rPr>
          <w:rFonts w:ascii="Times New Roman" w:hAnsi="Times New Roman" w:cs="Times New Roman"/>
          <w:sz w:val="24"/>
          <w:szCs w:val="24"/>
        </w:rPr>
      </w:pPr>
      <w:r>
        <w:rPr>
          <w:rFonts w:ascii="Times New Roman" w:hAnsi="Times New Roman" w:cs="Times New Roman"/>
          <w:sz w:val="24"/>
          <w:szCs w:val="24"/>
        </w:rPr>
        <w:t>A mixed-methods approach, both quantitative and qualitative, can be employed to assess the effectiveness of the change initiative at Seesaw Coffee. Implementing customer surveys serves as an effective mechanism for acquiring customer feedback pertaining to experiences prior to and subsequent to the change program. Such feedback directly gauges the success of the program in elevating customer satisfaction levels. Employee surveys can be conducted to determine engagement levels pre- and post-implementation of a change program, aiding the evaluation of program efficacy in boosting employee engagement.</w:t>
      </w:r>
    </w:p>
    <w:p>
      <w:pPr>
        <w:spacing w:line="480" w:lineRule="auto"/>
        <w:rPr>
          <w:rFonts w:ascii="Times New Roman" w:hAnsi="Times New Roman" w:cs="Times New Roman"/>
          <w:sz w:val="24"/>
          <w:szCs w:val="24"/>
        </w:rPr>
      </w:pPr>
      <w:r>
        <w:rPr>
          <w:rFonts w:ascii="Times New Roman" w:hAnsi="Times New Roman" w:cs="Times New Roman"/>
          <w:sz w:val="24"/>
          <w:szCs w:val="24"/>
        </w:rPr>
        <w:t>A financial analysis can estimate the influence of the change program on the firm's revenue, expenditures, and profitability. This evaluation can affirm the success of the program in achieving set objectives. Qualitative data on the impact of the change program on organizational functioning can be accumulated through observation and interviews, providing significant insights into the efficacy of the change program beyond merely quantitative measures.</w:t>
      </w:r>
    </w:p>
    <w:p>
      <w:pPr>
        <w:pStyle w:val="3"/>
        <w:spacing w:line="480" w:lineRule="auto"/>
        <w:rPr>
          <w:rFonts w:ascii="Times New Roman" w:hAnsi="Times New Roman" w:cs="Times New Roman"/>
          <w:color w:val="auto"/>
        </w:rPr>
      </w:pPr>
      <w:bookmarkStart w:id="35" w:name="_Toc137934959"/>
      <w:r>
        <w:rPr>
          <w:rFonts w:ascii="Times New Roman" w:hAnsi="Times New Roman" w:cs="Times New Roman"/>
          <w:color w:val="auto"/>
        </w:rPr>
        <w:t>Evaluation of change program completion</w:t>
      </w:r>
      <w:bookmarkEnd w:id="35"/>
    </w:p>
    <w:p>
      <w:pPr>
        <w:spacing w:line="480" w:lineRule="auto"/>
        <w:rPr>
          <w:rFonts w:ascii="Times New Roman" w:hAnsi="Times New Roman" w:cs="Times New Roman"/>
          <w:sz w:val="24"/>
          <w:szCs w:val="24"/>
        </w:rPr>
      </w:pPr>
      <w:r>
        <w:rPr>
          <w:rFonts w:ascii="Times New Roman" w:hAnsi="Times New Roman" w:cs="Times New Roman"/>
          <w:sz w:val="24"/>
          <w:szCs w:val="24"/>
        </w:rPr>
        <w:t>A variety of factors can be employed to gauge the effectiveness of the change initiative deployed at Seesaw Coffee. It becomes vital to verify whether the change program has met its objectives by comparing anticipated outcomes with actual results, ensuring the achievement of program goals. The execution of the change program needs to be assessed to verify its alignment with the intended plan. Adherence to predetermined milestones, as well as the timely and budget-compliant completion of the initiative, need to be evaluated. Any deviations from the project must be analyzed to discern their root causes and implement necessary adjustments for future change initiatives.</w:t>
      </w:r>
    </w:p>
    <w:p>
      <w:pPr>
        <w:spacing w:line="480" w:lineRule="auto"/>
        <w:rPr>
          <w:rFonts w:ascii="Times New Roman" w:hAnsi="Times New Roman" w:cs="Times New Roman"/>
          <w:sz w:val="24"/>
          <w:szCs w:val="24"/>
        </w:rPr>
      </w:pPr>
      <w:r>
        <w:rPr>
          <w:rFonts w:ascii="Times New Roman" w:hAnsi="Times New Roman" w:cs="Times New Roman"/>
          <w:sz w:val="24"/>
          <w:szCs w:val="24"/>
        </w:rPr>
        <w:t xml:space="preserve">Assessing the impact of change programs on an organization becomes a necessity to determine whether these have rendered a positive or negative effect. The assessment of the change program might require examining its influence on key performance metrics, such as revenue, customer satisfaction, and employee engagement. Moreover, the impact of these initiatives on the company's culture, values, and operations need to be evaluated. By scrutinizing these factors, Seesaw Coffee will be able to ascertain the effectiveness of the change initiative and identify areas that require improvement. </w:t>
      </w:r>
    </w:p>
    <w:p>
      <w:pPr>
        <w:pStyle w:val="2"/>
        <w:numPr>
          <w:ilvl w:val="0"/>
          <w:numId w:val="0"/>
        </w:numPr>
        <w:ind w:left="360"/>
      </w:pPr>
      <w:bookmarkStart w:id="36" w:name="_Toc137934960"/>
      <w:r>
        <w:t>References</w:t>
      </w:r>
      <w:bookmarkEnd w:id="36"/>
      <w:r>
        <w:t xml:space="preserve"> </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Adelman-Mullally, T., Nielsen, S., &amp; Chung, S. Y. (2023). Planned change in modern hierarchical organizations: A three-step model. </w:t>
      </w:r>
      <w:r>
        <w:rPr>
          <w:rFonts w:ascii="Times New Roman" w:hAnsi="Times New Roman" w:cs="Times New Roman"/>
          <w:i/>
          <w:iCs/>
          <w:sz w:val="24"/>
          <w:szCs w:val="24"/>
          <w:shd w:val="clear" w:color="auto" w:fill="FFFFFF"/>
        </w:rPr>
        <w:t>Journal of Professional Nursing</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46</w:t>
      </w:r>
      <w:r>
        <w:rPr>
          <w:rFonts w:ascii="Times New Roman" w:hAnsi="Times New Roman" w:cs="Times New Roman"/>
          <w:sz w:val="24"/>
          <w:szCs w:val="24"/>
          <w:shd w:val="clear" w:color="auto" w:fill="FFFFFF"/>
        </w:rPr>
        <w:t>, 1-6.</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Azevedo, M. C. D., Schlosser, F., &amp; McPhee, D. (2021). Building organizational innovation through HRM, employee voice and engagement. </w:t>
      </w:r>
      <w:r>
        <w:rPr>
          <w:rFonts w:ascii="Times New Roman" w:hAnsi="Times New Roman" w:cs="Times New Roman"/>
          <w:i/>
          <w:iCs/>
          <w:sz w:val="24"/>
          <w:szCs w:val="24"/>
          <w:shd w:val="clear" w:color="auto" w:fill="FFFFFF"/>
        </w:rPr>
        <w:t>Personnel Review</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50</w:t>
      </w:r>
      <w:r>
        <w:rPr>
          <w:rFonts w:ascii="Times New Roman" w:hAnsi="Times New Roman" w:cs="Times New Roman"/>
          <w:sz w:val="24"/>
          <w:szCs w:val="24"/>
          <w:shd w:val="clear" w:color="auto" w:fill="FFFFFF"/>
        </w:rPr>
        <w:t>(2), 751-769.</w:t>
      </w:r>
    </w:p>
    <w:p>
      <w:pPr>
        <w:spacing w:line="480" w:lineRule="auto"/>
        <w:ind w:left="993" w:hanging="993"/>
        <w:rPr>
          <w:rFonts w:ascii="Times New Roman" w:hAnsi="Times New Roman" w:cs="Times New Roman"/>
          <w:sz w:val="24"/>
          <w:szCs w:val="24"/>
        </w:rPr>
      </w:pPr>
      <w:r>
        <w:rPr>
          <w:rFonts w:ascii="Times New Roman" w:hAnsi="Times New Roman" w:cs="Times New Roman"/>
          <w:sz w:val="24"/>
          <w:szCs w:val="24"/>
        </w:rPr>
        <w:t>Bharadwaj, A., El Sawy, O. A., Pavlou, P. A., &amp; Venkatraman, N. (2013). Digital business strategy: Toward a next generation of insights</w:t>
      </w:r>
      <w:r>
        <w:rPr>
          <w:rFonts w:ascii="Times New Roman" w:hAnsi="Times New Roman" w:cs="Times New Roman"/>
          <w:i/>
          <w:iCs/>
          <w:sz w:val="24"/>
          <w:szCs w:val="24"/>
        </w:rPr>
        <w:t>. MIS Quarterly</w:t>
      </w:r>
      <w:r>
        <w:rPr>
          <w:rFonts w:ascii="Times New Roman" w:hAnsi="Times New Roman" w:cs="Times New Roman"/>
          <w:sz w:val="24"/>
          <w:szCs w:val="24"/>
        </w:rPr>
        <w:t>, 37(2), 471-482.</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Birtus, M., &amp; Lăzăroiu, G. (2021). The neurobehavioral economics of the covid-19 pandemic: consumer cognition, perception, sentiment, choice, and decision-making. </w:t>
      </w:r>
      <w:r>
        <w:rPr>
          <w:rFonts w:ascii="Times New Roman" w:hAnsi="Times New Roman" w:cs="Times New Roman"/>
          <w:i/>
          <w:iCs/>
          <w:sz w:val="24"/>
          <w:szCs w:val="24"/>
          <w:shd w:val="clear" w:color="auto" w:fill="FFFFFF"/>
        </w:rPr>
        <w:t>Analysis &amp; Metaphysics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20</w:t>
      </w:r>
      <w:r>
        <w:rPr>
          <w:rFonts w:ascii="Times New Roman" w:hAnsi="Times New Roman" w:cs="Times New Roman"/>
          <w:sz w:val="24"/>
          <w:szCs w:val="24"/>
          <w:shd w:val="clear" w:color="auto" w:fill="FFFFFF"/>
        </w:rPr>
        <w:t>.</w:t>
      </w:r>
    </w:p>
    <w:p>
      <w:pPr>
        <w:spacing w:line="480" w:lineRule="auto"/>
        <w:ind w:left="993" w:hanging="993"/>
        <w:rPr>
          <w:rStyle w:val="14"/>
          <w:rFonts w:ascii="Times New Roman" w:hAnsi="Times New Roman" w:cs="Times New Roman"/>
          <w:color w:val="auto"/>
          <w:sz w:val="24"/>
          <w:szCs w:val="24"/>
        </w:rPr>
      </w:pPr>
      <w:r>
        <w:rPr>
          <w:rFonts w:ascii="Times New Roman" w:hAnsi="Times New Roman" w:cs="Times New Roman"/>
          <w:sz w:val="24"/>
          <w:szCs w:val="24"/>
        </w:rPr>
        <w:t xml:space="preserve">Booker, A. (2022). </w:t>
      </w:r>
      <w:r>
        <w:rPr>
          <w:rFonts w:ascii="Times New Roman" w:hAnsi="Times New Roman" w:cs="Times New Roman"/>
          <w:i/>
          <w:iCs/>
          <w:sz w:val="24"/>
          <w:szCs w:val="24"/>
        </w:rPr>
        <w:t>China Marketing Picks: Loewe’s 520 Brand Film, Seesaw’s Self-Collab, Calvin Klein’s Virtual Idols.</w:t>
      </w:r>
      <w:r>
        <w:rPr>
          <w:rFonts w:ascii="Times New Roman" w:hAnsi="Times New Roman" w:cs="Times New Roman"/>
          <w:sz w:val="24"/>
          <w:szCs w:val="24"/>
        </w:rPr>
        <w:t xml:space="preserve"> Jing Daily. </w:t>
      </w:r>
      <w:r>
        <w:fldChar w:fldCharType="begin"/>
      </w:r>
      <w:r>
        <w:instrText xml:space="preserve"> HYPERLINK "https://jingdaily.com/china-marketing-picks-loewes-520-brand-film-seesaws-self-collab-calvin-kleins-virtual-idols/" </w:instrText>
      </w:r>
      <w:r>
        <w:fldChar w:fldCharType="separate"/>
      </w:r>
      <w:r>
        <w:rPr>
          <w:rStyle w:val="14"/>
          <w:rFonts w:ascii="Times New Roman" w:hAnsi="Times New Roman" w:cs="Times New Roman"/>
          <w:color w:val="auto"/>
          <w:sz w:val="24"/>
          <w:szCs w:val="24"/>
        </w:rPr>
        <w:t>https://jingdaily.com/china-marketing-picks-loewes-520-brand-film-seesaws-self-collab-calvin-kleins-virtual-idols/</w:t>
      </w:r>
      <w:r>
        <w:rPr>
          <w:rStyle w:val="14"/>
          <w:rFonts w:ascii="Times New Roman" w:hAnsi="Times New Roman" w:cs="Times New Roman"/>
          <w:color w:val="auto"/>
          <w:sz w:val="24"/>
          <w:szCs w:val="24"/>
        </w:rPr>
        <w:fldChar w:fldCharType="end"/>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Carracedo, P., Puertas, R., &amp; Marti, L. (2021). Research lines on the impact of the COVID-19 pandemic on business. A text mining analysis. </w:t>
      </w:r>
      <w:r>
        <w:rPr>
          <w:rFonts w:ascii="Times New Roman" w:hAnsi="Times New Roman" w:cs="Times New Roman"/>
          <w:i/>
          <w:iCs/>
          <w:sz w:val="24"/>
          <w:szCs w:val="24"/>
          <w:shd w:val="clear" w:color="auto" w:fill="FFFFFF"/>
        </w:rPr>
        <w:t>Journal of Business Research</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132</w:t>
      </w:r>
      <w:r>
        <w:rPr>
          <w:rFonts w:ascii="Times New Roman" w:hAnsi="Times New Roman" w:cs="Times New Roman"/>
          <w:sz w:val="24"/>
          <w:szCs w:val="24"/>
          <w:shd w:val="clear" w:color="auto" w:fill="FFFFFF"/>
        </w:rPr>
        <w:t>, 586-593.</w:t>
      </w:r>
    </w:p>
    <w:p>
      <w:pPr>
        <w:spacing w:line="480" w:lineRule="auto"/>
        <w:ind w:left="993" w:hanging="993"/>
        <w:rPr>
          <w:rFonts w:ascii="Times New Roman" w:hAnsi="Times New Roman" w:cs="Times New Roman"/>
          <w:i/>
          <w:iCs/>
          <w:sz w:val="24"/>
          <w:szCs w:val="24"/>
        </w:rPr>
      </w:pPr>
      <w:r>
        <w:rPr>
          <w:rFonts w:ascii="Times New Roman" w:hAnsi="Times New Roman" w:cs="Times New Roman"/>
          <w:sz w:val="24"/>
          <w:szCs w:val="24"/>
        </w:rPr>
        <w:t>Cavish, C. (2018). [Made in China]: Seesaw Coffee's Tom Zong. Smart Shanghai</w:t>
      </w:r>
      <w:r>
        <w:rPr>
          <w:rFonts w:ascii="Times New Roman" w:hAnsi="Times New Roman" w:cs="Times New Roman"/>
          <w:i/>
          <w:iCs/>
          <w:sz w:val="24"/>
          <w:szCs w:val="24"/>
        </w:rPr>
        <w:t xml:space="preserve">. </w:t>
      </w:r>
      <w:r>
        <w:rPr>
          <w:rFonts w:ascii="Times New Roman" w:hAnsi="Times New Roman" w:cs="Times New Roman"/>
          <w:sz w:val="24"/>
          <w:szCs w:val="24"/>
        </w:rPr>
        <w:t>Retrieved on April 6, 2023 from</w:t>
      </w:r>
      <w:r>
        <w:rPr>
          <w:rFonts w:ascii="Times New Roman" w:hAnsi="Times New Roman" w:cs="Times New Roman"/>
          <w:sz w:val="24"/>
          <w:szCs w:val="24"/>
          <w:u w:val="single"/>
        </w:rPr>
        <w:t xml:space="preserve"> https://www.smartshanghai.com/articles/business/made-in-china-seesaw-coffees-tom-zong</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Chen, C. J. (2019). Developing a model for supply chain agility and innovativeness to enhance firms’ competitive advantage. </w:t>
      </w:r>
      <w:r>
        <w:rPr>
          <w:rFonts w:ascii="Times New Roman" w:hAnsi="Times New Roman" w:cs="Times New Roman"/>
          <w:i/>
          <w:iCs/>
          <w:sz w:val="24"/>
          <w:szCs w:val="24"/>
          <w:shd w:val="clear" w:color="auto" w:fill="FFFFFF"/>
        </w:rPr>
        <w:t>Management Decision</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57</w:t>
      </w:r>
      <w:r>
        <w:rPr>
          <w:rFonts w:ascii="Times New Roman" w:hAnsi="Times New Roman" w:cs="Times New Roman"/>
          <w:sz w:val="24"/>
          <w:szCs w:val="24"/>
          <w:shd w:val="clear" w:color="auto" w:fill="FFFFFF"/>
        </w:rPr>
        <w:t>(7), 1511-1534.</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Dubbelink, S. I., Herrando, C., &amp; Constantinides, E. (2021). Social media marketing as a branding strategy in extraordinary times: Lessons from the COVID-19 pandemic. </w:t>
      </w:r>
      <w:r>
        <w:rPr>
          <w:rFonts w:ascii="Times New Roman" w:hAnsi="Times New Roman" w:cs="Times New Roman"/>
          <w:i/>
          <w:iCs/>
          <w:sz w:val="24"/>
          <w:szCs w:val="24"/>
          <w:shd w:val="clear" w:color="auto" w:fill="FFFFFF"/>
        </w:rPr>
        <w:t>Sustainability</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13</w:t>
      </w:r>
      <w:r>
        <w:rPr>
          <w:rFonts w:ascii="Times New Roman" w:hAnsi="Times New Roman" w:cs="Times New Roman"/>
          <w:sz w:val="24"/>
          <w:szCs w:val="24"/>
          <w:shd w:val="clear" w:color="auto" w:fill="FFFFFF"/>
        </w:rPr>
        <w:t>(18), 10310.</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Elshaer, I. A., &amp; Saad, S. K. (2022). Learning from Failure: Building Resilience in Small-and Medium-Sized Tourism Enterprises, the Role of Servant Leadership and Transparent Communication. </w:t>
      </w:r>
      <w:r>
        <w:rPr>
          <w:rFonts w:ascii="Times New Roman" w:hAnsi="Times New Roman" w:cs="Times New Roman"/>
          <w:i/>
          <w:iCs/>
          <w:sz w:val="24"/>
          <w:szCs w:val="24"/>
          <w:shd w:val="clear" w:color="auto" w:fill="FFFFFF"/>
        </w:rPr>
        <w:t>Sustainability</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14</w:t>
      </w:r>
      <w:r>
        <w:rPr>
          <w:rFonts w:ascii="Times New Roman" w:hAnsi="Times New Roman" w:cs="Times New Roman"/>
          <w:sz w:val="24"/>
          <w:szCs w:val="24"/>
          <w:shd w:val="clear" w:color="auto" w:fill="FFFFFF"/>
        </w:rPr>
        <w:t>(22), 15199.</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Errida, A., &amp; Lotfi, B. (2021). The determinants of organizational change management success: Literature review and case study. </w:t>
      </w:r>
      <w:r>
        <w:rPr>
          <w:rFonts w:ascii="Times New Roman" w:hAnsi="Times New Roman" w:cs="Times New Roman"/>
          <w:i/>
          <w:iCs/>
          <w:sz w:val="24"/>
          <w:szCs w:val="24"/>
          <w:shd w:val="clear" w:color="auto" w:fill="FFFFFF"/>
        </w:rPr>
        <w:t>International Journal of Engineering Business Management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13</w:t>
      </w:r>
      <w:r>
        <w:rPr>
          <w:rFonts w:ascii="Times New Roman" w:hAnsi="Times New Roman" w:cs="Times New Roman"/>
          <w:sz w:val="24"/>
          <w:szCs w:val="24"/>
          <w:shd w:val="clear" w:color="auto" w:fill="FFFFFF"/>
        </w:rPr>
        <w:t>, 18479790211016273</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Fabrizio, C. M., Kaczam, F., de Moura, G. L., da Silva, L. S. C. V., da Silva, W. V., &amp; da Veiga, C. P. (2022). Competitive advantage and dynamic capability in small and medium-sized enterprises: A systematic literature review and future research directions. </w:t>
      </w:r>
      <w:r>
        <w:rPr>
          <w:rFonts w:ascii="Times New Roman" w:hAnsi="Times New Roman" w:cs="Times New Roman"/>
          <w:i/>
          <w:iCs/>
          <w:sz w:val="24"/>
          <w:szCs w:val="24"/>
          <w:shd w:val="clear" w:color="auto" w:fill="FFFFFF"/>
        </w:rPr>
        <w:t>Review of Managerial Science</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16</w:t>
      </w:r>
      <w:r>
        <w:rPr>
          <w:rFonts w:ascii="Times New Roman" w:hAnsi="Times New Roman" w:cs="Times New Roman"/>
          <w:sz w:val="24"/>
          <w:szCs w:val="24"/>
          <w:shd w:val="clear" w:color="auto" w:fill="FFFFFF"/>
        </w:rPr>
        <w:t>(3), 617-648.</w:t>
      </w:r>
    </w:p>
    <w:p>
      <w:pPr>
        <w:spacing w:line="480" w:lineRule="auto"/>
        <w:ind w:left="993" w:hanging="993"/>
        <w:rPr>
          <w:rFonts w:ascii="Times New Roman" w:hAnsi="Times New Roman" w:cs="Times New Roman"/>
          <w:sz w:val="24"/>
          <w:szCs w:val="24"/>
        </w:rPr>
      </w:pPr>
      <w:r>
        <w:rPr>
          <w:rFonts w:ascii="Times New Roman" w:hAnsi="Times New Roman" w:cs="Times New Roman"/>
          <w:sz w:val="24"/>
          <w:szCs w:val="24"/>
          <w:shd w:val="clear" w:color="auto" w:fill="FFFFFF"/>
        </w:rPr>
        <w:t>Ferreira, J., &amp; Ferreira, C. (2018). Challenges and opportunities of new retail horizons in emerging markets: The case of a rising coffee culture in China. </w:t>
      </w:r>
      <w:r>
        <w:rPr>
          <w:rFonts w:ascii="Times New Roman" w:hAnsi="Times New Roman" w:cs="Times New Roman"/>
          <w:i/>
          <w:iCs/>
          <w:sz w:val="24"/>
          <w:szCs w:val="24"/>
          <w:shd w:val="clear" w:color="auto" w:fill="FFFFFF"/>
        </w:rPr>
        <w:t>Business Horizons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61</w:t>
      </w:r>
      <w:r>
        <w:rPr>
          <w:rFonts w:ascii="Times New Roman" w:hAnsi="Times New Roman" w:cs="Times New Roman"/>
          <w:sz w:val="24"/>
          <w:szCs w:val="24"/>
          <w:shd w:val="clear" w:color="auto" w:fill="FFFFFF"/>
        </w:rPr>
        <w:t xml:space="preserve">(5), 783-796. </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Georgiades, S., &amp; Georgiades, S. (2015). Employee engagement and organizational change. </w:t>
      </w:r>
      <w:r>
        <w:rPr>
          <w:rFonts w:ascii="Times New Roman" w:hAnsi="Times New Roman" w:cs="Times New Roman"/>
          <w:i/>
          <w:iCs/>
          <w:sz w:val="24"/>
          <w:szCs w:val="24"/>
          <w:shd w:val="clear" w:color="auto" w:fill="FFFFFF"/>
        </w:rPr>
        <w:t>Employee Engagement in Media Management: Creativeness and Organizational Development</w:t>
      </w:r>
      <w:r>
        <w:rPr>
          <w:rFonts w:ascii="Times New Roman" w:hAnsi="Times New Roman" w:cs="Times New Roman"/>
          <w:sz w:val="24"/>
          <w:szCs w:val="24"/>
          <w:shd w:val="clear" w:color="auto" w:fill="FFFFFF"/>
        </w:rPr>
        <w:t>, 9-37.</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Gorjian Khanzad, Z., &amp; Gooyabadi, A. A. (2021). Development of strategic resilience framework for small businesses Post-COVID-19. </w:t>
      </w:r>
      <w:r>
        <w:rPr>
          <w:rFonts w:ascii="Times New Roman" w:hAnsi="Times New Roman" w:cs="Times New Roman"/>
          <w:i/>
          <w:iCs/>
          <w:sz w:val="24"/>
          <w:szCs w:val="24"/>
          <w:shd w:val="clear" w:color="auto" w:fill="FFFFFF"/>
        </w:rPr>
        <w:t>Businesses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w:t>
      </w:r>
      <w:r>
        <w:rPr>
          <w:rFonts w:ascii="Times New Roman" w:hAnsi="Times New Roman" w:cs="Times New Roman"/>
          <w:sz w:val="24"/>
          <w:szCs w:val="24"/>
          <w:shd w:val="clear" w:color="auto" w:fill="FFFFFF"/>
        </w:rPr>
        <w:t>(3), 127-141.</w:t>
      </w:r>
    </w:p>
    <w:p>
      <w:pPr>
        <w:spacing w:line="480" w:lineRule="auto"/>
        <w:ind w:left="993" w:hanging="993"/>
        <w:rPr>
          <w:rFonts w:ascii="Times New Roman" w:hAnsi="Times New Roman" w:cs="Times New Roman"/>
          <w:sz w:val="24"/>
          <w:szCs w:val="24"/>
        </w:rPr>
      </w:pPr>
      <w:r>
        <w:rPr>
          <w:rFonts w:ascii="Times New Roman" w:hAnsi="Times New Roman" w:cs="Times New Roman"/>
          <w:sz w:val="24"/>
          <w:szCs w:val="24"/>
          <w:shd w:val="clear" w:color="auto" w:fill="FFFFFF"/>
        </w:rPr>
        <w:t>Hartmann, P.M., Zaki, M., Feldmann, N. and Neely, A. (2016). Capturing value from big data – a taxonomy of data-driven business models used by start-up firms. </w:t>
      </w:r>
      <w:r>
        <w:rPr>
          <w:rFonts w:ascii="Times New Roman" w:hAnsi="Times New Roman" w:cs="Times New Roman"/>
          <w:i/>
          <w:iCs/>
          <w:sz w:val="24"/>
          <w:szCs w:val="24"/>
          <w:shd w:val="clear" w:color="auto" w:fill="FFFFFF"/>
        </w:rPr>
        <w:t>International Journal of Operations &amp; Production Management</w:t>
      </w:r>
      <w:r>
        <w:rPr>
          <w:rFonts w:ascii="Times New Roman" w:hAnsi="Times New Roman" w:cs="Times New Roman"/>
          <w:sz w:val="24"/>
          <w:szCs w:val="24"/>
          <w:shd w:val="clear" w:color="auto" w:fill="FFFFFF"/>
        </w:rPr>
        <w:t>, Vol. 36 No. 10, pp. 1382-1406. </w:t>
      </w:r>
      <w:r>
        <w:fldChar w:fldCharType="begin"/>
      </w:r>
      <w:r>
        <w:instrText xml:space="preserve"> HYPERLINK "https://doi.org/10.1108/IJOPM-02-2014-0098" \o "DOI: https://doi.org/10.1108/IJOPM-02-2014-0098" </w:instrText>
      </w:r>
      <w:r>
        <w:fldChar w:fldCharType="separate"/>
      </w:r>
      <w:r>
        <w:rPr>
          <w:rStyle w:val="14"/>
          <w:rFonts w:ascii="Times New Roman" w:hAnsi="Times New Roman" w:cs="Times New Roman"/>
          <w:color w:val="auto"/>
          <w:sz w:val="24"/>
          <w:szCs w:val="24"/>
          <w:shd w:val="clear" w:color="auto" w:fill="FFFFFF"/>
        </w:rPr>
        <w:t>https://doi.org/10.1108/IJOPM-02-2014-0098</w:t>
      </w:r>
      <w:r>
        <w:rPr>
          <w:rStyle w:val="14"/>
          <w:rFonts w:ascii="Times New Roman" w:hAnsi="Times New Roman" w:cs="Times New Roman"/>
          <w:color w:val="auto"/>
          <w:sz w:val="24"/>
          <w:szCs w:val="24"/>
          <w:shd w:val="clear" w:color="auto" w:fill="FFFFFF"/>
        </w:rPr>
        <w:fldChar w:fldCharType="end"/>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Kalogiannidis, S. (2020). Covid impact on small business. </w:t>
      </w:r>
      <w:r>
        <w:rPr>
          <w:rFonts w:ascii="Times New Roman" w:hAnsi="Times New Roman" w:cs="Times New Roman"/>
          <w:i/>
          <w:iCs/>
          <w:sz w:val="24"/>
          <w:szCs w:val="24"/>
          <w:shd w:val="clear" w:color="auto" w:fill="FFFFFF"/>
        </w:rPr>
        <w:t>International Journal of Social Science and Economics Invention</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6</w:t>
      </w:r>
      <w:r>
        <w:rPr>
          <w:rFonts w:ascii="Times New Roman" w:hAnsi="Times New Roman" w:cs="Times New Roman"/>
          <w:sz w:val="24"/>
          <w:szCs w:val="24"/>
          <w:shd w:val="clear" w:color="auto" w:fill="FFFFFF"/>
        </w:rPr>
        <w:t xml:space="preserve">(12), 387. </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Klein, V. B., &amp; Todesco, J. L. (2021). COVID‐19 crisis and SMEs responses: The role of digital transformation. </w:t>
      </w:r>
      <w:r>
        <w:rPr>
          <w:rFonts w:ascii="Times New Roman" w:hAnsi="Times New Roman" w:cs="Times New Roman"/>
          <w:i/>
          <w:iCs/>
          <w:sz w:val="24"/>
          <w:szCs w:val="24"/>
          <w:shd w:val="clear" w:color="auto" w:fill="FFFFFF"/>
        </w:rPr>
        <w:t>Knowledge and Process Management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28</w:t>
      </w:r>
      <w:r>
        <w:rPr>
          <w:rFonts w:ascii="Times New Roman" w:hAnsi="Times New Roman" w:cs="Times New Roman"/>
          <w:sz w:val="24"/>
          <w:szCs w:val="24"/>
          <w:shd w:val="clear" w:color="auto" w:fill="FFFFFF"/>
        </w:rPr>
        <w:t>(2), 117-133.</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Koirala, S. (2019). SMEs: Key drivers of green and inclusive growth. </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Men, L. R., Yue, C. A., &amp; Liu, Y. (2020). “Vision, passion, and care:” The impact of charismatic executive leadership communication on employee trust and support for organizational change. </w:t>
      </w:r>
      <w:r>
        <w:rPr>
          <w:rFonts w:ascii="Times New Roman" w:hAnsi="Times New Roman" w:cs="Times New Roman"/>
          <w:i/>
          <w:iCs/>
          <w:sz w:val="24"/>
          <w:szCs w:val="24"/>
          <w:shd w:val="clear" w:color="auto" w:fill="FFFFFF"/>
        </w:rPr>
        <w:t>Public Relations Review</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46</w:t>
      </w:r>
      <w:r>
        <w:rPr>
          <w:rFonts w:ascii="Times New Roman" w:hAnsi="Times New Roman" w:cs="Times New Roman"/>
          <w:sz w:val="24"/>
          <w:szCs w:val="24"/>
          <w:shd w:val="clear" w:color="auto" w:fill="FFFFFF"/>
        </w:rPr>
        <w:t>(3), 101927.</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Min, S., &amp; Kim, J. (2022). Effect of opportunity seizing capability on new market development and small and medium-sized enterprise performance: Role of environmental uncertainty in the IT industry. </w:t>
      </w:r>
      <w:r>
        <w:rPr>
          <w:rFonts w:ascii="Times New Roman" w:hAnsi="Times New Roman" w:cs="Times New Roman"/>
          <w:i/>
          <w:iCs/>
          <w:sz w:val="24"/>
          <w:szCs w:val="24"/>
          <w:shd w:val="clear" w:color="auto" w:fill="FFFFFF"/>
        </w:rPr>
        <w:t>Asia Pacific Management Review</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27</w:t>
      </w:r>
      <w:r>
        <w:rPr>
          <w:rFonts w:ascii="Times New Roman" w:hAnsi="Times New Roman" w:cs="Times New Roman"/>
          <w:sz w:val="24"/>
          <w:szCs w:val="24"/>
          <w:shd w:val="clear" w:color="auto" w:fill="FFFFFF"/>
        </w:rPr>
        <w:t>(2), 69-79.</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Mitcheltree, C. M. (2023). Towards a sense of urgency for innovation realization: a case study on complacency asymmetries in interorganizational relations. </w:t>
      </w:r>
      <w:r>
        <w:rPr>
          <w:rFonts w:ascii="Times New Roman" w:hAnsi="Times New Roman" w:cs="Times New Roman"/>
          <w:i/>
          <w:iCs/>
          <w:sz w:val="24"/>
          <w:szCs w:val="24"/>
          <w:shd w:val="clear" w:color="auto" w:fill="FFFFFF"/>
        </w:rPr>
        <w:t>Journal of Innovation and Entrepreneurship</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12</w:t>
      </w:r>
      <w:r>
        <w:rPr>
          <w:rFonts w:ascii="Times New Roman" w:hAnsi="Times New Roman" w:cs="Times New Roman"/>
          <w:sz w:val="24"/>
          <w:szCs w:val="24"/>
          <w:shd w:val="clear" w:color="auto" w:fill="FFFFFF"/>
        </w:rPr>
        <w:t>(1), 1-37.</w:t>
      </w:r>
    </w:p>
    <w:p>
      <w:pPr>
        <w:spacing w:line="480" w:lineRule="auto"/>
        <w:ind w:left="993" w:hanging="993"/>
        <w:rPr>
          <w:rFonts w:ascii="Times New Roman" w:hAnsi="Times New Roman" w:cs="Times New Roman"/>
          <w:sz w:val="24"/>
          <w:szCs w:val="24"/>
        </w:rPr>
      </w:pPr>
      <w:r>
        <w:rPr>
          <w:rFonts w:ascii="Times New Roman" w:hAnsi="Times New Roman" w:cs="Times New Roman"/>
          <w:sz w:val="24"/>
          <w:szCs w:val="24"/>
          <w:shd w:val="clear" w:color="auto" w:fill="FFFFFF"/>
        </w:rPr>
        <w:t>Nastasoiu, A., &amp; Vandenbosch, M. (2019). Competing with loyalty: How to design successful customer loyalty reward programs. </w:t>
      </w:r>
      <w:r>
        <w:rPr>
          <w:rFonts w:ascii="Times New Roman" w:hAnsi="Times New Roman" w:cs="Times New Roman"/>
          <w:i/>
          <w:iCs/>
          <w:sz w:val="24"/>
          <w:szCs w:val="24"/>
          <w:shd w:val="clear" w:color="auto" w:fill="FFFFFF"/>
        </w:rPr>
        <w:t>Business Horizons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62</w:t>
      </w:r>
      <w:r>
        <w:rPr>
          <w:rFonts w:ascii="Times New Roman" w:hAnsi="Times New Roman" w:cs="Times New Roman"/>
          <w:sz w:val="24"/>
          <w:szCs w:val="24"/>
          <w:shd w:val="clear" w:color="auto" w:fill="FFFFFF"/>
        </w:rPr>
        <w:t>(2), 207-214.</w:t>
      </w:r>
    </w:p>
    <w:p>
      <w:pPr>
        <w:spacing w:line="480" w:lineRule="auto"/>
        <w:ind w:left="993" w:hanging="993"/>
        <w:rPr>
          <w:rFonts w:ascii="Times New Roman" w:hAnsi="Times New Roman" w:cs="Times New Roman"/>
          <w:sz w:val="24"/>
          <w:szCs w:val="24"/>
        </w:rPr>
      </w:pPr>
      <w:r>
        <w:rPr>
          <w:rFonts w:ascii="Times New Roman" w:hAnsi="Times New Roman" w:cs="Times New Roman"/>
          <w:sz w:val="24"/>
          <w:szCs w:val="24"/>
          <w:shd w:val="clear" w:color="auto" w:fill="FFFFFF"/>
        </w:rPr>
        <w:t>Neto, J. R., Barcellos, P. F. P., &amp; Panizzon, M. (2022). Beyond S&amp;OP Implementation: A maturity model and meta-framework for assessing and managing evolution paths. </w:t>
      </w:r>
      <w:r>
        <w:rPr>
          <w:rFonts w:ascii="Times New Roman" w:hAnsi="Times New Roman" w:cs="Times New Roman"/>
          <w:i/>
          <w:iCs/>
          <w:sz w:val="24"/>
          <w:szCs w:val="24"/>
          <w:shd w:val="clear" w:color="auto" w:fill="FFFFFF"/>
        </w:rPr>
        <w:t>Brazilian Journal of Operations &amp; Production Management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19</w:t>
      </w:r>
      <w:r>
        <w:rPr>
          <w:rFonts w:ascii="Times New Roman" w:hAnsi="Times New Roman" w:cs="Times New Roman"/>
          <w:sz w:val="24"/>
          <w:szCs w:val="24"/>
          <w:shd w:val="clear" w:color="auto" w:fill="FFFFFF"/>
        </w:rPr>
        <w:t>(3).</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Pujawan, I. N., &amp; Bah, A. U. (2022, January). Supply chains under COVID-19 disruptions: literature review and research agenda. In </w:t>
      </w:r>
      <w:r>
        <w:rPr>
          <w:rFonts w:ascii="Times New Roman" w:hAnsi="Times New Roman" w:cs="Times New Roman"/>
          <w:i/>
          <w:iCs/>
          <w:sz w:val="24"/>
          <w:szCs w:val="24"/>
          <w:shd w:val="clear" w:color="auto" w:fill="FFFFFF"/>
        </w:rPr>
        <w:t>Supply Chain Forum: An International Journal</w:t>
      </w:r>
      <w:r>
        <w:rPr>
          <w:rFonts w:ascii="Times New Roman" w:hAnsi="Times New Roman" w:cs="Times New Roman"/>
          <w:sz w:val="24"/>
          <w:szCs w:val="24"/>
          <w:shd w:val="clear" w:color="auto" w:fill="FFFFFF"/>
        </w:rPr>
        <w:t> (Vol. 23, No. 1, pp. 81-95). Taylor &amp; Francis.</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Pantano, E., Pizzi, G., Scarpi, D., &amp; Dennis, C. (2020). Competing during a pandemic? Retailers’ ups and downs during the COVID-19 outbreak. </w:t>
      </w:r>
      <w:r>
        <w:rPr>
          <w:rFonts w:ascii="Times New Roman" w:hAnsi="Times New Roman" w:cs="Times New Roman"/>
          <w:i/>
          <w:iCs/>
          <w:sz w:val="24"/>
          <w:szCs w:val="24"/>
          <w:shd w:val="clear" w:color="auto" w:fill="FFFFFF"/>
        </w:rPr>
        <w:t>Journal of Business research</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116</w:t>
      </w:r>
      <w:r>
        <w:rPr>
          <w:rFonts w:ascii="Times New Roman" w:hAnsi="Times New Roman" w:cs="Times New Roman"/>
          <w:sz w:val="24"/>
          <w:szCs w:val="24"/>
          <w:shd w:val="clear" w:color="auto" w:fill="FFFFFF"/>
        </w:rPr>
        <w:t>, 209-213.</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lang w:val="fr-FR"/>
        </w:rPr>
        <w:t xml:space="preserve">Rapaccini, M., Saccani, N., Kowalkowski, C., Paiola, M., &amp; Adrodegari, F. (2020). </w:t>
      </w:r>
      <w:r>
        <w:rPr>
          <w:rFonts w:ascii="Times New Roman" w:hAnsi="Times New Roman" w:cs="Times New Roman"/>
          <w:sz w:val="24"/>
          <w:szCs w:val="24"/>
          <w:shd w:val="clear" w:color="auto" w:fill="FFFFFF"/>
        </w:rPr>
        <w:t>Navigating disruptive crises through service-led growth: The impact of COVID-19 on Italian manufacturing firms. </w:t>
      </w:r>
      <w:r>
        <w:rPr>
          <w:rFonts w:ascii="Times New Roman" w:hAnsi="Times New Roman" w:cs="Times New Roman"/>
          <w:i/>
          <w:iCs/>
          <w:sz w:val="24"/>
          <w:szCs w:val="24"/>
          <w:shd w:val="clear" w:color="auto" w:fill="FFFFFF"/>
        </w:rPr>
        <w:t>Industrial Marketing Management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88</w:t>
      </w:r>
      <w:r>
        <w:rPr>
          <w:rFonts w:ascii="Times New Roman" w:hAnsi="Times New Roman" w:cs="Times New Roman"/>
          <w:sz w:val="24"/>
          <w:szCs w:val="24"/>
          <w:shd w:val="clear" w:color="auto" w:fill="FFFFFF"/>
        </w:rPr>
        <w:t>, 225-237.</w:t>
      </w:r>
    </w:p>
    <w:p>
      <w:pPr>
        <w:spacing w:line="480" w:lineRule="auto"/>
        <w:ind w:left="993" w:hanging="993"/>
        <w:rPr>
          <w:rFonts w:ascii="Times New Roman" w:hAnsi="Times New Roman" w:cs="Times New Roman"/>
          <w:sz w:val="24"/>
          <w:szCs w:val="24"/>
        </w:rPr>
      </w:pPr>
      <w:r>
        <w:rPr>
          <w:rFonts w:ascii="Times New Roman" w:hAnsi="Times New Roman" w:cs="Times New Roman"/>
          <w:sz w:val="24"/>
          <w:szCs w:val="24"/>
        </w:rPr>
        <w:t xml:space="preserve">Roulet, J. (2022). Seesaw Coffee influenced the change process by shaping how various stakeholders responded to the proposed changes. Retrieved on April 6, 2023 from </w:t>
      </w:r>
      <w:r>
        <w:fldChar w:fldCharType="begin"/>
      </w:r>
      <w:r>
        <w:instrText xml:space="preserve"> HYPERLINK "https://www.linkedin.com/pulse/design-china-e05-seesaw-coffee-brewing-chinas-specialty-joss-roulet/" </w:instrText>
      </w:r>
      <w:r>
        <w:fldChar w:fldCharType="separate"/>
      </w:r>
      <w:r>
        <w:rPr>
          <w:rStyle w:val="14"/>
          <w:rFonts w:ascii="Times New Roman" w:hAnsi="Times New Roman" w:cs="Times New Roman"/>
          <w:color w:val="auto"/>
          <w:sz w:val="24"/>
          <w:szCs w:val="24"/>
        </w:rPr>
        <w:t>https://www.linkedin.com/pulse/design-china-e05-seesaw-coffee-brewing-chinas-specialty-joss-roulet/</w:t>
      </w:r>
      <w:r>
        <w:rPr>
          <w:rStyle w:val="14"/>
          <w:rFonts w:ascii="Times New Roman" w:hAnsi="Times New Roman" w:cs="Times New Roman"/>
          <w:color w:val="auto"/>
          <w:sz w:val="24"/>
          <w:szCs w:val="24"/>
        </w:rPr>
        <w:fldChar w:fldCharType="end"/>
      </w:r>
      <w:r>
        <w:rPr>
          <w:rFonts w:ascii="Times New Roman" w:hAnsi="Times New Roman" w:cs="Times New Roman"/>
          <w:sz w:val="24"/>
          <w:szCs w:val="24"/>
        </w:rPr>
        <w:t xml:space="preserve"> </w:t>
      </w:r>
    </w:p>
    <w:p>
      <w:pPr>
        <w:spacing w:line="480" w:lineRule="auto"/>
        <w:ind w:left="993" w:hanging="993"/>
        <w:rPr>
          <w:rFonts w:ascii="Times New Roman" w:hAnsi="Times New Roman" w:cs="Times New Roman"/>
          <w:sz w:val="24"/>
          <w:szCs w:val="24"/>
        </w:rPr>
      </w:pPr>
      <w:r>
        <w:rPr>
          <w:rFonts w:ascii="Times New Roman" w:hAnsi="Times New Roman" w:cs="Times New Roman"/>
          <w:sz w:val="24"/>
          <w:szCs w:val="24"/>
        </w:rPr>
        <w:t xml:space="preserve">Seesaw Coffee (2022). </w:t>
      </w:r>
      <w:r>
        <w:rPr>
          <w:rFonts w:ascii="Times New Roman" w:hAnsi="Times New Roman" w:cs="Times New Roman"/>
          <w:i/>
          <w:iCs/>
          <w:sz w:val="24"/>
          <w:szCs w:val="24"/>
        </w:rPr>
        <w:t>About Seesaw.</w:t>
      </w:r>
      <w:r>
        <w:rPr>
          <w:rFonts w:ascii="Times New Roman" w:hAnsi="Times New Roman" w:cs="Times New Roman"/>
          <w:sz w:val="24"/>
          <w:szCs w:val="24"/>
        </w:rPr>
        <w:t xml:space="preserve"> </w:t>
      </w:r>
      <w:r>
        <w:fldChar w:fldCharType="begin"/>
      </w:r>
      <w:r>
        <w:instrText xml:space="preserve"> HYPERLINK "https://www.seesawcoffee.com/" </w:instrText>
      </w:r>
      <w:r>
        <w:fldChar w:fldCharType="separate"/>
      </w:r>
      <w:r>
        <w:rPr>
          <w:rStyle w:val="14"/>
          <w:rFonts w:ascii="Times New Roman" w:hAnsi="Times New Roman" w:cs="Times New Roman"/>
          <w:color w:val="auto"/>
          <w:sz w:val="24"/>
          <w:szCs w:val="24"/>
        </w:rPr>
        <w:t>https://www.seesawcoffee.com/</w:t>
      </w:r>
      <w:r>
        <w:rPr>
          <w:rStyle w:val="14"/>
          <w:rFonts w:ascii="Times New Roman" w:hAnsi="Times New Roman" w:cs="Times New Roman"/>
          <w:color w:val="auto"/>
          <w:sz w:val="24"/>
          <w:szCs w:val="24"/>
        </w:rPr>
        <w:fldChar w:fldCharType="end"/>
      </w:r>
      <w:r>
        <w:rPr>
          <w:rFonts w:ascii="Times New Roman" w:hAnsi="Times New Roman" w:cs="Times New Roman"/>
          <w:sz w:val="24"/>
          <w:szCs w:val="24"/>
        </w:rPr>
        <w:t xml:space="preserve">  </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Stahl, G. K., Brewster, C. J., Collings, D. G., &amp; Hajro, A. (2020). Enhancing the role of human resource management in corporate sustainability and social responsibility: A multi-stakeholder, multidimensional approach to HRM. </w:t>
      </w:r>
      <w:r>
        <w:rPr>
          <w:rFonts w:ascii="Times New Roman" w:hAnsi="Times New Roman" w:cs="Times New Roman"/>
          <w:i/>
          <w:iCs/>
          <w:sz w:val="24"/>
          <w:szCs w:val="24"/>
          <w:shd w:val="clear" w:color="auto" w:fill="FFFFFF"/>
        </w:rPr>
        <w:t>Human Resource Management Review</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30</w:t>
      </w:r>
      <w:r>
        <w:rPr>
          <w:rFonts w:ascii="Times New Roman" w:hAnsi="Times New Roman" w:cs="Times New Roman"/>
          <w:sz w:val="24"/>
          <w:szCs w:val="24"/>
          <w:shd w:val="clear" w:color="auto" w:fill="FFFFFF"/>
        </w:rPr>
        <w:t>(3), 100708.</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Tajasom, A., Hung, D. K. M., Nikbin, D., &amp; Hyun, S. S. (2015). The role of transformational leadership in innovation performance of Malaysian SMEs. </w:t>
      </w:r>
      <w:r>
        <w:rPr>
          <w:rFonts w:ascii="Times New Roman" w:hAnsi="Times New Roman" w:cs="Times New Roman"/>
          <w:i/>
          <w:iCs/>
          <w:sz w:val="24"/>
          <w:szCs w:val="24"/>
          <w:shd w:val="clear" w:color="auto" w:fill="FFFFFF"/>
        </w:rPr>
        <w:t>Asian Journal of Technology Innovation</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23</w:t>
      </w:r>
      <w:r>
        <w:rPr>
          <w:rFonts w:ascii="Times New Roman" w:hAnsi="Times New Roman" w:cs="Times New Roman"/>
          <w:sz w:val="24"/>
          <w:szCs w:val="24"/>
          <w:shd w:val="clear" w:color="auto" w:fill="FFFFFF"/>
        </w:rPr>
        <w:t>(2), 172-188.</w:t>
      </w:r>
    </w:p>
    <w:p>
      <w:pPr>
        <w:spacing w:line="480" w:lineRule="auto"/>
        <w:ind w:left="993" w:hanging="993"/>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Tang, K. N., &amp; Tang, K. N. (2019). Change management. </w:t>
      </w:r>
      <w:r>
        <w:rPr>
          <w:rFonts w:ascii="Times New Roman" w:hAnsi="Times New Roman" w:cs="Times New Roman"/>
          <w:i/>
          <w:iCs/>
          <w:sz w:val="24"/>
          <w:szCs w:val="24"/>
          <w:shd w:val="clear" w:color="auto" w:fill="FFFFFF"/>
        </w:rPr>
        <w:t>Leadership and change management</w:t>
      </w:r>
      <w:r>
        <w:rPr>
          <w:rFonts w:ascii="Times New Roman" w:hAnsi="Times New Roman" w:cs="Times New Roman"/>
          <w:sz w:val="24"/>
          <w:szCs w:val="24"/>
          <w:shd w:val="clear" w:color="auto" w:fill="FFFFFF"/>
        </w:rPr>
        <w:t>, 47-55.</w:t>
      </w:r>
    </w:p>
    <w:p>
      <w:pPr>
        <w:spacing w:line="480" w:lineRule="auto"/>
        <w:rPr>
          <w:rFonts w:ascii="Times New Roman" w:hAnsi="Times New Roman" w:cs="Times New Roman"/>
          <w:sz w:val="24"/>
          <w:szCs w:val="24"/>
        </w:rPr>
      </w:pPr>
    </w:p>
    <w:p>
      <w:pPr>
        <w:spacing w:line="480" w:lineRule="auto"/>
        <w:rPr>
          <w:rFonts w:ascii="Times New Roman" w:hAnsi="Times New Roman" w:cs="Times New Roman"/>
          <w:sz w:val="24"/>
          <w:szCs w:val="24"/>
        </w:rPr>
      </w:pPr>
    </w:p>
    <w:sectPr>
      <w:footerReference r:id="rId5" w:type="default"/>
      <w:pgSz w:w="12240" w:h="15840"/>
      <w:pgMar w:top="1440" w:right="1440" w:bottom="1440" w:left="1440"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Amasis MT Pro Medium">
    <w:altName w:val="Cambria"/>
    <w:panose1 w:val="00000000000000000000"/>
    <w:charset w:val="00"/>
    <w:family w:val="roman"/>
    <w:pitch w:val="default"/>
    <w:sig w:usb0="00000000" w:usb1="00000000" w:usb2="00000000" w:usb3="00000000" w:csb0="00000093"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7900601"/>
      <w:docPartObj>
        <w:docPartGallery w:val="AutoText"/>
      </w:docPartObj>
    </w:sdtPr>
    <w:sdtContent>
      <w:p>
        <w:pPr>
          <w:pStyle w:val="6"/>
          <w:jc w:val="center"/>
        </w:pPr>
        <w:r>
          <w:fldChar w:fldCharType="begin"/>
        </w:r>
        <w:r>
          <w:instrText xml:space="preserve"> PAGE   \* MERGEFORMAT </w:instrText>
        </w:r>
        <w:r>
          <w:fldChar w:fldCharType="separate"/>
        </w:r>
        <w:r>
          <w:t>2</w:t>
        </w:r>
        <w: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047E61"/>
    <w:multiLevelType w:val="multilevel"/>
    <w:tmpl w:val="11047E61"/>
    <w:lvl w:ilvl="0" w:tentative="0">
      <w:start w:val="1"/>
      <w:numFmt w:val="decimal"/>
      <w:pStyle w:val="2"/>
      <w:lvlText w:val="%1."/>
      <w:lvlJc w:val="left"/>
      <w:pPr>
        <w:ind w:left="1637" w:hanging="360"/>
      </w:pPr>
    </w:lvl>
    <w:lvl w:ilvl="1" w:tentative="0">
      <w:start w:val="1"/>
      <w:numFmt w:val="decimal"/>
      <w:pStyle w:val="3"/>
      <w:isLgl/>
      <w:lvlText w:val="%1.%2"/>
      <w:lvlJc w:val="left"/>
      <w:pPr>
        <w:ind w:left="720" w:hanging="720"/>
      </w:pPr>
      <w:rPr>
        <w:rFonts w:hint="default"/>
      </w:rPr>
    </w:lvl>
    <w:lvl w:ilvl="2" w:tentative="0">
      <w:start w:val="1"/>
      <w:numFmt w:val="decimal"/>
      <w:pStyle w:val="4"/>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2160" w:hanging="2160"/>
      </w:pPr>
      <w:rPr>
        <w:rFonts w:hint="default"/>
      </w:rPr>
    </w:lvl>
  </w:abstractNum>
  <w:abstractNum w:abstractNumId="1">
    <w:nsid w:val="700E20AC"/>
    <w:multiLevelType w:val="multilevel"/>
    <w:tmpl w:val="700E20AC"/>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UytrQwNTU3sjC1NLFU0lEKTi0uzszPAykwNKoFAEhBuYYtAAAA"/>
    <w:docVar w:name="commondata" w:val="eyJoZGlkIjoiNzg4ZTU2NjZkMjM1MzZkOWRmYWNlODRkY2YyYTAwZWMifQ=="/>
  </w:docVars>
  <w:rsids>
    <w:rsidRoot w:val="00A91E19"/>
    <w:rsid w:val="0000769C"/>
    <w:rsid w:val="0001383C"/>
    <w:rsid w:val="000271AE"/>
    <w:rsid w:val="00027E7A"/>
    <w:rsid w:val="00032281"/>
    <w:rsid w:val="00040304"/>
    <w:rsid w:val="000417CD"/>
    <w:rsid w:val="00042163"/>
    <w:rsid w:val="00060587"/>
    <w:rsid w:val="00065D8A"/>
    <w:rsid w:val="00072284"/>
    <w:rsid w:val="00084E3B"/>
    <w:rsid w:val="0009230E"/>
    <w:rsid w:val="00096F5A"/>
    <w:rsid w:val="000A3206"/>
    <w:rsid w:val="000C5C77"/>
    <w:rsid w:val="000D3971"/>
    <w:rsid w:val="000E01CF"/>
    <w:rsid w:val="000E28D7"/>
    <w:rsid w:val="000E4E34"/>
    <w:rsid w:val="000F028A"/>
    <w:rsid w:val="00102C80"/>
    <w:rsid w:val="0011579F"/>
    <w:rsid w:val="00117B25"/>
    <w:rsid w:val="001205E8"/>
    <w:rsid w:val="001275F3"/>
    <w:rsid w:val="00130355"/>
    <w:rsid w:val="0014402A"/>
    <w:rsid w:val="00164291"/>
    <w:rsid w:val="001738BF"/>
    <w:rsid w:val="001754CF"/>
    <w:rsid w:val="001853FB"/>
    <w:rsid w:val="00191375"/>
    <w:rsid w:val="00192D1F"/>
    <w:rsid w:val="00192EDE"/>
    <w:rsid w:val="001A7D3F"/>
    <w:rsid w:val="001C7448"/>
    <w:rsid w:val="001D60B6"/>
    <w:rsid w:val="001E27E1"/>
    <w:rsid w:val="001F458A"/>
    <w:rsid w:val="002019F0"/>
    <w:rsid w:val="0020727D"/>
    <w:rsid w:val="00211DE0"/>
    <w:rsid w:val="002138C8"/>
    <w:rsid w:val="00222FD6"/>
    <w:rsid w:val="002238A9"/>
    <w:rsid w:val="0023168E"/>
    <w:rsid w:val="00231B8E"/>
    <w:rsid w:val="00235F2E"/>
    <w:rsid w:val="002413BB"/>
    <w:rsid w:val="00243FC3"/>
    <w:rsid w:val="0025155E"/>
    <w:rsid w:val="00282B50"/>
    <w:rsid w:val="00283CB7"/>
    <w:rsid w:val="0029670A"/>
    <w:rsid w:val="002A6BCA"/>
    <w:rsid w:val="002A7CA1"/>
    <w:rsid w:val="002B3080"/>
    <w:rsid w:val="002B5646"/>
    <w:rsid w:val="002D4F8A"/>
    <w:rsid w:val="002F2784"/>
    <w:rsid w:val="002F3A5C"/>
    <w:rsid w:val="003211EC"/>
    <w:rsid w:val="0033485A"/>
    <w:rsid w:val="0033646C"/>
    <w:rsid w:val="00340630"/>
    <w:rsid w:val="003432E5"/>
    <w:rsid w:val="00344815"/>
    <w:rsid w:val="003653F9"/>
    <w:rsid w:val="00365E6D"/>
    <w:rsid w:val="0037430F"/>
    <w:rsid w:val="0039510B"/>
    <w:rsid w:val="003974C8"/>
    <w:rsid w:val="003D2670"/>
    <w:rsid w:val="003D741C"/>
    <w:rsid w:val="003E2B3A"/>
    <w:rsid w:val="003E4095"/>
    <w:rsid w:val="003E5150"/>
    <w:rsid w:val="00403AE3"/>
    <w:rsid w:val="004053ED"/>
    <w:rsid w:val="00406051"/>
    <w:rsid w:val="00431247"/>
    <w:rsid w:val="00432AC2"/>
    <w:rsid w:val="004346FC"/>
    <w:rsid w:val="0044140B"/>
    <w:rsid w:val="00444A31"/>
    <w:rsid w:val="00450114"/>
    <w:rsid w:val="004619BB"/>
    <w:rsid w:val="004757C6"/>
    <w:rsid w:val="00485EB3"/>
    <w:rsid w:val="004868E5"/>
    <w:rsid w:val="00486C97"/>
    <w:rsid w:val="004C5334"/>
    <w:rsid w:val="004E4DA1"/>
    <w:rsid w:val="004E6046"/>
    <w:rsid w:val="004F0DB3"/>
    <w:rsid w:val="004F20A7"/>
    <w:rsid w:val="005004C7"/>
    <w:rsid w:val="0050131D"/>
    <w:rsid w:val="00514D8E"/>
    <w:rsid w:val="005229C2"/>
    <w:rsid w:val="00524A29"/>
    <w:rsid w:val="00524E80"/>
    <w:rsid w:val="00527B91"/>
    <w:rsid w:val="0053270E"/>
    <w:rsid w:val="00536C7E"/>
    <w:rsid w:val="005476F8"/>
    <w:rsid w:val="00547FC1"/>
    <w:rsid w:val="00554725"/>
    <w:rsid w:val="00555ADD"/>
    <w:rsid w:val="005663FC"/>
    <w:rsid w:val="00586541"/>
    <w:rsid w:val="00594F81"/>
    <w:rsid w:val="005B5F33"/>
    <w:rsid w:val="005C4DDF"/>
    <w:rsid w:val="005C742C"/>
    <w:rsid w:val="005D230E"/>
    <w:rsid w:val="005D339E"/>
    <w:rsid w:val="005F3795"/>
    <w:rsid w:val="00600499"/>
    <w:rsid w:val="0061000E"/>
    <w:rsid w:val="00613ACE"/>
    <w:rsid w:val="0062016B"/>
    <w:rsid w:val="00620D5E"/>
    <w:rsid w:val="006370ED"/>
    <w:rsid w:val="00650A71"/>
    <w:rsid w:val="0068217D"/>
    <w:rsid w:val="006C7162"/>
    <w:rsid w:val="006D3C49"/>
    <w:rsid w:val="006E18AD"/>
    <w:rsid w:val="00713AB9"/>
    <w:rsid w:val="007157DC"/>
    <w:rsid w:val="00720E8E"/>
    <w:rsid w:val="00720FC8"/>
    <w:rsid w:val="00724B1A"/>
    <w:rsid w:val="007260EE"/>
    <w:rsid w:val="0073004F"/>
    <w:rsid w:val="00733122"/>
    <w:rsid w:val="00761E42"/>
    <w:rsid w:val="007679C3"/>
    <w:rsid w:val="00770C73"/>
    <w:rsid w:val="00774E69"/>
    <w:rsid w:val="00777AD8"/>
    <w:rsid w:val="0078758F"/>
    <w:rsid w:val="007B7EC9"/>
    <w:rsid w:val="007D188A"/>
    <w:rsid w:val="007D7263"/>
    <w:rsid w:val="007E3F13"/>
    <w:rsid w:val="007F0990"/>
    <w:rsid w:val="00801B02"/>
    <w:rsid w:val="00803797"/>
    <w:rsid w:val="008054B2"/>
    <w:rsid w:val="008179EA"/>
    <w:rsid w:val="00817FE8"/>
    <w:rsid w:val="00835587"/>
    <w:rsid w:val="00835E56"/>
    <w:rsid w:val="00851DEC"/>
    <w:rsid w:val="00871D7A"/>
    <w:rsid w:val="00877C2C"/>
    <w:rsid w:val="00882FE7"/>
    <w:rsid w:val="00883E9B"/>
    <w:rsid w:val="008866B8"/>
    <w:rsid w:val="0089484F"/>
    <w:rsid w:val="00896107"/>
    <w:rsid w:val="008A2FDF"/>
    <w:rsid w:val="008B4B5F"/>
    <w:rsid w:val="008D31FA"/>
    <w:rsid w:val="008F012A"/>
    <w:rsid w:val="008F640F"/>
    <w:rsid w:val="009013D6"/>
    <w:rsid w:val="009114BB"/>
    <w:rsid w:val="00917363"/>
    <w:rsid w:val="00920F22"/>
    <w:rsid w:val="0093070F"/>
    <w:rsid w:val="0093287F"/>
    <w:rsid w:val="00963D77"/>
    <w:rsid w:val="00971913"/>
    <w:rsid w:val="00976428"/>
    <w:rsid w:val="00976DDA"/>
    <w:rsid w:val="00987DC0"/>
    <w:rsid w:val="0099733D"/>
    <w:rsid w:val="009D0B19"/>
    <w:rsid w:val="009E4EA4"/>
    <w:rsid w:val="00A02537"/>
    <w:rsid w:val="00A10B82"/>
    <w:rsid w:val="00A15225"/>
    <w:rsid w:val="00A24C98"/>
    <w:rsid w:val="00A367FD"/>
    <w:rsid w:val="00A375C8"/>
    <w:rsid w:val="00A37A93"/>
    <w:rsid w:val="00A455DE"/>
    <w:rsid w:val="00A506FA"/>
    <w:rsid w:val="00A65DFF"/>
    <w:rsid w:val="00A90D02"/>
    <w:rsid w:val="00A91E19"/>
    <w:rsid w:val="00A9363D"/>
    <w:rsid w:val="00A97265"/>
    <w:rsid w:val="00AA040A"/>
    <w:rsid w:val="00AA5A64"/>
    <w:rsid w:val="00AB19B1"/>
    <w:rsid w:val="00AB306A"/>
    <w:rsid w:val="00AB4A30"/>
    <w:rsid w:val="00AD2D8F"/>
    <w:rsid w:val="00AF0492"/>
    <w:rsid w:val="00AF3086"/>
    <w:rsid w:val="00AF3F98"/>
    <w:rsid w:val="00AF4FF9"/>
    <w:rsid w:val="00B24544"/>
    <w:rsid w:val="00B476E0"/>
    <w:rsid w:val="00B514EE"/>
    <w:rsid w:val="00B75771"/>
    <w:rsid w:val="00B770E8"/>
    <w:rsid w:val="00BA0438"/>
    <w:rsid w:val="00BA7CC0"/>
    <w:rsid w:val="00BB028A"/>
    <w:rsid w:val="00BB2393"/>
    <w:rsid w:val="00BB52FD"/>
    <w:rsid w:val="00BC72AD"/>
    <w:rsid w:val="00BD1AF3"/>
    <w:rsid w:val="00C056FF"/>
    <w:rsid w:val="00C132E6"/>
    <w:rsid w:val="00C1428B"/>
    <w:rsid w:val="00C145B8"/>
    <w:rsid w:val="00C14A4D"/>
    <w:rsid w:val="00C22BAF"/>
    <w:rsid w:val="00C36B27"/>
    <w:rsid w:val="00C4019B"/>
    <w:rsid w:val="00C420E7"/>
    <w:rsid w:val="00C44DB5"/>
    <w:rsid w:val="00C46DC5"/>
    <w:rsid w:val="00C52117"/>
    <w:rsid w:val="00C56C52"/>
    <w:rsid w:val="00C625B9"/>
    <w:rsid w:val="00C72A46"/>
    <w:rsid w:val="00C74F75"/>
    <w:rsid w:val="00C80D48"/>
    <w:rsid w:val="00C9029B"/>
    <w:rsid w:val="00C97403"/>
    <w:rsid w:val="00CB64B4"/>
    <w:rsid w:val="00CC1C49"/>
    <w:rsid w:val="00CC3610"/>
    <w:rsid w:val="00CD6C88"/>
    <w:rsid w:val="00CE1B32"/>
    <w:rsid w:val="00CE5ED8"/>
    <w:rsid w:val="00D04C75"/>
    <w:rsid w:val="00D05AAE"/>
    <w:rsid w:val="00D17264"/>
    <w:rsid w:val="00D40C21"/>
    <w:rsid w:val="00D41219"/>
    <w:rsid w:val="00D4596E"/>
    <w:rsid w:val="00D47FF2"/>
    <w:rsid w:val="00DA5C18"/>
    <w:rsid w:val="00DA787B"/>
    <w:rsid w:val="00DC17F4"/>
    <w:rsid w:val="00DD46B5"/>
    <w:rsid w:val="00DD76FB"/>
    <w:rsid w:val="00E0540C"/>
    <w:rsid w:val="00E15F8D"/>
    <w:rsid w:val="00E32F23"/>
    <w:rsid w:val="00E4174E"/>
    <w:rsid w:val="00E87C27"/>
    <w:rsid w:val="00E9191E"/>
    <w:rsid w:val="00EA4A70"/>
    <w:rsid w:val="00EA5A46"/>
    <w:rsid w:val="00EB7EC0"/>
    <w:rsid w:val="00EC568C"/>
    <w:rsid w:val="00EC64B1"/>
    <w:rsid w:val="00EF3EEF"/>
    <w:rsid w:val="00EF4F6C"/>
    <w:rsid w:val="00EF6FD9"/>
    <w:rsid w:val="00F02C95"/>
    <w:rsid w:val="00F13A59"/>
    <w:rsid w:val="00F432AE"/>
    <w:rsid w:val="00F44A4D"/>
    <w:rsid w:val="00F44E9F"/>
    <w:rsid w:val="00F47353"/>
    <w:rsid w:val="00F86DF7"/>
    <w:rsid w:val="00F9592C"/>
    <w:rsid w:val="00FB4700"/>
    <w:rsid w:val="00FF3276"/>
    <w:rsid w:val="00FF6854"/>
    <w:rsid w:val="50307E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Amasis MT Pro Medium" w:hAnsi="Amasis MT Pro Medium" w:eastAsiaTheme="minorHAnsi" w:cstheme="minorBidi"/>
      <w:sz w:val="22"/>
      <w:szCs w:val="22"/>
      <w:lang w:val="en-US" w:eastAsia="en-US" w:bidi="ar-SA"/>
    </w:rPr>
  </w:style>
  <w:style w:type="paragraph" w:styleId="2">
    <w:name w:val="heading 1"/>
    <w:basedOn w:val="1"/>
    <w:next w:val="1"/>
    <w:link w:val="17"/>
    <w:qFormat/>
    <w:uiPriority w:val="9"/>
    <w:pPr>
      <w:keepNext/>
      <w:keepLines/>
      <w:numPr>
        <w:ilvl w:val="0"/>
        <w:numId w:val="1"/>
      </w:numPr>
      <w:spacing w:before="240" w:after="0" w:line="480" w:lineRule="auto"/>
      <w:ind w:left="426" w:hanging="426"/>
      <w:outlineLvl w:val="0"/>
    </w:pPr>
    <w:rPr>
      <w:rFonts w:ascii="Times New Roman" w:hAnsi="Times New Roman" w:cs="Times New Roman" w:eastAsiaTheme="majorEastAsia"/>
      <w:b/>
      <w:bCs/>
      <w:sz w:val="24"/>
      <w:szCs w:val="24"/>
    </w:rPr>
  </w:style>
  <w:style w:type="paragraph" w:styleId="3">
    <w:name w:val="heading 2"/>
    <w:basedOn w:val="1"/>
    <w:next w:val="1"/>
    <w:link w:val="18"/>
    <w:unhideWhenUsed/>
    <w:qFormat/>
    <w:uiPriority w:val="9"/>
    <w:pPr>
      <w:keepNext/>
      <w:keepLines/>
      <w:numPr>
        <w:ilvl w:val="1"/>
        <w:numId w:val="1"/>
      </w:numPr>
      <w:spacing w:before="280" w:after="240"/>
      <w:outlineLvl w:val="1"/>
    </w:pPr>
    <w:rPr>
      <w:rFonts w:eastAsiaTheme="majorEastAsia" w:cstheme="majorBidi"/>
      <w:b/>
      <w:bCs/>
      <w:color w:val="2F5597" w:themeColor="accent1" w:themeShade="BF"/>
      <w:sz w:val="24"/>
      <w:szCs w:val="24"/>
    </w:rPr>
  </w:style>
  <w:style w:type="paragraph" w:styleId="4">
    <w:name w:val="heading 3"/>
    <w:basedOn w:val="3"/>
    <w:next w:val="1"/>
    <w:link w:val="19"/>
    <w:unhideWhenUsed/>
    <w:qFormat/>
    <w:uiPriority w:val="9"/>
    <w:pPr>
      <w:numPr>
        <w:ilvl w:val="2"/>
      </w:numPr>
      <w:outlineLvl w:val="2"/>
    </w:pPr>
    <w:rPr>
      <w:b w:val="0"/>
      <w:bCs w:val="0"/>
      <w:i/>
      <w:iCs/>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toc 3"/>
    <w:basedOn w:val="1"/>
    <w:next w:val="1"/>
    <w:unhideWhenUsed/>
    <w:qFormat/>
    <w:uiPriority w:val="39"/>
    <w:pPr>
      <w:spacing w:after="100"/>
      <w:ind w:left="440"/>
    </w:pPr>
  </w:style>
  <w:style w:type="paragraph" w:styleId="6">
    <w:name w:val="footer"/>
    <w:basedOn w:val="1"/>
    <w:link w:val="22"/>
    <w:unhideWhenUsed/>
    <w:uiPriority w:val="99"/>
    <w:pPr>
      <w:tabs>
        <w:tab w:val="center" w:pos="4680"/>
        <w:tab w:val="right" w:pos="9360"/>
      </w:tabs>
      <w:spacing w:after="0" w:line="240" w:lineRule="auto"/>
    </w:pPr>
  </w:style>
  <w:style w:type="paragraph" w:styleId="7">
    <w:name w:val="header"/>
    <w:basedOn w:val="1"/>
    <w:link w:val="21"/>
    <w:unhideWhenUsed/>
    <w:qFormat/>
    <w:uiPriority w:val="99"/>
    <w:pPr>
      <w:tabs>
        <w:tab w:val="center" w:pos="4680"/>
        <w:tab w:val="right" w:pos="9360"/>
      </w:tabs>
      <w:spacing w:after="0" w:line="240" w:lineRule="auto"/>
    </w:pPr>
  </w:style>
  <w:style w:type="paragraph" w:styleId="8">
    <w:name w:val="toc 1"/>
    <w:basedOn w:val="1"/>
    <w:next w:val="1"/>
    <w:unhideWhenUsed/>
    <w:qFormat/>
    <w:uiPriority w:val="39"/>
    <w:pPr>
      <w:spacing w:after="100"/>
    </w:pPr>
  </w:style>
  <w:style w:type="paragraph" w:styleId="9">
    <w:name w:val="toc 2"/>
    <w:basedOn w:val="1"/>
    <w:next w:val="1"/>
    <w:unhideWhenUsed/>
    <w:qFormat/>
    <w:uiPriority w:val="39"/>
    <w:pPr>
      <w:spacing w:after="100"/>
      <w:ind w:left="220"/>
    </w:pPr>
  </w:style>
  <w:style w:type="table" w:styleId="11">
    <w:name w:val="Table Grid"/>
    <w:basedOn w:val="10"/>
    <w:uiPriority w:val="39"/>
    <w:pPr>
      <w:spacing w:after="0" w:line="240" w:lineRule="auto"/>
    </w:pPr>
    <w:rPr>
      <w:rFonts w:ascii="Times New Roman" w:hAnsi="Times New Roman" w:eastAsia="Times New Roman" w:cs="Times New Roman"/>
      <w:sz w:val="20"/>
      <w:szCs w:val="20"/>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FollowedHyperlink"/>
    <w:basedOn w:val="12"/>
    <w:semiHidden/>
    <w:unhideWhenUsed/>
    <w:qFormat/>
    <w:uiPriority w:val="99"/>
    <w:rPr>
      <w:color w:val="954F72" w:themeColor="followedHyperlink"/>
      <w:u w:val="single"/>
      <w14:textFill>
        <w14:solidFill>
          <w14:schemeClr w14:val="folHlink"/>
        </w14:solidFill>
      </w14:textFill>
    </w:rPr>
  </w:style>
  <w:style w:type="character" w:styleId="14">
    <w:name w:val="Hyperlink"/>
    <w:basedOn w:val="12"/>
    <w:unhideWhenUsed/>
    <w:qFormat/>
    <w:uiPriority w:val="99"/>
    <w:rPr>
      <w:color w:val="0563C1" w:themeColor="hyperlink"/>
      <w:u w:val="single"/>
      <w14:textFill>
        <w14:solidFill>
          <w14:schemeClr w14:val="hlink"/>
        </w14:solidFill>
      </w14:textFill>
    </w:rPr>
  </w:style>
  <w:style w:type="paragraph" w:styleId="15">
    <w:name w:val="List Paragraph"/>
    <w:basedOn w:val="1"/>
    <w:link w:val="16"/>
    <w:qFormat/>
    <w:uiPriority w:val="34"/>
    <w:pPr>
      <w:spacing w:after="0" w:line="240" w:lineRule="auto"/>
      <w:ind w:left="720"/>
      <w:contextualSpacing/>
    </w:pPr>
    <w:rPr>
      <w:rFonts w:ascii="Times New Roman" w:hAnsi="Times New Roman" w:eastAsia="Times New Roman" w:cs="Times New Roman"/>
      <w:sz w:val="20"/>
      <w:szCs w:val="20"/>
      <w:lang w:val="en-GB" w:eastAsia="en-GB"/>
    </w:rPr>
  </w:style>
  <w:style w:type="character" w:customStyle="1" w:styleId="16">
    <w:name w:val="List Paragraph Char"/>
    <w:link w:val="15"/>
    <w:qFormat/>
    <w:locked/>
    <w:uiPriority w:val="34"/>
    <w:rPr>
      <w:rFonts w:ascii="Times New Roman" w:hAnsi="Times New Roman" w:eastAsia="Times New Roman" w:cs="Times New Roman"/>
      <w:sz w:val="20"/>
      <w:szCs w:val="20"/>
      <w:lang w:val="en-GB" w:eastAsia="en-GB"/>
    </w:rPr>
  </w:style>
  <w:style w:type="character" w:customStyle="1" w:styleId="17">
    <w:name w:val="Heading 1 Char"/>
    <w:basedOn w:val="12"/>
    <w:link w:val="2"/>
    <w:uiPriority w:val="9"/>
    <w:rPr>
      <w:rFonts w:ascii="Times New Roman" w:hAnsi="Times New Roman" w:cs="Times New Roman" w:eastAsiaTheme="majorEastAsia"/>
      <w:b/>
      <w:bCs/>
      <w:sz w:val="24"/>
      <w:szCs w:val="24"/>
    </w:rPr>
  </w:style>
  <w:style w:type="character" w:customStyle="1" w:styleId="18">
    <w:name w:val="Heading 2 Char"/>
    <w:basedOn w:val="12"/>
    <w:link w:val="3"/>
    <w:qFormat/>
    <w:uiPriority w:val="9"/>
    <w:rPr>
      <w:rFonts w:eastAsiaTheme="majorEastAsia" w:cstheme="majorBidi"/>
      <w:b/>
      <w:bCs/>
      <w:color w:val="2F5597" w:themeColor="accent1" w:themeShade="BF"/>
      <w:sz w:val="24"/>
      <w:szCs w:val="24"/>
    </w:rPr>
  </w:style>
  <w:style w:type="character" w:customStyle="1" w:styleId="19">
    <w:name w:val="Heading 3 Char"/>
    <w:basedOn w:val="12"/>
    <w:link w:val="4"/>
    <w:uiPriority w:val="9"/>
    <w:rPr>
      <w:rFonts w:eastAsiaTheme="majorEastAsia" w:cstheme="majorBidi"/>
      <w:i/>
      <w:iCs/>
      <w:color w:val="2F5597" w:themeColor="accent1" w:themeShade="BF"/>
      <w:sz w:val="24"/>
      <w:szCs w:val="24"/>
    </w:rPr>
  </w:style>
  <w:style w:type="character" w:customStyle="1" w:styleId="20">
    <w:name w:val="Unresolved Mention"/>
    <w:basedOn w:val="12"/>
    <w:semiHidden/>
    <w:unhideWhenUsed/>
    <w:uiPriority w:val="99"/>
    <w:rPr>
      <w:color w:val="605E5C"/>
      <w:shd w:val="clear" w:color="auto" w:fill="E1DFDD"/>
    </w:rPr>
  </w:style>
  <w:style w:type="character" w:customStyle="1" w:styleId="21">
    <w:name w:val="Header Char"/>
    <w:basedOn w:val="12"/>
    <w:link w:val="7"/>
    <w:qFormat/>
    <w:uiPriority w:val="99"/>
  </w:style>
  <w:style w:type="character" w:customStyle="1" w:styleId="22">
    <w:name w:val="Footer Char"/>
    <w:basedOn w:val="12"/>
    <w:link w:val="6"/>
    <w:qFormat/>
    <w:uiPriority w:val="99"/>
  </w:style>
  <w:style w:type="paragraph" w:customStyle="1" w:styleId="23">
    <w:name w:val="TOC Heading"/>
    <w:basedOn w:val="2"/>
    <w:next w:val="1"/>
    <w:unhideWhenUsed/>
    <w:qFormat/>
    <w:uiPriority w:val="39"/>
    <w:pPr>
      <w:numPr>
        <w:numId w:val="0"/>
      </w:numPr>
      <w:outlineLvl w:val="9"/>
    </w:pPr>
    <w:rPr>
      <w:rFonts w:asciiTheme="majorHAnsi" w:hAnsiTheme="majorHAnsi"/>
      <w:b w:val="0"/>
      <w:bCs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8FED4-1A6D-478A-AD40-FA492EC92715}">
  <ds:schemaRefs/>
</ds:datastoreItem>
</file>

<file path=docProps/app.xml><?xml version="1.0" encoding="utf-8"?>
<Properties xmlns="http://schemas.openxmlformats.org/officeDocument/2006/extended-properties" xmlns:vt="http://schemas.openxmlformats.org/officeDocument/2006/docPropsVTypes">
  <Template>Normal</Template>
  <Pages>24</Pages>
  <Words>4697</Words>
  <Characters>29122</Characters>
  <Lines>925</Lines>
  <Paragraphs>796</Paragraphs>
  <TotalTime>19</TotalTime>
  <ScaleCrop>false</ScaleCrop>
  <LinksUpToDate>false</LinksUpToDate>
  <CharactersWithSpaces>33814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2023-06-17T19:36:00Z</dcterms:created>
  <dc:creator>Isaac Kanda (Dr., R. Geol)</dc:creator>
  <cp:lastModifiedBy>小杨</cp:lastModifiedBy>
  <dcterms:modified xsi:type="dcterms:W3CDTF">2023-07-19T22:46:53Z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52FF9884F0A640E18ADF838D9B420E1B_12</vt:lpwstr>
  </property>
</Properties>
</file>