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B391FE" w14:textId="7B4C4B75" w:rsidR="00AD5789" w:rsidRDefault="00AD5789" w:rsidP="00A35DC5">
      <w:pPr>
        <w:jc w:val="center"/>
        <w:rPr>
          <w:rFonts w:cs="Arial"/>
          <w:b/>
          <w:bCs/>
          <w:sz w:val="32"/>
          <w:szCs w:val="32"/>
          <w:highlight w:val="yellow"/>
        </w:rPr>
      </w:pPr>
      <w:r>
        <w:rPr>
          <w:noProof/>
        </w:rPr>
        <w:drawing>
          <wp:inline distT="0" distB="0" distL="0" distR="0" wp14:anchorId="38F7B3ED" wp14:editId="11BE6A2F">
            <wp:extent cx="2876550" cy="981075"/>
            <wp:effectExtent l="0" t="0" r="0" b="9525"/>
            <wp:docPr id="1283689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689641" name=""/>
                    <pic:cNvPicPr/>
                  </pic:nvPicPr>
                  <pic:blipFill>
                    <a:blip r:embed="rId8"/>
                    <a:stretch>
                      <a:fillRect/>
                    </a:stretch>
                  </pic:blipFill>
                  <pic:spPr>
                    <a:xfrm>
                      <a:off x="0" y="0"/>
                      <a:ext cx="2876550" cy="981075"/>
                    </a:xfrm>
                    <a:prstGeom prst="rect">
                      <a:avLst/>
                    </a:prstGeom>
                  </pic:spPr>
                </pic:pic>
              </a:graphicData>
            </a:graphic>
          </wp:inline>
        </w:drawing>
      </w:r>
    </w:p>
    <w:p w14:paraId="1A7C3E60" w14:textId="77777777" w:rsidR="00CE31AC" w:rsidRDefault="00CE31AC" w:rsidP="00AD5789">
      <w:pPr>
        <w:jc w:val="center"/>
        <w:rPr>
          <w:rFonts w:cs="Arial"/>
          <w:b/>
          <w:bCs/>
          <w:sz w:val="32"/>
          <w:szCs w:val="32"/>
        </w:rPr>
      </w:pPr>
    </w:p>
    <w:p w14:paraId="442A1A3C" w14:textId="1303F936" w:rsidR="00AD5789" w:rsidRPr="00AD5789" w:rsidRDefault="00AD5789" w:rsidP="00AD5789">
      <w:pPr>
        <w:jc w:val="center"/>
        <w:rPr>
          <w:rFonts w:cs="Arial"/>
          <w:b/>
          <w:bCs/>
          <w:sz w:val="32"/>
          <w:szCs w:val="32"/>
        </w:rPr>
      </w:pPr>
      <w:r w:rsidRPr="00AD5789">
        <w:rPr>
          <w:rFonts w:cs="Arial"/>
          <w:b/>
          <w:bCs/>
          <w:sz w:val="32"/>
          <w:szCs w:val="32"/>
        </w:rPr>
        <w:t>Programme: Master of Business Administration</w:t>
      </w:r>
    </w:p>
    <w:p w14:paraId="40025062" w14:textId="77777777" w:rsidR="00CE31AC" w:rsidRDefault="00AD5789" w:rsidP="00AD5789">
      <w:pPr>
        <w:jc w:val="center"/>
        <w:rPr>
          <w:rFonts w:cs="Arial"/>
          <w:b/>
          <w:bCs/>
          <w:sz w:val="32"/>
          <w:szCs w:val="32"/>
        </w:rPr>
      </w:pPr>
      <w:r w:rsidRPr="00AD5789">
        <w:rPr>
          <w:rFonts w:cs="Arial"/>
          <w:b/>
          <w:bCs/>
          <w:sz w:val="32"/>
          <w:szCs w:val="32"/>
        </w:rPr>
        <w:t>Module: Strategic Management</w:t>
      </w:r>
      <w:r>
        <w:rPr>
          <w:rFonts w:cs="Arial"/>
          <w:b/>
          <w:bCs/>
          <w:sz w:val="32"/>
          <w:szCs w:val="32"/>
        </w:rPr>
        <w:t xml:space="preserve"> </w:t>
      </w:r>
    </w:p>
    <w:p w14:paraId="5C937E07" w14:textId="65602347" w:rsidR="00AD5789" w:rsidRDefault="00CE31AC" w:rsidP="00CE31AC">
      <w:pPr>
        <w:jc w:val="center"/>
        <w:rPr>
          <w:rFonts w:cs="Arial"/>
          <w:b/>
          <w:bCs/>
          <w:sz w:val="32"/>
          <w:szCs w:val="32"/>
        </w:rPr>
      </w:pPr>
      <w:r>
        <w:rPr>
          <w:rFonts w:cs="Arial"/>
          <w:b/>
          <w:bCs/>
          <w:sz w:val="32"/>
          <w:szCs w:val="32"/>
        </w:rPr>
        <w:t xml:space="preserve">Module Code: </w:t>
      </w:r>
      <w:r w:rsidR="00AD5789" w:rsidRPr="00AD5789">
        <w:rPr>
          <w:rFonts w:cs="Arial"/>
          <w:b/>
          <w:bCs/>
          <w:sz w:val="32"/>
          <w:szCs w:val="32"/>
        </w:rPr>
        <w:t>LCMB7003</w:t>
      </w:r>
    </w:p>
    <w:p w14:paraId="6A45F3B3" w14:textId="241FBC61" w:rsidR="00AD5789" w:rsidRDefault="00AD5789" w:rsidP="00A35DC5">
      <w:pPr>
        <w:jc w:val="center"/>
        <w:rPr>
          <w:rFonts w:cs="Arial"/>
          <w:b/>
          <w:bCs/>
          <w:sz w:val="32"/>
          <w:szCs w:val="32"/>
        </w:rPr>
      </w:pPr>
    </w:p>
    <w:p w14:paraId="708AA3D6" w14:textId="6035408B" w:rsidR="00CE31AC" w:rsidRPr="00CE31AC" w:rsidRDefault="00CE31AC" w:rsidP="00CE31AC">
      <w:pPr>
        <w:jc w:val="center"/>
        <w:rPr>
          <w:rFonts w:cs="Arial"/>
          <w:sz w:val="32"/>
          <w:szCs w:val="32"/>
        </w:rPr>
      </w:pPr>
      <w:r w:rsidRPr="00A35DC5">
        <w:rPr>
          <w:rFonts w:cs="Arial"/>
          <w:b/>
          <w:bCs/>
          <w:sz w:val="32"/>
          <w:szCs w:val="32"/>
        </w:rPr>
        <w:t>Assessment</w:t>
      </w:r>
      <w:r>
        <w:rPr>
          <w:rFonts w:cs="Arial"/>
          <w:b/>
          <w:bCs/>
          <w:sz w:val="32"/>
          <w:szCs w:val="32"/>
        </w:rPr>
        <w:t xml:space="preserve"> Title</w:t>
      </w:r>
      <w:r w:rsidRPr="00A35DC5">
        <w:rPr>
          <w:rFonts w:cs="Arial"/>
          <w:b/>
          <w:bCs/>
          <w:sz w:val="32"/>
          <w:szCs w:val="32"/>
        </w:rPr>
        <w:t>:</w:t>
      </w:r>
      <w:r w:rsidRPr="00A35DC5">
        <w:rPr>
          <w:rFonts w:cs="Arial"/>
          <w:sz w:val="32"/>
          <w:szCs w:val="32"/>
        </w:rPr>
        <w:t xml:space="preserve"> Individual Report</w:t>
      </w:r>
    </w:p>
    <w:p w14:paraId="0F4864FB" w14:textId="75A6C371" w:rsidR="00192FEE" w:rsidRPr="00CE31AC" w:rsidRDefault="00CE31AC" w:rsidP="00A35DC5">
      <w:pPr>
        <w:jc w:val="center"/>
        <w:rPr>
          <w:rFonts w:cs="Arial"/>
          <w:sz w:val="28"/>
          <w:szCs w:val="28"/>
        </w:rPr>
      </w:pPr>
      <w:r w:rsidRPr="00CE31AC">
        <w:rPr>
          <w:rFonts w:cs="Arial"/>
          <w:b/>
          <w:bCs/>
          <w:sz w:val="28"/>
          <w:szCs w:val="28"/>
        </w:rPr>
        <w:t xml:space="preserve">Topic: </w:t>
      </w:r>
      <w:r w:rsidRPr="00CE31AC">
        <w:rPr>
          <w:rFonts w:cs="Arial"/>
          <w:sz w:val="28"/>
          <w:szCs w:val="28"/>
        </w:rPr>
        <w:t>“</w:t>
      </w:r>
      <w:r w:rsidR="002865E9" w:rsidRPr="00CE31AC">
        <w:rPr>
          <w:rFonts w:cs="Arial"/>
          <w:sz w:val="28"/>
          <w:szCs w:val="28"/>
        </w:rPr>
        <w:t>Strategic Management Analysis of Toyota Motor Corporation</w:t>
      </w:r>
      <w:r w:rsidRPr="00CE31AC">
        <w:rPr>
          <w:rFonts w:cs="Arial"/>
          <w:sz w:val="28"/>
          <w:szCs w:val="28"/>
        </w:rPr>
        <w:t>”</w:t>
      </w:r>
    </w:p>
    <w:p w14:paraId="2AF0EFE3" w14:textId="77777777" w:rsidR="00A35DC5" w:rsidRDefault="00A35DC5">
      <w:pPr>
        <w:jc w:val="center"/>
        <w:rPr>
          <w:rFonts w:cs="Arial"/>
          <w:color w:val="282828"/>
          <w:sz w:val="32"/>
          <w:szCs w:val="32"/>
        </w:rPr>
      </w:pPr>
    </w:p>
    <w:p w14:paraId="55D4CFFC" w14:textId="77777777" w:rsidR="00A35DC5" w:rsidRPr="00A35DC5" w:rsidRDefault="00A35DC5">
      <w:pPr>
        <w:jc w:val="center"/>
        <w:rPr>
          <w:rFonts w:cs="Arial"/>
          <w:sz w:val="32"/>
          <w:szCs w:val="32"/>
        </w:rPr>
      </w:pPr>
    </w:p>
    <w:p w14:paraId="58D3F146" w14:textId="0ADD0803" w:rsidR="00ED3D36" w:rsidRPr="00ED3D36" w:rsidRDefault="002865E9" w:rsidP="00ED3D36">
      <w:pPr>
        <w:jc w:val="center"/>
        <w:rPr>
          <w:rFonts w:cs="Arial"/>
          <w:sz w:val="32"/>
          <w:szCs w:val="32"/>
        </w:rPr>
      </w:pPr>
      <w:r w:rsidRPr="00A35DC5">
        <w:rPr>
          <w:rFonts w:cs="Arial"/>
          <w:b/>
          <w:bCs/>
          <w:sz w:val="32"/>
          <w:szCs w:val="32"/>
        </w:rPr>
        <w:t xml:space="preserve">Student </w:t>
      </w:r>
      <w:r w:rsidR="00ED3D36">
        <w:rPr>
          <w:rFonts w:cs="Arial"/>
          <w:b/>
          <w:bCs/>
          <w:sz w:val="32"/>
          <w:szCs w:val="32"/>
        </w:rPr>
        <w:t>N</w:t>
      </w:r>
      <w:r w:rsidRPr="00A35DC5">
        <w:rPr>
          <w:rFonts w:cs="Arial"/>
          <w:b/>
          <w:bCs/>
          <w:sz w:val="32"/>
          <w:szCs w:val="32"/>
        </w:rPr>
        <w:t xml:space="preserve">ame: </w:t>
      </w:r>
      <w:r w:rsidR="00CE31AC">
        <w:rPr>
          <w:rFonts w:cs="Arial"/>
          <w:b/>
          <w:bCs/>
          <w:sz w:val="32"/>
          <w:szCs w:val="32"/>
        </w:rPr>
        <w:t xml:space="preserve"> </w:t>
      </w:r>
      <w:r w:rsidR="00ED3D36" w:rsidRPr="00ED3D36">
        <w:rPr>
          <w:rFonts w:cs="Arial"/>
          <w:sz w:val="32"/>
          <w:szCs w:val="32"/>
        </w:rPr>
        <w:t xml:space="preserve">Md Rony Sheak </w:t>
      </w:r>
    </w:p>
    <w:p w14:paraId="13587B1F" w14:textId="47DC5214" w:rsidR="00192FEE" w:rsidRPr="00ED3D36" w:rsidRDefault="002865E9">
      <w:pPr>
        <w:jc w:val="center"/>
        <w:rPr>
          <w:rFonts w:cs="Arial"/>
          <w:sz w:val="32"/>
          <w:szCs w:val="32"/>
        </w:rPr>
      </w:pPr>
      <w:r w:rsidRPr="00A35DC5">
        <w:rPr>
          <w:rFonts w:cs="Arial"/>
          <w:b/>
          <w:bCs/>
          <w:sz w:val="32"/>
          <w:szCs w:val="32"/>
        </w:rPr>
        <w:t xml:space="preserve">Student ID: </w:t>
      </w:r>
      <w:r w:rsidR="00ED3D36" w:rsidRPr="00ED3D36">
        <w:rPr>
          <w:rFonts w:cs="Arial"/>
          <w:sz w:val="32"/>
          <w:szCs w:val="32"/>
        </w:rPr>
        <w:t>2434287</w:t>
      </w:r>
    </w:p>
    <w:p w14:paraId="73E99E49" w14:textId="77777777" w:rsidR="00A35DC5" w:rsidRDefault="00A35DC5">
      <w:pPr>
        <w:jc w:val="center"/>
        <w:rPr>
          <w:rFonts w:cs="Arial"/>
          <w:sz w:val="32"/>
          <w:szCs w:val="32"/>
        </w:rPr>
      </w:pPr>
    </w:p>
    <w:p w14:paraId="447803D7" w14:textId="5ED0D2AA" w:rsidR="00192FEE" w:rsidRPr="00A35DC5" w:rsidRDefault="002865E9">
      <w:pPr>
        <w:jc w:val="center"/>
        <w:rPr>
          <w:rFonts w:cs="Arial"/>
          <w:sz w:val="32"/>
          <w:szCs w:val="32"/>
        </w:rPr>
      </w:pPr>
      <w:r w:rsidRPr="00A35DC5">
        <w:rPr>
          <w:rFonts w:cs="Arial"/>
          <w:b/>
          <w:bCs/>
          <w:sz w:val="32"/>
          <w:szCs w:val="32"/>
        </w:rPr>
        <w:t>Module lecturer(s):</w:t>
      </w:r>
      <w:r w:rsidRPr="00A35DC5">
        <w:rPr>
          <w:rFonts w:cs="Arial"/>
          <w:sz w:val="32"/>
          <w:szCs w:val="32"/>
        </w:rPr>
        <w:t xml:space="preserve"> </w:t>
      </w:r>
      <w:r w:rsidR="00075A63" w:rsidRPr="00075A63">
        <w:rPr>
          <w:rFonts w:cs="Arial"/>
          <w:sz w:val="32"/>
          <w:szCs w:val="32"/>
        </w:rPr>
        <w:t>Hoang Nguyen</w:t>
      </w:r>
    </w:p>
    <w:p w14:paraId="5E2C0D59" w14:textId="77777777" w:rsidR="00A35DC5" w:rsidRDefault="00A35DC5">
      <w:pPr>
        <w:jc w:val="center"/>
        <w:rPr>
          <w:rFonts w:cs="Arial"/>
          <w:sz w:val="32"/>
          <w:szCs w:val="32"/>
        </w:rPr>
      </w:pPr>
    </w:p>
    <w:p w14:paraId="04A03837" w14:textId="77777777" w:rsidR="00A35DC5" w:rsidRDefault="00A35DC5">
      <w:pPr>
        <w:jc w:val="center"/>
        <w:rPr>
          <w:rFonts w:cs="Arial"/>
          <w:sz w:val="32"/>
          <w:szCs w:val="32"/>
        </w:rPr>
      </w:pPr>
    </w:p>
    <w:p w14:paraId="467EA6F4" w14:textId="5B0908B7" w:rsidR="00192FEE" w:rsidRPr="00A35DC5" w:rsidRDefault="002865E9">
      <w:pPr>
        <w:jc w:val="center"/>
        <w:rPr>
          <w:rFonts w:cs="Arial"/>
          <w:sz w:val="32"/>
          <w:szCs w:val="32"/>
        </w:rPr>
      </w:pPr>
      <w:r w:rsidRPr="00A35DC5">
        <w:rPr>
          <w:rFonts w:cs="Arial"/>
          <w:b/>
          <w:bCs/>
          <w:sz w:val="32"/>
          <w:szCs w:val="32"/>
        </w:rPr>
        <w:t>Company selected:</w:t>
      </w:r>
      <w:r w:rsidRPr="00A35DC5">
        <w:rPr>
          <w:rFonts w:cs="Arial"/>
          <w:sz w:val="32"/>
          <w:szCs w:val="32"/>
        </w:rPr>
        <w:t xml:space="preserve"> Toyota Motor Corporation (Japan)</w:t>
      </w:r>
    </w:p>
    <w:p w14:paraId="3F480ED3" w14:textId="77777777" w:rsidR="00A35DC5" w:rsidRDefault="00A35DC5">
      <w:pPr>
        <w:jc w:val="center"/>
        <w:rPr>
          <w:rFonts w:cs="Arial"/>
          <w:sz w:val="32"/>
          <w:szCs w:val="32"/>
        </w:rPr>
      </w:pPr>
    </w:p>
    <w:p w14:paraId="03D7BFC0" w14:textId="4DC20362" w:rsidR="00192FEE" w:rsidRPr="00A35DC5" w:rsidRDefault="002865E9">
      <w:pPr>
        <w:jc w:val="center"/>
        <w:rPr>
          <w:rFonts w:cs="Arial"/>
          <w:b/>
          <w:bCs/>
          <w:sz w:val="32"/>
          <w:szCs w:val="32"/>
        </w:rPr>
      </w:pPr>
      <w:r w:rsidRPr="00A35DC5">
        <w:rPr>
          <w:rFonts w:cs="Arial"/>
          <w:b/>
          <w:bCs/>
          <w:sz w:val="32"/>
          <w:szCs w:val="32"/>
        </w:rPr>
        <w:t>Word count</w:t>
      </w:r>
      <w:r w:rsidR="00A35DC5" w:rsidRPr="00A35DC5">
        <w:rPr>
          <w:rFonts w:cs="Arial"/>
          <w:b/>
          <w:bCs/>
          <w:sz w:val="32"/>
          <w:szCs w:val="32"/>
        </w:rPr>
        <w:t>:</w:t>
      </w:r>
      <w:r w:rsidR="00837D47">
        <w:rPr>
          <w:rFonts w:cs="Arial"/>
          <w:b/>
          <w:bCs/>
          <w:sz w:val="32"/>
          <w:szCs w:val="32"/>
        </w:rPr>
        <w:t xml:space="preserve"> </w:t>
      </w:r>
      <w:r w:rsidR="00DD3FA0">
        <w:rPr>
          <w:rFonts w:cs="Arial"/>
          <w:b/>
          <w:bCs/>
          <w:sz w:val="32"/>
          <w:szCs w:val="32"/>
        </w:rPr>
        <w:t>5</w:t>
      </w:r>
      <w:r w:rsidR="00EF2722">
        <w:rPr>
          <w:rFonts w:cs="Arial"/>
          <w:b/>
          <w:bCs/>
          <w:sz w:val="32"/>
          <w:szCs w:val="32"/>
        </w:rPr>
        <w:t>490</w:t>
      </w:r>
    </w:p>
    <w:p w14:paraId="0E88AF06" w14:textId="77777777" w:rsidR="00DE479D" w:rsidRDefault="00DE479D">
      <w:pPr>
        <w:spacing w:after="200" w:line="276" w:lineRule="auto"/>
        <w:jc w:val="left"/>
      </w:pPr>
      <w:r>
        <w:br w:type="page"/>
      </w:r>
    </w:p>
    <w:p w14:paraId="00BBF67A" w14:textId="6E1D4883" w:rsidR="00DE479D" w:rsidRDefault="00DE479D" w:rsidP="00DE479D">
      <w:pPr>
        <w:pStyle w:val="Heading1"/>
      </w:pPr>
      <w:bookmarkStart w:id="0" w:name="_Toc228404700"/>
      <w:bookmarkStart w:id="1" w:name="_Toc228480075"/>
      <w:r w:rsidRPr="00DE479D">
        <w:lastRenderedPageBreak/>
        <w:t>AI Use Acknowledgement</w:t>
      </w:r>
      <w:bookmarkEnd w:id="0"/>
      <w:bookmarkEnd w:id="1"/>
    </w:p>
    <w:p w14:paraId="0D24CAED" w14:textId="7C6E56F0" w:rsidR="00A84F27" w:rsidRDefault="00A84F27" w:rsidP="00DE479D">
      <w:r w:rsidRPr="00A84F27">
        <w:t>This report did not use AI tools to create content. The analysis, discussion and conclusions are solely derived from academic literature, company reports and critical reflection. Only the presentation style and ideas were influenced by generic online templates, and all analysis, interpretation and writing are original.</w:t>
      </w:r>
    </w:p>
    <w:p w14:paraId="16459350" w14:textId="58FA15D7" w:rsidR="00A35DC5" w:rsidRDefault="00A35DC5" w:rsidP="00DE479D">
      <w:r>
        <w:br w:type="page"/>
      </w:r>
    </w:p>
    <w:sdt>
      <w:sdtPr>
        <w:rPr>
          <w:rFonts w:eastAsia="Aptos" w:cstheme="minorBidi"/>
          <w:b w:val="0"/>
          <w:bCs w:val="0"/>
          <w:color w:val="auto"/>
          <w:sz w:val="24"/>
          <w:szCs w:val="22"/>
          <w:lang w:val="en-GB"/>
        </w:rPr>
        <w:id w:val="-306011436"/>
        <w:docPartObj>
          <w:docPartGallery w:val="Table of Contents"/>
          <w:docPartUnique/>
        </w:docPartObj>
      </w:sdtPr>
      <w:sdtEndPr>
        <w:rPr>
          <w:lang w:val="en-US"/>
        </w:rPr>
      </w:sdtEndPr>
      <w:sdtContent>
        <w:p w14:paraId="628B39C6" w14:textId="3CC1EE5A" w:rsidR="00A35DC5" w:rsidRDefault="00A35DC5">
          <w:pPr>
            <w:pStyle w:val="TOCHeading"/>
          </w:pPr>
          <w:r>
            <w:rPr>
              <w:lang w:val="en-GB"/>
            </w:rPr>
            <w:t>Table of Contents</w:t>
          </w:r>
        </w:p>
        <w:p w14:paraId="7C164AE7" w14:textId="3E011FD0" w:rsidR="00EF2722" w:rsidRDefault="00A35DC5">
          <w:pPr>
            <w:pStyle w:val="TOC1"/>
            <w:tabs>
              <w:tab w:val="right" w:leader="dot" w:pos="9638"/>
            </w:tabs>
            <w:rPr>
              <w:rFonts w:asciiTheme="minorHAnsi" w:eastAsiaTheme="minorEastAsia" w:hAnsiTheme="minorHAnsi"/>
              <w:noProof/>
              <w:kern w:val="2"/>
              <w:szCs w:val="24"/>
              <w:lang w:val="en-GB" w:eastAsia="en-GB"/>
              <w14:ligatures w14:val="standardContextual"/>
            </w:rPr>
          </w:pPr>
          <w:r>
            <w:fldChar w:fldCharType="begin"/>
          </w:r>
          <w:r>
            <w:instrText xml:space="preserve"> TOC \o "1-3" \h \z \u </w:instrText>
          </w:r>
          <w:r>
            <w:fldChar w:fldCharType="separate"/>
          </w:r>
          <w:hyperlink w:anchor="_Toc228480075" w:history="1">
            <w:r w:rsidR="00EF2722" w:rsidRPr="00AA7926">
              <w:rPr>
                <w:rStyle w:val="Hyperlink"/>
                <w:noProof/>
              </w:rPr>
              <w:t>AI Use Acknowledgement</w:t>
            </w:r>
            <w:r w:rsidR="00EF2722">
              <w:rPr>
                <w:noProof/>
                <w:webHidden/>
              </w:rPr>
              <w:tab/>
            </w:r>
            <w:r w:rsidR="00EF2722">
              <w:rPr>
                <w:noProof/>
                <w:webHidden/>
              </w:rPr>
              <w:fldChar w:fldCharType="begin"/>
            </w:r>
            <w:r w:rsidR="00EF2722">
              <w:rPr>
                <w:noProof/>
                <w:webHidden/>
              </w:rPr>
              <w:instrText xml:space="preserve"> PAGEREF _Toc228480075 \h </w:instrText>
            </w:r>
            <w:r w:rsidR="00EF2722">
              <w:rPr>
                <w:noProof/>
                <w:webHidden/>
              </w:rPr>
            </w:r>
            <w:r w:rsidR="00EF2722">
              <w:rPr>
                <w:noProof/>
                <w:webHidden/>
              </w:rPr>
              <w:fldChar w:fldCharType="separate"/>
            </w:r>
            <w:r w:rsidR="00EF2722">
              <w:rPr>
                <w:noProof/>
                <w:webHidden/>
              </w:rPr>
              <w:t>2</w:t>
            </w:r>
            <w:r w:rsidR="00EF2722">
              <w:rPr>
                <w:noProof/>
                <w:webHidden/>
              </w:rPr>
              <w:fldChar w:fldCharType="end"/>
            </w:r>
          </w:hyperlink>
        </w:p>
        <w:p w14:paraId="7E447A59" w14:textId="26AAC872" w:rsidR="00EF2722" w:rsidRDefault="0065476E">
          <w:pPr>
            <w:pStyle w:val="TOC1"/>
            <w:tabs>
              <w:tab w:val="right" w:leader="dot" w:pos="9638"/>
            </w:tabs>
            <w:rPr>
              <w:rFonts w:asciiTheme="minorHAnsi" w:eastAsiaTheme="minorEastAsia" w:hAnsiTheme="minorHAnsi"/>
              <w:noProof/>
              <w:kern w:val="2"/>
              <w:szCs w:val="24"/>
              <w:lang w:val="en-GB" w:eastAsia="en-GB"/>
              <w14:ligatures w14:val="standardContextual"/>
            </w:rPr>
          </w:pPr>
          <w:hyperlink w:anchor="_Toc228480076" w:history="1">
            <w:r w:rsidR="00EF2722" w:rsidRPr="00AA7926">
              <w:rPr>
                <w:rStyle w:val="Hyperlink"/>
                <w:noProof/>
              </w:rPr>
              <w:t>Introduction</w:t>
            </w:r>
            <w:r w:rsidR="00EF2722">
              <w:rPr>
                <w:noProof/>
                <w:webHidden/>
              </w:rPr>
              <w:tab/>
            </w:r>
            <w:r w:rsidR="00EF2722">
              <w:rPr>
                <w:noProof/>
                <w:webHidden/>
              </w:rPr>
              <w:fldChar w:fldCharType="begin"/>
            </w:r>
            <w:r w:rsidR="00EF2722">
              <w:rPr>
                <w:noProof/>
                <w:webHidden/>
              </w:rPr>
              <w:instrText xml:space="preserve"> PAGEREF _Toc228480076 \h </w:instrText>
            </w:r>
            <w:r w:rsidR="00EF2722">
              <w:rPr>
                <w:noProof/>
                <w:webHidden/>
              </w:rPr>
            </w:r>
            <w:r w:rsidR="00EF2722">
              <w:rPr>
                <w:noProof/>
                <w:webHidden/>
              </w:rPr>
              <w:fldChar w:fldCharType="separate"/>
            </w:r>
            <w:r w:rsidR="00EF2722">
              <w:rPr>
                <w:noProof/>
                <w:webHidden/>
              </w:rPr>
              <w:t>4</w:t>
            </w:r>
            <w:r w:rsidR="00EF2722">
              <w:rPr>
                <w:noProof/>
                <w:webHidden/>
              </w:rPr>
              <w:fldChar w:fldCharType="end"/>
            </w:r>
          </w:hyperlink>
        </w:p>
        <w:p w14:paraId="2416A10B" w14:textId="0D07AEA1" w:rsidR="00EF2722" w:rsidRDefault="0065476E">
          <w:pPr>
            <w:pStyle w:val="TOC1"/>
            <w:tabs>
              <w:tab w:val="right" w:leader="dot" w:pos="9638"/>
            </w:tabs>
            <w:rPr>
              <w:rFonts w:asciiTheme="minorHAnsi" w:eastAsiaTheme="minorEastAsia" w:hAnsiTheme="minorHAnsi"/>
              <w:noProof/>
              <w:kern w:val="2"/>
              <w:szCs w:val="24"/>
              <w:lang w:val="en-GB" w:eastAsia="en-GB"/>
              <w14:ligatures w14:val="standardContextual"/>
            </w:rPr>
          </w:pPr>
          <w:hyperlink w:anchor="_Toc228480077" w:history="1">
            <w:r w:rsidR="00EF2722" w:rsidRPr="00AA7926">
              <w:rPr>
                <w:rStyle w:val="Hyperlink"/>
                <w:noProof/>
              </w:rPr>
              <w:t>Section 1</w:t>
            </w:r>
            <w:r w:rsidR="00EF2722">
              <w:rPr>
                <w:noProof/>
                <w:webHidden/>
              </w:rPr>
              <w:tab/>
            </w:r>
            <w:r w:rsidR="00EF2722">
              <w:rPr>
                <w:noProof/>
                <w:webHidden/>
              </w:rPr>
              <w:fldChar w:fldCharType="begin"/>
            </w:r>
            <w:r w:rsidR="00EF2722">
              <w:rPr>
                <w:noProof/>
                <w:webHidden/>
              </w:rPr>
              <w:instrText xml:space="preserve"> PAGEREF _Toc228480077 \h </w:instrText>
            </w:r>
            <w:r w:rsidR="00EF2722">
              <w:rPr>
                <w:noProof/>
                <w:webHidden/>
              </w:rPr>
            </w:r>
            <w:r w:rsidR="00EF2722">
              <w:rPr>
                <w:noProof/>
                <w:webHidden/>
              </w:rPr>
              <w:fldChar w:fldCharType="separate"/>
            </w:r>
            <w:r w:rsidR="00EF2722">
              <w:rPr>
                <w:noProof/>
                <w:webHidden/>
              </w:rPr>
              <w:t>5</w:t>
            </w:r>
            <w:r w:rsidR="00EF2722">
              <w:rPr>
                <w:noProof/>
                <w:webHidden/>
              </w:rPr>
              <w:fldChar w:fldCharType="end"/>
            </w:r>
          </w:hyperlink>
        </w:p>
        <w:p w14:paraId="132CEE74" w14:textId="2861FA65" w:rsidR="00EF2722" w:rsidRDefault="0065476E">
          <w:pPr>
            <w:pStyle w:val="TOC2"/>
            <w:tabs>
              <w:tab w:val="right" w:leader="dot" w:pos="9638"/>
            </w:tabs>
            <w:rPr>
              <w:rFonts w:asciiTheme="minorHAnsi" w:eastAsiaTheme="minorEastAsia" w:hAnsiTheme="minorHAnsi"/>
              <w:noProof/>
              <w:kern w:val="2"/>
              <w:szCs w:val="24"/>
              <w:lang w:val="en-GB" w:eastAsia="en-GB"/>
              <w14:ligatures w14:val="standardContextual"/>
            </w:rPr>
          </w:pPr>
          <w:hyperlink w:anchor="_Toc228480078" w:history="1">
            <w:r w:rsidR="00EF2722" w:rsidRPr="00AA7926">
              <w:rPr>
                <w:rStyle w:val="Hyperlink"/>
                <w:noProof/>
              </w:rPr>
              <w:t>1. Organisational context and overview</w:t>
            </w:r>
            <w:r w:rsidR="00EF2722">
              <w:rPr>
                <w:noProof/>
                <w:webHidden/>
              </w:rPr>
              <w:tab/>
            </w:r>
            <w:r w:rsidR="00EF2722">
              <w:rPr>
                <w:noProof/>
                <w:webHidden/>
              </w:rPr>
              <w:fldChar w:fldCharType="begin"/>
            </w:r>
            <w:r w:rsidR="00EF2722">
              <w:rPr>
                <w:noProof/>
                <w:webHidden/>
              </w:rPr>
              <w:instrText xml:space="preserve"> PAGEREF _Toc228480078 \h </w:instrText>
            </w:r>
            <w:r w:rsidR="00EF2722">
              <w:rPr>
                <w:noProof/>
                <w:webHidden/>
              </w:rPr>
            </w:r>
            <w:r w:rsidR="00EF2722">
              <w:rPr>
                <w:noProof/>
                <w:webHidden/>
              </w:rPr>
              <w:fldChar w:fldCharType="separate"/>
            </w:r>
            <w:r w:rsidR="00EF2722">
              <w:rPr>
                <w:noProof/>
                <w:webHidden/>
              </w:rPr>
              <w:t>5</w:t>
            </w:r>
            <w:r w:rsidR="00EF2722">
              <w:rPr>
                <w:noProof/>
                <w:webHidden/>
              </w:rPr>
              <w:fldChar w:fldCharType="end"/>
            </w:r>
          </w:hyperlink>
        </w:p>
        <w:p w14:paraId="3DC4883F" w14:textId="2B1F157F" w:rsidR="00EF2722" w:rsidRDefault="0065476E">
          <w:pPr>
            <w:pStyle w:val="TOC2"/>
            <w:tabs>
              <w:tab w:val="right" w:leader="dot" w:pos="9638"/>
            </w:tabs>
            <w:rPr>
              <w:rFonts w:asciiTheme="minorHAnsi" w:eastAsiaTheme="minorEastAsia" w:hAnsiTheme="minorHAnsi"/>
              <w:noProof/>
              <w:kern w:val="2"/>
              <w:szCs w:val="24"/>
              <w:lang w:val="en-GB" w:eastAsia="en-GB"/>
              <w14:ligatures w14:val="standardContextual"/>
            </w:rPr>
          </w:pPr>
          <w:hyperlink w:anchor="_Toc228480079" w:history="1">
            <w:r w:rsidR="00EF2722" w:rsidRPr="00AA7926">
              <w:rPr>
                <w:rStyle w:val="Hyperlink"/>
                <w:noProof/>
              </w:rPr>
              <w:t>2. External and internal environment analysis</w:t>
            </w:r>
            <w:r w:rsidR="00EF2722">
              <w:rPr>
                <w:noProof/>
                <w:webHidden/>
              </w:rPr>
              <w:tab/>
            </w:r>
            <w:r w:rsidR="00EF2722">
              <w:rPr>
                <w:noProof/>
                <w:webHidden/>
              </w:rPr>
              <w:fldChar w:fldCharType="begin"/>
            </w:r>
            <w:r w:rsidR="00EF2722">
              <w:rPr>
                <w:noProof/>
                <w:webHidden/>
              </w:rPr>
              <w:instrText xml:space="preserve"> PAGEREF _Toc228480079 \h </w:instrText>
            </w:r>
            <w:r w:rsidR="00EF2722">
              <w:rPr>
                <w:noProof/>
                <w:webHidden/>
              </w:rPr>
            </w:r>
            <w:r w:rsidR="00EF2722">
              <w:rPr>
                <w:noProof/>
                <w:webHidden/>
              </w:rPr>
              <w:fldChar w:fldCharType="separate"/>
            </w:r>
            <w:r w:rsidR="00EF2722">
              <w:rPr>
                <w:noProof/>
                <w:webHidden/>
              </w:rPr>
              <w:t>7</w:t>
            </w:r>
            <w:r w:rsidR="00EF2722">
              <w:rPr>
                <w:noProof/>
                <w:webHidden/>
              </w:rPr>
              <w:fldChar w:fldCharType="end"/>
            </w:r>
          </w:hyperlink>
        </w:p>
        <w:p w14:paraId="37ABA3E4" w14:textId="261070CB" w:rsidR="00EF2722" w:rsidRDefault="0065476E">
          <w:pPr>
            <w:pStyle w:val="TOC3"/>
            <w:tabs>
              <w:tab w:val="right" w:leader="dot" w:pos="9638"/>
            </w:tabs>
            <w:rPr>
              <w:rFonts w:asciiTheme="minorHAnsi" w:eastAsiaTheme="minorEastAsia" w:hAnsiTheme="minorHAnsi"/>
              <w:noProof/>
              <w:kern w:val="2"/>
              <w:szCs w:val="24"/>
              <w:lang w:val="en-GB" w:eastAsia="en-GB"/>
              <w14:ligatures w14:val="standardContextual"/>
            </w:rPr>
          </w:pPr>
          <w:hyperlink w:anchor="_Toc228480080" w:history="1">
            <w:r w:rsidR="00EF2722" w:rsidRPr="00AA7926">
              <w:rPr>
                <w:rStyle w:val="Hyperlink"/>
                <w:noProof/>
                <w:lang w:val="en-GB"/>
              </w:rPr>
              <w:t>2.1 PESTLE analysis</w:t>
            </w:r>
            <w:r w:rsidR="00EF2722">
              <w:rPr>
                <w:noProof/>
                <w:webHidden/>
              </w:rPr>
              <w:tab/>
            </w:r>
            <w:r w:rsidR="00EF2722">
              <w:rPr>
                <w:noProof/>
                <w:webHidden/>
              </w:rPr>
              <w:fldChar w:fldCharType="begin"/>
            </w:r>
            <w:r w:rsidR="00EF2722">
              <w:rPr>
                <w:noProof/>
                <w:webHidden/>
              </w:rPr>
              <w:instrText xml:space="preserve"> PAGEREF _Toc228480080 \h </w:instrText>
            </w:r>
            <w:r w:rsidR="00EF2722">
              <w:rPr>
                <w:noProof/>
                <w:webHidden/>
              </w:rPr>
            </w:r>
            <w:r w:rsidR="00EF2722">
              <w:rPr>
                <w:noProof/>
                <w:webHidden/>
              </w:rPr>
              <w:fldChar w:fldCharType="separate"/>
            </w:r>
            <w:r w:rsidR="00EF2722">
              <w:rPr>
                <w:noProof/>
                <w:webHidden/>
              </w:rPr>
              <w:t>7</w:t>
            </w:r>
            <w:r w:rsidR="00EF2722">
              <w:rPr>
                <w:noProof/>
                <w:webHidden/>
              </w:rPr>
              <w:fldChar w:fldCharType="end"/>
            </w:r>
          </w:hyperlink>
        </w:p>
        <w:p w14:paraId="4EBB34D9" w14:textId="7880F1E4" w:rsidR="00EF2722" w:rsidRDefault="0065476E">
          <w:pPr>
            <w:pStyle w:val="TOC3"/>
            <w:tabs>
              <w:tab w:val="right" w:leader="dot" w:pos="9638"/>
            </w:tabs>
            <w:rPr>
              <w:rFonts w:asciiTheme="minorHAnsi" w:eastAsiaTheme="minorEastAsia" w:hAnsiTheme="minorHAnsi"/>
              <w:noProof/>
              <w:kern w:val="2"/>
              <w:szCs w:val="24"/>
              <w:lang w:val="en-GB" w:eastAsia="en-GB"/>
              <w14:ligatures w14:val="standardContextual"/>
            </w:rPr>
          </w:pPr>
          <w:hyperlink w:anchor="_Toc228480081" w:history="1">
            <w:r w:rsidR="00EF2722" w:rsidRPr="00AA7926">
              <w:rPr>
                <w:rStyle w:val="Hyperlink"/>
                <w:noProof/>
                <w:lang w:val="en-GB"/>
              </w:rPr>
              <w:t>2.2 Critical success factors and strategic challenges</w:t>
            </w:r>
            <w:r w:rsidR="00EF2722">
              <w:rPr>
                <w:noProof/>
                <w:webHidden/>
              </w:rPr>
              <w:tab/>
            </w:r>
            <w:r w:rsidR="00EF2722">
              <w:rPr>
                <w:noProof/>
                <w:webHidden/>
              </w:rPr>
              <w:fldChar w:fldCharType="begin"/>
            </w:r>
            <w:r w:rsidR="00EF2722">
              <w:rPr>
                <w:noProof/>
                <w:webHidden/>
              </w:rPr>
              <w:instrText xml:space="preserve"> PAGEREF _Toc228480081 \h </w:instrText>
            </w:r>
            <w:r w:rsidR="00EF2722">
              <w:rPr>
                <w:noProof/>
                <w:webHidden/>
              </w:rPr>
            </w:r>
            <w:r w:rsidR="00EF2722">
              <w:rPr>
                <w:noProof/>
                <w:webHidden/>
              </w:rPr>
              <w:fldChar w:fldCharType="separate"/>
            </w:r>
            <w:r w:rsidR="00EF2722">
              <w:rPr>
                <w:noProof/>
                <w:webHidden/>
              </w:rPr>
              <w:t>11</w:t>
            </w:r>
            <w:r w:rsidR="00EF2722">
              <w:rPr>
                <w:noProof/>
                <w:webHidden/>
              </w:rPr>
              <w:fldChar w:fldCharType="end"/>
            </w:r>
          </w:hyperlink>
        </w:p>
        <w:p w14:paraId="7EE74C8F" w14:textId="16D73E06" w:rsidR="00EF2722" w:rsidRDefault="0065476E">
          <w:pPr>
            <w:pStyle w:val="TOC3"/>
            <w:tabs>
              <w:tab w:val="right" w:leader="dot" w:pos="9638"/>
            </w:tabs>
            <w:rPr>
              <w:rFonts w:asciiTheme="minorHAnsi" w:eastAsiaTheme="minorEastAsia" w:hAnsiTheme="minorHAnsi"/>
              <w:noProof/>
              <w:kern w:val="2"/>
              <w:szCs w:val="24"/>
              <w:lang w:val="en-GB" w:eastAsia="en-GB"/>
              <w14:ligatures w14:val="standardContextual"/>
            </w:rPr>
          </w:pPr>
          <w:hyperlink w:anchor="_Toc228480082" w:history="1">
            <w:r w:rsidR="00EF2722" w:rsidRPr="00AA7926">
              <w:rPr>
                <w:rStyle w:val="Hyperlink"/>
                <w:noProof/>
                <w:lang w:val="en-GB"/>
              </w:rPr>
              <w:t>2.3 Internal environment: resources, capabilities and core competencies</w:t>
            </w:r>
            <w:r w:rsidR="00EF2722">
              <w:rPr>
                <w:noProof/>
                <w:webHidden/>
              </w:rPr>
              <w:tab/>
            </w:r>
            <w:r w:rsidR="00EF2722">
              <w:rPr>
                <w:noProof/>
                <w:webHidden/>
              </w:rPr>
              <w:fldChar w:fldCharType="begin"/>
            </w:r>
            <w:r w:rsidR="00EF2722">
              <w:rPr>
                <w:noProof/>
                <w:webHidden/>
              </w:rPr>
              <w:instrText xml:space="preserve"> PAGEREF _Toc228480082 \h </w:instrText>
            </w:r>
            <w:r w:rsidR="00EF2722">
              <w:rPr>
                <w:noProof/>
                <w:webHidden/>
              </w:rPr>
            </w:r>
            <w:r w:rsidR="00EF2722">
              <w:rPr>
                <w:noProof/>
                <w:webHidden/>
              </w:rPr>
              <w:fldChar w:fldCharType="separate"/>
            </w:r>
            <w:r w:rsidR="00EF2722">
              <w:rPr>
                <w:noProof/>
                <w:webHidden/>
              </w:rPr>
              <w:t>12</w:t>
            </w:r>
            <w:r w:rsidR="00EF2722">
              <w:rPr>
                <w:noProof/>
                <w:webHidden/>
              </w:rPr>
              <w:fldChar w:fldCharType="end"/>
            </w:r>
          </w:hyperlink>
        </w:p>
        <w:p w14:paraId="0A710117" w14:textId="0CE8A956" w:rsidR="00EF2722" w:rsidRDefault="0065476E">
          <w:pPr>
            <w:pStyle w:val="TOC3"/>
            <w:tabs>
              <w:tab w:val="right" w:leader="dot" w:pos="9638"/>
            </w:tabs>
            <w:rPr>
              <w:rFonts w:asciiTheme="minorHAnsi" w:eastAsiaTheme="minorEastAsia" w:hAnsiTheme="minorHAnsi"/>
              <w:noProof/>
              <w:kern w:val="2"/>
              <w:szCs w:val="24"/>
              <w:lang w:val="en-GB" w:eastAsia="en-GB"/>
              <w14:ligatures w14:val="standardContextual"/>
            </w:rPr>
          </w:pPr>
          <w:hyperlink w:anchor="_Toc228480083" w:history="1">
            <w:r w:rsidR="00EF2722" w:rsidRPr="00AA7926">
              <w:rPr>
                <w:rStyle w:val="Hyperlink"/>
                <w:noProof/>
                <w:lang w:val="en-GB"/>
              </w:rPr>
              <w:t>2.4 VRIO evaluation of Toyota’s strategic capabilities</w:t>
            </w:r>
            <w:r w:rsidR="00EF2722">
              <w:rPr>
                <w:noProof/>
                <w:webHidden/>
              </w:rPr>
              <w:tab/>
            </w:r>
            <w:r w:rsidR="00EF2722">
              <w:rPr>
                <w:noProof/>
                <w:webHidden/>
              </w:rPr>
              <w:fldChar w:fldCharType="begin"/>
            </w:r>
            <w:r w:rsidR="00EF2722">
              <w:rPr>
                <w:noProof/>
                <w:webHidden/>
              </w:rPr>
              <w:instrText xml:space="preserve"> PAGEREF _Toc228480083 \h </w:instrText>
            </w:r>
            <w:r w:rsidR="00EF2722">
              <w:rPr>
                <w:noProof/>
                <w:webHidden/>
              </w:rPr>
            </w:r>
            <w:r w:rsidR="00EF2722">
              <w:rPr>
                <w:noProof/>
                <w:webHidden/>
              </w:rPr>
              <w:fldChar w:fldCharType="separate"/>
            </w:r>
            <w:r w:rsidR="00EF2722">
              <w:rPr>
                <w:noProof/>
                <w:webHidden/>
              </w:rPr>
              <w:t>13</w:t>
            </w:r>
            <w:r w:rsidR="00EF2722">
              <w:rPr>
                <w:noProof/>
                <w:webHidden/>
              </w:rPr>
              <w:fldChar w:fldCharType="end"/>
            </w:r>
          </w:hyperlink>
        </w:p>
        <w:p w14:paraId="2C437BA4" w14:textId="40099DEB" w:rsidR="00EF2722" w:rsidRDefault="0065476E">
          <w:pPr>
            <w:pStyle w:val="TOC3"/>
            <w:tabs>
              <w:tab w:val="right" w:leader="dot" w:pos="9638"/>
            </w:tabs>
            <w:rPr>
              <w:rFonts w:asciiTheme="minorHAnsi" w:eastAsiaTheme="minorEastAsia" w:hAnsiTheme="minorHAnsi"/>
              <w:noProof/>
              <w:kern w:val="2"/>
              <w:szCs w:val="24"/>
              <w:lang w:val="en-GB" w:eastAsia="en-GB"/>
              <w14:ligatures w14:val="standardContextual"/>
            </w:rPr>
          </w:pPr>
          <w:hyperlink w:anchor="_Toc228480084" w:history="1">
            <w:r w:rsidR="00EF2722" w:rsidRPr="00AA7926">
              <w:rPr>
                <w:rStyle w:val="Hyperlink"/>
                <w:noProof/>
                <w:lang w:val="en-GB"/>
              </w:rPr>
              <w:t>2.5 Internal strengths and competitive advantage</w:t>
            </w:r>
            <w:r w:rsidR="00EF2722">
              <w:rPr>
                <w:noProof/>
                <w:webHidden/>
              </w:rPr>
              <w:tab/>
            </w:r>
            <w:r w:rsidR="00EF2722">
              <w:rPr>
                <w:noProof/>
                <w:webHidden/>
              </w:rPr>
              <w:fldChar w:fldCharType="begin"/>
            </w:r>
            <w:r w:rsidR="00EF2722">
              <w:rPr>
                <w:noProof/>
                <w:webHidden/>
              </w:rPr>
              <w:instrText xml:space="preserve"> PAGEREF _Toc228480084 \h </w:instrText>
            </w:r>
            <w:r w:rsidR="00EF2722">
              <w:rPr>
                <w:noProof/>
                <w:webHidden/>
              </w:rPr>
            </w:r>
            <w:r w:rsidR="00EF2722">
              <w:rPr>
                <w:noProof/>
                <w:webHidden/>
              </w:rPr>
              <w:fldChar w:fldCharType="separate"/>
            </w:r>
            <w:r w:rsidR="00EF2722">
              <w:rPr>
                <w:noProof/>
                <w:webHidden/>
              </w:rPr>
              <w:t>16</w:t>
            </w:r>
            <w:r w:rsidR="00EF2722">
              <w:rPr>
                <w:noProof/>
                <w:webHidden/>
              </w:rPr>
              <w:fldChar w:fldCharType="end"/>
            </w:r>
          </w:hyperlink>
        </w:p>
        <w:p w14:paraId="33EB0378" w14:textId="21CE380F" w:rsidR="00EF2722" w:rsidRDefault="0065476E">
          <w:pPr>
            <w:pStyle w:val="TOC2"/>
            <w:tabs>
              <w:tab w:val="right" w:leader="dot" w:pos="9638"/>
            </w:tabs>
            <w:rPr>
              <w:rFonts w:asciiTheme="minorHAnsi" w:eastAsiaTheme="minorEastAsia" w:hAnsiTheme="minorHAnsi"/>
              <w:noProof/>
              <w:kern w:val="2"/>
              <w:szCs w:val="24"/>
              <w:lang w:val="en-GB" w:eastAsia="en-GB"/>
              <w14:ligatures w14:val="standardContextual"/>
            </w:rPr>
          </w:pPr>
          <w:hyperlink w:anchor="_Toc228480085" w:history="1">
            <w:r w:rsidR="00EF2722" w:rsidRPr="00AA7926">
              <w:rPr>
                <w:rStyle w:val="Hyperlink"/>
                <w:noProof/>
              </w:rPr>
              <w:t>3. CSR strategy and sustainability alignment</w:t>
            </w:r>
            <w:r w:rsidR="00EF2722">
              <w:rPr>
                <w:noProof/>
                <w:webHidden/>
              </w:rPr>
              <w:tab/>
            </w:r>
            <w:r w:rsidR="00EF2722">
              <w:rPr>
                <w:noProof/>
                <w:webHidden/>
              </w:rPr>
              <w:fldChar w:fldCharType="begin"/>
            </w:r>
            <w:r w:rsidR="00EF2722">
              <w:rPr>
                <w:noProof/>
                <w:webHidden/>
              </w:rPr>
              <w:instrText xml:space="preserve"> PAGEREF _Toc228480085 \h </w:instrText>
            </w:r>
            <w:r w:rsidR="00EF2722">
              <w:rPr>
                <w:noProof/>
                <w:webHidden/>
              </w:rPr>
            </w:r>
            <w:r w:rsidR="00EF2722">
              <w:rPr>
                <w:noProof/>
                <w:webHidden/>
              </w:rPr>
              <w:fldChar w:fldCharType="separate"/>
            </w:r>
            <w:r w:rsidR="00EF2722">
              <w:rPr>
                <w:noProof/>
                <w:webHidden/>
              </w:rPr>
              <w:t>17</w:t>
            </w:r>
            <w:r w:rsidR="00EF2722">
              <w:rPr>
                <w:noProof/>
                <w:webHidden/>
              </w:rPr>
              <w:fldChar w:fldCharType="end"/>
            </w:r>
          </w:hyperlink>
        </w:p>
        <w:p w14:paraId="59F0D19B" w14:textId="3B89C3B9" w:rsidR="00EF2722" w:rsidRDefault="0065476E">
          <w:pPr>
            <w:pStyle w:val="TOC2"/>
            <w:tabs>
              <w:tab w:val="right" w:leader="dot" w:pos="9638"/>
            </w:tabs>
            <w:rPr>
              <w:rFonts w:asciiTheme="minorHAnsi" w:eastAsiaTheme="minorEastAsia" w:hAnsiTheme="minorHAnsi"/>
              <w:noProof/>
              <w:kern w:val="2"/>
              <w:szCs w:val="24"/>
              <w:lang w:val="en-GB" w:eastAsia="en-GB"/>
              <w14:ligatures w14:val="standardContextual"/>
            </w:rPr>
          </w:pPr>
          <w:hyperlink w:anchor="_Toc228480086" w:history="1">
            <w:r w:rsidR="00EF2722" w:rsidRPr="00AA7926">
              <w:rPr>
                <w:rStyle w:val="Hyperlink"/>
                <w:noProof/>
              </w:rPr>
              <w:t>4. Comprehensive and holistic view of the organization</w:t>
            </w:r>
            <w:r w:rsidR="00EF2722">
              <w:rPr>
                <w:noProof/>
                <w:webHidden/>
              </w:rPr>
              <w:tab/>
            </w:r>
            <w:r w:rsidR="00EF2722">
              <w:rPr>
                <w:noProof/>
                <w:webHidden/>
              </w:rPr>
              <w:fldChar w:fldCharType="begin"/>
            </w:r>
            <w:r w:rsidR="00EF2722">
              <w:rPr>
                <w:noProof/>
                <w:webHidden/>
              </w:rPr>
              <w:instrText xml:space="preserve"> PAGEREF _Toc228480086 \h </w:instrText>
            </w:r>
            <w:r w:rsidR="00EF2722">
              <w:rPr>
                <w:noProof/>
                <w:webHidden/>
              </w:rPr>
            </w:r>
            <w:r w:rsidR="00EF2722">
              <w:rPr>
                <w:noProof/>
                <w:webHidden/>
              </w:rPr>
              <w:fldChar w:fldCharType="separate"/>
            </w:r>
            <w:r w:rsidR="00EF2722">
              <w:rPr>
                <w:noProof/>
                <w:webHidden/>
              </w:rPr>
              <w:t>18</w:t>
            </w:r>
            <w:r w:rsidR="00EF2722">
              <w:rPr>
                <w:noProof/>
                <w:webHidden/>
              </w:rPr>
              <w:fldChar w:fldCharType="end"/>
            </w:r>
          </w:hyperlink>
        </w:p>
        <w:p w14:paraId="06A61E4C" w14:textId="71B34987" w:rsidR="00EF2722" w:rsidRDefault="0065476E">
          <w:pPr>
            <w:pStyle w:val="TOC2"/>
            <w:tabs>
              <w:tab w:val="right" w:leader="dot" w:pos="9638"/>
            </w:tabs>
            <w:rPr>
              <w:rFonts w:asciiTheme="minorHAnsi" w:eastAsiaTheme="minorEastAsia" w:hAnsiTheme="minorHAnsi"/>
              <w:noProof/>
              <w:kern w:val="2"/>
              <w:szCs w:val="24"/>
              <w:lang w:val="en-GB" w:eastAsia="en-GB"/>
              <w14:ligatures w14:val="standardContextual"/>
            </w:rPr>
          </w:pPr>
          <w:hyperlink w:anchor="_Toc228480087" w:history="1">
            <w:r w:rsidR="00EF2722" w:rsidRPr="00AA7926">
              <w:rPr>
                <w:rStyle w:val="Hyperlink"/>
                <w:noProof/>
              </w:rPr>
              <w:t>5. Strategic choices and implementation</w:t>
            </w:r>
            <w:r w:rsidR="00EF2722">
              <w:rPr>
                <w:noProof/>
                <w:webHidden/>
              </w:rPr>
              <w:tab/>
            </w:r>
            <w:r w:rsidR="00EF2722">
              <w:rPr>
                <w:noProof/>
                <w:webHidden/>
              </w:rPr>
              <w:fldChar w:fldCharType="begin"/>
            </w:r>
            <w:r w:rsidR="00EF2722">
              <w:rPr>
                <w:noProof/>
                <w:webHidden/>
              </w:rPr>
              <w:instrText xml:space="preserve"> PAGEREF _Toc228480087 \h </w:instrText>
            </w:r>
            <w:r w:rsidR="00EF2722">
              <w:rPr>
                <w:noProof/>
                <w:webHidden/>
              </w:rPr>
            </w:r>
            <w:r w:rsidR="00EF2722">
              <w:rPr>
                <w:noProof/>
                <w:webHidden/>
              </w:rPr>
              <w:fldChar w:fldCharType="separate"/>
            </w:r>
            <w:r w:rsidR="00EF2722">
              <w:rPr>
                <w:noProof/>
                <w:webHidden/>
              </w:rPr>
              <w:t>19</w:t>
            </w:r>
            <w:r w:rsidR="00EF2722">
              <w:rPr>
                <w:noProof/>
                <w:webHidden/>
              </w:rPr>
              <w:fldChar w:fldCharType="end"/>
            </w:r>
          </w:hyperlink>
        </w:p>
        <w:p w14:paraId="2DE50E2C" w14:textId="7A893130" w:rsidR="00EF2722" w:rsidRDefault="0065476E">
          <w:pPr>
            <w:pStyle w:val="TOC2"/>
            <w:tabs>
              <w:tab w:val="right" w:leader="dot" w:pos="9638"/>
            </w:tabs>
            <w:rPr>
              <w:rFonts w:asciiTheme="minorHAnsi" w:eastAsiaTheme="minorEastAsia" w:hAnsiTheme="minorHAnsi"/>
              <w:noProof/>
              <w:kern w:val="2"/>
              <w:szCs w:val="24"/>
              <w:lang w:val="en-GB" w:eastAsia="en-GB"/>
              <w14:ligatures w14:val="standardContextual"/>
            </w:rPr>
          </w:pPr>
          <w:hyperlink w:anchor="_Toc228480088" w:history="1">
            <w:r w:rsidR="00EF2722" w:rsidRPr="00AA7926">
              <w:rPr>
                <w:rStyle w:val="Hyperlink"/>
                <w:noProof/>
              </w:rPr>
              <w:t>6. Strategic evaluation and recommendations</w:t>
            </w:r>
            <w:r w:rsidR="00EF2722">
              <w:rPr>
                <w:noProof/>
                <w:webHidden/>
              </w:rPr>
              <w:tab/>
            </w:r>
            <w:r w:rsidR="00EF2722">
              <w:rPr>
                <w:noProof/>
                <w:webHidden/>
              </w:rPr>
              <w:fldChar w:fldCharType="begin"/>
            </w:r>
            <w:r w:rsidR="00EF2722">
              <w:rPr>
                <w:noProof/>
                <w:webHidden/>
              </w:rPr>
              <w:instrText xml:space="preserve"> PAGEREF _Toc228480088 \h </w:instrText>
            </w:r>
            <w:r w:rsidR="00EF2722">
              <w:rPr>
                <w:noProof/>
                <w:webHidden/>
              </w:rPr>
            </w:r>
            <w:r w:rsidR="00EF2722">
              <w:rPr>
                <w:noProof/>
                <w:webHidden/>
              </w:rPr>
              <w:fldChar w:fldCharType="separate"/>
            </w:r>
            <w:r w:rsidR="00EF2722">
              <w:rPr>
                <w:noProof/>
                <w:webHidden/>
              </w:rPr>
              <w:t>21</w:t>
            </w:r>
            <w:r w:rsidR="00EF2722">
              <w:rPr>
                <w:noProof/>
                <w:webHidden/>
              </w:rPr>
              <w:fldChar w:fldCharType="end"/>
            </w:r>
          </w:hyperlink>
        </w:p>
        <w:p w14:paraId="475D692D" w14:textId="7DBCD5DF" w:rsidR="00EF2722" w:rsidRDefault="0065476E">
          <w:pPr>
            <w:pStyle w:val="TOC1"/>
            <w:tabs>
              <w:tab w:val="right" w:leader="dot" w:pos="9638"/>
            </w:tabs>
            <w:rPr>
              <w:rFonts w:asciiTheme="minorHAnsi" w:eastAsiaTheme="minorEastAsia" w:hAnsiTheme="minorHAnsi"/>
              <w:noProof/>
              <w:kern w:val="2"/>
              <w:szCs w:val="24"/>
              <w:lang w:val="en-GB" w:eastAsia="en-GB"/>
              <w14:ligatures w14:val="standardContextual"/>
            </w:rPr>
          </w:pPr>
          <w:hyperlink w:anchor="_Toc228480089" w:history="1">
            <w:r w:rsidR="00EF2722" w:rsidRPr="00AA7926">
              <w:rPr>
                <w:rStyle w:val="Hyperlink"/>
                <w:noProof/>
              </w:rPr>
              <w:t>Conclusion</w:t>
            </w:r>
            <w:r w:rsidR="00EF2722">
              <w:rPr>
                <w:noProof/>
                <w:webHidden/>
              </w:rPr>
              <w:tab/>
            </w:r>
            <w:r w:rsidR="00EF2722">
              <w:rPr>
                <w:noProof/>
                <w:webHidden/>
              </w:rPr>
              <w:fldChar w:fldCharType="begin"/>
            </w:r>
            <w:r w:rsidR="00EF2722">
              <w:rPr>
                <w:noProof/>
                <w:webHidden/>
              </w:rPr>
              <w:instrText xml:space="preserve"> PAGEREF _Toc228480089 \h </w:instrText>
            </w:r>
            <w:r w:rsidR="00EF2722">
              <w:rPr>
                <w:noProof/>
                <w:webHidden/>
              </w:rPr>
            </w:r>
            <w:r w:rsidR="00EF2722">
              <w:rPr>
                <w:noProof/>
                <w:webHidden/>
              </w:rPr>
              <w:fldChar w:fldCharType="separate"/>
            </w:r>
            <w:r w:rsidR="00EF2722">
              <w:rPr>
                <w:noProof/>
                <w:webHidden/>
              </w:rPr>
              <w:t>23</w:t>
            </w:r>
            <w:r w:rsidR="00EF2722">
              <w:rPr>
                <w:noProof/>
                <w:webHidden/>
              </w:rPr>
              <w:fldChar w:fldCharType="end"/>
            </w:r>
          </w:hyperlink>
        </w:p>
        <w:p w14:paraId="6598D037" w14:textId="6CA8A81B" w:rsidR="00EF2722" w:rsidRDefault="0065476E">
          <w:pPr>
            <w:pStyle w:val="TOC1"/>
            <w:tabs>
              <w:tab w:val="right" w:leader="dot" w:pos="9638"/>
            </w:tabs>
            <w:rPr>
              <w:rFonts w:asciiTheme="minorHAnsi" w:eastAsiaTheme="minorEastAsia" w:hAnsiTheme="minorHAnsi"/>
              <w:noProof/>
              <w:kern w:val="2"/>
              <w:szCs w:val="24"/>
              <w:lang w:val="en-GB" w:eastAsia="en-GB"/>
              <w14:ligatures w14:val="standardContextual"/>
            </w:rPr>
          </w:pPr>
          <w:hyperlink w:anchor="_Toc228480090" w:history="1">
            <w:r w:rsidR="00EF2722" w:rsidRPr="00AA7926">
              <w:rPr>
                <w:rStyle w:val="Hyperlink"/>
                <w:noProof/>
              </w:rPr>
              <w:t>Section 2: Reflective account using Gibbs’ cycle</w:t>
            </w:r>
            <w:r w:rsidR="00EF2722">
              <w:rPr>
                <w:noProof/>
                <w:webHidden/>
              </w:rPr>
              <w:tab/>
            </w:r>
            <w:r w:rsidR="00EF2722">
              <w:rPr>
                <w:noProof/>
                <w:webHidden/>
              </w:rPr>
              <w:fldChar w:fldCharType="begin"/>
            </w:r>
            <w:r w:rsidR="00EF2722">
              <w:rPr>
                <w:noProof/>
                <w:webHidden/>
              </w:rPr>
              <w:instrText xml:space="preserve"> PAGEREF _Toc228480090 \h </w:instrText>
            </w:r>
            <w:r w:rsidR="00EF2722">
              <w:rPr>
                <w:noProof/>
                <w:webHidden/>
              </w:rPr>
            </w:r>
            <w:r w:rsidR="00EF2722">
              <w:rPr>
                <w:noProof/>
                <w:webHidden/>
              </w:rPr>
              <w:fldChar w:fldCharType="separate"/>
            </w:r>
            <w:r w:rsidR="00EF2722">
              <w:rPr>
                <w:noProof/>
                <w:webHidden/>
              </w:rPr>
              <w:t>24</w:t>
            </w:r>
            <w:r w:rsidR="00EF2722">
              <w:rPr>
                <w:noProof/>
                <w:webHidden/>
              </w:rPr>
              <w:fldChar w:fldCharType="end"/>
            </w:r>
          </w:hyperlink>
        </w:p>
        <w:p w14:paraId="3278CB43" w14:textId="1FA96065" w:rsidR="00EF2722" w:rsidRDefault="0065476E">
          <w:pPr>
            <w:pStyle w:val="TOC1"/>
            <w:tabs>
              <w:tab w:val="right" w:leader="dot" w:pos="9638"/>
            </w:tabs>
            <w:rPr>
              <w:rFonts w:asciiTheme="minorHAnsi" w:eastAsiaTheme="minorEastAsia" w:hAnsiTheme="minorHAnsi"/>
              <w:noProof/>
              <w:kern w:val="2"/>
              <w:szCs w:val="24"/>
              <w:lang w:val="en-GB" w:eastAsia="en-GB"/>
              <w14:ligatures w14:val="standardContextual"/>
            </w:rPr>
          </w:pPr>
          <w:hyperlink w:anchor="_Toc228480091" w:history="1">
            <w:r w:rsidR="00EF2722" w:rsidRPr="00AA7926">
              <w:rPr>
                <w:rStyle w:val="Hyperlink"/>
                <w:noProof/>
              </w:rPr>
              <w:t>References</w:t>
            </w:r>
            <w:r w:rsidR="00EF2722">
              <w:rPr>
                <w:noProof/>
                <w:webHidden/>
              </w:rPr>
              <w:tab/>
            </w:r>
            <w:r w:rsidR="00EF2722">
              <w:rPr>
                <w:noProof/>
                <w:webHidden/>
              </w:rPr>
              <w:fldChar w:fldCharType="begin"/>
            </w:r>
            <w:r w:rsidR="00EF2722">
              <w:rPr>
                <w:noProof/>
                <w:webHidden/>
              </w:rPr>
              <w:instrText xml:space="preserve"> PAGEREF _Toc228480091 \h </w:instrText>
            </w:r>
            <w:r w:rsidR="00EF2722">
              <w:rPr>
                <w:noProof/>
                <w:webHidden/>
              </w:rPr>
            </w:r>
            <w:r w:rsidR="00EF2722">
              <w:rPr>
                <w:noProof/>
                <w:webHidden/>
              </w:rPr>
              <w:fldChar w:fldCharType="separate"/>
            </w:r>
            <w:r w:rsidR="00EF2722">
              <w:rPr>
                <w:noProof/>
                <w:webHidden/>
              </w:rPr>
              <w:t>27</w:t>
            </w:r>
            <w:r w:rsidR="00EF2722">
              <w:rPr>
                <w:noProof/>
                <w:webHidden/>
              </w:rPr>
              <w:fldChar w:fldCharType="end"/>
            </w:r>
          </w:hyperlink>
        </w:p>
        <w:p w14:paraId="12345419" w14:textId="5F1A97CA" w:rsidR="00A35DC5" w:rsidRDefault="00A35DC5">
          <w:r>
            <w:rPr>
              <w:b/>
              <w:bCs/>
            </w:rPr>
            <w:fldChar w:fldCharType="end"/>
          </w:r>
        </w:p>
      </w:sdtContent>
    </w:sdt>
    <w:p w14:paraId="06E3EBD1" w14:textId="287471FC" w:rsidR="00192FEE" w:rsidRDefault="002865E9">
      <w:r>
        <w:br w:type="page"/>
      </w:r>
    </w:p>
    <w:p w14:paraId="70DA53D7" w14:textId="77777777" w:rsidR="00192FEE" w:rsidRPr="00D06AE2" w:rsidRDefault="002865E9" w:rsidP="00D06AE2">
      <w:pPr>
        <w:pStyle w:val="Heading1"/>
      </w:pPr>
      <w:bookmarkStart w:id="2" w:name="_Toc228480076"/>
      <w:r>
        <w:lastRenderedPageBreak/>
        <w:t>Introduction</w:t>
      </w:r>
      <w:bookmarkEnd w:id="2"/>
    </w:p>
    <w:p w14:paraId="4F48B437" w14:textId="29BEB25F" w:rsidR="00B7101D" w:rsidRDefault="00B7101D" w:rsidP="00B7101D">
      <w:r>
        <w:t>Strategic management is the process in which an organisation examines both internal and external environment, develops suitable strategies and executes them to gain long-term competitive advantage</w:t>
      </w:r>
      <w:r w:rsidR="00DE479D">
        <w:t xml:space="preserve"> </w:t>
      </w:r>
      <w:r w:rsidR="00DE479D" w:rsidRPr="00DE479D">
        <w:t>(Whittington et al., 2021)</w:t>
      </w:r>
      <w:r>
        <w:t>. The process has become more complicated in the modern automotive sector as companies have to act concurrently in the face of electrification, digital transformation, sustainability pressure, and the growing global competition.</w:t>
      </w:r>
      <w:r w:rsidR="00EF2722">
        <w:t xml:space="preserve"> </w:t>
      </w:r>
      <w:r>
        <w:t>This report is based on Toyota as it is a good example of a well-established company in the world that has a long-standing reputation in lean production, quality, and hybrid technology, which are challenged by a high rate of technological, regulation, and consumer changes</w:t>
      </w:r>
      <w:r w:rsidR="00150A3C">
        <w:t xml:space="preserve"> (Toyota Motor Corporation, 2025a)</w:t>
      </w:r>
      <w:r>
        <w:t xml:space="preserve">. </w:t>
      </w:r>
    </w:p>
    <w:p w14:paraId="1E639FF9" w14:textId="6F1BEF5E" w:rsidR="00AA3C13" w:rsidRDefault="00B7101D" w:rsidP="00B7101D">
      <w:r>
        <w:t>It breaks down the external and internal environment of the company, analysing the resources and capabilities it holds using the VRIO framework and the contribution they make to competitive advantage. The report also evaluates the CSR and sustainability strategy of Toyota, uses the balanced scorecard to provide an overall picture of performance, analyzes the strategy-related strategic choices and change management, and ends with strategic suggestions before giving a reflective account using the reflective cycle of Gibbs.</w:t>
      </w:r>
    </w:p>
    <w:p w14:paraId="6F9F4A0C" w14:textId="4CE89815" w:rsidR="00D06AE2" w:rsidRDefault="00D06AE2" w:rsidP="00D06AE2">
      <w:pPr>
        <w:spacing w:after="200" w:line="276" w:lineRule="auto"/>
        <w:jc w:val="left"/>
      </w:pPr>
      <w:r>
        <w:br w:type="page"/>
      </w:r>
    </w:p>
    <w:p w14:paraId="08E2671E" w14:textId="43727A24" w:rsidR="008458A3" w:rsidRPr="008458A3" w:rsidRDefault="008458A3" w:rsidP="008458A3">
      <w:pPr>
        <w:pStyle w:val="Heading1"/>
      </w:pPr>
      <w:bookmarkStart w:id="3" w:name="_Toc228480077"/>
      <w:r>
        <w:lastRenderedPageBreak/>
        <w:t>Section 1</w:t>
      </w:r>
      <w:bookmarkEnd w:id="3"/>
    </w:p>
    <w:p w14:paraId="667D02FB" w14:textId="4126CF10" w:rsidR="00192FEE" w:rsidRDefault="002865E9" w:rsidP="008458A3">
      <w:pPr>
        <w:pStyle w:val="Heading2"/>
      </w:pPr>
      <w:bookmarkStart w:id="4" w:name="_Toc228480078"/>
      <w:r>
        <w:t>1. Organisational context and overview</w:t>
      </w:r>
      <w:bookmarkEnd w:id="4"/>
    </w:p>
    <w:p w14:paraId="5B62D304" w14:textId="000312F6" w:rsidR="009D210C" w:rsidRDefault="00B7101D" w:rsidP="009D210C">
      <w:pPr>
        <w:rPr>
          <w:lang w:val="en-GB"/>
        </w:rPr>
      </w:pPr>
      <w:r w:rsidRPr="00B7101D">
        <w:rPr>
          <w:lang w:val="en-GB"/>
        </w:rPr>
        <w:t>Toyota Motor Corporation is a Japanese multinational, established in 1937, with headquarters in Toyota City, Aichi Prefecture. As figure 1 and figure 2 demonstrate, the corporate identity and strategic development of Toyota is closely interconnected with a grand tradition of manufacturing discipline, global expansion, and continuous improvement. This historical development holds significance in that Toyota is not in its competitive position today because it was not developed in a vacuum over years; it was developed through the establishment of the Toyota Production System, international learning practices, and a culture of quality orientation</w:t>
      </w:r>
      <w:r w:rsidR="00150A3C">
        <w:rPr>
          <w:lang w:val="en-GB"/>
        </w:rPr>
        <w:t xml:space="preserve"> </w:t>
      </w:r>
      <w:r w:rsidR="00150A3C" w:rsidRPr="00B7101D">
        <w:rPr>
          <w:lang w:val="en-GB"/>
        </w:rPr>
        <w:t>(Liker, 2020)</w:t>
      </w:r>
      <w:r w:rsidRPr="00B7101D">
        <w:rPr>
          <w:lang w:val="en-GB"/>
        </w:rPr>
        <w:t xml:space="preserve">. </w:t>
      </w:r>
    </w:p>
    <w:p w14:paraId="6F2DDC5B" w14:textId="0B017306" w:rsidR="00090C65" w:rsidRDefault="00150A3C" w:rsidP="00090C65">
      <w:pPr>
        <w:keepNext/>
        <w:spacing w:after="40"/>
        <w:jc w:val="center"/>
      </w:pPr>
      <w:r>
        <w:rPr>
          <w:noProof/>
        </w:rPr>
        <w:drawing>
          <wp:inline distT="0" distB="0" distL="0" distR="0" wp14:anchorId="51A65BA2" wp14:editId="39FF13C4">
            <wp:extent cx="2656167" cy="2828925"/>
            <wp:effectExtent l="0" t="0" r="0" b="0"/>
            <wp:docPr id="1373852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852430" name=""/>
                    <pic:cNvPicPr/>
                  </pic:nvPicPr>
                  <pic:blipFill>
                    <a:blip r:embed="rId9"/>
                    <a:stretch>
                      <a:fillRect/>
                    </a:stretch>
                  </pic:blipFill>
                  <pic:spPr>
                    <a:xfrm>
                      <a:off x="0" y="0"/>
                      <a:ext cx="2657013" cy="2829825"/>
                    </a:xfrm>
                    <a:prstGeom prst="rect">
                      <a:avLst/>
                    </a:prstGeom>
                  </pic:spPr>
                </pic:pic>
              </a:graphicData>
            </a:graphic>
          </wp:inline>
        </w:drawing>
      </w:r>
    </w:p>
    <w:p w14:paraId="41FE6E43" w14:textId="7394FEAE" w:rsidR="00090C65" w:rsidRPr="00090C65" w:rsidRDefault="00090C65" w:rsidP="005269D1">
      <w:pPr>
        <w:pStyle w:val="Caption"/>
        <w:jc w:val="center"/>
      </w:pPr>
      <w:r>
        <w:t xml:space="preserve">Figure </w:t>
      </w:r>
      <w:r w:rsidR="0065476E">
        <w:fldChar w:fldCharType="begin"/>
      </w:r>
      <w:r w:rsidR="0065476E">
        <w:instrText xml:space="preserve"> SEQ Figure \* ARABIC </w:instrText>
      </w:r>
      <w:r w:rsidR="0065476E">
        <w:fldChar w:fldCharType="separate"/>
      </w:r>
      <w:r w:rsidR="00EC7C1E">
        <w:rPr>
          <w:noProof/>
        </w:rPr>
        <w:t>1</w:t>
      </w:r>
      <w:r w:rsidR="0065476E">
        <w:rPr>
          <w:noProof/>
        </w:rPr>
        <w:fldChar w:fldCharType="end"/>
      </w:r>
      <w:r>
        <w:t xml:space="preserve">: </w:t>
      </w:r>
      <w:r w:rsidRPr="00F10A16">
        <w:t>Toyota Brand</w:t>
      </w:r>
      <w:r w:rsidR="005269D1">
        <w:t xml:space="preserve"> (</w:t>
      </w:r>
      <w:r>
        <w:t xml:space="preserve">Source: </w:t>
      </w:r>
      <w:r w:rsidRPr="00090C65">
        <w:rPr>
          <w:rFonts w:cs="Arial"/>
          <w:szCs w:val="24"/>
        </w:rPr>
        <w:t>Toyota Motor Corporation</w:t>
      </w:r>
      <w:r>
        <w:rPr>
          <w:rFonts w:cs="Arial"/>
          <w:szCs w:val="24"/>
        </w:rPr>
        <w:t xml:space="preserve">, </w:t>
      </w:r>
      <w:r w:rsidRPr="00090C65">
        <w:rPr>
          <w:rFonts w:cs="Arial"/>
          <w:szCs w:val="24"/>
        </w:rPr>
        <w:t>2025b)</w:t>
      </w:r>
    </w:p>
    <w:p w14:paraId="794636C3" w14:textId="1DBAD738" w:rsidR="009D210C" w:rsidRDefault="00B7101D" w:rsidP="009D210C">
      <w:pPr>
        <w:rPr>
          <w:lang w:val="en-GB"/>
        </w:rPr>
      </w:pPr>
      <w:r w:rsidRPr="00B7101D">
        <w:rPr>
          <w:lang w:val="en-GB"/>
        </w:rPr>
        <w:t>The mission of Toyota is stated as the goal to produce Happiness to All, and the broader vision is Creating Mobility to All. These declarations indicate that the company is ceasing to identify itself as a car manufacturer, but as a mobility-based enterprise that is responsive to social, environmental and technological change. Toyota’s FY2025 results reported sales revenues of ¥48.036 trillion, operating income of ¥4.796 trillion, and consolidated vehicle sales of 9.362 million units, indicating that the firm still possesses the scale and financial capacity needed to support strategic transformation while preserving operational strength (Toyota Motor Corporation, 2025b).</w:t>
      </w:r>
    </w:p>
    <w:p w14:paraId="635384E6" w14:textId="77777777" w:rsidR="00D1566A" w:rsidRDefault="009D210C" w:rsidP="00D1566A">
      <w:pPr>
        <w:keepNext/>
        <w:spacing w:after="40"/>
        <w:jc w:val="center"/>
      </w:pPr>
      <w:r>
        <w:rPr>
          <w:noProof/>
        </w:rPr>
        <w:lastRenderedPageBreak/>
        <w:drawing>
          <wp:inline distT="0" distB="0" distL="0" distR="0" wp14:anchorId="4AA6F1BC" wp14:editId="1F03E7E0">
            <wp:extent cx="3778532" cy="2488018"/>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509d4d6-753c-4827-8399-4b0642309bc2.png"/>
                    <pic:cNvPicPr/>
                  </pic:nvPicPr>
                  <pic:blipFill>
                    <a:blip r:embed="rId10"/>
                    <a:stretch>
                      <a:fillRect/>
                    </a:stretch>
                  </pic:blipFill>
                  <pic:spPr>
                    <a:xfrm>
                      <a:off x="0" y="0"/>
                      <a:ext cx="3778532" cy="2488018"/>
                    </a:xfrm>
                    <a:prstGeom prst="rect">
                      <a:avLst/>
                    </a:prstGeom>
                  </pic:spPr>
                </pic:pic>
              </a:graphicData>
            </a:graphic>
          </wp:inline>
        </w:drawing>
      </w:r>
    </w:p>
    <w:p w14:paraId="550C885D" w14:textId="46F2214A" w:rsidR="00D1566A" w:rsidRPr="00D1566A" w:rsidRDefault="00D1566A" w:rsidP="005269D1">
      <w:pPr>
        <w:pStyle w:val="Caption"/>
        <w:jc w:val="center"/>
      </w:pPr>
      <w:r>
        <w:t xml:space="preserve">Figure </w:t>
      </w:r>
      <w:r w:rsidR="0065476E">
        <w:fldChar w:fldCharType="begin"/>
      </w:r>
      <w:r w:rsidR="0065476E">
        <w:instrText xml:space="preserve"> SEQ Figure \* ARABIC </w:instrText>
      </w:r>
      <w:r w:rsidR="0065476E">
        <w:fldChar w:fldCharType="separate"/>
      </w:r>
      <w:r w:rsidR="00EC7C1E">
        <w:rPr>
          <w:noProof/>
        </w:rPr>
        <w:t>2</w:t>
      </w:r>
      <w:r w:rsidR="0065476E">
        <w:rPr>
          <w:noProof/>
        </w:rPr>
        <w:fldChar w:fldCharType="end"/>
      </w:r>
      <w:r>
        <w:t xml:space="preserve">: </w:t>
      </w:r>
      <w:r w:rsidRPr="00C757C8">
        <w:t>Toyota Strategic Timeline</w:t>
      </w:r>
      <w:r w:rsidR="005269D1">
        <w:t xml:space="preserve"> (</w:t>
      </w:r>
      <w:r w:rsidRPr="00D1566A">
        <w:t>Source: Toyota Times, 2024</w:t>
      </w:r>
      <w:r>
        <w:t>a</w:t>
      </w:r>
      <w:r w:rsidRPr="00D1566A">
        <w:t>)</w:t>
      </w:r>
    </w:p>
    <w:p w14:paraId="17DDF97F" w14:textId="4F99D643" w:rsidR="009D210C" w:rsidRDefault="00B7101D" w:rsidP="009D210C">
      <w:pPr>
        <w:rPr>
          <w:lang w:val="en-GB"/>
        </w:rPr>
      </w:pPr>
      <w:r w:rsidRPr="00B7101D">
        <w:rPr>
          <w:lang w:val="en-GB"/>
        </w:rPr>
        <w:t>Toyota operates in the global automotive and mobility industry, where competition is increasingly shaped by electrification, software capability, sustainability regulation, and restructuring of international value chains. The prominent rivals are Volkswagen, Tesla, BYD, Hyundai-Kia, and Honda (Ramos, 2024).</w:t>
      </w:r>
    </w:p>
    <w:p w14:paraId="1AB189DF" w14:textId="77777777" w:rsidR="00D1566A" w:rsidRDefault="009D210C" w:rsidP="00D1566A">
      <w:pPr>
        <w:keepNext/>
        <w:spacing w:after="40"/>
        <w:jc w:val="center"/>
      </w:pPr>
      <w:r>
        <w:rPr>
          <w:noProof/>
        </w:rPr>
        <w:drawing>
          <wp:inline distT="0" distB="0" distL="0" distR="0" wp14:anchorId="00496684" wp14:editId="4BEBC76B">
            <wp:extent cx="3669487" cy="2828261"/>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e19efc3-81b5-4bd7-954d-e19730f601a4.png"/>
                    <pic:cNvPicPr/>
                  </pic:nvPicPr>
                  <pic:blipFill>
                    <a:blip r:embed="rId11"/>
                    <a:stretch>
                      <a:fillRect/>
                    </a:stretch>
                  </pic:blipFill>
                  <pic:spPr>
                    <a:xfrm>
                      <a:off x="0" y="0"/>
                      <a:ext cx="3670973" cy="2829406"/>
                    </a:xfrm>
                    <a:prstGeom prst="rect">
                      <a:avLst/>
                    </a:prstGeom>
                  </pic:spPr>
                </pic:pic>
              </a:graphicData>
            </a:graphic>
          </wp:inline>
        </w:drawing>
      </w:r>
    </w:p>
    <w:p w14:paraId="1322E4D1" w14:textId="0CD20FDE" w:rsidR="00D1566A" w:rsidRPr="00D1566A" w:rsidRDefault="00D1566A" w:rsidP="005269D1">
      <w:pPr>
        <w:pStyle w:val="Caption"/>
        <w:jc w:val="center"/>
      </w:pPr>
      <w:r>
        <w:t xml:space="preserve">Figure </w:t>
      </w:r>
      <w:r w:rsidR="0065476E">
        <w:fldChar w:fldCharType="begin"/>
      </w:r>
      <w:r w:rsidR="0065476E">
        <w:instrText xml:space="preserve"> SEQ Figure \* ARABIC </w:instrText>
      </w:r>
      <w:r w:rsidR="0065476E">
        <w:fldChar w:fldCharType="separate"/>
      </w:r>
      <w:r w:rsidR="00EC7C1E">
        <w:rPr>
          <w:noProof/>
        </w:rPr>
        <w:t>3</w:t>
      </w:r>
      <w:r w:rsidR="0065476E">
        <w:rPr>
          <w:noProof/>
        </w:rPr>
        <w:fldChar w:fldCharType="end"/>
      </w:r>
      <w:r>
        <w:t xml:space="preserve">: </w:t>
      </w:r>
      <w:r w:rsidRPr="00617677">
        <w:t>Perceptual Map of Toyota and Key Competitors in the Global Automotive Market</w:t>
      </w:r>
      <w:r w:rsidR="005269D1">
        <w:t xml:space="preserve"> (</w:t>
      </w:r>
      <w:r>
        <w:t xml:space="preserve">Source: </w:t>
      </w:r>
      <w:r w:rsidRPr="00D1566A">
        <w:t>Adsy</w:t>
      </w:r>
      <w:r>
        <w:t xml:space="preserve">, </w:t>
      </w:r>
      <w:r w:rsidRPr="00D1566A">
        <w:t>2025)</w:t>
      </w:r>
    </w:p>
    <w:p w14:paraId="4DCA92E5" w14:textId="40FB51D5" w:rsidR="00AA3C13" w:rsidRPr="008458A3" w:rsidRDefault="00B7101D" w:rsidP="008458A3">
      <w:pPr>
        <w:rPr>
          <w:lang w:val="en-GB"/>
        </w:rPr>
      </w:pPr>
      <w:r w:rsidRPr="00B7101D">
        <w:rPr>
          <w:lang w:val="en-GB"/>
        </w:rPr>
        <w:t>Toyota, as Figure 3 indicates, holds a broad-market stance of reliability, value, and gradual electrification, as opposed to a Tesla, or more aggressive EV-price approach taken by BYD. This placement means that Toyota still enjoys the benefits of scale, trust, and operational integration, despite current industrial transformation increasing the pressure on long-standing manufacturers to respond more rapidly to new technological paradigms (Whittington et al., 2021).</w:t>
      </w:r>
    </w:p>
    <w:p w14:paraId="7C2CCEF8" w14:textId="66D6D002" w:rsidR="00192FEE" w:rsidRDefault="002865E9" w:rsidP="008458A3">
      <w:pPr>
        <w:pStyle w:val="Heading2"/>
      </w:pPr>
      <w:bookmarkStart w:id="5" w:name="_Toc228480079"/>
      <w:r>
        <w:lastRenderedPageBreak/>
        <w:t>2. External and internal environment analysis</w:t>
      </w:r>
      <w:bookmarkEnd w:id="5"/>
    </w:p>
    <w:p w14:paraId="70313602" w14:textId="3B00F88A" w:rsidR="00D21487" w:rsidRPr="00D21487" w:rsidRDefault="00B7101D" w:rsidP="00D21487">
      <w:pPr>
        <w:rPr>
          <w:lang w:val="en-GB"/>
        </w:rPr>
      </w:pPr>
      <w:r w:rsidRPr="00B7101D">
        <w:rPr>
          <w:lang w:val="en-GB"/>
        </w:rPr>
        <w:t>External environment is a set of macro forces outside the firm that create opportunities, threats and strategic options, and internal environment is the assets, abilities, routines and competencies within the firm that define how well it can respond</w:t>
      </w:r>
      <w:r w:rsidR="00DE479D">
        <w:rPr>
          <w:lang w:val="en-GB"/>
        </w:rPr>
        <w:t xml:space="preserve"> </w:t>
      </w:r>
      <w:r w:rsidR="00DE479D" w:rsidRPr="00DE479D">
        <w:t>(Johnson et al., 2021)</w:t>
      </w:r>
      <w:r w:rsidRPr="00B7101D">
        <w:rPr>
          <w:lang w:val="en-GB"/>
        </w:rPr>
        <w:t xml:space="preserve">. </w:t>
      </w:r>
      <w:r w:rsidR="0034394E" w:rsidRPr="0034394E">
        <w:rPr>
          <w:lang w:val="en-GB"/>
        </w:rPr>
        <w:t>For Toyota, understanding both is critical as competition no longer only relates to scale and quality; it now relates to electrification, software, carbon and geopolitics (Kobayashi, 2024).</w:t>
      </w:r>
    </w:p>
    <w:p w14:paraId="2AF1CCCF" w14:textId="77777777" w:rsidR="00D21487" w:rsidRDefault="00D21487" w:rsidP="008458A3">
      <w:pPr>
        <w:pStyle w:val="Heading3"/>
        <w:rPr>
          <w:lang w:val="en-GB"/>
        </w:rPr>
      </w:pPr>
      <w:bookmarkStart w:id="6" w:name="_Toc228480080"/>
      <w:r w:rsidRPr="00D21487">
        <w:rPr>
          <w:lang w:val="en-GB"/>
        </w:rPr>
        <w:t>2.1 PESTLE analysis</w:t>
      </w:r>
      <w:bookmarkEnd w:id="6"/>
    </w:p>
    <w:p w14:paraId="4D50ADEF" w14:textId="77777777" w:rsidR="00EC7C1E" w:rsidRDefault="00D21487" w:rsidP="00EC7C1E">
      <w:pPr>
        <w:keepNext/>
        <w:spacing w:after="40"/>
        <w:jc w:val="center"/>
      </w:pPr>
      <w:r>
        <w:rPr>
          <w:noProof/>
        </w:rPr>
        <w:drawing>
          <wp:inline distT="0" distB="0" distL="0" distR="0" wp14:anchorId="63C6F8E5" wp14:editId="44655E9E">
            <wp:extent cx="4852588" cy="2865264"/>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4bc9863-7702-42a9-8f4b-7fbb1e20ae36.png"/>
                    <pic:cNvPicPr/>
                  </pic:nvPicPr>
                  <pic:blipFill>
                    <a:blip r:embed="rId12"/>
                    <a:stretch>
                      <a:fillRect/>
                    </a:stretch>
                  </pic:blipFill>
                  <pic:spPr>
                    <a:xfrm>
                      <a:off x="0" y="0"/>
                      <a:ext cx="4855141" cy="2866772"/>
                    </a:xfrm>
                    <a:prstGeom prst="rect">
                      <a:avLst/>
                    </a:prstGeom>
                  </pic:spPr>
                </pic:pic>
              </a:graphicData>
            </a:graphic>
          </wp:inline>
        </w:drawing>
      </w:r>
    </w:p>
    <w:p w14:paraId="520C7C45" w14:textId="7DA238C0" w:rsidR="00EC7C1E" w:rsidRPr="005269D1" w:rsidRDefault="00EC7C1E" w:rsidP="005269D1">
      <w:pPr>
        <w:pStyle w:val="Caption"/>
        <w:jc w:val="center"/>
      </w:pPr>
      <w:r>
        <w:t xml:space="preserve">Figure </w:t>
      </w:r>
      <w:r w:rsidR="0065476E">
        <w:fldChar w:fldCharType="begin"/>
      </w:r>
      <w:r w:rsidR="0065476E">
        <w:instrText xml:space="preserve"> SEQ Figure \* ARABIC </w:instrText>
      </w:r>
      <w:r w:rsidR="0065476E">
        <w:fldChar w:fldCharType="separate"/>
      </w:r>
      <w:r>
        <w:rPr>
          <w:noProof/>
        </w:rPr>
        <w:t>4</w:t>
      </w:r>
      <w:r w:rsidR="0065476E">
        <w:rPr>
          <w:noProof/>
        </w:rPr>
        <w:fldChar w:fldCharType="end"/>
      </w:r>
      <w:r>
        <w:t xml:space="preserve">: </w:t>
      </w:r>
      <w:r w:rsidRPr="009A1351">
        <w:t>PESTLE Analysis</w:t>
      </w:r>
      <w:r w:rsidR="005269D1">
        <w:t xml:space="preserve"> (</w:t>
      </w:r>
      <w:r w:rsidRPr="00EC7C1E">
        <w:rPr>
          <w:lang w:val="en-GB"/>
        </w:rPr>
        <w:t xml:space="preserve">Source: </w:t>
      </w:r>
      <w:r w:rsidRPr="00EC7C1E">
        <w:t>Ormston, 2025)</w:t>
      </w:r>
    </w:p>
    <w:p w14:paraId="5CA88502" w14:textId="06555A30" w:rsidR="00B7101D" w:rsidRPr="00B7101D" w:rsidRDefault="00D21487" w:rsidP="00B7101D">
      <w:pPr>
        <w:rPr>
          <w:lang w:val="en-GB"/>
        </w:rPr>
      </w:pPr>
      <w:r w:rsidRPr="00D21487">
        <w:rPr>
          <w:b/>
          <w:bCs/>
          <w:lang w:val="en-GB"/>
        </w:rPr>
        <w:t>Political Factors:</w:t>
      </w:r>
      <w:r>
        <w:rPr>
          <w:lang w:val="en-GB"/>
        </w:rPr>
        <w:t xml:space="preserve"> </w:t>
      </w:r>
      <w:r w:rsidR="00B7101D" w:rsidRPr="00B7101D">
        <w:rPr>
          <w:lang w:val="en-GB"/>
        </w:rPr>
        <w:t>Industrial policy, tariffs, localisation pressure and energy-transition incentives are increasingly influencing Toyota. U.S., European and Chinese governments are relying on subsidies, local-content regulations and trade protection to mould automotive competition, which implies that Toyota cannot afford to use one global logic of production. Toyota itself (FY2026) presupposes the negative tariff impact clearly, and it demonstrates that the public policy has a direct impact on profitability and market planning</w:t>
      </w:r>
      <w:r w:rsidR="00150A3C">
        <w:rPr>
          <w:lang w:val="en-GB"/>
        </w:rPr>
        <w:t xml:space="preserve"> </w:t>
      </w:r>
      <w:r w:rsidR="00150A3C" w:rsidRPr="00B7101D">
        <w:rPr>
          <w:lang w:val="en-GB"/>
        </w:rPr>
        <w:t>(Whittington et al., 2021)</w:t>
      </w:r>
      <w:r w:rsidR="00B7101D" w:rsidRPr="00B7101D">
        <w:rPr>
          <w:lang w:val="en-GB"/>
        </w:rPr>
        <w:t xml:space="preserve">. </w:t>
      </w:r>
    </w:p>
    <w:p w14:paraId="4B55C516" w14:textId="77777777" w:rsidR="00B7101D" w:rsidRPr="00B7101D" w:rsidRDefault="00D21487" w:rsidP="00B7101D">
      <w:pPr>
        <w:rPr>
          <w:lang w:val="en-GB"/>
        </w:rPr>
      </w:pPr>
      <w:r w:rsidRPr="00D21487">
        <w:rPr>
          <w:b/>
          <w:bCs/>
          <w:lang w:val="en-GB"/>
        </w:rPr>
        <w:t>Economic Factors:</w:t>
      </w:r>
      <w:r>
        <w:rPr>
          <w:lang w:val="en-GB"/>
        </w:rPr>
        <w:t xml:space="preserve"> </w:t>
      </w:r>
      <w:r w:rsidR="00B7101D" w:rsidRPr="00B7101D">
        <w:rPr>
          <w:lang w:val="en-GB"/>
        </w:rPr>
        <w:t xml:space="preserve">Economic forces influence Toyota with exchange rate volatility, financing conditions, inflation, consumer affordability and cost of raw materials. Figure 5 reveals that Toyota was very profitable in FY2025, but the analysis also reflects pressure on operating income when compared to revenue growth, which shows that scale cannot remove </w:t>
      </w:r>
      <w:r w:rsidR="00B7101D" w:rsidRPr="00B7101D">
        <w:rPr>
          <w:lang w:val="en-GB"/>
        </w:rPr>
        <w:lastRenderedPageBreak/>
        <w:t xml:space="preserve">cost-side pressure. In a capital-intensive sector, economic resilience is based on continuously generating cash and investing in transition technologies. </w:t>
      </w:r>
    </w:p>
    <w:p w14:paraId="04BFB79B" w14:textId="77777777" w:rsidR="00D1566A" w:rsidRDefault="00D21487" w:rsidP="00D1566A">
      <w:pPr>
        <w:keepNext/>
        <w:spacing w:after="40"/>
        <w:jc w:val="center"/>
      </w:pPr>
      <w:r>
        <w:rPr>
          <w:noProof/>
        </w:rPr>
        <w:drawing>
          <wp:inline distT="0" distB="0" distL="0" distR="0" wp14:anchorId="69264874" wp14:editId="485F8859">
            <wp:extent cx="3924778" cy="5029191"/>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8992645-b3a6-4c9e-ab59-9c693a52de8c.png"/>
                    <pic:cNvPicPr/>
                  </pic:nvPicPr>
                  <pic:blipFill>
                    <a:blip r:embed="rId13"/>
                    <a:stretch>
                      <a:fillRect/>
                    </a:stretch>
                  </pic:blipFill>
                  <pic:spPr>
                    <a:xfrm>
                      <a:off x="0" y="0"/>
                      <a:ext cx="3927316" cy="5032443"/>
                    </a:xfrm>
                    <a:prstGeom prst="rect">
                      <a:avLst/>
                    </a:prstGeom>
                  </pic:spPr>
                </pic:pic>
              </a:graphicData>
            </a:graphic>
          </wp:inline>
        </w:drawing>
      </w:r>
    </w:p>
    <w:p w14:paraId="0C3D4BC2" w14:textId="3A9810C0" w:rsidR="00D1566A" w:rsidRDefault="00D1566A" w:rsidP="005269D1">
      <w:pPr>
        <w:pStyle w:val="Caption"/>
        <w:jc w:val="center"/>
      </w:pPr>
      <w:r>
        <w:t xml:space="preserve">Figure </w:t>
      </w:r>
      <w:r w:rsidR="0065476E">
        <w:fldChar w:fldCharType="begin"/>
      </w:r>
      <w:r w:rsidR="0065476E">
        <w:instrText xml:space="preserve"> SEQ Figure \* ARABIC </w:instrText>
      </w:r>
      <w:r w:rsidR="0065476E">
        <w:fldChar w:fldCharType="separate"/>
      </w:r>
      <w:r w:rsidR="00EC7C1E">
        <w:rPr>
          <w:noProof/>
        </w:rPr>
        <w:t>5</w:t>
      </w:r>
      <w:r w:rsidR="0065476E">
        <w:rPr>
          <w:noProof/>
        </w:rPr>
        <w:fldChar w:fldCharType="end"/>
      </w:r>
      <w:r>
        <w:t xml:space="preserve">: </w:t>
      </w:r>
      <w:r w:rsidRPr="00D341C9">
        <w:t>Toyota FY2024 vs FY2025 Financial Comparison</w:t>
      </w:r>
      <w:r w:rsidR="005269D1">
        <w:t xml:space="preserve"> (</w:t>
      </w:r>
      <w:r>
        <w:t xml:space="preserve">Source: </w:t>
      </w:r>
      <w:r w:rsidRPr="00D1566A">
        <w:t>Toyota Times, 2024</w:t>
      </w:r>
      <w:r>
        <w:t>b</w:t>
      </w:r>
      <w:r w:rsidRPr="00D1566A">
        <w:t>)</w:t>
      </w:r>
    </w:p>
    <w:p w14:paraId="7FD808AC" w14:textId="4A1C0227" w:rsidR="005F7194" w:rsidRDefault="00B7101D" w:rsidP="00D21487">
      <w:pPr>
        <w:rPr>
          <w:lang w:val="en-GB"/>
        </w:rPr>
      </w:pPr>
      <w:r w:rsidRPr="00B7101D">
        <w:rPr>
          <w:lang w:val="en-GB"/>
        </w:rPr>
        <w:t>The big balance sheet of Toyota provides it with the ability to invest, but macroeconomic shocks can still influence both margins and demand. The strategic importance of economic conditions, in its turn, lies in the fact that it affects the ability of Toyota to finance the process of electrification, mitigate market shocks, and maintain its value-based positioning without compromising its profitability. The FY2025 performance of Toyota indicated sales revenues of ¥48.036 trillion, operating incomes of ¥4.796 trillion, and consolidated vehicle sales of 9.362 million cars</w:t>
      </w:r>
      <w:r w:rsidR="006A23AB">
        <w:rPr>
          <w:lang w:val="en-GB"/>
        </w:rPr>
        <w:t xml:space="preserve"> </w:t>
      </w:r>
      <w:r w:rsidR="006A23AB" w:rsidRPr="00B7101D">
        <w:rPr>
          <w:lang w:val="en-GB"/>
        </w:rPr>
        <w:t>(Zulfikar and Juju, 2025)</w:t>
      </w:r>
      <w:r w:rsidRPr="00B7101D">
        <w:rPr>
          <w:lang w:val="en-GB"/>
        </w:rPr>
        <w:t>.</w:t>
      </w:r>
    </w:p>
    <w:p w14:paraId="5A8E9FD8" w14:textId="77777777" w:rsidR="00EC7C1E" w:rsidRDefault="00D21487" w:rsidP="00EC7C1E">
      <w:pPr>
        <w:keepNext/>
        <w:spacing w:after="40"/>
        <w:jc w:val="center"/>
      </w:pPr>
      <w:r>
        <w:rPr>
          <w:noProof/>
        </w:rPr>
        <w:lastRenderedPageBreak/>
        <w:drawing>
          <wp:inline distT="0" distB="0" distL="0" distR="0" wp14:anchorId="17C75BDB" wp14:editId="32878939">
            <wp:extent cx="4562323" cy="3823854"/>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75981df-e659-43a6-a97e-16301f048e36.png"/>
                    <pic:cNvPicPr/>
                  </pic:nvPicPr>
                  <pic:blipFill>
                    <a:blip r:embed="rId14"/>
                    <a:stretch>
                      <a:fillRect/>
                    </a:stretch>
                  </pic:blipFill>
                  <pic:spPr>
                    <a:xfrm>
                      <a:off x="0" y="0"/>
                      <a:ext cx="4565124" cy="3826201"/>
                    </a:xfrm>
                    <a:prstGeom prst="rect">
                      <a:avLst/>
                    </a:prstGeom>
                  </pic:spPr>
                </pic:pic>
              </a:graphicData>
            </a:graphic>
          </wp:inline>
        </w:drawing>
      </w:r>
    </w:p>
    <w:p w14:paraId="26E52F7B" w14:textId="739D585E" w:rsidR="00EC7C1E" w:rsidRPr="005269D1" w:rsidRDefault="00EC7C1E" w:rsidP="005269D1">
      <w:pPr>
        <w:pStyle w:val="Caption"/>
        <w:jc w:val="center"/>
      </w:pPr>
      <w:r>
        <w:t xml:space="preserve">Figure </w:t>
      </w:r>
      <w:r w:rsidR="0065476E">
        <w:fldChar w:fldCharType="begin"/>
      </w:r>
      <w:r w:rsidR="0065476E">
        <w:instrText xml:space="preserve"> SEQ Figure \* ARABIC </w:instrText>
      </w:r>
      <w:r w:rsidR="0065476E">
        <w:fldChar w:fldCharType="separate"/>
      </w:r>
      <w:r>
        <w:rPr>
          <w:noProof/>
        </w:rPr>
        <w:t>6</w:t>
      </w:r>
      <w:r w:rsidR="0065476E">
        <w:rPr>
          <w:noProof/>
        </w:rPr>
        <w:fldChar w:fldCharType="end"/>
      </w:r>
      <w:r>
        <w:t xml:space="preserve">: </w:t>
      </w:r>
      <w:r w:rsidRPr="003237FA">
        <w:t>Toyota Vehicle Production by Region</w:t>
      </w:r>
      <w:r w:rsidR="005269D1">
        <w:t xml:space="preserve"> (</w:t>
      </w:r>
      <w:r w:rsidRPr="00EC7C1E">
        <w:rPr>
          <w:lang w:val="en-GB"/>
        </w:rPr>
        <w:t xml:space="preserve">Source: </w:t>
      </w:r>
      <w:r w:rsidRPr="00EC7C1E">
        <w:t>Helgi Library, 2014)</w:t>
      </w:r>
    </w:p>
    <w:p w14:paraId="78DF5C27" w14:textId="04AC8C59" w:rsidR="00B7101D" w:rsidRPr="00B7101D" w:rsidRDefault="00D21487" w:rsidP="00B7101D">
      <w:pPr>
        <w:rPr>
          <w:lang w:val="en-GB"/>
        </w:rPr>
      </w:pPr>
      <w:r w:rsidRPr="00D21487">
        <w:rPr>
          <w:b/>
          <w:bCs/>
          <w:lang w:val="en-GB"/>
        </w:rPr>
        <w:t>Social Factors:</w:t>
      </w:r>
      <w:r>
        <w:rPr>
          <w:lang w:val="en-GB"/>
        </w:rPr>
        <w:t xml:space="preserve"> </w:t>
      </w:r>
      <w:r w:rsidR="00B7101D" w:rsidRPr="00B7101D">
        <w:rPr>
          <w:lang w:val="en-GB"/>
        </w:rPr>
        <w:t>Social factors influence Toyota in terms of the consumer preferences, demographic change and national cultural differences. Figure 7 comes in handy as the cultural dimensions by Hofstede reveal that key markets of Toyota have varying degrees of uncertainty, individualism and long-term orientation. This is strategically important since the levels of customer demand in terms of innovation, trust, environmental responsibility and risk differ in markets</w:t>
      </w:r>
      <w:r w:rsidR="006A23AB">
        <w:rPr>
          <w:lang w:val="en-GB"/>
        </w:rPr>
        <w:t xml:space="preserve"> </w:t>
      </w:r>
      <w:r w:rsidR="006A23AB" w:rsidRPr="00B7101D">
        <w:rPr>
          <w:lang w:val="en-GB"/>
        </w:rPr>
        <w:t>(Hofstede, 2025)</w:t>
      </w:r>
      <w:r w:rsidR="00B7101D" w:rsidRPr="00B7101D">
        <w:rPr>
          <w:lang w:val="en-GB"/>
        </w:rPr>
        <w:t>. Long-term orientation can be used in Japan to encourage a slow multi-pathway shift in Toyota, though in highly individualistic markets such as the United States, the consumer can be more receptive to disruptive branding and fast technological novelty. Social change can thus not be just in terms of the volume of demand; it dictates the manner in which Toyota has to communicate value, electrification and reliability in culturally differentiated terms and regions.</w:t>
      </w:r>
    </w:p>
    <w:p w14:paraId="4D16C9B1" w14:textId="77777777" w:rsidR="00EC7C1E" w:rsidRDefault="005F7194" w:rsidP="00EC7C1E">
      <w:pPr>
        <w:keepNext/>
        <w:spacing w:after="40"/>
        <w:jc w:val="center"/>
      </w:pPr>
      <w:r>
        <w:rPr>
          <w:noProof/>
        </w:rPr>
        <w:lastRenderedPageBreak/>
        <w:drawing>
          <wp:inline distT="0" distB="0" distL="0" distR="0" wp14:anchorId="65AE86E0" wp14:editId="27ACBFB9">
            <wp:extent cx="4217618" cy="21756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75b44530-57fb-4272-a2db-652d9a93933d.png"/>
                    <pic:cNvPicPr/>
                  </pic:nvPicPr>
                  <pic:blipFill>
                    <a:blip r:embed="rId15"/>
                    <a:stretch>
                      <a:fillRect/>
                    </a:stretch>
                  </pic:blipFill>
                  <pic:spPr>
                    <a:xfrm>
                      <a:off x="0" y="0"/>
                      <a:ext cx="4219151" cy="2176451"/>
                    </a:xfrm>
                    <a:prstGeom prst="rect">
                      <a:avLst/>
                    </a:prstGeom>
                  </pic:spPr>
                </pic:pic>
              </a:graphicData>
            </a:graphic>
          </wp:inline>
        </w:drawing>
      </w:r>
    </w:p>
    <w:p w14:paraId="4E5ABC10" w14:textId="29C3ECE9" w:rsidR="00EC7C1E" w:rsidRPr="005269D1" w:rsidRDefault="00EC7C1E" w:rsidP="005269D1">
      <w:pPr>
        <w:pStyle w:val="Caption"/>
        <w:jc w:val="center"/>
      </w:pPr>
      <w:r>
        <w:t xml:space="preserve">Figure </w:t>
      </w:r>
      <w:r w:rsidR="0065476E">
        <w:fldChar w:fldCharType="begin"/>
      </w:r>
      <w:r w:rsidR="0065476E">
        <w:instrText xml:space="preserve"> SEQ Figure \* ARABIC </w:instrText>
      </w:r>
      <w:r w:rsidR="0065476E">
        <w:fldChar w:fldCharType="separate"/>
      </w:r>
      <w:r>
        <w:rPr>
          <w:noProof/>
        </w:rPr>
        <w:t>7</w:t>
      </w:r>
      <w:r w:rsidR="0065476E">
        <w:rPr>
          <w:noProof/>
        </w:rPr>
        <w:fldChar w:fldCharType="end"/>
      </w:r>
      <w:r>
        <w:t xml:space="preserve">: </w:t>
      </w:r>
      <w:r w:rsidRPr="008B6822">
        <w:t>Hofstede Cultural Dimensions Comparison</w:t>
      </w:r>
      <w:r w:rsidR="005269D1">
        <w:t xml:space="preserve"> (</w:t>
      </w:r>
      <w:r w:rsidRPr="00EC7C1E">
        <w:rPr>
          <w:lang w:val="en-GB"/>
        </w:rPr>
        <w:t>Source:</w:t>
      </w:r>
      <w:r w:rsidR="005269D1">
        <w:rPr>
          <w:lang w:val="en-GB"/>
        </w:rPr>
        <w:t xml:space="preserve"> </w:t>
      </w:r>
      <w:r w:rsidRPr="00EC7C1E">
        <w:t>Hofstede, 2025)</w:t>
      </w:r>
    </w:p>
    <w:p w14:paraId="5C36B467" w14:textId="13719F4F" w:rsidR="00B7101D" w:rsidRPr="00B7101D" w:rsidRDefault="00D21487" w:rsidP="00B7101D">
      <w:pPr>
        <w:rPr>
          <w:lang w:val="en-GB"/>
        </w:rPr>
      </w:pPr>
      <w:r w:rsidRPr="00D21487">
        <w:rPr>
          <w:b/>
          <w:bCs/>
          <w:lang w:val="en-GB"/>
        </w:rPr>
        <w:t>Technological Factors:</w:t>
      </w:r>
      <w:r>
        <w:rPr>
          <w:lang w:val="en-GB"/>
        </w:rPr>
        <w:t xml:space="preserve"> </w:t>
      </w:r>
      <w:r w:rsidR="00B7101D" w:rsidRPr="00B7101D">
        <w:rPr>
          <w:lang w:val="en-GB"/>
        </w:rPr>
        <w:t>Technology has become one of the most influential factors on the Toyota strategy. The automotive industry is moving beyond mechanical excellence as the foundation of its competitive base to batteries, software-defined vehicles, connectivity, artificial intelligence and data-enabled services. According to the IEA, the markets of electric-cars and production of the product grew powerfully in 2024 and 2025, with China taking the leading roles in EV manufacturing and trade. This poses a strategic threat to Toyota since historical process excellence will not necessarily result in leadership in software-intensive and battery-intensive competition</w:t>
      </w:r>
      <w:r w:rsidR="006A23AB">
        <w:rPr>
          <w:lang w:val="en-GB"/>
        </w:rPr>
        <w:t xml:space="preserve"> </w:t>
      </w:r>
      <w:r w:rsidR="006A23AB" w:rsidRPr="00B7101D">
        <w:rPr>
          <w:lang w:val="en-GB"/>
        </w:rPr>
        <w:t>(Toyota Times, 2024b)</w:t>
      </w:r>
      <w:r w:rsidR="00B7101D" w:rsidRPr="00B7101D">
        <w:rPr>
          <w:lang w:val="en-GB"/>
        </w:rPr>
        <w:t xml:space="preserve">. Meanwhile, it opens opportunity since Toyota can tap the scale, engineering discipline and hybrid experience to construct a wider transition pathway. </w:t>
      </w:r>
    </w:p>
    <w:p w14:paraId="0DD4CF94" w14:textId="353096BE" w:rsidR="00B7101D" w:rsidRPr="00B7101D" w:rsidRDefault="00D21487" w:rsidP="00B7101D">
      <w:pPr>
        <w:rPr>
          <w:lang w:val="en-GB"/>
        </w:rPr>
      </w:pPr>
      <w:r w:rsidRPr="00D21487">
        <w:rPr>
          <w:b/>
          <w:bCs/>
          <w:lang w:val="en-GB"/>
        </w:rPr>
        <w:t>Legal Factors:</w:t>
      </w:r>
      <w:r>
        <w:rPr>
          <w:lang w:val="en-GB"/>
        </w:rPr>
        <w:t xml:space="preserve"> </w:t>
      </w:r>
      <w:r w:rsidR="00B7101D" w:rsidRPr="00B7101D">
        <w:rPr>
          <w:lang w:val="en-GB"/>
        </w:rPr>
        <w:t>Toyota has legal factors that include product liability, safety regulation, compliance in emissions, data governance and internal control requirements. These aspects are strategically important since the legal failure in the auto industry hurts not only profitability but also brand confidence. According to Form 20-F of 2025 by Toyota, the management determined that management had effective internal control over financial reporting as of March 2025, which reflects on a good governance background</w:t>
      </w:r>
      <w:r w:rsidR="006A23AB">
        <w:rPr>
          <w:lang w:val="en-GB"/>
        </w:rPr>
        <w:t xml:space="preserve"> </w:t>
      </w:r>
      <w:r w:rsidR="006A23AB" w:rsidRPr="00B7101D">
        <w:rPr>
          <w:lang w:val="en-GB"/>
        </w:rPr>
        <w:t>(Peng and Kathuria, 2021)</w:t>
      </w:r>
      <w:r w:rsidR="00B7101D" w:rsidRPr="00B7101D">
        <w:rPr>
          <w:lang w:val="en-GB"/>
        </w:rPr>
        <w:t>. Nevertheless, the law risk is still high since vehicles are now equipped with software, data collection and increasing stringent regulations. Legal factors are thus constraining and enabling test: they increase compliance expenses, yet they also reward firms that can better systematise quality, traceability and risk management than competitors</w:t>
      </w:r>
      <w:r w:rsidR="006A23AB">
        <w:rPr>
          <w:lang w:val="en-GB"/>
        </w:rPr>
        <w:t xml:space="preserve"> </w:t>
      </w:r>
      <w:r w:rsidR="006A23AB" w:rsidRPr="00B7101D">
        <w:rPr>
          <w:lang w:val="en-GB"/>
        </w:rPr>
        <w:t>(Whittington et al., 2021)</w:t>
      </w:r>
      <w:r w:rsidR="00B7101D" w:rsidRPr="00B7101D">
        <w:rPr>
          <w:lang w:val="en-GB"/>
        </w:rPr>
        <w:t xml:space="preserve">. In the case of Toyota, effective governance is only beneficial when it adapts to the increasingly complex technological and regulatory environment. </w:t>
      </w:r>
    </w:p>
    <w:p w14:paraId="379B16E7" w14:textId="08F95233" w:rsidR="00D607A1" w:rsidRPr="00D607A1" w:rsidRDefault="00D21487" w:rsidP="00D607A1">
      <w:pPr>
        <w:rPr>
          <w:lang w:val="en-GB"/>
        </w:rPr>
      </w:pPr>
      <w:r w:rsidRPr="00D21487">
        <w:rPr>
          <w:b/>
          <w:bCs/>
          <w:lang w:val="en-GB"/>
        </w:rPr>
        <w:lastRenderedPageBreak/>
        <w:t>Environmental Factors:</w:t>
      </w:r>
      <w:r>
        <w:rPr>
          <w:lang w:val="en-GB"/>
        </w:rPr>
        <w:t xml:space="preserve"> </w:t>
      </w:r>
      <w:r w:rsidR="00B7101D" w:rsidRPr="00B7101D">
        <w:rPr>
          <w:lang w:val="en-GB"/>
        </w:rPr>
        <w:t>Toyota is today influenced by environmental pressures at product, plant and supply-chain level. According to Toyota Sustainability Data Book, the targets are carbon neutrality, circular economy and lifecycle emissions reduction, and environmental performance is not seen as a marginal reporting anymore. This is an opportunity since sustainability has the potential of enhancing legitimacy, enhance efficiency and competitiveness in the long run. It is also a source of danger since the failure to adapt on time would leave Toyota vulnerable to regulatory fines, shareholder scorn and more EV-based competitors</w:t>
      </w:r>
      <w:r w:rsidR="006A23AB">
        <w:rPr>
          <w:lang w:val="en-GB"/>
        </w:rPr>
        <w:t xml:space="preserve"> </w:t>
      </w:r>
      <w:r w:rsidR="006A23AB" w:rsidRPr="00B7101D">
        <w:rPr>
          <w:lang w:val="en-GB"/>
        </w:rPr>
        <w:t>(Tolontan, Orhei and Vasiu, 2024)</w:t>
      </w:r>
      <w:r w:rsidR="00B7101D" w:rsidRPr="00B7101D">
        <w:rPr>
          <w:lang w:val="en-GB"/>
        </w:rPr>
        <w:t xml:space="preserve">. There is a direct strategic impact of environment: it drives Toyota to integrate cost efficiency with cleaner technologies, lower emission production and responsible sourcing. </w:t>
      </w:r>
    </w:p>
    <w:tbl>
      <w:tblPr>
        <w:tblStyle w:val="TableGrid"/>
        <w:tblW w:w="0" w:type="auto"/>
        <w:jc w:val="center"/>
        <w:tblLook w:val="04A0" w:firstRow="1" w:lastRow="0" w:firstColumn="1" w:lastColumn="0" w:noHBand="0" w:noVBand="1"/>
      </w:tblPr>
      <w:tblGrid>
        <w:gridCol w:w="1751"/>
        <w:gridCol w:w="4163"/>
        <w:gridCol w:w="3724"/>
      </w:tblGrid>
      <w:tr w:rsidR="00D607A1" w:rsidRPr="00D607A1" w14:paraId="4E953D50" w14:textId="77777777" w:rsidTr="00D607A1">
        <w:trPr>
          <w:jc w:val="center"/>
        </w:trPr>
        <w:tc>
          <w:tcPr>
            <w:tcW w:w="0" w:type="auto"/>
            <w:shd w:val="clear" w:color="auto" w:fill="C6D9F1" w:themeFill="text2" w:themeFillTint="33"/>
            <w:hideMark/>
          </w:tcPr>
          <w:p w14:paraId="02520499" w14:textId="0D92AB11" w:rsidR="00D607A1" w:rsidRPr="00D607A1" w:rsidRDefault="00D607A1" w:rsidP="00D607A1">
            <w:pPr>
              <w:jc w:val="center"/>
              <w:rPr>
                <w:b/>
                <w:bCs/>
                <w:lang w:val="en-GB"/>
              </w:rPr>
            </w:pPr>
            <w:r w:rsidRPr="00D607A1">
              <w:rPr>
                <w:b/>
                <w:bCs/>
                <w:lang w:val="en-GB"/>
              </w:rPr>
              <w:t>Factor</w:t>
            </w:r>
            <w:r>
              <w:rPr>
                <w:b/>
                <w:bCs/>
                <w:lang w:val="en-GB"/>
              </w:rPr>
              <w:t>s</w:t>
            </w:r>
          </w:p>
        </w:tc>
        <w:tc>
          <w:tcPr>
            <w:tcW w:w="0" w:type="auto"/>
            <w:shd w:val="clear" w:color="auto" w:fill="C6D9F1" w:themeFill="text2" w:themeFillTint="33"/>
            <w:hideMark/>
          </w:tcPr>
          <w:p w14:paraId="1F871968" w14:textId="77777777" w:rsidR="00D607A1" w:rsidRPr="00D607A1" w:rsidRDefault="00D607A1" w:rsidP="00D607A1">
            <w:pPr>
              <w:jc w:val="center"/>
              <w:rPr>
                <w:b/>
                <w:bCs/>
                <w:lang w:val="en-GB"/>
              </w:rPr>
            </w:pPr>
            <w:r w:rsidRPr="00D607A1">
              <w:rPr>
                <w:b/>
                <w:bCs/>
                <w:lang w:val="en-GB"/>
              </w:rPr>
              <w:t>Opportunities</w:t>
            </w:r>
          </w:p>
        </w:tc>
        <w:tc>
          <w:tcPr>
            <w:tcW w:w="0" w:type="auto"/>
            <w:shd w:val="clear" w:color="auto" w:fill="C6D9F1" w:themeFill="text2" w:themeFillTint="33"/>
            <w:hideMark/>
          </w:tcPr>
          <w:p w14:paraId="1CE66AA0" w14:textId="77777777" w:rsidR="00D607A1" w:rsidRPr="00D607A1" w:rsidRDefault="00D607A1" w:rsidP="00D607A1">
            <w:pPr>
              <w:jc w:val="center"/>
              <w:rPr>
                <w:b/>
                <w:bCs/>
                <w:lang w:val="en-GB"/>
              </w:rPr>
            </w:pPr>
            <w:r w:rsidRPr="00D607A1">
              <w:rPr>
                <w:b/>
                <w:bCs/>
                <w:lang w:val="en-GB"/>
              </w:rPr>
              <w:t>Threats</w:t>
            </w:r>
          </w:p>
        </w:tc>
      </w:tr>
      <w:tr w:rsidR="00D607A1" w:rsidRPr="00D607A1" w14:paraId="3B8115F4" w14:textId="77777777" w:rsidTr="00D607A1">
        <w:trPr>
          <w:jc w:val="center"/>
        </w:trPr>
        <w:tc>
          <w:tcPr>
            <w:tcW w:w="0" w:type="auto"/>
            <w:hideMark/>
          </w:tcPr>
          <w:p w14:paraId="4E5E00F3" w14:textId="77777777" w:rsidR="00D607A1" w:rsidRPr="00D607A1" w:rsidRDefault="00D607A1" w:rsidP="00D607A1">
            <w:pPr>
              <w:rPr>
                <w:lang w:val="en-GB"/>
              </w:rPr>
            </w:pPr>
            <w:r w:rsidRPr="00D607A1">
              <w:rPr>
                <w:lang w:val="en-GB"/>
              </w:rPr>
              <w:t>Political</w:t>
            </w:r>
          </w:p>
        </w:tc>
        <w:tc>
          <w:tcPr>
            <w:tcW w:w="0" w:type="auto"/>
            <w:hideMark/>
          </w:tcPr>
          <w:p w14:paraId="075750C8" w14:textId="77777777" w:rsidR="00D607A1" w:rsidRPr="00D607A1" w:rsidRDefault="00D607A1" w:rsidP="00D607A1">
            <w:pPr>
              <w:rPr>
                <w:lang w:val="en-GB"/>
              </w:rPr>
            </w:pPr>
            <w:r w:rsidRPr="00D607A1">
              <w:rPr>
                <w:lang w:val="en-GB"/>
              </w:rPr>
              <w:t>Subsidies, incentives, regional partnerships</w:t>
            </w:r>
          </w:p>
        </w:tc>
        <w:tc>
          <w:tcPr>
            <w:tcW w:w="0" w:type="auto"/>
            <w:hideMark/>
          </w:tcPr>
          <w:p w14:paraId="3BC2CEB7" w14:textId="77777777" w:rsidR="00D607A1" w:rsidRPr="00D607A1" w:rsidRDefault="00D607A1" w:rsidP="00D607A1">
            <w:pPr>
              <w:rPr>
                <w:lang w:val="en-GB"/>
              </w:rPr>
            </w:pPr>
            <w:r w:rsidRPr="00D607A1">
              <w:rPr>
                <w:lang w:val="en-GB"/>
              </w:rPr>
              <w:t>Tariffs, localization costs</w:t>
            </w:r>
          </w:p>
        </w:tc>
      </w:tr>
      <w:tr w:rsidR="00D607A1" w:rsidRPr="00D607A1" w14:paraId="56F9E95A" w14:textId="77777777" w:rsidTr="00D607A1">
        <w:trPr>
          <w:jc w:val="center"/>
        </w:trPr>
        <w:tc>
          <w:tcPr>
            <w:tcW w:w="0" w:type="auto"/>
            <w:hideMark/>
          </w:tcPr>
          <w:p w14:paraId="6233F274" w14:textId="77777777" w:rsidR="00D607A1" w:rsidRPr="00D607A1" w:rsidRDefault="00D607A1" w:rsidP="00D607A1">
            <w:pPr>
              <w:rPr>
                <w:lang w:val="en-GB"/>
              </w:rPr>
            </w:pPr>
            <w:r w:rsidRPr="00D607A1">
              <w:rPr>
                <w:lang w:val="en-GB"/>
              </w:rPr>
              <w:t>Economic</w:t>
            </w:r>
          </w:p>
        </w:tc>
        <w:tc>
          <w:tcPr>
            <w:tcW w:w="0" w:type="auto"/>
            <w:hideMark/>
          </w:tcPr>
          <w:p w14:paraId="7DE92A8C" w14:textId="77777777" w:rsidR="00D607A1" w:rsidRPr="00D607A1" w:rsidRDefault="00D607A1" w:rsidP="00D607A1">
            <w:pPr>
              <w:rPr>
                <w:lang w:val="en-GB"/>
              </w:rPr>
            </w:pPr>
            <w:r w:rsidRPr="00D607A1">
              <w:rPr>
                <w:lang w:val="en-GB"/>
              </w:rPr>
              <w:t>Strong balance sheet enables investments</w:t>
            </w:r>
          </w:p>
        </w:tc>
        <w:tc>
          <w:tcPr>
            <w:tcW w:w="0" w:type="auto"/>
            <w:hideMark/>
          </w:tcPr>
          <w:p w14:paraId="751237F7" w14:textId="77777777" w:rsidR="00D607A1" w:rsidRPr="00D607A1" w:rsidRDefault="00D607A1" w:rsidP="00D607A1">
            <w:pPr>
              <w:rPr>
                <w:lang w:val="en-GB"/>
              </w:rPr>
            </w:pPr>
            <w:r w:rsidRPr="00D607A1">
              <w:rPr>
                <w:lang w:val="en-GB"/>
              </w:rPr>
              <w:t>Inflation, exchange rate volatility</w:t>
            </w:r>
          </w:p>
        </w:tc>
      </w:tr>
      <w:tr w:rsidR="00D607A1" w:rsidRPr="00D607A1" w14:paraId="03B99EC2" w14:textId="77777777" w:rsidTr="00D607A1">
        <w:trPr>
          <w:jc w:val="center"/>
        </w:trPr>
        <w:tc>
          <w:tcPr>
            <w:tcW w:w="0" w:type="auto"/>
            <w:hideMark/>
          </w:tcPr>
          <w:p w14:paraId="4C7A0DD1" w14:textId="77777777" w:rsidR="00D607A1" w:rsidRPr="00D607A1" w:rsidRDefault="00D607A1" w:rsidP="00D607A1">
            <w:pPr>
              <w:rPr>
                <w:lang w:val="en-GB"/>
              </w:rPr>
            </w:pPr>
            <w:r w:rsidRPr="00D607A1">
              <w:rPr>
                <w:lang w:val="en-GB"/>
              </w:rPr>
              <w:t>Social</w:t>
            </w:r>
          </w:p>
        </w:tc>
        <w:tc>
          <w:tcPr>
            <w:tcW w:w="0" w:type="auto"/>
            <w:hideMark/>
          </w:tcPr>
          <w:p w14:paraId="0170E8E4" w14:textId="77777777" w:rsidR="00D607A1" w:rsidRPr="00D607A1" w:rsidRDefault="00D607A1" w:rsidP="00D607A1">
            <w:pPr>
              <w:rPr>
                <w:lang w:val="en-GB"/>
              </w:rPr>
            </w:pPr>
            <w:r w:rsidRPr="00D607A1">
              <w:rPr>
                <w:lang w:val="en-GB"/>
              </w:rPr>
              <w:t>Tailored products for regional preferences</w:t>
            </w:r>
          </w:p>
        </w:tc>
        <w:tc>
          <w:tcPr>
            <w:tcW w:w="0" w:type="auto"/>
            <w:hideMark/>
          </w:tcPr>
          <w:p w14:paraId="63A31DC3" w14:textId="77777777" w:rsidR="00D607A1" w:rsidRPr="00D607A1" w:rsidRDefault="00D607A1" w:rsidP="00D607A1">
            <w:pPr>
              <w:rPr>
                <w:lang w:val="en-GB"/>
              </w:rPr>
            </w:pPr>
            <w:r w:rsidRPr="00D607A1">
              <w:rPr>
                <w:lang w:val="en-GB"/>
              </w:rPr>
              <w:t>Different customer expectations per market</w:t>
            </w:r>
          </w:p>
        </w:tc>
      </w:tr>
      <w:tr w:rsidR="00D607A1" w:rsidRPr="00D607A1" w14:paraId="7D9DEDE6" w14:textId="77777777" w:rsidTr="00D607A1">
        <w:trPr>
          <w:jc w:val="center"/>
        </w:trPr>
        <w:tc>
          <w:tcPr>
            <w:tcW w:w="0" w:type="auto"/>
            <w:hideMark/>
          </w:tcPr>
          <w:p w14:paraId="030C1A0C" w14:textId="77777777" w:rsidR="00D607A1" w:rsidRPr="00D607A1" w:rsidRDefault="00D607A1" w:rsidP="00D607A1">
            <w:pPr>
              <w:rPr>
                <w:lang w:val="en-GB"/>
              </w:rPr>
            </w:pPr>
            <w:r w:rsidRPr="00D607A1">
              <w:rPr>
                <w:lang w:val="en-GB"/>
              </w:rPr>
              <w:t>Technological</w:t>
            </w:r>
          </w:p>
        </w:tc>
        <w:tc>
          <w:tcPr>
            <w:tcW w:w="0" w:type="auto"/>
            <w:hideMark/>
          </w:tcPr>
          <w:p w14:paraId="0250003A" w14:textId="77777777" w:rsidR="00D607A1" w:rsidRPr="00D607A1" w:rsidRDefault="00D607A1" w:rsidP="00D607A1">
            <w:pPr>
              <w:rPr>
                <w:lang w:val="en-GB"/>
              </w:rPr>
            </w:pPr>
            <w:r w:rsidRPr="00D607A1">
              <w:rPr>
                <w:lang w:val="en-GB"/>
              </w:rPr>
              <w:t>Hybrid expertise, process excellence</w:t>
            </w:r>
          </w:p>
        </w:tc>
        <w:tc>
          <w:tcPr>
            <w:tcW w:w="0" w:type="auto"/>
            <w:hideMark/>
          </w:tcPr>
          <w:p w14:paraId="52255796" w14:textId="77777777" w:rsidR="00D607A1" w:rsidRPr="00D607A1" w:rsidRDefault="00D607A1" w:rsidP="00D607A1">
            <w:pPr>
              <w:rPr>
                <w:lang w:val="en-GB"/>
              </w:rPr>
            </w:pPr>
            <w:r w:rsidRPr="00D607A1">
              <w:rPr>
                <w:lang w:val="en-GB"/>
              </w:rPr>
              <w:t>Lag in software and EV adoption</w:t>
            </w:r>
          </w:p>
        </w:tc>
      </w:tr>
      <w:tr w:rsidR="00D607A1" w:rsidRPr="00D607A1" w14:paraId="4DFDF779" w14:textId="77777777" w:rsidTr="00D607A1">
        <w:trPr>
          <w:jc w:val="center"/>
        </w:trPr>
        <w:tc>
          <w:tcPr>
            <w:tcW w:w="0" w:type="auto"/>
            <w:hideMark/>
          </w:tcPr>
          <w:p w14:paraId="2EBC9601" w14:textId="77777777" w:rsidR="00D607A1" w:rsidRPr="00D607A1" w:rsidRDefault="00D607A1" w:rsidP="00D607A1">
            <w:pPr>
              <w:rPr>
                <w:lang w:val="en-GB"/>
              </w:rPr>
            </w:pPr>
            <w:r w:rsidRPr="00D607A1">
              <w:rPr>
                <w:lang w:val="en-GB"/>
              </w:rPr>
              <w:t>Legal</w:t>
            </w:r>
          </w:p>
        </w:tc>
        <w:tc>
          <w:tcPr>
            <w:tcW w:w="0" w:type="auto"/>
            <w:hideMark/>
          </w:tcPr>
          <w:p w14:paraId="13D36B2C" w14:textId="77777777" w:rsidR="00D607A1" w:rsidRPr="00D607A1" w:rsidRDefault="00D607A1" w:rsidP="00D607A1">
            <w:pPr>
              <w:rPr>
                <w:lang w:val="en-GB"/>
              </w:rPr>
            </w:pPr>
            <w:r w:rsidRPr="00D607A1">
              <w:rPr>
                <w:lang w:val="en-GB"/>
              </w:rPr>
              <w:t>Robust governance and compliance frameworks</w:t>
            </w:r>
          </w:p>
        </w:tc>
        <w:tc>
          <w:tcPr>
            <w:tcW w:w="0" w:type="auto"/>
            <w:hideMark/>
          </w:tcPr>
          <w:p w14:paraId="30C3436A" w14:textId="77777777" w:rsidR="00D607A1" w:rsidRPr="00D607A1" w:rsidRDefault="00D607A1" w:rsidP="00D607A1">
            <w:pPr>
              <w:rPr>
                <w:lang w:val="en-GB"/>
              </w:rPr>
            </w:pPr>
            <w:r w:rsidRPr="00D607A1">
              <w:rPr>
                <w:lang w:val="en-GB"/>
              </w:rPr>
              <w:t>Increasing regulation and compliance cost</w:t>
            </w:r>
          </w:p>
        </w:tc>
      </w:tr>
      <w:tr w:rsidR="00D607A1" w:rsidRPr="00D607A1" w14:paraId="5471F417" w14:textId="77777777" w:rsidTr="00D607A1">
        <w:trPr>
          <w:jc w:val="center"/>
        </w:trPr>
        <w:tc>
          <w:tcPr>
            <w:tcW w:w="0" w:type="auto"/>
            <w:hideMark/>
          </w:tcPr>
          <w:p w14:paraId="230BBF1D" w14:textId="77777777" w:rsidR="00D607A1" w:rsidRPr="00D607A1" w:rsidRDefault="00D607A1" w:rsidP="00D607A1">
            <w:pPr>
              <w:rPr>
                <w:lang w:val="en-GB"/>
              </w:rPr>
            </w:pPr>
            <w:r w:rsidRPr="00D607A1">
              <w:rPr>
                <w:lang w:val="en-GB"/>
              </w:rPr>
              <w:t>Environmental</w:t>
            </w:r>
          </w:p>
        </w:tc>
        <w:tc>
          <w:tcPr>
            <w:tcW w:w="0" w:type="auto"/>
            <w:hideMark/>
          </w:tcPr>
          <w:p w14:paraId="14AF936E" w14:textId="77777777" w:rsidR="00D607A1" w:rsidRPr="00D607A1" w:rsidRDefault="00D607A1" w:rsidP="00D607A1">
            <w:pPr>
              <w:rPr>
                <w:lang w:val="en-GB"/>
              </w:rPr>
            </w:pPr>
            <w:r w:rsidRPr="00D607A1">
              <w:rPr>
                <w:lang w:val="en-GB"/>
              </w:rPr>
              <w:t>Sustainability leadership, competitive advantage</w:t>
            </w:r>
          </w:p>
        </w:tc>
        <w:tc>
          <w:tcPr>
            <w:tcW w:w="0" w:type="auto"/>
            <w:hideMark/>
          </w:tcPr>
          <w:p w14:paraId="2EB798E9" w14:textId="77777777" w:rsidR="00D607A1" w:rsidRPr="00D607A1" w:rsidRDefault="00D607A1" w:rsidP="00D607A1">
            <w:pPr>
              <w:keepNext/>
              <w:rPr>
                <w:lang w:val="en-GB"/>
              </w:rPr>
            </w:pPr>
            <w:r w:rsidRPr="00D607A1">
              <w:rPr>
                <w:lang w:val="en-GB"/>
              </w:rPr>
              <w:t>Fines, delayed transition risks</w:t>
            </w:r>
          </w:p>
        </w:tc>
      </w:tr>
    </w:tbl>
    <w:p w14:paraId="43AA9618" w14:textId="6819D8DC" w:rsidR="00D607A1" w:rsidRDefault="00D607A1" w:rsidP="00D607A1">
      <w:pPr>
        <w:pStyle w:val="Caption"/>
        <w:jc w:val="center"/>
        <w:rPr>
          <w:lang w:val="en-GB"/>
        </w:rPr>
      </w:pPr>
      <w:r>
        <w:t xml:space="preserve">Table </w:t>
      </w:r>
      <w:r w:rsidR="0065476E">
        <w:fldChar w:fldCharType="begin"/>
      </w:r>
      <w:r w:rsidR="0065476E">
        <w:instrText xml:space="preserve"> SEQ Table \* ARABIC </w:instrText>
      </w:r>
      <w:r w:rsidR="0065476E">
        <w:fldChar w:fldCharType="separate"/>
      </w:r>
      <w:r w:rsidR="00865625">
        <w:rPr>
          <w:noProof/>
        </w:rPr>
        <w:t>1</w:t>
      </w:r>
      <w:r w:rsidR="0065476E">
        <w:rPr>
          <w:noProof/>
        </w:rPr>
        <w:fldChar w:fldCharType="end"/>
      </w:r>
      <w:r>
        <w:rPr>
          <w:lang w:val="en-GB"/>
        </w:rPr>
        <w:t xml:space="preserve">: </w:t>
      </w:r>
      <w:r w:rsidRPr="00D607A1">
        <w:rPr>
          <w:lang w:val="en-GB"/>
        </w:rPr>
        <w:t xml:space="preserve">Opportunities/Threats </w:t>
      </w:r>
      <w:r w:rsidR="005269D1">
        <w:rPr>
          <w:lang w:val="en-GB"/>
        </w:rPr>
        <w:t>(</w:t>
      </w:r>
      <w:r w:rsidR="005269D1" w:rsidRPr="005269D1">
        <w:rPr>
          <w:lang w:val="en-GB"/>
        </w:rPr>
        <w:t xml:space="preserve">Self-made, adapted from </w:t>
      </w:r>
      <w:r w:rsidR="005269D1">
        <w:rPr>
          <w:lang w:val="en-GB"/>
        </w:rPr>
        <w:t xml:space="preserve">Toyota’s (2025c) </w:t>
      </w:r>
      <w:r w:rsidR="005269D1" w:rsidRPr="005269D1">
        <w:rPr>
          <w:lang w:val="en-GB"/>
        </w:rPr>
        <w:t>Financial Summary FY2025</w:t>
      </w:r>
      <w:r w:rsidR="005269D1">
        <w:rPr>
          <w:lang w:val="en-GB"/>
        </w:rPr>
        <w:t>)</w:t>
      </w:r>
    </w:p>
    <w:p w14:paraId="3F62B24A" w14:textId="5C240587" w:rsidR="00865625" w:rsidRPr="00A84F27" w:rsidRDefault="00A84F27" w:rsidP="00865625">
      <w:pPr>
        <w:rPr>
          <w:lang w:val="en-GB"/>
        </w:rPr>
      </w:pPr>
      <w:r w:rsidRPr="00A84F27">
        <w:rPr>
          <w:lang w:val="en-GB"/>
        </w:rPr>
        <w:t>Critical success factors for Toyota are informed by the opportunities and threats, which identify areas in which Toyota needs to focus to stay competitive.</w:t>
      </w:r>
    </w:p>
    <w:p w14:paraId="3C0B6A33" w14:textId="77777777" w:rsidR="00D21487" w:rsidRDefault="00D21487" w:rsidP="008458A3">
      <w:pPr>
        <w:pStyle w:val="Heading3"/>
        <w:rPr>
          <w:lang w:val="en-GB"/>
        </w:rPr>
      </w:pPr>
      <w:bookmarkStart w:id="7" w:name="_Toc228480081"/>
      <w:r w:rsidRPr="00D21487">
        <w:rPr>
          <w:lang w:val="en-GB"/>
        </w:rPr>
        <w:t>2.2 Critical success factors and strategic challenges</w:t>
      </w:r>
      <w:bookmarkEnd w:id="7"/>
    </w:p>
    <w:p w14:paraId="59624786" w14:textId="243A7225" w:rsidR="00D607A1" w:rsidRDefault="00D607A1" w:rsidP="00D607A1">
      <w:r w:rsidRPr="00D607A1">
        <w:t>Critical success factors (CSFs) are the essential areas of activity that a company must perform well to achieve its mission and maintain a competitive advantage within its industry (Moon, 2013). For Toyota, these factors represent the core areas where performance directly impacts long-term success.</w:t>
      </w:r>
    </w:p>
    <w:tbl>
      <w:tblPr>
        <w:tblStyle w:val="TableGrid"/>
        <w:tblW w:w="0" w:type="auto"/>
        <w:tblLook w:val="04A0" w:firstRow="1" w:lastRow="0" w:firstColumn="1" w:lastColumn="0" w:noHBand="0" w:noVBand="1"/>
      </w:tblPr>
      <w:tblGrid>
        <w:gridCol w:w="2263"/>
        <w:gridCol w:w="7375"/>
      </w:tblGrid>
      <w:tr w:rsidR="00D607A1" w:rsidRPr="00D607A1" w14:paraId="68C35151" w14:textId="77777777" w:rsidTr="0070172A">
        <w:tc>
          <w:tcPr>
            <w:tcW w:w="2263" w:type="dxa"/>
            <w:shd w:val="clear" w:color="auto" w:fill="C6D9F1" w:themeFill="text2" w:themeFillTint="33"/>
            <w:hideMark/>
          </w:tcPr>
          <w:p w14:paraId="72EBF25C" w14:textId="77777777" w:rsidR="00D607A1" w:rsidRPr="00D607A1" w:rsidRDefault="00D607A1" w:rsidP="00D607A1">
            <w:pPr>
              <w:rPr>
                <w:b/>
                <w:bCs/>
                <w:lang w:val="en-GB"/>
              </w:rPr>
            </w:pPr>
            <w:r w:rsidRPr="00D607A1">
              <w:rPr>
                <w:b/>
                <w:bCs/>
                <w:lang w:val="en-GB"/>
              </w:rPr>
              <w:t>Critical Success Factor</w:t>
            </w:r>
          </w:p>
        </w:tc>
        <w:tc>
          <w:tcPr>
            <w:tcW w:w="7375" w:type="dxa"/>
            <w:shd w:val="clear" w:color="auto" w:fill="C6D9F1" w:themeFill="text2" w:themeFillTint="33"/>
            <w:hideMark/>
          </w:tcPr>
          <w:p w14:paraId="60BDB486" w14:textId="77777777" w:rsidR="00D607A1" w:rsidRPr="00D607A1" w:rsidRDefault="00D607A1" w:rsidP="00D607A1">
            <w:pPr>
              <w:rPr>
                <w:b/>
                <w:bCs/>
                <w:lang w:val="en-GB"/>
              </w:rPr>
            </w:pPr>
            <w:r w:rsidRPr="00D607A1">
              <w:rPr>
                <w:b/>
                <w:bCs/>
                <w:lang w:val="en-GB"/>
              </w:rPr>
              <w:t>Justification</w:t>
            </w:r>
          </w:p>
        </w:tc>
      </w:tr>
      <w:tr w:rsidR="00D607A1" w:rsidRPr="00D607A1" w14:paraId="054FBCF5" w14:textId="77777777" w:rsidTr="005269D1">
        <w:tc>
          <w:tcPr>
            <w:tcW w:w="2263" w:type="dxa"/>
            <w:hideMark/>
          </w:tcPr>
          <w:p w14:paraId="28138C0F" w14:textId="77777777" w:rsidR="00D607A1" w:rsidRPr="00D607A1" w:rsidRDefault="00D607A1" w:rsidP="00D607A1">
            <w:pPr>
              <w:rPr>
                <w:lang w:val="en-GB"/>
              </w:rPr>
            </w:pPr>
            <w:r w:rsidRPr="00D607A1">
              <w:rPr>
                <w:lang w:val="en-GB"/>
              </w:rPr>
              <w:lastRenderedPageBreak/>
              <w:t>Manufacturing efficiency</w:t>
            </w:r>
          </w:p>
        </w:tc>
        <w:tc>
          <w:tcPr>
            <w:tcW w:w="7375" w:type="dxa"/>
            <w:hideMark/>
          </w:tcPr>
          <w:p w14:paraId="10F0EA0D" w14:textId="77777777" w:rsidR="00D607A1" w:rsidRPr="00D607A1" w:rsidRDefault="00D607A1" w:rsidP="00D607A1">
            <w:pPr>
              <w:rPr>
                <w:lang w:val="en-GB"/>
              </w:rPr>
            </w:pPr>
            <w:r w:rsidRPr="00D607A1">
              <w:rPr>
                <w:lang w:val="en-GB"/>
              </w:rPr>
              <w:t>Enables cost leadership and consistent quality; supports global scale production (Liker, 2020)</w:t>
            </w:r>
          </w:p>
        </w:tc>
      </w:tr>
      <w:tr w:rsidR="00D607A1" w:rsidRPr="00D607A1" w14:paraId="43BF24C3" w14:textId="77777777" w:rsidTr="005269D1">
        <w:tc>
          <w:tcPr>
            <w:tcW w:w="2263" w:type="dxa"/>
            <w:hideMark/>
          </w:tcPr>
          <w:p w14:paraId="5F10BA60" w14:textId="77777777" w:rsidR="00D607A1" w:rsidRPr="00D607A1" w:rsidRDefault="00D607A1" w:rsidP="00D607A1">
            <w:pPr>
              <w:rPr>
                <w:lang w:val="en-GB"/>
              </w:rPr>
            </w:pPr>
            <w:r w:rsidRPr="00D607A1">
              <w:rPr>
                <w:lang w:val="en-GB"/>
              </w:rPr>
              <w:t>Quality reliability</w:t>
            </w:r>
          </w:p>
        </w:tc>
        <w:tc>
          <w:tcPr>
            <w:tcW w:w="7375" w:type="dxa"/>
            <w:hideMark/>
          </w:tcPr>
          <w:p w14:paraId="1FCAD7A2" w14:textId="77777777" w:rsidR="00D607A1" w:rsidRPr="00D607A1" w:rsidRDefault="00D607A1" w:rsidP="00D607A1">
            <w:pPr>
              <w:rPr>
                <w:lang w:val="en-GB"/>
              </w:rPr>
            </w:pPr>
            <w:r w:rsidRPr="00D607A1">
              <w:rPr>
                <w:lang w:val="en-GB"/>
              </w:rPr>
              <w:t>Builds brand trust and customer loyalty, essential for sustaining market share (Whittington et al., 2021)</w:t>
            </w:r>
          </w:p>
        </w:tc>
      </w:tr>
      <w:tr w:rsidR="00D607A1" w:rsidRPr="00D607A1" w14:paraId="1D36D003" w14:textId="77777777" w:rsidTr="005269D1">
        <w:tc>
          <w:tcPr>
            <w:tcW w:w="2263" w:type="dxa"/>
            <w:hideMark/>
          </w:tcPr>
          <w:p w14:paraId="16F22E8D" w14:textId="77777777" w:rsidR="00D607A1" w:rsidRPr="00D607A1" w:rsidRDefault="00D607A1" w:rsidP="00D607A1">
            <w:pPr>
              <w:rPr>
                <w:lang w:val="en-GB"/>
              </w:rPr>
            </w:pPr>
            <w:r w:rsidRPr="00D607A1">
              <w:rPr>
                <w:lang w:val="en-GB"/>
              </w:rPr>
              <w:t>Supply-chain resilience</w:t>
            </w:r>
          </w:p>
        </w:tc>
        <w:tc>
          <w:tcPr>
            <w:tcW w:w="7375" w:type="dxa"/>
            <w:hideMark/>
          </w:tcPr>
          <w:p w14:paraId="63F0854D" w14:textId="77777777" w:rsidR="00D607A1" w:rsidRPr="00D607A1" w:rsidRDefault="00D607A1" w:rsidP="00D607A1">
            <w:pPr>
              <w:rPr>
                <w:lang w:val="en-GB"/>
              </w:rPr>
            </w:pPr>
            <w:r w:rsidRPr="00D607A1">
              <w:rPr>
                <w:lang w:val="en-GB"/>
              </w:rPr>
              <w:t>Ensures continuity in global production despite disruptions, critical during global crises (IEA, 2025)</w:t>
            </w:r>
          </w:p>
        </w:tc>
      </w:tr>
      <w:tr w:rsidR="00D607A1" w:rsidRPr="00D607A1" w14:paraId="1A26FD45" w14:textId="77777777" w:rsidTr="005269D1">
        <w:tc>
          <w:tcPr>
            <w:tcW w:w="2263" w:type="dxa"/>
            <w:hideMark/>
          </w:tcPr>
          <w:p w14:paraId="5AD6D24A" w14:textId="77777777" w:rsidR="00D607A1" w:rsidRPr="00D607A1" w:rsidRDefault="00D607A1" w:rsidP="00D607A1">
            <w:pPr>
              <w:rPr>
                <w:lang w:val="en-GB"/>
              </w:rPr>
            </w:pPr>
            <w:r w:rsidRPr="00D607A1">
              <w:rPr>
                <w:lang w:val="en-GB"/>
              </w:rPr>
              <w:t>Electrification capability</w:t>
            </w:r>
          </w:p>
        </w:tc>
        <w:tc>
          <w:tcPr>
            <w:tcW w:w="7375" w:type="dxa"/>
            <w:hideMark/>
          </w:tcPr>
          <w:p w14:paraId="7E4E3A7E" w14:textId="77777777" w:rsidR="00D607A1" w:rsidRPr="00D607A1" w:rsidRDefault="00D607A1" w:rsidP="00D607A1">
            <w:pPr>
              <w:rPr>
                <w:lang w:val="en-GB"/>
              </w:rPr>
            </w:pPr>
            <w:r w:rsidRPr="00D607A1">
              <w:rPr>
                <w:lang w:val="en-GB"/>
              </w:rPr>
              <w:t>Key to responding to EV market growth and regulatory pressures; maintains technological relevance (Kobayashi, 2024)</w:t>
            </w:r>
          </w:p>
        </w:tc>
      </w:tr>
      <w:tr w:rsidR="00D607A1" w:rsidRPr="00D607A1" w14:paraId="1DD69285" w14:textId="77777777" w:rsidTr="005269D1">
        <w:tc>
          <w:tcPr>
            <w:tcW w:w="2263" w:type="dxa"/>
            <w:hideMark/>
          </w:tcPr>
          <w:p w14:paraId="64CEFF87" w14:textId="77777777" w:rsidR="00D607A1" w:rsidRPr="00D607A1" w:rsidRDefault="00D607A1" w:rsidP="00D607A1">
            <w:pPr>
              <w:rPr>
                <w:lang w:val="en-GB"/>
              </w:rPr>
            </w:pPr>
            <w:r w:rsidRPr="00D607A1">
              <w:rPr>
                <w:lang w:val="en-GB"/>
              </w:rPr>
              <w:t>Software integration</w:t>
            </w:r>
          </w:p>
        </w:tc>
        <w:tc>
          <w:tcPr>
            <w:tcW w:w="7375" w:type="dxa"/>
            <w:hideMark/>
          </w:tcPr>
          <w:p w14:paraId="742DD879" w14:textId="77777777" w:rsidR="00D607A1" w:rsidRPr="00D607A1" w:rsidRDefault="00D607A1" w:rsidP="00D607A1">
            <w:pPr>
              <w:rPr>
                <w:lang w:val="en-GB"/>
              </w:rPr>
            </w:pPr>
            <w:r w:rsidRPr="00D607A1">
              <w:rPr>
                <w:lang w:val="en-GB"/>
              </w:rPr>
              <w:t>Supports the transition to software-defined vehicles and connected mobility services (Teece, 2018)</w:t>
            </w:r>
          </w:p>
        </w:tc>
      </w:tr>
      <w:tr w:rsidR="00D607A1" w:rsidRPr="00D607A1" w14:paraId="2D77BB9C" w14:textId="77777777" w:rsidTr="005269D1">
        <w:tc>
          <w:tcPr>
            <w:tcW w:w="2263" w:type="dxa"/>
            <w:hideMark/>
          </w:tcPr>
          <w:p w14:paraId="4BBFB5D5" w14:textId="77777777" w:rsidR="00D607A1" w:rsidRPr="00D607A1" w:rsidRDefault="00D607A1" w:rsidP="00D607A1">
            <w:pPr>
              <w:rPr>
                <w:lang w:val="en-GB"/>
              </w:rPr>
            </w:pPr>
            <w:r w:rsidRPr="00D607A1">
              <w:rPr>
                <w:lang w:val="en-GB"/>
              </w:rPr>
              <w:t>Brand trust</w:t>
            </w:r>
          </w:p>
        </w:tc>
        <w:tc>
          <w:tcPr>
            <w:tcW w:w="7375" w:type="dxa"/>
            <w:hideMark/>
          </w:tcPr>
          <w:p w14:paraId="14AF8B17" w14:textId="77777777" w:rsidR="00D607A1" w:rsidRPr="00D607A1" w:rsidRDefault="00D607A1" w:rsidP="00D607A1">
            <w:pPr>
              <w:rPr>
                <w:lang w:val="en-GB"/>
              </w:rPr>
            </w:pPr>
            <w:r w:rsidRPr="00D607A1">
              <w:rPr>
                <w:lang w:val="en-GB"/>
              </w:rPr>
              <w:t>Sustains customer confidence and long-term competitiveness (Moon, 2013)</w:t>
            </w:r>
          </w:p>
        </w:tc>
      </w:tr>
      <w:tr w:rsidR="00D607A1" w:rsidRPr="00D607A1" w14:paraId="74781966" w14:textId="77777777" w:rsidTr="005269D1">
        <w:tc>
          <w:tcPr>
            <w:tcW w:w="2263" w:type="dxa"/>
            <w:hideMark/>
          </w:tcPr>
          <w:p w14:paraId="656529BC" w14:textId="77777777" w:rsidR="00D607A1" w:rsidRPr="00D607A1" w:rsidRDefault="00D607A1" w:rsidP="00D607A1">
            <w:pPr>
              <w:rPr>
                <w:lang w:val="en-GB"/>
              </w:rPr>
            </w:pPr>
            <w:r w:rsidRPr="00D607A1">
              <w:rPr>
                <w:lang w:val="en-GB"/>
              </w:rPr>
              <w:t>Regulatory compliance</w:t>
            </w:r>
          </w:p>
        </w:tc>
        <w:tc>
          <w:tcPr>
            <w:tcW w:w="7375" w:type="dxa"/>
            <w:hideMark/>
          </w:tcPr>
          <w:p w14:paraId="74FEF7DF" w14:textId="77777777" w:rsidR="00D607A1" w:rsidRPr="00D607A1" w:rsidRDefault="00D607A1" w:rsidP="00865625">
            <w:pPr>
              <w:keepNext/>
              <w:rPr>
                <w:lang w:val="en-GB"/>
              </w:rPr>
            </w:pPr>
            <w:r w:rsidRPr="00D607A1">
              <w:rPr>
                <w:lang w:val="en-GB"/>
              </w:rPr>
              <w:t>Minimizes legal risks and enhances legitimacy; failure could damage profitability and reputation (Carroll &amp; Laasch, 2020)</w:t>
            </w:r>
          </w:p>
        </w:tc>
      </w:tr>
    </w:tbl>
    <w:p w14:paraId="1ECEF91E" w14:textId="3DF635E7" w:rsidR="00D607A1" w:rsidRPr="005269D1" w:rsidRDefault="00865625" w:rsidP="005269D1">
      <w:pPr>
        <w:pStyle w:val="Caption"/>
        <w:jc w:val="center"/>
        <w:rPr>
          <w:lang w:val="en-GB"/>
        </w:rPr>
      </w:pPr>
      <w:r>
        <w:t xml:space="preserve">Table </w:t>
      </w:r>
      <w:r w:rsidR="0065476E">
        <w:fldChar w:fldCharType="begin"/>
      </w:r>
      <w:r w:rsidR="0065476E">
        <w:instrText xml:space="preserve"> SEQ Table \* ARABIC </w:instrText>
      </w:r>
      <w:r w:rsidR="0065476E">
        <w:fldChar w:fldCharType="separate"/>
      </w:r>
      <w:r>
        <w:rPr>
          <w:noProof/>
        </w:rPr>
        <w:t>2</w:t>
      </w:r>
      <w:r w:rsidR="0065476E">
        <w:rPr>
          <w:noProof/>
        </w:rPr>
        <w:fldChar w:fldCharType="end"/>
      </w:r>
      <w:r>
        <w:rPr>
          <w:lang w:val="en-GB"/>
        </w:rPr>
        <w:t xml:space="preserve">: </w:t>
      </w:r>
      <w:r w:rsidRPr="00202AC9">
        <w:rPr>
          <w:lang w:val="en-GB"/>
        </w:rPr>
        <w:t>CSFs with Justification</w:t>
      </w:r>
      <w:r w:rsidR="005269D1">
        <w:rPr>
          <w:lang w:val="en-GB"/>
        </w:rPr>
        <w:t xml:space="preserve"> (</w:t>
      </w:r>
      <w:r w:rsidR="005269D1" w:rsidRPr="005269D1">
        <w:rPr>
          <w:lang w:val="en-GB"/>
        </w:rPr>
        <w:t xml:space="preserve">Self-made, adapted from </w:t>
      </w:r>
      <w:r w:rsidR="005269D1">
        <w:rPr>
          <w:lang w:val="en-GB"/>
        </w:rPr>
        <w:t xml:space="preserve">Toyota’s (2025c) </w:t>
      </w:r>
      <w:r w:rsidR="005269D1" w:rsidRPr="005269D1">
        <w:rPr>
          <w:lang w:val="en-GB"/>
        </w:rPr>
        <w:t>Financial Summary FY2025</w:t>
      </w:r>
      <w:r w:rsidR="005269D1">
        <w:rPr>
          <w:lang w:val="en-GB"/>
        </w:rPr>
        <w:t>)</w:t>
      </w:r>
    </w:p>
    <w:p w14:paraId="1CF5FDAC" w14:textId="27035A60" w:rsidR="00D21487" w:rsidRPr="00D21487" w:rsidRDefault="00B7101D" w:rsidP="00D21487">
      <w:pPr>
        <w:rPr>
          <w:lang w:val="en-GB"/>
        </w:rPr>
      </w:pPr>
      <w:r w:rsidRPr="00B7101D">
        <w:rPr>
          <w:lang w:val="en-GB"/>
        </w:rPr>
        <w:t>The conditions that a firm has to meet in order to compete effectively in the industry are called critical success factors whereas the significant issues that endanger the performance or future positioning are called strategic challenges. The critical success factors in Toyota industry are manufacturing efficiency, quality reliability, supply-chain resilience, electrification capability, software integration, brand trust and regulatory compliance. They are vital since the automotive competition presents a mix of high fixed costs, a fast technological transformation, and low failure tolerance</w:t>
      </w:r>
      <w:r w:rsidR="00DD3FA0">
        <w:rPr>
          <w:lang w:val="en-GB"/>
        </w:rPr>
        <w:t xml:space="preserve"> </w:t>
      </w:r>
      <w:r w:rsidR="006A23AB" w:rsidRPr="00B7101D">
        <w:rPr>
          <w:lang w:val="en-GB"/>
        </w:rPr>
        <w:t>(IEA, 2025)</w:t>
      </w:r>
      <w:r w:rsidRPr="00B7101D">
        <w:rPr>
          <w:lang w:val="en-GB"/>
        </w:rPr>
        <w:t xml:space="preserve">. </w:t>
      </w:r>
    </w:p>
    <w:p w14:paraId="24116C7A" w14:textId="77777777" w:rsidR="00D21487" w:rsidRPr="00D21487" w:rsidRDefault="00D21487" w:rsidP="008458A3">
      <w:pPr>
        <w:pStyle w:val="Heading3"/>
        <w:rPr>
          <w:lang w:val="en-GB"/>
        </w:rPr>
      </w:pPr>
      <w:bookmarkStart w:id="8" w:name="_Toc228480082"/>
      <w:r w:rsidRPr="00D21487">
        <w:rPr>
          <w:lang w:val="en-GB"/>
        </w:rPr>
        <w:t>2.3 Internal environment: resources, capabilities and core competencies</w:t>
      </w:r>
      <w:bookmarkEnd w:id="8"/>
    </w:p>
    <w:p w14:paraId="3115B1B4" w14:textId="7C9870F9" w:rsidR="005F7194" w:rsidRDefault="00B7101D" w:rsidP="00D21487">
      <w:pPr>
        <w:rPr>
          <w:lang w:val="en-GB"/>
        </w:rPr>
      </w:pPr>
      <w:r w:rsidRPr="00B7101D">
        <w:rPr>
          <w:lang w:val="en-GB"/>
        </w:rPr>
        <w:t>Figure 8 discusses the internal environment of Toyota in terms of resources, capabilities and competencies. The first resource that Toyota has is its global manufacturing presence as FY2025 vehicle production of over 9 million vehicles is reported in Japan, North America, Europe, Asia-Pacific and other regions</w:t>
      </w:r>
      <w:r w:rsidR="00DE479D">
        <w:rPr>
          <w:lang w:val="en-GB"/>
        </w:rPr>
        <w:t xml:space="preserve"> </w:t>
      </w:r>
      <w:r w:rsidR="00DE479D">
        <w:t>(</w:t>
      </w:r>
      <w:r w:rsidR="00DE479D" w:rsidRPr="00EC7C1E">
        <w:t>Summaryplanet</w:t>
      </w:r>
      <w:r w:rsidR="00DE479D">
        <w:t xml:space="preserve">, </w:t>
      </w:r>
      <w:r w:rsidR="00DE479D" w:rsidRPr="00EC7C1E">
        <w:t>2025)</w:t>
      </w:r>
      <w:r w:rsidRPr="00B7101D">
        <w:rPr>
          <w:lang w:val="en-GB"/>
        </w:rPr>
        <w:t>.</w:t>
      </w:r>
    </w:p>
    <w:p w14:paraId="0B54DB4A" w14:textId="77777777" w:rsidR="00EC7C1E" w:rsidRDefault="005F7194" w:rsidP="00EC7C1E">
      <w:pPr>
        <w:keepNext/>
        <w:spacing w:after="40"/>
        <w:jc w:val="center"/>
      </w:pPr>
      <w:r>
        <w:rPr>
          <w:noProof/>
        </w:rPr>
        <w:lastRenderedPageBreak/>
        <w:drawing>
          <wp:inline distT="0" distB="0" distL="0" distR="0" wp14:anchorId="38417712" wp14:editId="4281B672">
            <wp:extent cx="4754880" cy="292209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b86a1cb-63fc-4733-83d1-fb1ce5ab28b7.png"/>
                    <pic:cNvPicPr/>
                  </pic:nvPicPr>
                  <pic:blipFill>
                    <a:blip r:embed="rId16"/>
                    <a:stretch>
                      <a:fillRect/>
                    </a:stretch>
                  </pic:blipFill>
                  <pic:spPr>
                    <a:xfrm>
                      <a:off x="0" y="0"/>
                      <a:ext cx="4754880" cy="2922090"/>
                    </a:xfrm>
                    <a:prstGeom prst="rect">
                      <a:avLst/>
                    </a:prstGeom>
                  </pic:spPr>
                </pic:pic>
              </a:graphicData>
            </a:graphic>
          </wp:inline>
        </w:drawing>
      </w:r>
    </w:p>
    <w:p w14:paraId="0E1E199B" w14:textId="2EAB9376" w:rsidR="00EC7C1E" w:rsidRPr="00EC7C1E" w:rsidRDefault="00EC7C1E" w:rsidP="005269D1">
      <w:pPr>
        <w:pStyle w:val="Caption"/>
        <w:jc w:val="center"/>
      </w:pPr>
      <w:r>
        <w:t xml:space="preserve">Figure </w:t>
      </w:r>
      <w:r w:rsidR="0065476E">
        <w:fldChar w:fldCharType="begin"/>
      </w:r>
      <w:r w:rsidR="0065476E">
        <w:instrText xml:space="preserve"> SEQ Figure \* ARABIC </w:instrText>
      </w:r>
      <w:r w:rsidR="0065476E">
        <w:fldChar w:fldCharType="separate"/>
      </w:r>
      <w:r>
        <w:rPr>
          <w:noProof/>
        </w:rPr>
        <w:t>8</w:t>
      </w:r>
      <w:r w:rsidR="0065476E">
        <w:rPr>
          <w:noProof/>
        </w:rPr>
        <w:fldChar w:fldCharType="end"/>
      </w:r>
      <w:r>
        <w:t xml:space="preserve">: </w:t>
      </w:r>
      <w:r w:rsidRPr="001C3692">
        <w:t>Toyota Internal Resources, Capabilities, and Core Competencies Framework</w:t>
      </w:r>
      <w:r w:rsidR="005269D1">
        <w:t xml:space="preserve"> (</w:t>
      </w:r>
      <w:r>
        <w:t xml:space="preserve">Source: </w:t>
      </w:r>
      <w:r w:rsidRPr="00EC7C1E">
        <w:t>Summaryplanet</w:t>
      </w:r>
      <w:r>
        <w:t xml:space="preserve">, </w:t>
      </w:r>
      <w:r w:rsidRPr="00EC7C1E">
        <w:t>2025)</w:t>
      </w:r>
    </w:p>
    <w:p w14:paraId="4B7B589D" w14:textId="6E883160" w:rsidR="00D21487" w:rsidRPr="00D21487" w:rsidRDefault="00B7101D" w:rsidP="00D21487">
      <w:pPr>
        <w:rPr>
          <w:lang w:val="en-GB"/>
        </w:rPr>
      </w:pPr>
      <w:r w:rsidRPr="00B7101D">
        <w:rPr>
          <w:lang w:val="en-GB"/>
        </w:rPr>
        <w:t>This tangible resource is important since it underpins localisation, scale and resilience. The second asset it possesses is the Toyota brand which is an intangible asset that comes with reliability, safety and mainstream trust</w:t>
      </w:r>
      <w:r w:rsidR="006A23AB">
        <w:rPr>
          <w:lang w:val="en-GB"/>
        </w:rPr>
        <w:t xml:space="preserve"> </w:t>
      </w:r>
      <w:r w:rsidR="006A23AB" w:rsidRPr="00B7101D">
        <w:rPr>
          <w:lang w:val="en-GB"/>
        </w:rPr>
        <w:t>(IEA, 2025)</w:t>
      </w:r>
      <w:r w:rsidRPr="00B7101D">
        <w:rPr>
          <w:lang w:val="en-GB"/>
        </w:rPr>
        <w:t>. The first key capability of Toyota besides resources is the Toyota Production System which transforms disciplined routines into less waste, increased quality and efficient throughput. The second major feature is its multi-pathway product integration i.e. its capability to handle hybrids, combustion, battery EVs and associated technologies at the same time</w:t>
      </w:r>
      <w:r w:rsidR="00DD3FA0">
        <w:rPr>
          <w:lang w:val="en-GB"/>
        </w:rPr>
        <w:t xml:space="preserve"> </w:t>
      </w:r>
      <w:r w:rsidRPr="00B7101D">
        <w:rPr>
          <w:lang w:val="en-GB"/>
        </w:rPr>
        <w:t>(Moon, 2013).</w:t>
      </w:r>
    </w:p>
    <w:p w14:paraId="56036623" w14:textId="0E7910F2" w:rsidR="00D21487" w:rsidRDefault="00D21487" w:rsidP="008458A3">
      <w:pPr>
        <w:pStyle w:val="Heading3"/>
        <w:rPr>
          <w:lang w:val="en-GB"/>
        </w:rPr>
      </w:pPr>
      <w:bookmarkStart w:id="9" w:name="_Toc228480083"/>
      <w:r w:rsidRPr="00D21487">
        <w:rPr>
          <w:lang w:val="en-GB"/>
        </w:rPr>
        <w:t xml:space="preserve">2.4 </w:t>
      </w:r>
      <w:r w:rsidR="008B701E" w:rsidRPr="008B701E">
        <w:rPr>
          <w:lang w:val="en-GB"/>
        </w:rPr>
        <w:t>VRIO evaluation of Toyota’s strategic capabilities</w:t>
      </w:r>
      <w:bookmarkEnd w:id="9"/>
    </w:p>
    <w:p w14:paraId="5B722428" w14:textId="14366122" w:rsidR="00D21487" w:rsidRDefault="00A84F27" w:rsidP="00D21487">
      <w:pPr>
        <w:rPr>
          <w:lang w:val="en-GB"/>
        </w:rPr>
      </w:pPr>
      <w:r w:rsidRPr="00A84F27">
        <w:t>Based on the critical success factors, the VRIO framework identifies the company's capabilities offering long-term advantage.</w:t>
      </w:r>
      <w:r w:rsidR="00865625" w:rsidRPr="00865625">
        <w:rPr>
          <w:b/>
          <w:bCs/>
        </w:rPr>
        <w:t xml:space="preserve"> </w:t>
      </w:r>
      <w:r w:rsidR="00150A3C" w:rsidRPr="00150A3C">
        <w:t>Figure 9 illustrates the VRIO framework for analysing strategic capability. The VRIO analysis is helpful because it evaluates whether a firm's capabilities are valuable, rare, inimitable and properly organised. For Toyota, the key strategic capabilities are the Toyota Production System, trust and reliability in the brand, and multi-pathway electrification capability. These capabilities are considered individually because competitive advantage is not just about what a firm possesses, but the effectiveness of how they are exploited (Whittington et al., 2021).</w:t>
      </w:r>
    </w:p>
    <w:p w14:paraId="095584B3" w14:textId="77777777" w:rsidR="00EC7C1E" w:rsidRDefault="005F7194" w:rsidP="00EC7C1E">
      <w:pPr>
        <w:keepNext/>
        <w:spacing w:after="40"/>
        <w:jc w:val="center"/>
      </w:pPr>
      <w:r>
        <w:rPr>
          <w:noProof/>
        </w:rPr>
        <w:lastRenderedPageBreak/>
        <w:drawing>
          <wp:inline distT="0" distB="0" distL="0" distR="0" wp14:anchorId="223D5F88" wp14:editId="2786A2F9">
            <wp:extent cx="4937760" cy="278310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889eb3d-84a4-4df4-994e-b41c8518d91b.png"/>
                    <pic:cNvPicPr/>
                  </pic:nvPicPr>
                  <pic:blipFill>
                    <a:blip r:embed="rId17"/>
                    <a:stretch>
                      <a:fillRect/>
                    </a:stretch>
                  </pic:blipFill>
                  <pic:spPr>
                    <a:xfrm>
                      <a:off x="0" y="0"/>
                      <a:ext cx="4937760" cy="2783101"/>
                    </a:xfrm>
                    <a:prstGeom prst="rect">
                      <a:avLst/>
                    </a:prstGeom>
                  </pic:spPr>
                </pic:pic>
              </a:graphicData>
            </a:graphic>
          </wp:inline>
        </w:drawing>
      </w:r>
    </w:p>
    <w:p w14:paraId="59D68C27" w14:textId="261BCEEE" w:rsidR="00EC7C1E" w:rsidRPr="00EC7C1E" w:rsidRDefault="00EC7C1E" w:rsidP="005269D1">
      <w:pPr>
        <w:pStyle w:val="Caption"/>
        <w:jc w:val="center"/>
      </w:pPr>
      <w:r>
        <w:t xml:space="preserve">Figure </w:t>
      </w:r>
      <w:r w:rsidR="0065476E">
        <w:fldChar w:fldCharType="begin"/>
      </w:r>
      <w:r w:rsidR="0065476E">
        <w:instrText xml:space="preserve"> SEQ Figure \* ARABIC </w:instrText>
      </w:r>
      <w:r w:rsidR="0065476E">
        <w:fldChar w:fldCharType="separate"/>
      </w:r>
      <w:r>
        <w:rPr>
          <w:noProof/>
        </w:rPr>
        <w:t>9</w:t>
      </w:r>
      <w:r w:rsidR="0065476E">
        <w:rPr>
          <w:noProof/>
        </w:rPr>
        <w:fldChar w:fldCharType="end"/>
      </w:r>
      <w:r>
        <w:t xml:space="preserve">: </w:t>
      </w:r>
      <w:r w:rsidRPr="00A26E26">
        <w:t>VRIO Analysis</w:t>
      </w:r>
      <w:r w:rsidR="005269D1">
        <w:t xml:space="preserve"> (</w:t>
      </w:r>
      <w:r>
        <w:t xml:space="preserve">Source: </w:t>
      </w:r>
      <w:r w:rsidRPr="00EC7C1E">
        <w:t>de Bruin, 2016)</w:t>
      </w:r>
    </w:p>
    <w:p w14:paraId="5C132910" w14:textId="77777777" w:rsidR="008B701E" w:rsidRPr="008B701E" w:rsidRDefault="008B701E" w:rsidP="008B701E">
      <w:pPr>
        <w:pStyle w:val="Heading4"/>
        <w:rPr>
          <w:lang w:val="en-GB"/>
        </w:rPr>
      </w:pPr>
      <w:r w:rsidRPr="008B701E">
        <w:rPr>
          <w:lang w:val="en-GB"/>
        </w:rPr>
        <w:t>1. Toyota Production System and lean manufacturing capability</w:t>
      </w:r>
    </w:p>
    <w:p w14:paraId="6264114E" w14:textId="77777777" w:rsidR="00150A3C" w:rsidRPr="00150A3C" w:rsidRDefault="008B701E" w:rsidP="00150A3C">
      <w:pPr>
        <w:rPr>
          <w:lang w:val="en-GB"/>
        </w:rPr>
      </w:pPr>
      <w:r w:rsidRPr="008B701E">
        <w:rPr>
          <w:b/>
          <w:bCs/>
          <w:lang w:val="en-GB"/>
        </w:rPr>
        <w:t>Value: High</w:t>
      </w:r>
      <w:r>
        <w:rPr>
          <w:lang w:val="en-GB"/>
        </w:rPr>
        <w:t xml:space="preserve"> - </w:t>
      </w:r>
      <w:r w:rsidR="00150A3C" w:rsidRPr="00150A3C">
        <w:rPr>
          <w:lang w:val="en-GB"/>
        </w:rPr>
        <w:t>The Toyota Production System is very valuable to support efficiency, waste elimination, quality and discipline in Toyota's global production. In the highly competitive automotive sector, where quality and production delays can have a significant impact on profitability, TPS provides Toyota with a foundation for cost and production certainty (Liker, 2020).</w:t>
      </w:r>
    </w:p>
    <w:p w14:paraId="22529456" w14:textId="77777777" w:rsidR="00150A3C" w:rsidRPr="00150A3C" w:rsidRDefault="008B701E" w:rsidP="00150A3C">
      <w:pPr>
        <w:rPr>
          <w:lang w:val="en-GB"/>
        </w:rPr>
      </w:pPr>
      <w:r w:rsidRPr="008B701E">
        <w:rPr>
          <w:b/>
          <w:bCs/>
          <w:lang w:val="en-GB"/>
        </w:rPr>
        <w:t>Rarity: High</w:t>
      </w:r>
      <w:r>
        <w:rPr>
          <w:lang w:val="en-GB"/>
        </w:rPr>
        <w:t xml:space="preserve"> - </w:t>
      </w:r>
      <w:r w:rsidR="00150A3C" w:rsidRPr="00150A3C">
        <w:rPr>
          <w:lang w:val="en-GB"/>
        </w:rPr>
        <w:t>Lean production is now well understood, but Toyota's particular production capability is still rare because it is deeply ingrained in its culture, processes and supplier networks. Competitors can adopt lean tools, but few can fully replicate Toyota's approach to continuous improvement, employee participation and operational learning (Kawai, 2022).</w:t>
      </w:r>
    </w:p>
    <w:p w14:paraId="1C647B47" w14:textId="77777777" w:rsidR="00150A3C" w:rsidRPr="00150A3C" w:rsidRDefault="008B701E" w:rsidP="00150A3C">
      <w:pPr>
        <w:rPr>
          <w:lang w:val="en-GB"/>
        </w:rPr>
      </w:pPr>
      <w:r w:rsidRPr="008B701E">
        <w:rPr>
          <w:b/>
          <w:bCs/>
          <w:lang w:val="en-GB"/>
        </w:rPr>
        <w:t>Inimitability: Very High</w:t>
      </w:r>
      <w:r>
        <w:rPr>
          <w:lang w:val="en-GB"/>
        </w:rPr>
        <w:t xml:space="preserve"> - </w:t>
      </w:r>
      <w:r w:rsidR="00150A3C" w:rsidRPr="00150A3C">
        <w:rPr>
          <w:lang w:val="en-GB"/>
        </w:rPr>
        <w:t>This capability is very hard to copy because it is path dependent and socially embedded. TPS is not just a technical production system, but also a problem-solving system based on standardisation, learning, coordination and continuous improvement (Teece, 2018).</w:t>
      </w:r>
    </w:p>
    <w:p w14:paraId="102519E8" w14:textId="0665099E" w:rsidR="008B701E" w:rsidRPr="008B701E" w:rsidRDefault="008B701E" w:rsidP="008B701E">
      <w:pPr>
        <w:rPr>
          <w:lang w:val="en-GB"/>
        </w:rPr>
      </w:pPr>
      <w:r w:rsidRPr="008B701E">
        <w:rPr>
          <w:b/>
          <w:bCs/>
          <w:lang w:val="en-GB"/>
        </w:rPr>
        <w:t>Organisation: High</w:t>
      </w:r>
      <w:r>
        <w:rPr>
          <w:lang w:val="en-GB"/>
        </w:rPr>
        <w:t xml:space="preserve"> - </w:t>
      </w:r>
      <w:r w:rsidR="00150A3C" w:rsidRPr="00150A3C">
        <w:rPr>
          <w:lang w:val="en-GB"/>
        </w:rPr>
        <w:t>Toyota is well organised to leverage this capability because its production systems, training, management practices and supply chains are aligned with the TPS principles. This helps Toyota to be lean in different regions without compromises to quality and efficiency (Peng and Kathuria, 2021).</w:t>
      </w:r>
    </w:p>
    <w:p w14:paraId="5BD27089" w14:textId="77777777" w:rsidR="008B701E" w:rsidRPr="008B701E" w:rsidRDefault="008B701E" w:rsidP="008B701E">
      <w:pPr>
        <w:pStyle w:val="Heading4"/>
        <w:rPr>
          <w:lang w:val="en-GB"/>
        </w:rPr>
      </w:pPr>
      <w:r w:rsidRPr="008B701E">
        <w:rPr>
          <w:lang w:val="en-GB"/>
        </w:rPr>
        <w:lastRenderedPageBreak/>
        <w:t>2. Brand trust and reliability reputation</w:t>
      </w:r>
    </w:p>
    <w:p w14:paraId="7078362A" w14:textId="77777777" w:rsidR="00150A3C" w:rsidRPr="00150A3C" w:rsidRDefault="008B701E" w:rsidP="00150A3C">
      <w:pPr>
        <w:rPr>
          <w:lang w:val="en-GB"/>
        </w:rPr>
      </w:pPr>
      <w:r w:rsidRPr="008B701E">
        <w:rPr>
          <w:b/>
          <w:bCs/>
          <w:lang w:val="en-GB"/>
        </w:rPr>
        <w:t>Value: High</w:t>
      </w:r>
      <w:r>
        <w:rPr>
          <w:lang w:val="en-GB"/>
        </w:rPr>
        <w:t xml:space="preserve"> - </w:t>
      </w:r>
      <w:r w:rsidR="00150A3C" w:rsidRPr="00150A3C">
        <w:rPr>
          <w:lang w:val="en-GB"/>
        </w:rPr>
        <w:t>Toyota brand reputation is very valuable as customers perceive Toyota to be reliable, durable, safe and has long-term value. It enables customer loyalty, repurchase and acceptance within and across markets (Moon, 2013).</w:t>
      </w:r>
    </w:p>
    <w:p w14:paraId="0C4C0FCB" w14:textId="77777777" w:rsidR="00150A3C" w:rsidRPr="00150A3C" w:rsidRDefault="008B701E" w:rsidP="00150A3C">
      <w:pPr>
        <w:rPr>
          <w:lang w:val="en-GB"/>
        </w:rPr>
      </w:pPr>
      <w:r w:rsidRPr="008B701E">
        <w:rPr>
          <w:b/>
          <w:bCs/>
          <w:lang w:val="en-GB"/>
        </w:rPr>
        <w:t>Rarity: Medium to High</w:t>
      </w:r>
      <w:r>
        <w:rPr>
          <w:lang w:val="en-GB"/>
        </w:rPr>
        <w:t xml:space="preserve"> - </w:t>
      </w:r>
      <w:r w:rsidR="00150A3C" w:rsidRPr="00150A3C">
        <w:rPr>
          <w:lang w:val="en-GB"/>
        </w:rPr>
        <w:t>Brand reputation isn't entirely rare because other global car manufacturers also have strong brands. But Toyota's brand reputation for reliability and mass-market dependability is rare because it has been consistent for decades (Whittington et al., 2021).</w:t>
      </w:r>
    </w:p>
    <w:p w14:paraId="3F0085CA" w14:textId="77777777" w:rsidR="00150A3C" w:rsidRPr="00150A3C" w:rsidRDefault="008B701E" w:rsidP="00150A3C">
      <w:pPr>
        <w:rPr>
          <w:lang w:val="en-GB"/>
        </w:rPr>
      </w:pPr>
      <w:r w:rsidRPr="008B701E">
        <w:rPr>
          <w:b/>
          <w:bCs/>
          <w:lang w:val="en-GB"/>
        </w:rPr>
        <w:t>Inimitability: High</w:t>
      </w:r>
      <w:r>
        <w:rPr>
          <w:lang w:val="en-GB"/>
        </w:rPr>
        <w:t xml:space="preserve"> - </w:t>
      </w:r>
      <w:r w:rsidR="00150A3C" w:rsidRPr="00150A3C">
        <w:rPr>
          <w:lang w:val="en-GB"/>
        </w:rPr>
        <w:t>Toyota brand trust is not easy to copy because brand is not developed overnight. It is based on customer satisfaction over time, product quality, after-market support, quality management and organisational culture (Liker, 2020).</w:t>
      </w:r>
    </w:p>
    <w:p w14:paraId="3982307F" w14:textId="3222FE68" w:rsidR="008B701E" w:rsidRPr="008B701E" w:rsidRDefault="008B701E" w:rsidP="008B701E">
      <w:pPr>
        <w:rPr>
          <w:lang w:val="en-GB"/>
        </w:rPr>
      </w:pPr>
      <w:r w:rsidRPr="008B701E">
        <w:rPr>
          <w:b/>
          <w:bCs/>
          <w:lang w:val="en-GB"/>
        </w:rPr>
        <w:t>Organisation: High</w:t>
      </w:r>
      <w:r>
        <w:rPr>
          <w:lang w:val="en-GB"/>
        </w:rPr>
        <w:t xml:space="preserve"> - </w:t>
      </w:r>
      <w:r w:rsidR="00150A3C" w:rsidRPr="00150A3C">
        <w:rPr>
          <w:lang w:val="en-GB"/>
        </w:rPr>
        <w:t>Toyota is highly organised to leverage its brand capability through its global retail network, quality control, customer service and new product development. Its organisational emphasis on reliability and continuous improvement can help uphold brand value and translate customer loyalty into sales (Kawai, 2022).</w:t>
      </w:r>
    </w:p>
    <w:p w14:paraId="164264EA" w14:textId="5ED7458E" w:rsidR="008B701E" w:rsidRPr="008B701E" w:rsidRDefault="008B701E" w:rsidP="008B701E">
      <w:pPr>
        <w:pStyle w:val="Heading4"/>
        <w:rPr>
          <w:lang w:val="en-GB"/>
        </w:rPr>
      </w:pPr>
      <w:r w:rsidRPr="008B701E">
        <w:rPr>
          <w:lang w:val="en-GB"/>
        </w:rPr>
        <w:t xml:space="preserve">3. </w:t>
      </w:r>
      <w:r w:rsidR="008273EB" w:rsidRPr="008B701E">
        <w:rPr>
          <w:lang w:val="en-GB"/>
        </w:rPr>
        <w:t>multi-pathway</w:t>
      </w:r>
      <w:r w:rsidRPr="008B701E">
        <w:rPr>
          <w:lang w:val="en-GB"/>
        </w:rPr>
        <w:t xml:space="preserve"> electrification and technology integration capability</w:t>
      </w:r>
    </w:p>
    <w:p w14:paraId="0DCC3C6E" w14:textId="738B0061" w:rsidR="00150A3C" w:rsidRPr="00150A3C" w:rsidRDefault="008B701E" w:rsidP="00150A3C">
      <w:pPr>
        <w:rPr>
          <w:lang w:val="en-GB"/>
        </w:rPr>
      </w:pPr>
      <w:r w:rsidRPr="008B701E">
        <w:rPr>
          <w:b/>
          <w:bCs/>
          <w:lang w:val="en-GB"/>
        </w:rPr>
        <w:t>Value: High</w:t>
      </w:r>
      <w:r>
        <w:rPr>
          <w:lang w:val="en-GB"/>
        </w:rPr>
        <w:t xml:space="preserve"> - </w:t>
      </w:r>
      <w:r w:rsidR="00150A3C" w:rsidRPr="00150A3C">
        <w:rPr>
          <w:lang w:val="en-GB"/>
        </w:rPr>
        <w:t xml:space="preserve">Toyota's multi-pathway electrification capability is valuable because the automotive industry is not evolving to a single technology at the same pace everywhere. Toyota's capability to produce hybrid, plug-in hybrid, battery electric and other low-emission vehicles </w:t>
      </w:r>
      <w:r w:rsidR="008273EB" w:rsidRPr="00150A3C">
        <w:rPr>
          <w:lang w:val="en-GB"/>
        </w:rPr>
        <w:t>enable</w:t>
      </w:r>
      <w:r w:rsidR="00150A3C" w:rsidRPr="00150A3C">
        <w:rPr>
          <w:lang w:val="en-GB"/>
        </w:rPr>
        <w:t xml:space="preserve"> it to adapt to the needs of different customers, infrastructure and regulatory environments (Kobayashi, 2024).</w:t>
      </w:r>
    </w:p>
    <w:p w14:paraId="40638D1B" w14:textId="77777777" w:rsidR="00150A3C" w:rsidRPr="00150A3C" w:rsidRDefault="008B701E" w:rsidP="00150A3C">
      <w:pPr>
        <w:rPr>
          <w:lang w:val="en-GB"/>
        </w:rPr>
      </w:pPr>
      <w:r w:rsidRPr="008B701E">
        <w:rPr>
          <w:b/>
          <w:bCs/>
          <w:lang w:val="en-GB"/>
        </w:rPr>
        <w:t>Rarity: Medium</w:t>
      </w:r>
      <w:r>
        <w:rPr>
          <w:lang w:val="en-GB"/>
        </w:rPr>
        <w:t xml:space="preserve"> - </w:t>
      </w:r>
      <w:r w:rsidR="00150A3C" w:rsidRPr="00150A3C">
        <w:rPr>
          <w:lang w:val="en-GB"/>
        </w:rPr>
        <w:t>This capability is somewhat rare because other companies are heavily invested in electric vehicles. But Toyota has a unique focus on hybrid technology and experience in large-scale production of electrified vehicles, while its dominance in pure battery electric vehicles is less clear than some EV-focused firms (Kawai, 2022).</w:t>
      </w:r>
    </w:p>
    <w:p w14:paraId="5305C470" w14:textId="77777777" w:rsidR="00150A3C" w:rsidRPr="00150A3C" w:rsidRDefault="008B701E" w:rsidP="00150A3C">
      <w:pPr>
        <w:rPr>
          <w:lang w:val="en-GB"/>
        </w:rPr>
      </w:pPr>
      <w:r w:rsidRPr="008B701E">
        <w:rPr>
          <w:b/>
          <w:bCs/>
          <w:lang w:val="en-GB"/>
        </w:rPr>
        <w:t>Inimitability: Medium to High</w:t>
      </w:r>
      <w:r>
        <w:rPr>
          <w:lang w:val="en-GB"/>
        </w:rPr>
        <w:t xml:space="preserve"> - </w:t>
      </w:r>
      <w:r w:rsidR="00150A3C" w:rsidRPr="00150A3C">
        <w:rPr>
          <w:lang w:val="en-GB"/>
        </w:rPr>
        <w:t>Toyota's hybrid and multi pathway capability is moderately inimitable because it is backed up by decades of engineering experience, manufacturing expertise and supplier relations. But it is not impossible to imitate because electrification technologies are evolving rapidly and many companies are rapidly expanding battery, software and electric vehicle platforms (Teece, 2018).</w:t>
      </w:r>
    </w:p>
    <w:p w14:paraId="4AADFED2" w14:textId="65B6E4B4" w:rsidR="00D21487" w:rsidRDefault="008B701E" w:rsidP="00D21487">
      <w:pPr>
        <w:rPr>
          <w:lang w:val="en-GB"/>
        </w:rPr>
      </w:pPr>
      <w:r w:rsidRPr="008B701E">
        <w:rPr>
          <w:b/>
          <w:bCs/>
          <w:lang w:val="en-GB"/>
        </w:rPr>
        <w:t>Organisation: Medium to High</w:t>
      </w:r>
      <w:r>
        <w:rPr>
          <w:lang w:val="en-GB"/>
        </w:rPr>
        <w:t xml:space="preserve"> - </w:t>
      </w:r>
      <w:r w:rsidR="00150A3C" w:rsidRPr="00150A3C">
        <w:rPr>
          <w:lang w:val="en-GB"/>
        </w:rPr>
        <w:t xml:space="preserve">Toyota is well organised to use this capability with R&amp;D, manufacturing, financial and market shares. But the critical issue is whether the organisation </w:t>
      </w:r>
      <w:r w:rsidR="00150A3C" w:rsidRPr="00150A3C">
        <w:rPr>
          <w:lang w:val="en-GB"/>
        </w:rPr>
        <w:lastRenderedPageBreak/>
        <w:t>can be fast enough in software-defined vehicles, battery platforms and charging-related partnerships (Peng and Kathuria, 2021).</w:t>
      </w:r>
    </w:p>
    <w:tbl>
      <w:tblPr>
        <w:tblStyle w:val="TableGrid"/>
        <w:tblW w:w="0" w:type="auto"/>
        <w:tblLook w:val="04A0" w:firstRow="1" w:lastRow="0" w:firstColumn="1" w:lastColumn="0" w:noHBand="0" w:noVBand="1"/>
      </w:tblPr>
      <w:tblGrid>
        <w:gridCol w:w="1617"/>
        <w:gridCol w:w="630"/>
        <w:gridCol w:w="1070"/>
        <w:gridCol w:w="1070"/>
        <w:gridCol w:w="1070"/>
        <w:gridCol w:w="4181"/>
      </w:tblGrid>
      <w:tr w:rsidR="00865625" w:rsidRPr="00865625" w14:paraId="65A3FDA4" w14:textId="77777777" w:rsidTr="0070172A">
        <w:tc>
          <w:tcPr>
            <w:tcW w:w="0" w:type="auto"/>
            <w:shd w:val="clear" w:color="auto" w:fill="C6D9F1" w:themeFill="text2" w:themeFillTint="33"/>
            <w:hideMark/>
          </w:tcPr>
          <w:p w14:paraId="0342B48A" w14:textId="77777777" w:rsidR="00865625" w:rsidRPr="00865625" w:rsidRDefault="00865625" w:rsidP="0070172A">
            <w:pPr>
              <w:jc w:val="center"/>
              <w:rPr>
                <w:b/>
                <w:bCs/>
                <w:lang w:val="en-GB"/>
              </w:rPr>
            </w:pPr>
            <w:r w:rsidRPr="00865625">
              <w:rPr>
                <w:b/>
                <w:bCs/>
                <w:lang w:val="en-GB"/>
              </w:rPr>
              <w:t>Capability</w:t>
            </w:r>
          </w:p>
        </w:tc>
        <w:tc>
          <w:tcPr>
            <w:tcW w:w="0" w:type="auto"/>
            <w:shd w:val="clear" w:color="auto" w:fill="C6D9F1" w:themeFill="text2" w:themeFillTint="33"/>
            <w:hideMark/>
          </w:tcPr>
          <w:p w14:paraId="3114B2A7" w14:textId="77777777" w:rsidR="00865625" w:rsidRPr="00865625" w:rsidRDefault="00865625" w:rsidP="0070172A">
            <w:pPr>
              <w:jc w:val="center"/>
              <w:rPr>
                <w:b/>
                <w:bCs/>
                <w:lang w:val="en-GB"/>
              </w:rPr>
            </w:pPr>
            <w:r w:rsidRPr="00865625">
              <w:rPr>
                <w:b/>
                <w:bCs/>
                <w:lang w:val="en-GB"/>
              </w:rPr>
              <w:t>V</w:t>
            </w:r>
          </w:p>
        </w:tc>
        <w:tc>
          <w:tcPr>
            <w:tcW w:w="0" w:type="auto"/>
            <w:shd w:val="clear" w:color="auto" w:fill="C6D9F1" w:themeFill="text2" w:themeFillTint="33"/>
            <w:hideMark/>
          </w:tcPr>
          <w:p w14:paraId="02168412" w14:textId="77777777" w:rsidR="00865625" w:rsidRPr="00865625" w:rsidRDefault="00865625" w:rsidP="0070172A">
            <w:pPr>
              <w:jc w:val="center"/>
              <w:rPr>
                <w:b/>
                <w:bCs/>
                <w:lang w:val="en-GB"/>
              </w:rPr>
            </w:pPr>
            <w:r w:rsidRPr="00865625">
              <w:rPr>
                <w:b/>
                <w:bCs/>
                <w:lang w:val="en-GB"/>
              </w:rPr>
              <w:t>R</w:t>
            </w:r>
          </w:p>
        </w:tc>
        <w:tc>
          <w:tcPr>
            <w:tcW w:w="0" w:type="auto"/>
            <w:shd w:val="clear" w:color="auto" w:fill="C6D9F1" w:themeFill="text2" w:themeFillTint="33"/>
            <w:hideMark/>
          </w:tcPr>
          <w:p w14:paraId="34D55106" w14:textId="77777777" w:rsidR="00865625" w:rsidRPr="00865625" w:rsidRDefault="00865625" w:rsidP="0070172A">
            <w:pPr>
              <w:jc w:val="center"/>
              <w:rPr>
                <w:b/>
                <w:bCs/>
                <w:lang w:val="en-GB"/>
              </w:rPr>
            </w:pPr>
            <w:r w:rsidRPr="00865625">
              <w:rPr>
                <w:b/>
                <w:bCs/>
                <w:lang w:val="en-GB"/>
              </w:rPr>
              <w:t>I</w:t>
            </w:r>
          </w:p>
        </w:tc>
        <w:tc>
          <w:tcPr>
            <w:tcW w:w="701" w:type="dxa"/>
            <w:shd w:val="clear" w:color="auto" w:fill="C6D9F1" w:themeFill="text2" w:themeFillTint="33"/>
            <w:hideMark/>
          </w:tcPr>
          <w:p w14:paraId="76922CA5" w14:textId="77777777" w:rsidR="00865625" w:rsidRPr="00865625" w:rsidRDefault="00865625" w:rsidP="0070172A">
            <w:pPr>
              <w:jc w:val="center"/>
              <w:rPr>
                <w:b/>
                <w:bCs/>
                <w:lang w:val="en-GB"/>
              </w:rPr>
            </w:pPr>
            <w:r w:rsidRPr="00865625">
              <w:rPr>
                <w:b/>
                <w:bCs/>
                <w:lang w:val="en-GB"/>
              </w:rPr>
              <w:t>O</w:t>
            </w:r>
          </w:p>
        </w:tc>
        <w:tc>
          <w:tcPr>
            <w:tcW w:w="4398" w:type="dxa"/>
            <w:shd w:val="clear" w:color="auto" w:fill="C6D9F1" w:themeFill="text2" w:themeFillTint="33"/>
            <w:hideMark/>
          </w:tcPr>
          <w:p w14:paraId="60C7A223" w14:textId="77777777" w:rsidR="00865625" w:rsidRPr="00865625" w:rsidRDefault="00865625" w:rsidP="0070172A">
            <w:pPr>
              <w:jc w:val="center"/>
              <w:rPr>
                <w:b/>
                <w:bCs/>
                <w:lang w:val="en-GB"/>
              </w:rPr>
            </w:pPr>
            <w:r w:rsidRPr="00865625">
              <w:rPr>
                <w:b/>
                <w:bCs/>
                <w:lang w:val="en-GB"/>
              </w:rPr>
              <w:t>Competitive Advantage</w:t>
            </w:r>
          </w:p>
        </w:tc>
      </w:tr>
      <w:tr w:rsidR="00865625" w:rsidRPr="00865625" w14:paraId="324CDDAD" w14:textId="77777777" w:rsidTr="00865625">
        <w:tc>
          <w:tcPr>
            <w:tcW w:w="0" w:type="auto"/>
            <w:hideMark/>
          </w:tcPr>
          <w:p w14:paraId="5F46701E" w14:textId="77777777" w:rsidR="00865625" w:rsidRPr="00865625" w:rsidRDefault="00865625" w:rsidP="00865625">
            <w:pPr>
              <w:rPr>
                <w:lang w:val="en-GB"/>
              </w:rPr>
            </w:pPr>
            <w:r w:rsidRPr="00865625">
              <w:rPr>
                <w:lang w:val="en-GB"/>
              </w:rPr>
              <w:t>Toyota Production System</w:t>
            </w:r>
          </w:p>
        </w:tc>
        <w:tc>
          <w:tcPr>
            <w:tcW w:w="0" w:type="auto"/>
            <w:hideMark/>
          </w:tcPr>
          <w:p w14:paraId="2C480C30" w14:textId="77777777" w:rsidR="00865625" w:rsidRPr="00865625" w:rsidRDefault="00865625" w:rsidP="00865625">
            <w:pPr>
              <w:rPr>
                <w:lang w:val="en-GB"/>
              </w:rPr>
            </w:pPr>
            <w:r w:rsidRPr="00865625">
              <w:rPr>
                <w:lang w:val="en-GB"/>
              </w:rPr>
              <w:t>Yes</w:t>
            </w:r>
          </w:p>
        </w:tc>
        <w:tc>
          <w:tcPr>
            <w:tcW w:w="0" w:type="auto"/>
            <w:hideMark/>
          </w:tcPr>
          <w:p w14:paraId="63084662" w14:textId="77777777" w:rsidR="00865625" w:rsidRPr="00865625" w:rsidRDefault="00865625" w:rsidP="00865625">
            <w:pPr>
              <w:rPr>
                <w:lang w:val="en-GB"/>
              </w:rPr>
            </w:pPr>
            <w:r w:rsidRPr="00865625">
              <w:rPr>
                <w:lang w:val="en-GB"/>
              </w:rPr>
              <w:t>Yes</w:t>
            </w:r>
          </w:p>
        </w:tc>
        <w:tc>
          <w:tcPr>
            <w:tcW w:w="0" w:type="auto"/>
            <w:hideMark/>
          </w:tcPr>
          <w:p w14:paraId="4F80F93D" w14:textId="77777777" w:rsidR="00865625" w:rsidRPr="00865625" w:rsidRDefault="00865625" w:rsidP="00865625">
            <w:pPr>
              <w:rPr>
                <w:lang w:val="en-GB"/>
              </w:rPr>
            </w:pPr>
            <w:r w:rsidRPr="00865625">
              <w:rPr>
                <w:lang w:val="en-GB"/>
              </w:rPr>
              <w:t>Yes</w:t>
            </w:r>
          </w:p>
        </w:tc>
        <w:tc>
          <w:tcPr>
            <w:tcW w:w="0" w:type="auto"/>
            <w:hideMark/>
          </w:tcPr>
          <w:p w14:paraId="21E6789F" w14:textId="77777777" w:rsidR="00865625" w:rsidRPr="00865625" w:rsidRDefault="00865625" w:rsidP="00865625">
            <w:pPr>
              <w:rPr>
                <w:lang w:val="en-GB"/>
              </w:rPr>
            </w:pPr>
            <w:r w:rsidRPr="00865625">
              <w:rPr>
                <w:lang w:val="en-GB"/>
              </w:rPr>
              <w:t>Yes</w:t>
            </w:r>
          </w:p>
        </w:tc>
        <w:tc>
          <w:tcPr>
            <w:tcW w:w="0" w:type="auto"/>
            <w:hideMark/>
          </w:tcPr>
          <w:p w14:paraId="21AE2EF9" w14:textId="77777777" w:rsidR="00865625" w:rsidRPr="00865625" w:rsidRDefault="00865625" w:rsidP="00865625">
            <w:pPr>
              <w:rPr>
                <w:lang w:val="en-GB"/>
              </w:rPr>
            </w:pPr>
            <w:r w:rsidRPr="00865625">
              <w:rPr>
                <w:lang w:val="en-GB"/>
              </w:rPr>
              <w:t>Sustained competitive advantage – core efficiency and operational excellence support scale and reliability (Liker, 2020)</w:t>
            </w:r>
          </w:p>
        </w:tc>
      </w:tr>
      <w:tr w:rsidR="00865625" w:rsidRPr="00865625" w14:paraId="42516355" w14:textId="77777777" w:rsidTr="00865625">
        <w:tc>
          <w:tcPr>
            <w:tcW w:w="0" w:type="auto"/>
            <w:hideMark/>
          </w:tcPr>
          <w:p w14:paraId="49E0F9CF" w14:textId="77777777" w:rsidR="00865625" w:rsidRPr="00865625" w:rsidRDefault="00865625" w:rsidP="00865625">
            <w:pPr>
              <w:rPr>
                <w:lang w:val="en-GB"/>
              </w:rPr>
            </w:pPr>
            <w:r w:rsidRPr="00865625">
              <w:rPr>
                <w:lang w:val="en-GB"/>
              </w:rPr>
              <w:t>Brand trust &amp; reliability</w:t>
            </w:r>
          </w:p>
        </w:tc>
        <w:tc>
          <w:tcPr>
            <w:tcW w:w="0" w:type="auto"/>
            <w:hideMark/>
          </w:tcPr>
          <w:p w14:paraId="56DC4A5F" w14:textId="77777777" w:rsidR="00865625" w:rsidRPr="00865625" w:rsidRDefault="00865625" w:rsidP="00865625">
            <w:pPr>
              <w:rPr>
                <w:lang w:val="en-GB"/>
              </w:rPr>
            </w:pPr>
            <w:r w:rsidRPr="00865625">
              <w:rPr>
                <w:lang w:val="en-GB"/>
              </w:rPr>
              <w:t>Yes</w:t>
            </w:r>
          </w:p>
        </w:tc>
        <w:tc>
          <w:tcPr>
            <w:tcW w:w="0" w:type="auto"/>
            <w:hideMark/>
          </w:tcPr>
          <w:p w14:paraId="5C1E05FC" w14:textId="77777777" w:rsidR="00865625" w:rsidRPr="00865625" w:rsidRDefault="00865625" w:rsidP="00865625">
            <w:pPr>
              <w:rPr>
                <w:lang w:val="en-GB"/>
              </w:rPr>
            </w:pPr>
            <w:r w:rsidRPr="00865625">
              <w:rPr>
                <w:lang w:val="en-GB"/>
              </w:rPr>
              <w:t>Medium</w:t>
            </w:r>
          </w:p>
        </w:tc>
        <w:tc>
          <w:tcPr>
            <w:tcW w:w="0" w:type="auto"/>
            <w:hideMark/>
          </w:tcPr>
          <w:p w14:paraId="06D88ED5" w14:textId="77777777" w:rsidR="00865625" w:rsidRPr="00865625" w:rsidRDefault="00865625" w:rsidP="00865625">
            <w:pPr>
              <w:rPr>
                <w:lang w:val="en-GB"/>
              </w:rPr>
            </w:pPr>
            <w:r w:rsidRPr="00865625">
              <w:rPr>
                <w:lang w:val="en-GB"/>
              </w:rPr>
              <w:t>Yes</w:t>
            </w:r>
          </w:p>
        </w:tc>
        <w:tc>
          <w:tcPr>
            <w:tcW w:w="0" w:type="auto"/>
            <w:hideMark/>
          </w:tcPr>
          <w:p w14:paraId="3CEC45A4" w14:textId="77777777" w:rsidR="00865625" w:rsidRPr="00865625" w:rsidRDefault="00865625" w:rsidP="00865625">
            <w:pPr>
              <w:rPr>
                <w:lang w:val="en-GB"/>
              </w:rPr>
            </w:pPr>
            <w:r w:rsidRPr="00865625">
              <w:rPr>
                <w:lang w:val="en-GB"/>
              </w:rPr>
              <w:t>Yes</w:t>
            </w:r>
          </w:p>
        </w:tc>
        <w:tc>
          <w:tcPr>
            <w:tcW w:w="0" w:type="auto"/>
            <w:hideMark/>
          </w:tcPr>
          <w:p w14:paraId="4F386A43" w14:textId="77777777" w:rsidR="00865625" w:rsidRPr="00865625" w:rsidRDefault="00865625" w:rsidP="00865625">
            <w:pPr>
              <w:rPr>
                <w:lang w:val="en-GB"/>
              </w:rPr>
            </w:pPr>
            <w:r w:rsidRPr="00865625">
              <w:rPr>
                <w:lang w:val="en-GB"/>
              </w:rPr>
              <w:t>Sustained competitive advantage – loyalty and credibility strengthen market position (Whittington et al., 2021)</w:t>
            </w:r>
          </w:p>
        </w:tc>
      </w:tr>
      <w:tr w:rsidR="00865625" w:rsidRPr="00865625" w14:paraId="39D2162D" w14:textId="77777777" w:rsidTr="00865625">
        <w:tc>
          <w:tcPr>
            <w:tcW w:w="0" w:type="auto"/>
            <w:hideMark/>
          </w:tcPr>
          <w:p w14:paraId="475C894C" w14:textId="77777777" w:rsidR="00865625" w:rsidRPr="00865625" w:rsidRDefault="00865625" w:rsidP="00865625">
            <w:pPr>
              <w:rPr>
                <w:lang w:val="en-GB"/>
              </w:rPr>
            </w:pPr>
            <w:r w:rsidRPr="00865625">
              <w:rPr>
                <w:lang w:val="en-GB"/>
              </w:rPr>
              <w:t>Multi-pathway electrification</w:t>
            </w:r>
          </w:p>
        </w:tc>
        <w:tc>
          <w:tcPr>
            <w:tcW w:w="0" w:type="auto"/>
            <w:hideMark/>
          </w:tcPr>
          <w:p w14:paraId="440C0525" w14:textId="77777777" w:rsidR="00865625" w:rsidRPr="00865625" w:rsidRDefault="00865625" w:rsidP="00865625">
            <w:pPr>
              <w:rPr>
                <w:lang w:val="en-GB"/>
              </w:rPr>
            </w:pPr>
            <w:r w:rsidRPr="00865625">
              <w:rPr>
                <w:lang w:val="en-GB"/>
              </w:rPr>
              <w:t>Yes</w:t>
            </w:r>
          </w:p>
        </w:tc>
        <w:tc>
          <w:tcPr>
            <w:tcW w:w="0" w:type="auto"/>
            <w:hideMark/>
          </w:tcPr>
          <w:p w14:paraId="1C2E42CC" w14:textId="77777777" w:rsidR="00865625" w:rsidRPr="00865625" w:rsidRDefault="00865625" w:rsidP="00865625">
            <w:pPr>
              <w:rPr>
                <w:lang w:val="en-GB"/>
              </w:rPr>
            </w:pPr>
            <w:r w:rsidRPr="00865625">
              <w:rPr>
                <w:lang w:val="en-GB"/>
              </w:rPr>
              <w:t>Medium</w:t>
            </w:r>
          </w:p>
        </w:tc>
        <w:tc>
          <w:tcPr>
            <w:tcW w:w="0" w:type="auto"/>
            <w:hideMark/>
          </w:tcPr>
          <w:p w14:paraId="35C5443B" w14:textId="77777777" w:rsidR="00865625" w:rsidRPr="00865625" w:rsidRDefault="00865625" w:rsidP="00865625">
            <w:pPr>
              <w:rPr>
                <w:lang w:val="en-GB"/>
              </w:rPr>
            </w:pPr>
            <w:r w:rsidRPr="00865625">
              <w:rPr>
                <w:lang w:val="en-GB"/>
              </w:rPr>
              <w:t>Medium</w:t>
            </w:r>
          </w:p>
        </w:tc>
        <w:tc>
          <w:tcPr>
            <w:tcW w:w="0" w:type="auto"/>
            <w:hideMark/>
          </w:tcPr>
          <w:p w14:paraId="6BD76725" w14:textId="77777777" w:rsidR="00865625" w:rsidRPr="00865625" w:rsidRDefault="00865625" w:rsidP="00865625">
            <w:pPr>
              <w:rPr>
                <w:lang w:val="en-GB"/>
              </w:rPr>
            </w:pPr>
            <w:r w:rsidRPr="00865625">
              <w:rPr>
                <w:lang w:val="en-GB"/>
              </w:rPr>
              <w:t>Medium</w:t>
            </w:r>
          </w:p>
        </w:tc>
        <w:tc>
          <w:tcPr>
            <w:tcW w:w="0" w:type="auto"/>
            <w:hideMark/>
          </w:tcPr>
          <w:p w14:paraId="419CDCDE" w14:textId="77777777" w:rsidR="00865625" w:rsidRPr="00865625" w:rsidRDefault="00865625" w:rsidP="00865625">
            <w:pPr>
              <w:keepNext/>
              <w:rPr>
                <w:lang w:val="en-GB"/>
              </w:rPr>
            </w:pPr>
            <w:r w:rsidRPr="00865625">
              <w:rPr>
                <w:lang w:val="en-GB"/>
              </w:rPr>
              <w:t>Temporary/conditional advantage – valuable and partially rare, but requires acceleration in software and EV capabilities to sustain advantage (Kobayashi, 2024)</w:t>
            </w:r>
          </w:p>
        </w:tc>
      </w:tr>
    </w:tbl>
    <w:p w14:paraId="708F913A" w14:textId="3AFF1E2E" w:rsidR="00865625" w:rsidRPr="005269D1" w:rsidRDefault="00865625" w:rsidP="00865625">
      <w:pPr>
        <w:pStyle w:val="Caption"/>
        <w:jc w:val="center"/>
        <w:rPr>
          <w:lang w:val="en-GB"/>
        </w:rPr>
      </w:pPr>
      <w:r>
        <w:t xml:space="preserve">Table </w:t>
      </w:r>
      <w:r w:rsidR="0065476E">
        <w:fldChar w:fldCharType="begin"/>
      </w:r>
      <w:r w:rsidR="0065476E">
        <w:instrText xml:space="preserve"> SEQ Table \* ARABIC </w:instrText>
      </w:r>
      <w:r w:rsidR="0065476E">
        <w:fldChar w:fldCharType="separate"/>
      </w:r>
      <w:r>
        <w:rPr>
          <w:noProof/>
        </w:rPr>
        <w:t>3</w:t>
      </w:r>
      <w:r w:rsidR="0065476E">
        <w:rPr>
          <w:noProof/>
        </w:rPr>
        <w:fldChar w:fldCharType="end"/>
      </w:r>
      <w:r>
        <w:rPr>
          <w:lang w:val="en-GB"/>
        </w:rPr>
        <w:t xml:space="preserve">: </w:t>
      </w:r>
      <w:r w:rsidRPr="002E4FC0">
        <w:rPr>
          <w:lang w:val="en-GB"/>
        </w:rPr>
        <w:t>VRIO Table with Strategic Link</w:t>
      </w:r>
      <w:r w:rsidR="005269D1">
        <w:rPr>
          <w:lang w:val="en-GB"/>
        </w:rPr>
        <w:t xml:space="preserve"> (</w:t>
      </w:r>
      <w:r w:rsidR="005269D1" w:rsidRPr="005269D1">
        <w:rPr>
          <w:lang w:val="en-GB"/>
        </w:rPr>
        <w:t xml:space="preserve">Self-made, adapted from </w:t>
      </w:r>
      <w:r w:rsidR="005269D1">
        <w:rPr>
          <w:lang w:val="en-GB"/>
        </w:rPr>
        <w:t xml:space="preserve">Toyota’s (2025c) </w:t>
      </w:r>
      <w:r w:rsidR="005269D1" w:rsidRPr="005269D1">
        <w:rPr>
          <w:lang w:val="en-GB"/>
        </w:rPr>
        <w:t>Financial Summary FY2025</w:t>
      </w:r>
      <w:r w:rsidR="005269D1">
        <w:rPr>
          <w:lang w:val="en-GB"/>
        </w:rPr>
        <w:t>)</w:t>
      </w:r>
    </w:p>
    <w:p w14:paraId="2861291D" w14:textId="0EAB424C" w:rsidR="00865625" w:rsidRPr="00A84F27" w:rsidRDefault="00A84F27" w:rsidP="00865625">
      <w:pPr>
        <w:rPr>
          <w:lang w:val="en-GB"/>
        </w:rPr>
      </w:pPr>
      <w:r w:rsidRPr="00A84F27">
        <w:rPr>
          <w:lang w:val="en-GB"/>
        </w:rPr>
        <w:t>The VRIO findings inform the Balanced Scorecard measures, translating capabilities into performance metrics across the financial, customer, internal process and learning perspectives.</w:t>
      </w:r>
    </w:p>
    <w:p w14:paraId="10159176" w14:textId="77777777" w:rsidR="00D21487" w:rsidRPr="00D21487" w:rsidRDefault="00D21487" w:rsidP="008458A3">
      <w:pPr>
        <w:pStyle w:val="Heading3"/>
        <w:rPr>
          <w:lang w:val="en-GB"/>
        </w:rPr>
      </w:pPr>
      <w:bookmarkStart w:id="10" w:name="_Toc228480084"/>
      <w:r w:rsidRPr="00D21487">
        <w:rPr>
          <w:lang w:val="en-GB"/>
        </w:rPr>
        <w:t>2.5 Internal strengths and competitive advantage</w:t>
      </w:r>
      <w:bookmarkEnd w:id="10"/>
    </w:p>
    <w:p w14:paraId="4403E968" w14:textId="77777777" w:rsidR="00B7101D" w:rsidRPr="00B7101D" w:rsidRDefault="00D21487" w:rsidP="00B7101D">
      <w:pPr>
        <w:rPr>
          <w:lang w:val="en-GB"/>
        </w:rPr>
      </w:pPr>
      <w:r w:rsidRPr="00D21487">
        <w:rPr>
          <w:b/>
          <w:bCs/>
          <w:lang w:val="en-GB"/>
        </w:rPr>
        <w:t>Strength:</w:t>
      </w:r>
      <w:r w:rsidRPr="00D21487">
        <w:rPr>
          <w:lang w:val="en-GB"/>
        </w:rPr>
        <w:t xml:space="preserve"> </w:t>
      </w:r>
      <w:r w:rsidR="00B7101D" w:rsidRPr="00B7101D">
        <w:rPr>
          <w:lang w:val="en-GB"/>
        </w:rPr>
        <w:t>Toyota has a core strength, which is the systemic communication between brand trust, process discipline, financial depth, regional production, that leads to resilience and creation of value across a mass market (Liker, 2020).</w:t>
      </w:r>
    </w:p>
    <w:p w14:paraId="51F22BAE" w14:textId="77777777" w:rsidR="00B7101D" w:rsidRPr="00B7101D" w:rsidRDefault="00D21487" w:rsidP="00B7101D">
      <w:pPr>
        <w:rPr>
          <w:lang w:val="en-GB"/>
        </w:rPr>
      </w:pPr>
      <w:r w:rsidRPr="00D21487">
        <w:rPr>
          <w:b/>
          <w:bCs/>
          <w:lang w:val="en-GB"/>
        </w:rPr>
        <w:t>Weaknesses:</w:t>
      </w:r>
      <w:r w:rsidRPr="00D21487">
        <w:rPr>
          <w:lang w:val="en-GB"/>
        </w:rPr>
        <w:t xml:space="preserve"> </w:t>
      </w:r>
      <w:r w:rsidR="00B7101D" w:rsidRPr="00B7101D">
        <w:rPr>
          <w:lang w:val="en-GB"/>
        </w:rPr>
        <w:t xml:space="preserve">Toyota has the major weakness of having capabilities developed to match the mechanical and hybrid excellence slower than those of newer competitors who are more software-focused and pure-EV (Teece, 2018). </w:t>
      </w:r>
    </w:p>
    <w:p w14:paraId="6EC73BEC" w14:textId="77777777" w:rsidR="00B7101D" w:rsidRPr="00B7101D" w:rsidRDefault="00D21487" w:rsidP="00B7101D">
      <w:pPr>
        <w:rPr>
          <w:lang w:val="en-GB"/>
        </w:rPr>
      </w:pPr>
      <w:r w:rsidRPr="00D21487">
        <w:rPr>
          <w:b/>
          <w:bCs/>
          <w:lang w:val="en-GB"/>
        </w:rPr>
        <w:t>Opportunities:</w:t>
      </w:r>
      <w:r w:rsidRPr="00D21487">
        <w:rPr>
          <w:lang w:val="en-GB"/>
        </w:rPr>
        <w:t xml:space="preserve"> </w:t>
      </w:r>
      <w:r w:rsidR="00B7101D" w:rsidRPr="00B7101D">
        <w:rPr>
          <w:lang w:val="en-GB"/>
        </w:rPr>
        <w:t xml:space="preserve">The biggest opportunity is to leverage on scale by using current scale, engineering credibility and global reach to scale up electrified mobility and integrating sustainability further into products and operations (Tolontan, Orhei and Vasiu, 2024). </w:t>
      </w:r>
    </w:p>
    <w:p w14:paraId="7885FABB" w14:textId="39F61C32" w:rsidR="00D21487" w:rsidRPr="008458A3" w:rsidRDefault="00D21487" w:rsidP="008458A3">
      <w:pPr>
        <w:rPr>
          <w:lang w:val="en-GB"/>
        </w:rPr>
      </w:pPr>
      <w:r w:rsidRPr="00D21487">
        <w:rPr>
          <w:b/>
          <w:bCs/>
          <w:lang w:val="en-GB"/>
        </w:rPr>
        <w:t>Threats:</w:t>
      </w:r>
      <w:r w:rsidRPr="00D21487">
        <w:rPr>
          <w:lang w:val="en-GB"/>
        </w:rPr>
        <w:t xml:space="preserve"> </w:t>
      </w:r>
      <w:r w:rsidR="00B7101D" w:rsidRPr="00B7101D">
        <w:rPr>
          <w:lang w:val="en-GB"/>
        </w:rPr>
        <w:t xml:space="preserve">The main threats include the scale of CEV in China, the increase in carbon regulation, the fragmentation of tariffs, and accelerated innovation. The internal strengths </w:t>
      </w:r>
      <w:r w:rsidR="00B7101D" w:rsidRPr="00B7101D">
        <w:rPr>
          <w:lang w:val="en-GB"/>
        </w:rPr>
        <w:lastRenderedPageBreak/>
        <w:t>that Toyota has continue to provide competitive advantage but it is only under the condition of the firm reconfiguring its internal strengths more quickly than the external environment changes that the competitive advantage will be maintained (IEA, 2025).</w:t>
      </w:r>
    </w:p>
    <w:p w14:paraId="08891154" w14:textId="70941C4F" w:rsidR="00192FEE" w:rsidRDefault="002865E9" w:rsidP="008458A3">
      <w:pPr>
        <w:pStyle w:val="Heading2"/>
      </w:pPr>
      <w:bookmarkStart w:id="11" w:name="_Toc228480085"/>
      <w:r>
        <w:t>3. CSR strategy and sustainability alignment</w:t>
      </w:r>
      <w:bookmarkEnd w:id="11"/>
    </w:p>
    <w:p w14:paraId="75A30967" w14:textId="5FD3205A" w:rsidR="008F1C33" w:rsidRDefault="00B7101D" w:rsidP="008F1C33">
      <w:pPr>
        <w:rPr>
          <w:lang w:val="en-GB"/>
        </w:rPr>
      </w:pPr>
      <w:r w:rsidRPr="00B7101D">
        <w:rPr>
          <w:lang w:val="en-GB"/>
        </w:rPr>
        <w:t>Corporate social responsibility is connected with the realization of social, ethical and environmental responsibility in the business decisions instead of considering them as the independent philanthropy. According to Figure 10, Toyota orientates CSR towards carbon neutrality, circularity, supply-chain responsibility, safety, people development and governance hinting that these issues are not glued to the strategy but are part of its core (Carroll and Laasch, 2020).</w:t>
      </w:r>
    </w:p>
    <w:p w14:paraId="59F73E2C" w14:textId="1F510ECF" w:rsidR="00EC7C1E" w:rsidRDefault="006A23AB" w:rsidP="00EC7C1E">
      <w:pPr>
        <w:keepNext/>
        <w:spacing w:after="40"/>
        <w:jc w:val="center"/>
      </w:pPr>
      <w:r>
        <w:rPr>
          <w:noProof/>
        </w:rPr>
        <w:drawing>
          <wp:inline distT="0" distB="0" distL="0" distR="0" wp14:anchorId="03B1D3D9" wp14:editId="6EF1FEAD">
            <wp:extent cx="3427763" cy="2546796"/>
            <wp:effectExtent l="0" t="0" r="1270" b="6350"/>
            <wp:docPr id="501151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151736" name=""/>
                    <pic:cNvPicPr/>
                  </pic:nvPicPr>
                  <pic:blipFill>
                    <a:blip r:embed="rId18"/>
                    <a:stretch>
                      <a:fillRect/>
                    </a:stretch>
                  </pic:blipFill>
                  <pic:spPr>
                    <a:xfrm>
                      <a:off x="0" y="0"/>
                      <a:ext cx="3427763" cy="2546796"/>
                    </a:xfrm>
                    <a:prstGeom prst="rect">
                      <a:avLst/>
                    </a:prstGeom>
                  </pic:spPr>
                </pic:pic>
              </a:graphicData>
            </a:graphic>
          </wp:inline>
        </w:drawing>
      </w:r>
    </w:p>
    <w:p w14:paraId="422B184A" w14:textId="120A0101" w:rsidR="00EC7C1E" w:rsidRPr="00EC7C1E" w:rsidRDefault="00EC7C1E" w:rsidP="005269D1">
      <w:pPr>
        <w:pStyle w:val="Caption"/>
        <w:jc w:val="center"/>
      </w:pPr>
      <w:r>
        <w:t xml:space="preserve">Figure </w:t>
      </w:r>
      <w:r w:rsidR="0065476E">
        <w:fldChar w:fldCharType="begin"/>
      </w:r>
      <w:r w:rsidR="0065476E">
        <w:instrText xml:space="preserve"> SEQ Figure \* ARABIC </w:instrText>
      </w:r>
      <w:r w:rsidR="0065476E">
        <w:fldChar w:fldCharType="separate"/>
      </w:r>
      <w:r>
        <w:rPr>
          <w:noProof/>
        </w:rPr>
        <w:t>10</w:t>
      </w:r>
      <w:r w:rsidR="0065476E">
        <w:rPr>
          <w:noProof/>
        </w:rPr>
        <w:fldChar w:fldCharType="end"/>
      </w:r>
      <w:r>
        <w:t xml:space="preserve">: </w:t>
      </w:r>
      <w:r w:rsidRPr="00C54E23">
        <w:t>Toyota CSR and Sustainability Alignment</w:t>
      </w:r>
      <w:r w:rsidR="005269D1">
        <w:t xml:space="preserve"> (</w:t>
      </w:r>
      <w:r>
        <w:t xml:space="preserve">Source: </w:t>
      </w:r>
      <w:r w:rsidRPr="00EC7C1E">
        <w:t>Toyota Europe</w:t>
      </w:r>
      <w:r>
        <w:t xml:space="preserve">, </w:t>
      </w:r>
      <w:r w:rsidRPr="00EC7C1E">
        <w:t>2026)</w:t>
      </w:r>
    </w:p>
    <w:p w14:paraId="0AACA0B1" w14:textId="2E9E54EF" w:rsidR="008F1C33" w:rsidRPr="008F1C33" w:rsidRDefault="008F1C33" w:rsidP="008F1C33">
      <w:pPr>
        <w:rPr>
          <w:lang w:val="en-GB"/>
        </w:rPr>
      </w:pPr>
      <w:r w:rsidRPr="008F1C33">
        <w:rPr>
          <w:b/>
          <w:bCs/>
          <w:lang w:val="en-GB"/>
        </w:rPr>
        <w:t>Current CSR strategy:</w:t>
      </w:r>
      <w:r w:rsidRPr="008F1C33">
        <w:rPr>
          <w:lang w:val="en-GB"/>
        </w:rPr>
        <w:t xml:space="preserve"> </w:t>
      </w:r>
      <w:r w:rsidR="00B7101D" w:rsidRPr="00B7101D">
        <w:rPr>
          <w:lang w:val="en-GB"/>
        </w:rPr>
        <w:t>The current sustainability strategy of Toyota is developed based on the Toyota Environmental Challenge 2050, lifecycle emissions, responsible procurement, human rights, safety and community contribution. This is a strategic move since the company associates sustainability to product design, production processes and value-chain management. Stated differently, CSR is not only being applied to appease stakeholders, but also to enhance legitimacy, operational efficiency and long-run competitiveness in an industry that is carbon-constrained (Toyota Motor Corporation, 2025c).</w:t>
      </w:r>
    </w:p>
    <w:p w14:paraId="0AA8553C" w14:textId="61DB2CEA" w:rsidR="00B7101D" w:rsidRPr="00B7101D" w:rsidRDefault="008F1C33" w:rsidP="00B7101D">
      <w:pPr>
        <w:rPr>
          <w:lang w:val="en-GB"/>
        </w:rPr>
      </w:pPr>
      <w:r w:rsidRPr="008F1C33">
        <w:rPr>
          <w:b/>
          <w:bCs/>
          <w:lang w:val="en-GB"/>
        </w:rPr>
        <w:t>Alignment with business objectives:</w:t>
      </w:r>
      <w:r w:rsidRPr="008F1C33">
        <w:rPr>
          <w:lang w:val="en-GB"/>
        </w:rPr>
        <w:t xml:space="preserve"> </w:t>
      </w:r>
      <w:r w:rsidR="00B7101D" w:rsidRPr="00B7101D">
        <w:rPr>
          <w:lang w:val="en-GB"/>
        </w:rPr>
        <w:t xml:space="preserve">Toyota business goals encompass lucrative expansion, business strength, relied quality, and fruitful mobility shift. It is widely in line with these objectives in its CSR strategy since environmental efficiency upholds cost discipline, responsible sourcing upholds stability in supply, and safety and governance uphold brand </w:t>
      </w:r>
      <w:r w:rsidR="00B7101D" w:rsidRPr="00B7101D">
        <w:rPr>
          <w:lang w:val="en-GB"/>
        </w:rPr>
        <w:lastRenderedPageBreak/>
        <w:t>trust. Nonetheless, alignment will not be complete unless Toyota is able to transform the sustainability promises into accelerated competitive advancements on lower-emission mobility</w:t>
      </w:r>
      <w:r w:rsidR="00DD3FA0">
        <w:rPr>
          <w:lang w:val="en-GB"/>
        </w:rPr>
        <w:t xml:space="preserve"> </w:t>
      </w:r>
      <w:r w:rsidR="00B7101D" w:rsidRPr="00B7101D">
        <w:rPr>
          <w:lang w:val="en-GB"/>
        </w:rPr>
        <w:t>(Zaharia and Zaharia, 2021).</w:t>
      </w:r>
    </w:p>
    <w:p w14:paraId="319FD5EF" w14:textId="7C797EAE" w:rsidR="00192FEE" w:rsidRDefault="002865E9" w:rsidP="008458A3">
      <w:pPr>
        <w:pStyle w:val="Heading2"/>
      </w:pPr>
      <w:bookmarkStart w:id="12" w:name="_Toc228480086"/>
      <w:r>
        <w:t xml:space="preserve">4. </w:t>
      </w:r>
      <w:r w:rsidRPr="008458A3">
        <w:t>Comprehensive</w:t>
      </w:r>
      <w:r>
        <w:t xml:space="preserve"> and holistic view of the </w:t>
      </w:r>
      <w:r w:rsidR="009D210C">
        <w:t>organization</w:t>
      </w:r>
      <w:bookmarkEnd w:id="12"/>
    </w:p>
    <w:p w14:paraId="2E631539" w14:textId="418D14E1" w:rsidR="00B7101D" w:rsidRPr="00B7101D" w:rsidRDefault="00B7101D" w:rsidP="00B7101D">
      <w:pPr>
        <w:rPr>
          <w:lang w:val="en-GB"/>
        </w:rPr>
      </w:pPr>
      <w:r w:rsidRPr="00B7101D">
        <w:rPr>
          <w:lang w:val="en-GB"/>
        </w:rPr>
        <w:t>The balanced scorecard is handy in that it converts strategy into an inter-related set of both financial and non-financial indicators. Instead of evaluating Toyota on the basis of profit alone, it enables performance to be measured in terms of customer value, internal processes and organisational learning (Tawse and Tabesh, 2023).</w:t>
      </w:r>
    </w:p>
    <w:p w14:paraId="51DF2FFF" w14:textId="77777777" w:rsidR="00B7101D" w:rsidRPr="00B7101D" w:rsidRDefault="008F1C33" w:rsidP="00B7101D">
      <w:pPr>
        <w:rPr>
          <w:lang w:val="en-GB"/>
        </w:rPr>
      </w:pPr>
      <w:r w:rsidRPr="008F1C33">
        <w:rPr>
          <w:b/>
          <w:bCs/>
          <w:lang w:val="en-GB"/>
        </w:rPr>
        <w:t>Financial perspective:</w:t>
      </w:r>
      <w:r w:rsidRPr="008F1C33">
        <w:rPr>
          <w:lang w:val="en-GB"/>
        </w:rPr>
        <w:t xml:space="preserve"> </w:t>
      </w:r>
      <w:r w:rsidR="00B7101D" w:rsidRPr="00B7101D">
        <w:rPr>
          <w:lang w:val="en-GB"/>
        </w:rPr>
        <w:t>The primary financial goal of Toyota is to maintain profitability, but it finances electrification, software development and resilience in regions. Appropriate KPIs are sales revenue, operating income, operating margin and free cash flow. Figure 4 indicates that Toyota was still financially fit during FY2025, but margin pressure is also of importance as transformation is a costly undertaking. The aim ought to be stable income with capital discipline, but major endeavors consist of cost management, productivity and selective investment in batteries, digital systems and depth of regional manufacturing (Toyota Motor Corporation, 2025a).</w:t>
      </w:r>
    </w:p>
    <w:p w14:paraId="4439D211" w14:textId="77777777" w:rsidR="00B7101D" w:rsidRPr="00B7101D" w:rsidRDefault="008F1C33" w:rsidP="00B7101D">
      <w:pPr>
        <w:rPr>
          <w:lang w:val="en-GB"/>
        </w:rPr>
      </w:pPr>
      <w:r w:rsidRPr="008F1C33">
        <w:rPr>
          <w:b/>
          <w:bCs/>
          <w:lang w:val="en-GB"/>
        </w:rPr>
        <w:t>Customer perspective:</w:t>
      </w:r>
      <w:r w:rsidRPr="008F1C33">
        <w:rPr>
          <w:lang w:val="en-GB"/>
        </w:rPr>
        <w:t xml:space="preserve"> </w:t>
      </w:r>
      <w:r w:rsidR="00B7101D" w:rsidRPr="00B7101D">
        <w:rPr>
          <w:lang w:val="en-GB"/>
        </w:rPr>
        <w:t>Toyota customer goal is to maintain reliability, safety and value and increase the acceptance of electrified mobility. Some of the KPIs that should be used are customer satisfaction, pattern of recall, sales mix of electrified vehicles and repeat purchase behaviour. Volume growth is not the only strategic target, but broad-market retention in transition. Product quality improvement, safety upgrading, low-cost electrified products, localizing products to the market are relevant initiatives. Such an attitude is important, as customer confidence is the core of the brand-based advantage of Toyota (Moon, 2013).</w:t>
      </w:r>
    </w:p>
    <w:p w14:paraId="5B85327D" w14:textId="77777777" w:rsidR="00B7101D" w:rsidRPr="00B7101D" w:rsidRDefault="008F1C33" w:rsidP="00B7101D">
      <w:pPr>
        <w:rPr>
          <w:lang w:val="en-GB"/>
        </w:rPr>
      </w:pPr>
      <w:r w:rsidRPr="008F1C33">
        <w:rPr>
          <w:b/>
          <w:bCs/>
          <w:lang w:val="en-GB"/>
        </w:rPr>
        <w:t>Internal business process perspective:</w:t>
      </w:r>
      <w:r w:rsidRPr="008F1C33">
        <w:rPr>
          <w:lang w:val="en-GB"/>
        </w:rPr>
        <w:t xml:space="preserve"> </w:t>
      </w:r>
      <w:r w:rsidR="00B7101D" w:rsidRPr="00B7101D">
        <w:rPr>
          <w:lang w:val="en-GB"/>
        </w:rPr>
        <w:t>The process goal of Toyota is to enhance quality, speed of development, supply resiliency and low-carbon-production. Appropriate KPIs are defect rates, time to market, productivity, localisation ratios and lifecycle emissions. The latter can be supported with Figure 5 indicating the strategic significance of a regional production base in Toyota. They should aim to innovate more quickly, with less quality discipline sacrificed, and the key steps to take are to reinforce TPS, combine software ability and enhance communication between regions with suppliers (Kobayashi, 2024).</w:t>
      </w:r>
    </w:p>
    <w:p w14:paraId="0A320B7D" w14:textId="530BAB2A" w:rsidR="00B7101D" w:rsidRPr="00B7101D" w:rsidRDefault="008F1C33" w:rsidP="00B7101D">
      <w:pPr>
        <w:rPr>
          <w:lang w:val="en-GB"/>
        </w:rPr>
      </w:pPr>
      <w:r w:rsidRPr="008F1C33">
        <w:rPr>
          <w:b/>
          <w:bCs/>
          <w:lang w:val="en-GB"/>
        </w:rPr>
        <w:lastRenderedPageBreak/>
        <w:t>Learning and growth perspective:</w:t>
      </w:r>
      <w:r w:rsidRPr="008F1C33">
        <w:rPr>
          <w:lang w:val="en-GB"/>
        </w:rPr>
        <w:t xml:space="preserve"> </w:t>
      </w:r>
      <w:r w:rsidR="00B7101D">
        <w:rPr>
          <w:lang w:val="en-GB"/>
        </w:rPr>
        <w:t>T</w:t>
      </w:r>
      <w:r w:rsidR="00B7101D" w:rsidRPr="00B7101D">
        <w:rPr>
          <w:lang w:val="en-GB"/>
        </w:rPr>
        <w:t>he learning goal of Toyota is to rejuvenate organisational capacity in the case of a software intensive, sustainability-focused industry. The KPIs such as training intensity, R&amp;D commitment, digital capability development and cross-functional innovation outcomes are relevant. The aim is not the incremental learning but ability renewal that facilitates mobility transformation. Technical reskilling, talent development, knowledge sharing and further integration of engineering, digital and sustainability functions should be included among the initiatives (Toyota Motor Corporation, 2025c).</w:t>
      </w:r>
    </w:p>
    <w:p w14:paraId="5BB8EFC1" w14:textId="77777777" w:rsidR="00B7101D" w:rsidRPr="00B7101D" w:rsidRDefault="008F1C33" w:rsidP="00B7101D">
      <w:pPr>
        <w:rPr>
          <w:lang w:val="en-GB"/>
        </w:rPr>
      </w:pPr>
      <w:r w:rsidRPr="008F1C33">
        <w:rPr>
          <w:b/>
          <w:bCs/>
          <w:lang w:val="en-GB"/>
        </w:rPr>
        <w:t>Final evaluation:</w:t>
      </w:r>
      <w:r w:rsidRPr="008F1C33">
        <w:rPr>
          <w:lang w:val="en-GB"/>
        </w:rPr>
        <w:t xml:space="preserve"> </w:t>
      </w:r>
      <w:r w:rsidR="00B7101D" w:rsidRPr="00B7101D">
        <w:rPr>
          <w:lang w:val="en-GB"/>
        </w:rPr>
        <w:t xml:space="preserve">On the whole, the balanced scorecard of Toyota indicates some strategic success. The financial and operational performance are good, and customer and learning dimensions suggest that adaptation should become faster. The plan is thus functioning, but not full. </w:t>
      </w:r>
    </w:p>
    <w:p w14:paraId="7328E48F" w14:textId="60D298CD" w:rsidR="008F1C33" w:rsidRPr="008F1C33" w:rsidRDefault="00B7101D" w:rsidP="00B7101D">
      <w:pPr>
        <w:rPr>
          <w:lang w:val="en-GB"/>
        </w:rPr>
      </w:pPr>
      <w:r w:rsidRPr="00B7101D">
        <w:rPr>
          <w:lang w:val="en-GB"/>
        </w:rPr>
        <w:t>Toyota would maintain its financial and process capabilities and speed up software development, lesser-emission product development, as well as organisational learning such that the short-term resilience can be converted into competitiveness in the future (Tawse and Tabesh, 2023).</w:t>
      </w:r>
    </w:p>
    <w:p w14:paraId="6B69224E" w14:textId="1CF3C26D" w:rsidR="00192FEE" w:rsidRPr="008F1C33" w:rsidRDefault="002865E9" w:rsidP="008458A3">
      <w:pPr>
        <w:pStyle w:val="Heading2"/>
      </w:pPr>
      <w:bookmarkStart w:id="13" w:name="_Toc228480087"/>
      <w:r>
        <w:t>5. Strategic choices and implementation</w:t>
      </w:r>
      <w:bookmarkEnd w:id="13"/>
    </w:p>
    <w:p w14:paraId="427D6304" w14:textId="5C66E310" w:rsidR="00B7101D" w:rsidRPr="00B7101D" w:rsidRDefault="008F1C33" w:rsidP="00B7101D">
      <w:pPr>
        <w:spacing w:after="120"/>
        <w:rPr>
          <w:lang w:val="en-GB"/>
        </w:rPr>
      </w:pPr>
      <w:r w:rsidRPr="008F1C33">
        <w:rPr>
          <w:b/>
          <w:bCs/>
          <w:lang w:val="en-GB"/>
        </w:rPr>
        <w:t>Business-level strategic choices:</w:t>
      </w:r>
      <w:r w:rsidRPr="008F1C33">
        <w:rPr>
          <w:lang w:val="en-GB"/>
        </w:rPr>
        <w:t xml:space="preserve"> </w:t>
      </w:r>
      <w:r w:rsidR="00B7101D" w:rsidRPr="00B7101D">
        <w:rPr>
          <w:lang w:val="en-GB"/>
        </w:rPr>
        <w:t>Business-level strategy deals with the way a firm competes in its industry, whereas corporate-level strategy deals with the way it competes and the way its business portfolio is designed. In the case of Toyota, not every generic choice is equally applicable. According to the previous conclusion, pure cost leadership or pure differentiation would not be the most appropriate business-level option, but rather broad-market strategy, leveraging lean cost efficiency with differentiation based on quality, reliability, safety and breadth of technology. Toyota competes strategically through dependable scaled mobility instead of competing to achieve extreme premium exclusivity or low-price competition in isolation (Kawai, 2022).</w:t>
      </w:r>
    </w:p>
    <w:p w14:paraId="2D5D8661" w14:textId="7221C928" w:rsidR="00B7101D" w:rsidRPr="00B7101D" w:rsidRDefault="008F1C33" w:rsidP="00B7101D">
      <w:pPr>
        <w:spacing w:after="120"/>
        <w:rPr>
          <w:lang w:val="en-GB"/>
        </w:rPr>
      </w:pPr>
      <w:r w:rsidRPr="008F1C33">
        <w:rPr>
          <w:b/>
          <w:bCs/>
          <w:lang w:val="en-GB"/>
        </w:rPr>
        <w:t>Recommended business-level choice:</w:t>
      </w:r>
      <w:r w:rsidRPr="008F1C33">
        <w:rPr>
          <w:lang w:val="en-GB"/>
        </w:rPr>
        <w:t xml:space="preserve"> </w:t>
      </w:r>
      <w:r w:rsidR="00B7101D" w:rsidRPr="00B7101D">
        <w:rPr>
          <w:lang w:val="en-GB"/>
        </w:rPr>
        <w:t xml:space="preserve">The best strategy that is recommended is to consolidate this integrated stance instead of dropping it. Toyota needs to maintain cost discipline using TPS, but enhance differentiation in the software capability, related services, low-emission technologies, and customer experience. This suggestion is more applicable to Toyota than a radical change to a pure EV-premium strategy since the company has a strong </w:t>
      </w:r>
      <w:r w:rsidR="00B7101D" w:rsidRPr="00B7101D">
        <w:rPr>
          <w:lang w:val="en-GB"/>
        </w:rPr>
        <w:lastRenderedPageBreak/>
        <w:t>foundation in broad-market operational excellence and confidence in the product performance. That would enable Toyota to be accessible to the conventional consumer and react better to the competitive pressure of Tesla, BYD, and other technology-driven competitors (Liker, 2020).</w:t>
      </w:r>
    </w:p>
    <w:p w14:paraId="020EB28A" w14:textId="022DD413" w:rsidR="008F1C33" w:rsidRDefault="008F1C33" w:rsidP="00B7101D">
      <w:pPr>
        <w:spacing w:after="120"/>
        <w:rPr>
          <w:lang w:val="en-GB"/>
        </w:rPr>
      </w:pPr>
      <w:r w:rsidRPr="008F1C33">
        <w:rPr>
          <w:b/>
          <w:bCs/>
          <w:lang w:val="en-GB"/>
        </w:rPr>
        <w:t>Corporate-level strategic choices:</w:t>
      </w:r>
      <w:r w:rsidRPr="008F1C33">
        <w:rPr>
          <w:lang w:val="en-GB"/>
        </w:rPr>
        <w:t xml:space="preserve"> </w:t>
      </w:r>
      <w:r w:rsidR="00B7101D" w:rsidRPr="00B7101D">
        <w:rPr>
          <w:lang w:val="en-GB"/>
        </w:rPr>
        <w:t>At the corporate level, the most topical are associated with diversification and selective deepening to the international level. Toyota is already shifting outside the vehicle manufacturing industry to batteries, mobility services, software platforms, financial services, and innovation that is sustainability-focused. These segments are still connected to its core competencies and are, therefore, strategically more focused than diversification that is not related. It is also applicable in the context of international expansion in a different form: the focus is not on expanding to new countries, but rather regionalised production and market adjustment in already existing significant areas</w:t>
      </w:r>
      <w:r w:rsidR="009E4CDA">
        <w:rPr>
          <w:lang w:val="en-GB"/>
        </w:rPr>
        <w:t xml:space="preserve"> </w:t>
      </w:r>
      <w:r w:rsidR="00B7101D" w:rsidRPr="00B7101D">
        <w:rPr>
          <w:lang w:val="en-GB"/>
        </w:rPr>
        <w:t>(Peng and Kathuria, 2021).</w:t>
      </w:r>
    </w:p>
    <w:p w14:paraId="26439807" w14:textId="77777777" w:rsidR="00EC7C1E" w:rsidRDefault="008458A3" w:rsidP="00EC7C1E">
      <w:pPr>
        <w:keepNext/>
        <w:spacing w:after="40"/>
        <w:jc w:val="center"/>
      </w:pPr>
      <w:r>
        <w:rPr>
          <w:noProof/>
        </w:rPr>
        <w:drawing>
          <wp:inline distT="0" distB="0" distL="0" distR="0" wp14:anchorId="6A15CDDE" wp14:editId="236E4347">
            <wp:extent cx="4306355" cy="2622092"/>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cbb5963-d7c9-409f-a13f-50d77eead53a.png"/>
                    <pic:cNvPicPr/>
                  </pic:nvPicPr>
                  <pic:blipFill>
                    <a:blip r:embed="rId19"/>
                    <a:stretch>
                      <a:fillRect/>
                    </a:stretch>
                  </pic:blipFill>
                  <pic:spPr>
                    <a:xfrm>
                      <a:off x="0" y="0"/>
                      <a:ext cx="4307360" cy="2622704"/>
                    </a:xfrm>
                    <a:prstGeom prst="rect">
                      <a:avLst/>
                    </a:prstGeom>
                  </pic:spPr>
                </pic:pic>
              </a:graphicData>
            </a:graphic>
          </wp:inline>
        </w:drawing>
      </w:r>
    </w:p>
    <w:p w14:paraId="2F80CD7C" w14:textId="1EDEB81B" w:rsidR="00EC7C1E" w:rsidRPr="00EC7C1E" w:rsidRDefault="00EC7C1E" w:rsidP="005269D1">
      <w:pPr>
        <w:pStyle w:val="Caption"/>
        <w:jc w:val="center"/>
      </w:pPr>
      <w:r>
        <w:t xml:space="preserve">Figure </w:t>
      </w:r>
      <w:r w:rsidR="0065476E">
        <w:fldChar w:fldCharType="begin"/>
      </w:r>
      <w:r w:rsidR="0065476E">
        <w:instrText xml:space="preserve"> SEQ Figure \* ARABIC </w:instrText>
      </w:r>
      <w:r w:rsidR="0065476E">
        <w:fldChar w:fldCharType="separate"/>
      </w:r>
      <w:r>
        <w:rPr>
          <w:noProof/>
        </w:rPr>
        <w:t>11</w:t>
      </w:r>
      <w:r w:rsidR="0065476E">
        <w:rPr>
          <w:noProof/>
        </w:rPr>
        <w:fldChar w:fldCharType="end"/>
      </w:r>
      <w:r>
        <w:t xml:space="preserve">: </w:t>
      </w:r>
      <w:r w:rsidRPr="00B74D5D">
        <w:t>Lewin’s Change Model</w:t>
      </w:r>
      <w:r w:rsidR="005269D1">
        <w:t xml:space="preserve"> (</w:t>
      </w:r>
      <w:r>
        <w:t xml:space="preserve">Source: </w:t>
      </w:r>
      <w:r w:rsidRPr="00EC7C1E">
        <w:t>HRC Online</w:t>
      </w:r>
      <w:r>
        <w:t xml:space="preserve">, </w:t>
      </w:r>
      <w:r w:rsidRPr="00EC7C1E">
        <w:t>2023)</w:t>
      </w:r>
    </w:p>
    <w:p w14:paraId="6708D4DB" w14:textId="2100CDF4" w:rsidR="00192FEE" w:rsidRPr="008458A3" w:rsidRDefault="008F1C33" w:rsidP="008458A3">
      <w:pPr>
        <w:spacing w:after="120"/>
        <w:rPr>
          <w:lang w:val="en-GB"/>
        </w:rPr>
      </w:pPr>
      <w:r w:rsidRPr="008F1C33">
        <w:rPr>
          <w:b/>
          <w:bCs/>
          <w:lang w:val="en-GB"/>
        </w:rPr>
        <w:t>Change management and implementation:</w:t>
      </w:r>
      <w:r w:rsidRPr="008F1C33">
        <w:rPr>
          <w:lang w:val="en-GB"/>
        </w:rPr>
        <w:t xml:space="preserve"> </w:t>
      </w:r>
      <w:r w:rsidR="00B7101D" w:rsidRPr="00B7101D">
        <w:rPr>
          <w:lang w:val="en-GB"/>
        </w:rPr>
        <w:t xml:space="preserve">Figure 11 uses the unfreeze, change, and refreeze model by Lewin to the strategic change at Toyota. Toyota is already in the unfreezing phase as it has realised the necessity to become more than a traditional car producer, but a broader mobility firm. Electrification, developing digital capabilities, and making more serious sustainability pledges can all be seen as the change stage (Khushk et al., 2022). The refreezing issue is more challenging, though, since Toyota should institutionalise such changes without sacrificing those traditional advantages in quality and process discipline. Toyota seems to have an edge over most companies in terms of </w:t>
      </w:r>
      <w:r w:rsidR="00B7101D" w:rsidRPr="00B7101D">
        <w:rPr>
          <w:lang w:val="en-GB"/>
        </w:rPr>
        <w:lastRenderedPageBreak/>
        <w:t>structured implementation, but the pace of software-based competition implies that cultural and structural adjustment should become even more rapid</w:t>
      </w:r>
      <w:r w:rsidR="00DD3FA0">
        <w:rPr>
          <w:lang w:val="en-GB"/>
        </w:rPr>
        <w:t xml:space="preserve"> </w:t>
      </w:r>
      <w:r w:rsidR="00B7101D" w:rsidRPr="00B7101D">
        <w:rPr>
          <w:lang w:val="en-GB"/>
        </w:rPr>
        <w:t>(Burnes, 2020).</w:t>
      </w:r>
    </w:p>
    <w:p w14:paraId="0498B703" w14:textId="457772BF" w:rsidR="00192FEE" w:rsidRPr="008458A3" w:rsidRDefault="002865E9" w:rsidP="008458A3">
      <w:pPr>
        <w:pStyle w:val="Heading2"/>
      </w:pPr>
      <w:bookmarkStart w:id="14" w:name="_Toc228480088"/>
      <w:r>
        <w:t>6. Strategic evaluation and recommendations</w:t>
      </w:r>
      <w:bookmarkEnd w:id="14"/>
      <w:r w:rsidR="009D210C">
        <w:t xml:space="preserve"> </w:t>
      </w:r>
    </w:p>
    <w:p w14:paraId="7D45DD3C" w14:textId="77777777" w:rsidR="00DD3FA0" w:rsidRDefault="008F1C33" w:rsidP="008F1C33">
      <w:pPr>
        <w:spacing w:after="120"/>
        <w:rPr>
          <w:lang w:val="en-GB"/>
        </w:rPr>
      </w:pPr>
      <w:r w:rsidRPr="008F1C33">
        <w:rPr>
          <w:b/>
          <w:bCs/>
          <w:lang w:val="en-GB"/>
        </w:rPr>
        <w:t>Strategic evaluation:</w:t>
      </w:r>
      <w:r w:rsidRPr="008F1C33">
        <w:rPr>
          <w:lang w:val="en-GB"/>
        </w:rPr>
        <w:t xml:space="preserve"> </w:t>
      </w:r>
      <w:r w:rsidR="00B7101D" w:rsidRPr="00B7101D">
        <w:rPr>
          <w:lang w:val="en-GB"/>
        </w:rPr>
        <w:t>Strategic evaluation is an assessment that determines how well the existing strategy of a company fits its internal strengths and external environment and the chances it will continue to provide a competitive advantage. This will necessitate the connection between the previously conducted environmental and internal analysis and the growth direction and portfolio logic in the case of Toyota. The current approach of the company is still rather consistent as it is solely aligned with its areas of strength like scale, excellence of processes, brand trust, and financial strength. But coherence will not suffice in a fast-paced changing industry. Assessment should then pose the question of whether the current strategic trend that Toyota follows is ambitious enough and well-balanced to ensure the ability to endure competitive threats posed by EV-based, software-based, and sustainability-based competitors over time (Whittington et al., 2021).</w:t>
      </w:r>
    </w:p>
    <w:p w14:paraId="24C5E30A" w14:textId="77777777" w:rsidR="00DD3FA0" w:rsidRDefault="00DD3FA0" w:rsidP="00DD3FA0">
      <w:pPr>
        <w:keepNext/>
        <w:spacing w:after="40"/>
        <w:jc w:val="center"/>
      </w:pPr>
      <w:r>
        <w:rPr>
          <w:noProof/>
        </w:rPr>
        <w:drawing>
          <wp:inline distT="0" distB="0" distL="0" distR="0" wp14:anchorId="63B2B873" wp14:editId="00DC0DF5">
            <wp:extent cx="3887099" cy="2030864"/>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544d734-e0dd-4d99-841d-9ee7c41a1d8c.png"/>
                    <pic:cNvPicPr/>
                  </pic:nvPicPr>
                  <pic:blipFill>
                    <a:blip r:embed="rId20"/>
                    <a:stretch>
                      <a:fillRect/>
                    </a:stretch>
                  </pic:blipFill>
                  <pic:spPr>
                    <a:xfrm>
                      <a:off x="0" y="0"/>
                      <a:ext cx="3888426" cy="2031557"/>
                    </a:xfrm>
                    <a:prstGeom prst="rect">
                      <a:avLst/>
                    </a:prstGeom>
                  </pic:spPr>
                </pic:pic>
              </a:graphicData>
            </a:graphic>
          </wp:inline>
        </w:drawing>
      </w:r>
    </w:p>
    <w:p w14:paraId="0554E445" w14:textId="6EFB6551" w:rsidR="00DD3FA0" w:rsidRPr="00DD3FA0" w:rsidRDefault="00DD3FA0" w:rsidP="00DD3FA0">
      <w:pPr>
        <w:pStyle w:val="Caption"/>
        <w:jc w:val="center"/>
      </w:pPr>
      <w:r>
        <w:t xml:space="preserve">Figure </w:t>
      </w:r>
      <w:r w:rsidR="0065476E">
        <w:fldChar w:fldCharType="begin"/>
      </w:r>
      <w:r w:rsidR="0065476E">
        <w:instrText xml:space="preserve"> SEQ Figure \* ARABIC </w:instrText>
      </w:r>
      <w:r w:rsidR="0065476E">
        <w:fldChar w:fldCharType="separate"/>
      </w:r>
      <w:r>
        <w:rPr>
          <w:noProof/>
        </w:rPr>
        <w:t>12</w:t>
      </w:r>
      <w:r w:rsidR="0065476E">
        <w:rPr>
          <w:noProof/>
        </w:rPr>
        <w:fldChar w:fldCharType="end"/>
      </w:r>
      <w:r>
        <w:t xml:space="preserve">: </w:t>
      </w:r>
      <w:r w:rsidRPr="005A7ACA">
        <w:t>Ansoff Matrix</w:t>
      </w:r>
      <w:r>
        <w:t xml:space="preserve"> (</w:t>
      </w:r>
      <w:r>
        <w:rPr>
          <w:lang w:val="en-GB"/>
        </w:rPr>
        <w:t xml:space="preserve">Source: </w:t>
      </w:r>
      <w:r w:rsidRPr="00EC7C1E">
        <w:rPr>
          <w:lang w:val="en-GB"/>
        </w:rPr>
        <w:t>The Strategy Institute</w:t>
      </w:r>
      <w:r>
        <w:rPr>
          <w:lang w:val="en-GB"/>
        </w:rPr>
        <w:t xml:space="preserve">, </w:t>
      </w:r>
      <w:r w:rsidRPr="00EC7C1E">
        <w:rPr>
          <w:lang w:val="en-GB"/>
        </w:rPr>
        <w:t>2024)</w:t>
      </w:r>
    </w:p>
    <w:p w14:paraId="1AA5075B" w14:textId="5B08D7A6" w:rsidR="008F1C33" w:rsidRDefault="008F1C33" w:rsidP="008F1C33">
      <w:pPr>
        <w:spacing w:after="120"/>
        <w:rPr>
          <w:lang w:val="en-GB"/>
        </w:rPr>
      </w:pPr>
      <w:r w:rsidRPr="008F1C33">
        <w:rPr>
          <w:b/>
          <w:bCs/>
          <w:lang w:val="en-GB"/>
        </w:rPr>
        <w:t>Ansoff Matrix evaluation:</w:t>
      </w:r>
      <w:r w:rsidRPr="008F1C33">
        <w:rPr>
          <w:lang w:val="en-GB"/>
        </w:rPr>
        <w:t xml:space="preserve"> </w:t>
      </w:r>
      <w:r w:rsidR="00837D47" w:rsidRPr="00837D47">
        <w:rPr>
          <w:lang w:val="en-GB"/>
        </w:rPr>
        <w:t xml:space="preserve">Figure 12 indicates that product development, market development, and market diversification are the best strategic orientation of Toyota. The product development is also manifested in electrified vehicles, digital technologies, and lower-emission offerings. The issue of market development is topical in that Toyota keeps on customizing products and operations in various regions as opposed to the use of a single model that cuts across all geographical areas. Diversification can also be observed in related mobility services, batteries, software and ecosystem partnerships. In comparison, unrelated diversification would not be good since it would divert the focus of the management of Toyota to a different area of operation which is not their core strategic foundation. According to the </w:t>
      </w:r>
      <w:r w:rsidR="00837D47" w:rsidRPr="00837D47">
        <w:rPr>
          <w:lang w:val="en-GB"/>
        </w:rPr>
        <w:lastRenderedPageBreak/>
        <w:t>logic of Ansoff, however, the future development of Toyota must be based on further technological and regionally related opportunities instead of pursuing far-off diversification avenues (Ferreira and de Sá, 2024).</w:t>
      </w:r>
    </w:p>
    <w:p w14:paraId="1BA20111" w14:textId="77777777" w:rsidR="00EC7C1E" w:rsidRDefault="008F1C33" w:rsidP="00EC7C1E">
      <w:pPr>
        <w:keepNext/>
        <w:spacing w:after="40"/>
        <w:jc w:val="center"/>
      </w:pPr>
      <w:r>
        <w:rPr>
          <w:noProof/>
        </w:rPr>
        <w:drawing>
          <wp:inline distT="0" distB="0" distL="0" distR="0" wp14:anchorId="712A684F" wp14:editId="495CB5A5">
            <wp:extent cx="3641577" cy="328353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4ba651f-5bac-4ffb-897b-7a45b3f8603c.png"/>
                    <pic:cNvPicPr/>
                  </pic:nvPicPr>
                  <pic:blipFill>
                    <a:blip r:embed="rId21"/>
                    <a:stretch>
                      <a:fillRect/>
                    </a:stretch>
                  </pic:blipFill>
                  <pic:spPr>
                    <a:xfrm>
                      <a:off x="0" y="0"/>
                      <a:ext cx="3642276" cy="3284164"/>
                    </a:xfrm>
                    <a:prstGeom prst="rect">
                      <a:avLst/>
                    </a:prstGeom>
                  </pic:spPr>
                </pic:pic>
              </a:graphicData>
            </a:graphic>
          </wp:inline>
        </w:drawing>
      </w:r>
    </w:p>
    <w:p w14:paraId="5841B89E" w14:textId="3C72E42C" w:rsidR="00EC7C1E" w:rsidRPr="00EC7C1E" w:rsidRDefault="00EC7C1E" w:rsidP="005269D1">
      <w:pPr>
        <w:pStyle w:val="Caption"/>
        <w:jc w:val="center"/>
      </w:pPr>
      <w:r>
        <w:t xml:space="preserve">Figure </w:t>
      </w:r>
      <w:r w:rsidR="0065476E">
        <w:fldChar w:fldCharType="begin"/>
      </w:r>
      <w:r w:rsidR="0065476E">
        <w:instrText xml:space="preserve"> SEQ F</w:instrText>
      </w:r>
      <w:r w:rsidR="0065476E">
        <w:instrText xml:space="preserve">igure \* ARABIC </w:instrText>
      </w:r>
      <w:r w:rsidR="0065476E">
        <w:fldChar w:fldCharType="separate"/>
      </w:r>
      <w:r>
        <w:rPr>
          <w:noProof/>
        </w:rPr>
        <w:t>13</w:t>
      </w:r>
      <w:r w:rsidR="0065476E">
        <w:rPr>
          <w:noProof/>
        </w:rPr>
        <w:fldChar w:fldCharType="end"/>
      </w:r>
      <w:r>
        <w:t xml:space="preserve">: </w:t>
      </w:r>
      <w:r w:rsidRPr="00244E6E">
        <w:t>BCG Matrix of Toyota</w:t>
      </w:r>
      <w:r w:rsidR="005269D1">
        <w:t xml:space="preserve"> (</w:t>
      </w:r>
      <w:r>
        <w:t xml:space="preserve">Source: </w:t>
      </w:r>
      <w:r w:rsidRPr="00EC7C1E">
        <w:t>Boardmix</w:t>
      </w:r>
      <w:r>
        <w:t xml:space="preserve">, </w:t>
      </w:r>
      <w:r w:rsidRPr="00EC7C1E">
        <w:t>2025)</w:t>
      </w:r>
    </w:p>
    <w:p w14:paraId="7C8CC207" w14:textId="77777777" w:rsidR="00837D47" w:rsidRPr="00837D47" w:rsidRDefault="008F1C33" w:rsidP="00837D47">
      <w:pPr>
        <w:spacing w:after="120"/>
        <w:rPr>
          <w:lang w:val="en-GB"/>
        </w:rPr>
      </w:pPr>
      <w:r w:rsidRPr="008F1C33">
        <w:rPr>
          <w:b/>
          <w:bCs/>
          <w:lang w:val="en-GB"/>
        </w:rPr>
        <w:t>BCG Matrix evaluation:</w:t>
      </w:r>
      <w:r w:rsidRPr="008F1C33">
        <w:rPr>
          <w:lang w:val="en-GB"/>
        </w:rPr>
        <w:t xml:space="preserve"> </w:t>
      </w:r>
      <w:r w:rsidR="00837D47" w:rsidRPr="00837D47">
        <w:rPr>
          <w:lang w:val="en-GB"/>
        </w:rPr>
        <w:t>Figure 13 suggests a portfolio view. The hybrid offering and mainstream SUV/passenger segments are the most related to the cash cows due to the large volumes and profitability it generates at Toyota. BEVs and certain digital mobility programs can be better described as question marks as they can exist in the high-growth areas, but are still yet to reach the same relative strength as the Toyota traditional portfolio. Other traditional product lines could eventually shift to become dogs under further regulation and demand drift towards internal combustion. This portfolio perspective is significant as it demonstrates that Toyota is not able to count on the existing cash-generating areas indefinitely; it should transform the selected question marks into the future stars by investing and implementing them disciplinedly (Grant, 2021).</w:t>
      </w:r>
    </w:p>
    <w:p w14:paraId="3859A2F7" w14:textId="77777777" w:rsidR="008273EB" w:rsidRDefault="00837D47" w:rsidP="00837D47">
      <w:pPr>
        <w:spacing w:after="120"/>
        <w:rPr>
          <w:lang w:val="en-GB"/>
        </w:rPr>
      </w:pPr>
      <w:r w:rsidRPr="00837D47">
        <w:rPr>
          <w:lang w:val="en-GB"/>
        </w:rPr>
        <w:t xml:space="preserve">To begin with, Toyota needs to hasten software-defined vehicle readiness, in that upcoming items will no longer be contending on the basis of the quality of its engineering, yet on digital capability and the user experience, also. Second, it must boost its battery and charging collaborations to complement its stand in the most competitive growth arena of the industry. Third, Toyota ought to leverage its local manufacturing capability to create more localized </w:t>
      </w:r>
      <w:r w:rsidRPr="00837D47">
        <w:rPr>
          <w:lang w:val="en-GB"/>
        </w:rPr>
        <w:lastRenderedPageBreak/>
        <w:t xml:space="preserve">electrification plans as opposed to following a standardized transition route. Lastly, it must keep safeguarding brand trust by implementing stringent governance, safety and quality controls since any loss of brand trust would undermine the same strengths that have sustained its strategy in the present day (Teece, 2018). </w:t>
      </w:r>
    </w:p>
    <w:p w14:paraId="75F1ABF2" w14:textId="77777777" w:rsidR="009E4CDA" w:rsidRDefault="009E4CDA" w:rsidP="00837D47">
      <w:pPr>
        <w:spacing w:after="120"/>
        <w:rPr>
          <w:lang w:val="en-GB"/>
        </w:rPr>
      </w:pPr>
    </w:p>
    <w:p w14:paraId="61CDB1A6" w14:textId="77777777" w:rsidR="008273EB" w:rsidRDefault="008273EB" w:rsidP="008273EB">
      <w:pPr>
        <w:pStyle w:val="Heading1"/>
      </w:pPr>
      <w:bookmarkStart w:id="15" w:name="_Toc228480089"/>
      <w:r>
        <w:t>Conclusion</w:t>
      </w:r>
      <w:bookmarkEnd w:id="15"/>
    </w:p>
    <w:p w14:paraId="2B2517EE" w14:textId="0CC304FB" w:rsidR="008273EB" w:rsidRPr="008458A3" w:rsidRDefault="008273EB" w:rsidP="008273EB">
      <w:r w:rsidRPr="00837D47">
        <w:t>The strategic strength of Toyota lies in the fact that its competitive advantage is linked to an overall system of operational excellence, brand trust, financial ability and the depth of global production. As has been demonstrated in the report, these strengths are however getting increasingly challenged by the coming forces of electrification, software-based competition, sustainability demands, and geopolitical interference. The future success of Toyota does not lie in maintaining the historical model intact, but in revitalizing it by being more technologically adapted, integrated in its sustainability and in making its strategic implementation more agile.</w:t>
      </w:r>
    </w:p>
    <w:p w14:paraId="0F302925" w14:textId="182757A2" w:rsidR="00837D47" w:rsidRDefault="00837D47" w:rsidP="00837D47">
      <w:pPr>
        <w:spacing w:after="120"/>
        <w:rPr>
          <w:lang w:val="en-GB"/>
        </w:rPr>
      </w:pPr>
      <w:r w:rsidRPr="00837D47">
        <w:rPr>
          <w:lang w:val="en-GB"/>
        </w:rPr>
        <w:t> </w:t>
      </w:r>
    </w:p>
    <w:p w14:paraId="37A715F4" w14:textId="7696B87A" w:rsidR="009D210C" w:rsidRPr="00C22A73" w:rsidRDefault="009D210C" w:rsidP="00837D47">
      <w:pPr>
        <w:spacing w:after="120"/>
        <w:rPr>
          <w:lang w:val="en-GB"/>
        </w:rPr>
      </w:pPr>
      <w:r>
        <w:rPr>
          <w:rFonts w:ascii="Aptos" w:hAnsi="Aptos"/>
          <w:sz w:val="22"/>
        </w:rPr>
        <w:br w:type="page"/>
      </w:r>
    </w:p>
    <w:p w14:paraId="6A342DF2" w14:textId="05F353F4" w:rsidR="00192FEE" w:rsidRDefault="002865E9" w:rsidP="008458A3">
      <w:pPr>
        <w:pStyle w:val="Heading1"/>
      </w:pPr>
      <w:bookmarkStart w:id="16" w:name="_Toc228480090"/>
      <w:r>
        <w:lastRenderedPageBreak/>
        <w:t xml:space="preserve">Section 2: Reflective account </w:t>
      </w:r>
      <w:r w:rsidRPr="008458A3">
        <w:t>using</w:t>
      </w:r>
      <w:r>
        <w:t xml:space="preserve"> Gibbs’ cycle</w:t>
      </w:r>
      <w:bookmarkEnd w:id="16"/>
    </w:p>
    <w:p w14:paraId="00A07E1C" w14:textId="77777777" w:rsidR="00090C65" w:rsidRDefault="004B4DF2" w:rsidP="00090C65">
      <w:pPr>
        <w:keepNext/>
        <w:jc w:val="center"/>
      </w:pPr>
      <w:r>
        <w:rPr>
          <w:noProof/>
        </w:rPr>
        <w:drawing>
          <wp:inline distT="0" distB="0" distL="0" distR="0" wp14:anchorId="77E10533" wp14:editId="34CF3254">
            <wp:extent cx="3393913" cy="2545435"/>
            <wp:effectExtent l="0" t="0" r="0" b="7620"/>
            <wp:docPr id="394540520"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393913" cy="2545435"/>
                    </a:xfrm>
                    <a:prstGeom prst="rect">
                      <a:avLst/>
                    </a:prstGeom>
                    <a:noFill/>
                    <a:ln>
                      <a:noFill/>
                    </a:ln>
                  </pic:spPr>
                </pic:pic>
              </a:graphicData>
            </a:graphic>
          </wp:inline>
        </w:drawing>
      </w:r>
    </w:p>
    <w:p w14:paraId="358E610B" w14:textId="77475AD7" w:rsidR="00090C65" w:rsidRPr="005269D1" w:rsidRDefault="00090C65" w:rsidP="005269D1">
      <w:pPr>
        <w:pStyle w:val="Caption"/>
        <w:jc w:val="center"/>
      </w:pPr>
      <w:r>
        <w:t xml:space="preserve">Figure </w:t>
      </w:r>
      <w:r w:rsidR="0065476E">
        <w:fldChar w:fldCharType="begin"/>
      </w:r>
      <w:r w:rsidR="0065476E">
        <w:instrText xml:space="preserve"> SEQ Figure \* ARABIC </w:instrText>
      </w:r>
      <w:r w:rsidR="0065476E">
        <w:fldChar w:fldCharType="separate"/>
      </w:r>
      <w:r w:rsidR="00EC7C1E">
        <w:rPr>
          <w:noProof/>
        </w:rPr>
        <w:t>14</w:t>
      </w:r>
      <w:r w:rsidR="0065476E">
        <w:rPr>
          <w:noProof/>
        </w:rPr>
        <w:fldChar w:fldCharType="end"/>
      </w:r>
      <w:r>
        <w:t xml:space="preserve">: </w:t>
      </w:r>
      <w:r w:rsidRPr="00111F14">
        <w:t>Gibbs Reflective Cycle</w:t>
      </w:r>
      <w:r w:rsidR="005269D1">
        <w:t xml:space="preserve"> (</w:t>
      </w:r>
      <w:r w:rsidRPr="00090C65">
        <w:rPr>
          <w:lang w:val="en-GB"/>
        </w:rPr>
        <w:t>Source: McLeod, 2025)</w:t>
      </w:r>
    </w:p>
    <w:p w14:paraId="12E617CE" w14:textId="43C27389" w:rsidR="008458A3" w:rsidRPr="008458A3" w:rsidRDefault="008458A3" w:rsidP="00837D47">
      <w:pPr>
        <w:rPr>
          <w:lang w:val="en-GB"/>
        </w:rPr>
      </w:pPr>
      <w:r w:rsidRPr="008458A3">
        <w:rPr>
          <w:b/>
          <w:bCs/>
          <w:lang w:val="en-GB"/>
        </w:rPr>
        <w:t>Description:</w:t>
      </w:r>
      <w:r w:rsidR="004B4DF2">
        <w:rPr>
          <w:lang w:val="en-GB"/>
        </w:rPr>
        <w:t xml:space="preserve"> </w:t>
      </w:r>
      <w:r w:rsidR="00837D47" w:rsidRPr="00837D47">
        <w:rPr>
          <w:lang w:val="en-GB"/>
        </w:rPr>
        <w:t>During this assessment Toyota Motor Corporation had to be critically analyzed in terms of strategy through the tools of Strategic Management module selected. What has started this process is the definition of a central argument to follow as opposed to the report being a collection of unrelated models. My original diagnosis of the strategic issue of Toyota was a conflict between its conventional advantages of lean production, quality, and being a hybrid and the pressure exerted by the outside world in the form of electrification, software-defined competition, and sustainability regulation. Since then, I structured the work based on the necessary parts, collected academic and company materials, chose the figures of interest and then connected each framework with the same argument in such a way that the report became coherent and not descriptive (Gibbs, 1988). </w:t>
      </w:r>
    </w:p>
    <w:p w14:paraId="4099726F" w14:textId="6B3944E9" w:rsidR="00837D47" w:rsidRPr="00837D47" w:rsidRDefault="008458A3" w:rsidP="00837D47">
      <w:pPr>
        <w:rPr>
          <w:lang w:val="en-GB"/>
        </w:rPr>
      </w:pPr>
      <w:r w:rsidRPr="008458A3">
        <w:rPr>
          <w:b/>
          <w:bCs/>
          <w:lang w:val="en-GB"/>
        </w:rPr>
        <w:t>Feelings:</w:t>
      </w:r>
      <w:r w:rsidR="004B4DF2">
        <w:rPr>
          <w:lang w:val="en-GB"/>
        </w:rPr>
        <w:t xml:space="preserve"> </w:t>
      </w:r>
      <w:r w:rsidR="00837D47" w:rsidRPr="00837D47">
        <w:rPr>
          <w:lang w:val="en-GB"/>
        </w:rPr>
        <w:t xml:space="preserve">I was confident on my choice of Toyota at the start of the process as it is a globally recognised company with a long history of strategic choices and good public information. </w:t>
      </w:r>
      <w:r w:rsidR="008273EB" w:rsidRPr="00837D47">
        <w:rPr>
          <w:lang w:val="en-GB"/>
        </w:rPr>
        <w:t>But</w:t>
      </w:r>
      <w:r w:rsidR="00837D47" w:rsidRPr="00837D47">
        <w:rPr>
          <w:lang w:val="en-GB"/>
        </w:rPr>
        <w:t xml:space="preserve"> I was also confused since the company is so big and complicated that a generalized and shallower report could have been easily obtained. I was especially worried about imposing generic frameworks without imposing critical analysis on them since Level 7 work presupposes making judgment, synthesizing, and criticizing. I also realised that the automotive industry is evolving rapidly and I had to be cautious of applying the evidence I had at that moment, but at the same time base the discussion on the existing theory and academic literature (Moon, 2013).</w:t>
      </w:r>
    </w:p>
    <w:p w14:paraId="59AC9302" w14:textId="77777777" w:rsidR="00837D47" w:rsidRPr="00837D47" w:rsidRDefault="008458A3" w:rsidP="00837D47">
      <w:pPr>
        <w:rPr>
          <w:lang w:val="en-GB"/>
        </w:rPr>
      </w:pPr>
      <w:r w:rsidRPr="008458A3">
        <w:rPr>
          <w:b/>
          <w:bCs/>
          <w:lang w:val="en-GB"/>
        </w:rPr>
        <w:lastRenderedPageBreak/>
        <w:t>Evaluation:</w:t>
      </w:r>
      <w:r w:rsidR="004B4DF2">
        <w:rPr>
          <w:lang w:val="en-GB"/>
        </w:rPr>
        <w:t xml:space="preserve"> </w:t>
      </w:r>
      <w:r w:rsidR="00837D47" w:rsidRPr="00837D47">
        <w:rPr>
          <w:lang w:val="en-GB"/>
        </w:rPr>
        <w:t>One of the areas that were an effective part of the process was the choice to structure the report based on a single strategic argument: the competitive advantage of Toyota is system-based and faced with technological and environmental change more and more. This provided weight to the paper and prevented repetition among sections. The other good thing was that figures have been used to reinforce the explanation, particularly the perceptual map, logic of balanced scorecard and evaluation of portfolio. These images contributed to transforming abstract structures into Toyota-specific analysis. Selection of sources was a more challenging experience. Online information resources regarding Toyota were abundant, but much of the data were descriptive or commercial in nature, and I needed to sieve out the materials and focus on academic books, journal articles, and official company publications (Schön, 2017).</w:t>
      </w:r>
    </w:p>
    <w:p w14:paraId="39918FE5" w14:textId="77777777" w:rsidR="00837D47" w:rsidRPr="00837D47" w:rsidRDefault="008458A3" w:rsidP="00837D47">
      <w:pPr>
        <w:rPr>
          <w:lang w:val="en-GB"/>
        </w:rPr>
      </w:pPr>
      <w:r w:rsidRPr="008458A3">
        <w:rPr>
          <w:b/>
          <w:bCs/>
          <w:lang w:val="en-GB"/>
        </w:rPr>
        <w:t>Analysis:</w:t>
      </w:r>
      <w:r w:rsidR="004B4DF2">
        <w:rPr>
          <w:lang w:val="en-GB"/>
        </w:rPr>
        <w:t xml:space="preserve"> </w:t>
      </w:r>
      <w:r w:rsidR="00837D47" w:rsidRPr="00837D47">
        <w:rPr>
          <w:lang w:val="en-GB"/>
        </w:rPr>
        <w:t>The biggest research lesson gained was that critical analysis relies on connecting theory to evidence, and not showing theory as independent. To illustrate, when all factors were brought in relation to the actual strategic decisions of Toyota, PESTLE became helpful, whereas when it was related to particular capabilities like TPS, brand trust, and production depth in a region, VRIO became significant. I also got to know that there are certain frameworks that are better when applied selectively. It was more effective to concentrate on those that were supported by previous analysis, rather than discussing each business-level or corporate-level choice. This increased the argumentative nature of the report and increased its relevance to the lecturer’s recommendations on relevance, synthesis, and implementation (Burnes, 2020).</w:t>
      </w:r>
    </w:p>
    <w:p w14:paraId="100C532D" w14:textId="77777777" w:rsidR="00837D47" w:rsidRPr="00837D47" w:rsidRDefault="008458A3" w:rsidP="00837D47">
      <w:pPr>
        <w:rPr>
          <w:lang w:val="en-GB"/>
        </w:rPr>
      </w:pPr>
      <w:r w:rsidRPr="008458A3">
        <w:rPr>
          <w:b/>
          <w:bCs/>
          <w:lang w:val="en-GB"/>
        </w:rPr>
        <w:t>Conclusion:</w:t>
      </w:r>
      <w:r w:rsidR="004B4DF2">
        <w:rPr>
          <w:lang w:val="en-GB"/>
        </w:rPr>
        <w:t xml:space="preserve"> </w:t>
      </w:r>
      <w:r w:rsidR="00837D47" w:rsidRPr="00837D47">
        <w:rPr>
          <w:lang w:val="en-GB"/>
        </w:rPr>
        <w:t>The process has taught me that effective postgraduate writing does not come through accumulating a great amount of information, but through the regulation of the structure, the choice of evidence and the consistency of the ideas. I understood that strategic management analysis is maximized when structures and diagrams are viewed as an analytical instrument, but not as an end. I also became aware of the necessity of a balance between the company sources and academic literature. The reports of the company present up-to-date information and strategic plans, yet academic materials are needed to challenge the assumptions and analyze evidence. In case I did the same task, I would take an even longer time at the planning phase to make sure that section transitions, figure integration, and citation placement were all aligned initially (Thompson, 2021).</w:t>
      </w:r>
    </w:p>
    <w:p w14:paraId="69003DFF" w14:textId="4A3BE440" w:rsidR="008458A3" w:rsidRPr="008458A3" w:rsidRDefault="008458A3" w:rsidP="008458A3">
      <w:pPr>
        <w:rPr>
          <w:lang w:val="en-GB"/>
        </w:rPr>
      </w:pPr>
      <w:r w:rsidRPr="008458A3">
        <w:rPr>
          <w:b/>
          <w:bCs/>
          <w:lang w:val="en-GB"/>
        </w:rPr>
        <w:lastRenderedPageBreak/>
        <w:t>Action Plan:</w:t>
      </w:r>
      <w:r w:rsidR="004B4DF2">
        <w:rPr>
          <w:lang w:val="en-GB"/>
        </w:rPr>
        <w:t xml:space="preserve"> </w:t>
      </w:r>
      <w:r w:rsidR="00837D47" w:rsidRPr="00837D47">
        <w:rPr>
          <w:lang w:val="en-GB"/>
        </w:rPr>
        <w:t xml:space="preserve">In subsequent assessments, I would start with the central argument and then gather more evidence, as it will help me avoid needless reading and will decrease descriptive writing. An additional source matrix that will be developed earlier in the process will allow balancing academic books, journals, and evidence that is currently available in companies in a more systematic manner. Moreover, to enhance visual integration, I will plan each figure as an element of the argument and not address it after writing the text. Lastly, I will keep on reflective models like </w:t>
      </w:r>
      <w:r w:rsidR="008273EB" w:rsidRPr="00837D47">
        <w:rPr>
          <w:lang w:val="en-GB"/>
        </w:rPr>
        <w:t>Gibb’s</w:t>
      </w:r>
      <w:r w:rsidR="00837D47" w:rsidRPr="00837D47">
        <w:rPr>
          <w:lang w:val="en-GB"/>
        </w:rPr>
        <w:t xml:space="preserve"> cycle since they help me to not only evaluate what was done but also how decisions on research, judgement and writing can be made better in future postgraduate work (Kolb, 1984).</w:t>
      </w:r>
    </w:p>
    <w:p w14:paraId="195EC697" w14:textId="3F7FD33E" w:rsidR="008458A3" w:rsidRDefault="008458A3">
      <w:pPr>
        <w:spacing w:after="200" w:line="276" w:lineRule="auto"/>
        <w:jc w:val="left"/>
      </w:pPr>
      <w:r>
        <w:br w:type="page"/>
      </w:r>
    </w:p>
    <w:p w14:paraId="34355EF5" w14:textId="4FEA331B" w:rsidR="00EC7C1E" w:rsidRDefault="002865E9" w:rsidP="00EC7C1E">
      <w:pPr>
        <w:pStyle w:val="Heading1"/>
      </w:pPr>
      <w:bookmarkStart w:id="17" w:name="_Toc228480091"/>
      <w:r>
        <w:lastRenderedPageBreak/>
        <w:t>References</w:t>
      </w:r>
      <w:bookmarkEnd w:id="17"/>
    </w:p>
    <w:p w14:paraId="4781E250" w14:textId="77777777" w:rsidR="005269D1" w:rsidRPr="00545666" w:rsidRDefault="005269D1" w:rsidP="00EC7C1E">
      <w:pPr>
        <w:ind w:left="720" w:hanging="720"/>
      </w:pPr>
      <w:r w:rsidRPr="00545666">
        <w:t xml:space="preserve">Adsy (2025) ‘Perceptual map marketing: a beginner’s guide to brand positioning’. Available at: </w:t>
      </w:r>
      <w:hyperlink r:id="rId23" w:history="1">
        <w:r w:rsidRPr="00545666">
          <w:rPr>
            <w:rStyle w:val="Hyperlink"/>
          </w:rPr>
          <w:t>https://adsy.com/blog/perceptual-map-marketing-beginner-guide-brand-positioning</w:t>
        </w:r>
      </w:hyperlink>
      <w:r w:rsidRPr="00545666">
        <w:t xml:space="preserve"> </w:t>
      </w:r>
    </w:p>
    <w:p w14:paraId="5CD3F505" w14:textId="77777777" w:rsidR="005269D1" w:rsidRPr="00545666" w:rsidRDefault="005269D1" w:rsidP="00EC7C1E">
      <w:pPr>
        <w:ind w:left="720" w:hanging="720"/>
      </w:pPr>
      <w:r w:rsidRPr="00545666">
        <w:t xml:space="preserve">Boardmix (2025) ‘BCG Matrix Analysis of Toyota’. </w:t>
      </w:r>
      <w:r w:rsidRPr="00545666">
        <w:rPr>
          <w:i/>
          <w:iCs/>
        </w:rPr>
        <w:t>Boardmix</w:t>
      </w:r>
      <w:r w:rsidRPr="00545666">
        <w:t xml:space="preserve">. Available at: </w:t>
      </w:r>
      <w:hyperlink r:id="rId24" w:history="1">
        <w:r w:rsidRPr="00545666">
          <w:rPr>
            <w:rStyle w:val="Hyperlink"/>
          </w:rPr>
          <w:t>https://boardmix.com/analysis/bcg-matrix-of-toyota/</w:t>
        </w:r>
      </w:hyperlink>
      <w:r w:rsidRPr="00545666">
        <w:t xml:space="preserve"> </w:t>
      </w:r>
    </w:p>
    <w:p w14:paraId="4A6BB87A" w14:textId="77777777" w:rsidR="005269D1" w:rsidRPr="00090C65" w:rsidRDefault="005269D1" w:rsidP="00EC7C1E">
      <w:pPr>
        <w:ind w:left="720" w:hanging="720"/>
        <w:rPr>
          <w:rFonts w:cs="Arial"/>
          <w:szCs w:val="24"/>
          <w:lang w:val="en-GB"/>
        </w:rPr>
      </w:pPr>
      <w:r w:rsidRPr="00EC7C1E">
        <w:rPr>
          <w:rFonts w:cs="Arial"/>
          <w:szCs w:val="24"/>
        </w:rPr>
        <w:t xml:space="preserve">Burnes, B., </w:t>
      </w:r>
      <w:r>
        <w:rPr>
          <w:rFonts w:cs="Arial"/>
          <w:szCs w:val="24"/>
        </w:rPr>
        <w:t>(</w:t>
      </w:r>
      <w:r w:rsidRPr="00EC7C1E">
        <w:rPr>
          <w:rFonts w:cs="Arial"/>
          <w:szCs w:val="24"/>
        </w:rPr>
        <w:t>2020</w:t>
      </w:r>
      <w:r>
        <w:rPr>
          <w:rFonts w:cs="Arial"/>
          <w:szCs w:val="24"/>
        </w:rPr>
        <w:t>)</w:t>
      </w:r>
      <w:r w:rsidRPr="00EC7C1E">
        <w:rPr>
          <w:rFonts w:cs="Arial"/>
          <w:szCs w:val="24"/>
        </w:rPr>
        <w:t>. The origins of Lewin’s three-step model of change. </w:t>
      </w:r>
      <w:r w:rsidRPr="00EC7C1E">
        <w:rPr>
          <w:rFonts w:cs="Arial"/>
          <w:i/>
          <w:iCs/>
          <w:szCs w:val="24"/>
        </w:rPr>
        <w:t>The Journal of Applied Behavioral Science</w:t>
      </w:r>
      <w:r w:rsidRPr="00EC7C1E">
        <w:rPr>
          <w:rFonts w:cs="Arial"/>
          <w:szCs w:val="24"/>
        </w:rPr>
        <w:t>, </w:t>
      </w:r>
      <w:r w:rsidRPr="00EC7C1E">
        <w:rPr>
          <w:rFonts w:cs="Arial"/>
          <w:i/>
          <w:iCs/>
          <w:szCs w:val="24"/>
        </w:rPr>
        <w:t>56</w:t>
      </w:r>
      <w:r w:rsidRPr="00EC7C1E">
        <w:rPr>
          <w:rFonts w:cs="Arial"/>
          <w:szCs w:val="24"/>
        </w:rPr>
        <w:t>(1), pp.32-59.</w:t>
      </w:r>
      <w:r>
        <w:rPr>
          <w:rFonts w:cs="Arial"/>
          <w:szCs w:val="24"/>
        </w:rPr>
        <w:t xml:space="preserve"> </w:t>
      </w:r>
      <w:hyperlink r:id="rId25" w:history="1">
        <w:r w:rsidRPr="00A40791">
          <w:rPr>
            <w:rStyle w:val="Hyperlink"/>
            <w:rFonts w:cs="Arial"/>
            <w:szCs w:val="24"/>
          </w:rPr>
          <w:t>https://www.storre.stir.ac.uk/bitstream/1893/30461/1/A-Lewin%203-Step%20ModelV1%20Accepted%20Version.pdf</w:t>
        </w:r>
      </w:hyperlink>
      <w:r>
        <w:rPr>
          <w:rFonts w:cs="Arial"/>
          <w:szCs w:val="24"/>
        </w:rPr>
        <w:t xml:space="preserve"> </w:t>
      </w:r>
    </w:p>
    <w:p w14:paraId="2190FD3C" w14:textId="77777777" w:rsidR="005269D1" w:rsidRPr="00090C65" w:rsidRDefault="005269D1" w:rsidP="00EC7C1E">
      <w:pPr>
        <w:ind w:left="720" w:hanging="720"/>
        <w:rPr>
          <w:rFonts w:cs="Arial"/>
          <w:szCs w:val="24"/>
          <w:lang w:val="en-GB"/>
        </w:rPr>
      </w:pPr>
      <w:r w:rsidRPr="00EC7C1E">
        <w:rPr>
          <w:rFonts w:cs="Arial"/>
          <w:szCs w:val="24"/>
        </w:rPr>
        <w:t xml:space="preserve">Carroll, A.B. and Laasch, O., </w:t>
      </w:r>
      <w:r>
        <w:rPr>
          <w:rFonts w:cs="Arial"/>
          <w:szCs w:val="24"/>
        </w:rPr>
        <w:t>(</w:t>
      </w:r>
      <w:r w:rsidRPr="00EC7C1E">
        <w:rPr>
          <w:rFonts w:cs="Arial"/>
          <w:szCs w:val="24"/>
        </w:rPr>
        <w:t>2020</w:t>
      </w:r>
      <w:r>
        <w:rPr>
          <w:rFonts w:cs="Arial"/>
          <w:szCs w:val="24"/>
        </w:rPr>
        <w:t>)</w:t>
      </w:r>
      <w:r w:rsidRPr="00EC7C1E">
        <w:rPr>
          <w:rFonts w:cs="Arial"/>
          <w:szCs w:val="24"/>
        </w:rPr>
        <w:t>. From managerial responsibility to CSR and back to responsible management. In </w:t>
      </w:r>
      <w:r w:rsidRPr="00EC7C1E">
        <w:rPr>
          <w:rFonts w:cs="Arial"/>
          <w:i/>
          <w:iCs/>
          <w:szCs w:val="24"/>
        </w:rPr>
        <w:t>Research Handbook of Responsible Management</w:t>
      </w:r>
      <w:r w:rsidRPr="00EC7C1E">
        <w:rPr>
          <w:rFonts w:cs="Arial"/>
          <w:szCs w:val="24"/>
        </w:rPr>
        <w:t> (pp. 84-90). Edward Elgar Publishing.</w:t>
      </w:r>
      <w:r>
        <w:rPr>
          <w:rFonts w:cs="Arial"/>
          <w:szCs w:val="24"/>
        </w:rPr>
        <w:t xml:space="preserve"> </w:t>
      </w:r>
      <w:hyperlink r:id="rId26" w:history="1">
        <w:r w:rsidRPr="00A40791">
          <w:rPr>
            <w:rStyle w:val="Hyperlink"/>
            <w:rFonts w:cs="Arial"/>
            <w:szCs w:val="24"/>
          </w:rPr>
          <w:t>https://www.researchgate.net/profile/Oliver-Laasch/publication/335505702_From_Managerial_Responsibility_to_CSR_and_Back_to_Responsible_Management/links/5d69b2ab4585150886012e0d/From-Managerial-Responsibility-to-CSR-and-Back-to-Responsible-Management.pdf</w:t>
        </w:r>
      </w:hyperlink>
      <w:r>
        <w:rPr>
          <w:rFonts w:cs="Arial"/>
          <w:szCs w:val="24"/>
        </w:rPr>
        <w:t xml:space="preserve"> </w:t>
      </w:r>
    </w:p>
    <w:p w14:paraId="524FA343" w14:textId="77777777" w:rsidR="005269D1" w:rsidRPr="00545666" w:rsidRDefault="005269D1" w:rsidP="00EC7C1E">
      <w:pPr>
        <w:ind w:left="720" w:hanging="720"/>
      </w:pPr>
      <w:r w:rsidRPr="00545666">
        <w:t xml:space="preserve">de Bruin, L. (2016) ‘VRIO: from firm resources to competitive advantage’, </w:t>
      </w:r>
      <w:r w:rsidRPr="00545666">
        <w:rPr>
          <w:i/>
          <w:iCs/>
        </w:rPr>
        <w:t>Business-to-you.com</w:t>
      </w:r>
      <w:r w:rsidRPr="00545666">
        <w:t xml:space="preserve">, 31 October. Available at: </w:t>
      </w:r>
      <w:hyperlink r:id="rId27" w:history="1">
        <w:r w:rsidRPr="00545666">
          <w:rPr>
            <w:rStyle w:val="Hyperlink"/>
          </w:rPr>
          <w:t>https://www.business-to-you.com/vrio-from-firm-resources-to-competitive-advantage/</w:t>
        </w:r>
      </w:hyperlink>
      <w:r w:rsidRPr="00545666">
        <w:t xml:space="preserve"> </w:t>
      </w:r>
    </w:p>
    <w:p w14:paraId="54373195" w14:textId="77777777" w:rsidR="005269D1" w:rsidRPr="00090C65" w:rsidRDefault="005269D1" w:rsidP="00EC7C1E">
      <w:pPr>
        <w:ind w:left="720" w:hanging="720"/>
        <w:rPr>
          <w:rFonts w:cs="Arial"/>
          <w:szCs w:val="24"/>
        </w:rPr>
      </w:pPr>
      <w:r w:rsidRPr="00EC7C1E">
        <w:rPr>
          <w:rFonts w:cs="Arial"/>
          <w:szCs w:val="24"/>
        </w:rPr>
        <w:t xml:space="preserve">Ferreira, A.P.P.F.S. and de Sá, M.M.B.P., </w:t>
      </w:r>
      <w:r>
        <w:rPr>
          <w:rFonts w:cs="Arial"/>
          <w:szCs w:val="24"/>
        </w:rPr>
        <w:t>(</w:t>
      </w:r>
      <w:r w:rsidRPr="00EC7C1E">
        <w:rPr>
          <w:rFonts w:cs="Arial"/>
          <w:szCs w:val="24"/>
        </w:rPr>
        <w:t>2024</w:t>
      </w:r>
      <w:r>
        <w:rPr>
          <w:rFonts w:cs="Arial"/>
          <w:szCs w:val="24"/>
        </w:rPr>
        <w:t>)</w:t>
      </w:r>
      <w:r w:rsidRPr="00EC7C1E">
        <w:rPr>
          <w:rFonts w:cs="Arial"/>
          <w:szCs w:val="24"/>
        </w:rPr>
        <w:t>. The importance of the Ansoff matrix for the study of the information services market. </w:t>
      </w:r>
      <w:r w:rsidRPr="00EC7C1E">
        <w:rPr>
          <w:rFonts w:cs="Arial"/>
          <w:i/>
          <w:iCs/>
          <w:szCs w:val="24"/>
        </w:rPr>
        <w:t>The Canadian Journal of Information and Library Science</w:t>
      </w:r>
      <w:r w:rsidRPr="00EC7C1E">
        <w:rPr>
          <w:rFonts w:cs="Arial"/>
          <w:szCs w:val="24"/>
        </w:rPr>
        <w:t>, </w:t>
      </w:r>
      <w:r w:rsidRPr="00EC7C1E">
        <w:rPr>
          <w:rFonts w:cs="Arial"/>
          <w:i/>
          <w:iCs/>
          <w:szCs w:val="24"/>
        </w:rPr>
        <w:t>47</w:t>
      </w:r>
      <w:r w:rsidRPr="00EC7C1E">
        <w:rPr>
          <w:rFonts w:cs="Arial"/>
          <w:szCs w:val="24"/>
        </w:rPr>
        <w:t>(2), pp.78-84.</w:t>
      </w:r>
      <w:r>
        <w:rPr>
          <w:rFonts w:cs="Arial"/>
          <w:szCs w:val="24"/>
        </w:rPr>
        <w:t xml:space="preserve"> </w:t>
      </w:r>
      <w:hyperlink r:id="rId28" w:history="1">
        <w:r w:rsidRPr="00A40791">
          <w:rPr>
            <w:rStyle w:val="Hyperlink"/>
            <w:rFonts w:cs="Arial"/>
            <w:szCs w:val="24"/>
          </w:rPr>
          <w:t>https://ojs.lib.uwo.ca/index.php/cjils/article/download/17432/15874</w:t>
        </w:r>
      </w:hyperlink>
      <w:r>
        <w:rPr>
          <w:rFonts w:cs="Arial"/>
          <w:szCs w:val="24"/>
        </w:rPr>
        <w:t xml:space="preserve"> </w:t>
      </w:r>
    </w:p>
    <w:p w14:paraId="6475FEB6" w14:textId="77777777" w:rsidR="005269D1" w:rsidRPr="00090C65" w:rsidRDefault="005269D1" w:rsidP="00EC7C1E">
      <w:pPr>
        <w:ind w:left="720" w:hanging="720"/>
        <w:rPr>
          <w:rFonts w:cs="Arial"/>
          <w:szCs w:val="24"/>
        </w:rPr>
      </w:pPr>
      <w:r w:rsidRPr="00090C65">
        <w:rPr>
          <w:rFonts w:cs="Arial"/>
          <w:szCs w:val="24"/>
        </w:rPr>
        <w:t>Gibbs, G. (1988) Learning by Doing: A Guide to Teaching and Learning Methods. Oxford: Oxford Polytechnic.</w:t>
      </w:r>
    </w:p>
    <w:p w14:paraId="1DB9874D" w14:textId="77777777" w:rsidR="005269D1" w:rsidRPr="00090C65" w:rsidRDefault="005269D1" w:rsidP="00EC7C1E">
      <w:pPr>
        <w:ind w:left="720" w:hanging="720"/>
        <w:rPr>
          <w:rFonts w:cs="Arial"/>
          <w:szCs w:val="24"/>
          <w:lang w:val="en-GB"/>
        </w:rPr>
      </w:pPr>
      <w:r w:rsidRPr="00CC28BE">
        <w:rPr>
          <w:rFonts w:cs="Arial"/>
          <w:szCs w:val="24"/>
        </w:rPr>
        <w:t xml:space="preserve">Grant, R.M., </w:t>
      </w:r>
      <w:r>
        <w:rPr>
          <w:rFonts w:cs="Arial"/>
          <w:szCs w:val="24"/>
        </w:rPr>
        <w:t>(</w:t>
      </w:r>
      <w:r w:rsidRPr="00CC28BE">
        <w:rPr>
          <w:rFonts w:cs="Arial"/>
          <w:szCs w:val="24"/>
        </w:rPr>
        <w:t>2021</w:t>
      </w:r>
      <w:r>
        <w:rPr>
          <w:rFonts w:cs="Arial"/>
          <w:szCs w:val="24"/>
        </w:rPr>
        <w:t>)</w:t>
      </w:r>
      <w:r w:rsidRPr="00CC28BE">
        <w:rPr>
          <w:rFonts w:cs="Arial"/>
          <w:szCs w:val="24"/>
        </w:rPr>
        <w:t>. </w:t>
      </w:r>
      <w:r w:rsidRPr="00CC28BE">
        <w:rPr>
          <w:rFonts w:cs="Arial"/>
          <w:i/>
          <w:iCs/>
          <w:szCs w:val="24"/>
        </w:rPr>
        <w:t>Contemporary strategy analysis</w:t>
      </w:r>
      <w:r w:rsidRPr="00CC28BE">
        <w:rPr>
          <w:rFonts w:cs="Arial"/>
          <w:szCs w:val="24"/>
        </w:rPr>
        <w:t>. John Wiley &amp; Sons.</w:t>
      </w:r>
    </w:p>
    <w:p w14:paraId="7188601F" w14:textId="77777777" w:rsidR="005269D1" w:rsidRPr="00322EB1" w:rsidRDefault="005269D1" w:rsidP="00EC7C1E">
      <w:pPr>
        <w:ind w:left="720" w:hanging="720"/>
        <w:rPr>
          <w:lang w:bidi="bn-BD"/>
        </w:rPr>
      </w:pPr>
      <w:r w:rsidRPr="00545666">
        <w:t xml:space="preserve">Helgi Library (2014) ‘Toyota - Production by region’. </w:t>
      </w:r>
      <w:r w:rsidRPr="00545666">
        <w:rPr>
          <w:i/>
          <w:iCs/>
        </w:rPr>
        <w:t>Helgi Library</w:t>
      </w:r>
      <w:r w:rsidRPr="00545666">
        <w:t xml:space="preserve">, 2 March. Available at: </w:t>
      </w:r>
      <w:hyperlink r:id="rId29" w:history="1">
        <w:r w:rsidRPr="00545666">
          <w:rPr>
            <w:rStyle w:val="Hyperlink"/>
          </w:rPr>
          <w:t>https://www.helgilibrary.com/charts/toyota-production-by-region/</w:t>
        </w:r>
      </w:hyperlink>
      <w:r w:rsidRPr="00545666">
        <w:t xml:space="preserve"> </w:t>
      </w:r>
    </w:p>
    <w:p w14:paraId="17DC8C96" w14:textId="77777777" w:rsidR="005269D1" w:rsidRPr="00545666" w:rsidRDefault="005269D1" w:rsidP="00EC7C1E">
      <w:pPr>
        <w:ind w:left="720" w:hanging="720"/>
      </w:pPr>
      <w:r w:rsidRPr="00545666">
        <w:t xml:space="preserve">Hofstede, G.J. (2025) ‘Launching new Hofstede culture comparison tool’, </w:t>
      </w:r>
      <w:r w:rsidRPr="00545666">
        <w:rPr>
          <w:i/>
          <w:iCs/>
        </w:rPr>
        <w:t>Geert Hofstede</w:t>
      </w:r>
      <w:r w:rsidRPr="00545666">
        <w:t xml:space="preserve">, 19 February. Available at: </w:t>
      </w:r>
      <w:hyperlink r:id="rId30" w:history="1">
        <w:r w:rsidRPr="00545666">
          <w:rPr>
            <w:rStyle w:val="Hyperlink"/>
          </w:rPr>
          <w:t>https://geerthofstede.com/launching-new-hofstede-culture-comparison-tool/</w:t>
        </w:r>
      </w:hyperlink>
    </w:p>
    <w:p w14:paraId="030A0BC5" w14:textId="77777777" w:rsidR="005269D1" w:rsidRPr="00545666" w:rsidRDefault="005269D1" w:rsidP="00EC7C1E">
      <w:pPr>
        <w:ind w:left="720" w:hanging="720"/>
      </w:pPr>
      <w:r w:rsidRPr="00545666">
        <w:lastRenderedPageBreak/>
        <w:t xml:space="preserve">HRC Online (2023) ‘Lewin’s Change Management Model’, </w:t>
      </w:r>
      <w:r w:rsidRPr="00545666">
        <w:rPr>
          <w:i/>
          <w:iCs/>
        </w:rPr>
        <w:t>HRC Online</w:t>
      </w:r>
      <w:r w:rsidRPr="00545666">
        <w:t xml:space="preserve">, 14 September. Available at: </w:t>
      </w:r>
      <w:hyperlink r:id="rId31" w:history="1">
        <w:r w:rsidRPr="00545666">
          <w:rPr>
            <w:rStyle w:val="Hyperlink"/>
          </w:rPr>
          <w:t>https://hrcoursesonline.com/lewins-change-management-model/</w:t>
        </w:r>
      </w:hyperlink>
      <w:r w:rsidRPr="00545666">
        <w:t xml:space="preserve"> </w:t>
      </w:r>
    </w:p>
    <w:p w14:paraId="33723DAA" w14:textId="77777777" w:rsidR="005269D1" w:rsidRPr="00090C65" w:rsidRDefault="005269D1" w:rsidP="00EC7C1E">
      <w:pPr>
        <w:ind w:left="720" w:hanging="720"/>
        <w:rPr>
          <w:rFonts w:cs="Arial"/>
          <w:szCs w:val="24"/>
        </w:rPr>
      </w:pPr>
      <w:r w:rsidRPr="00090C65">
        <w:rPr>
          <w:rFonts w:cs="Arial"/>
          <w:szCs w:val="24"/>
        </w:rPr>
        <w:t xml:space="preserve">International Energy Agency (2025) Global EV Outlook 2025. Paris: IEA. Available at: </w:t>
      </w:r>
      <w:hyperlink r:id="rId32" w:history="1">
        <w:r w:rsidRPr="00090C65">
          <w:rPr>
            <w:rStyle w:val="Hyperlink"/>
            <w:rFonts w:cs="Arial"/>
            <w:szCs w:val="24"/>
          </w:rPr>
          <w:t>https://www.iea.org/reports/global-ev-outlook-2025</w:t>
        </w:r>
      </w:hyperlink>
      <w:r w:rsidRPr="00090C65">
        <w:rPr>
          <w:rFonts w:cs="Arial"/>
          <w:szCs w:val="24"/>
        </w:rPr>
        <w:t xml:space="preserve"> </w:t>
      </w:r>
    </w:p>
    <w:p w14:paraId="40B465F9" w14:textId="77777777" w:rsidR="005269D1" w:rsidRPr="00090C65" w:rsidRDefault="005269D1" w:rsidP="00EC7C1E">
      <w:pPr>
        <w:ind w:left="720" w:hanging="720"/>
        <w:rPr>
          <w:rFonts w:cs="Arial"/>
          <w:szCs w:val="24"/>
        </w:rPr>
      </w:pPr>
      <w:r w:rsidRPr="00090C65">
        <w:rPr>
          <w:rFonts w:cs="Arial"/>
          <w:szCs w:val="24"/>
        </w:rPr>
        <w:t xml:space="preserve">Kawai, T. (2022) 'Evaluation of Toyota’s strategy for electric vehicles in counteracting platformers—based on the theories of dynamic managerial capabilities and dynamic platform strategy', Journal of Strategic Management Studies, 14(1), pp. 67–87. </w:t>
      </w:r>
      <w:hyperlink r:id="rId33" w:history="1">
        <w:r w:rsidRPr="00A40791">
          <w:rPr>
            <w:rStyle w:val="Hyperlink"/>
            <w:rFonts w:cs="Arial"/>
            <w:szCs w:val="24"/>
          </w:rPr>
          <w:t>https://www.jstage.jst.go.jp/article/iasme/14/1/14_140105/_pdf</w:t>
        </w:r>
      </w:hyperlink>
      <w:r>
        <w:rPr>
          <w:rFonts w:cs="Arial"/>
          <w:szCs w:val="24"/>
        </w:rPr>
        <w:t xml:space="preserve"> </w:t>
      </w:r>
    </w:p>
    <w:p w14:paraId="63B8C950" w14:textId="77777777" w:rsidR="005269D1" w:rsidRPr="00090C65" w:rsidRDefault="005269D1" w:rsidP="00EC7C1E">
      <w:pPr>
        <w:ind w:left="720" w:hanging="720"/>
        <w:rPr>
          <w:rFonts w:cs="Arial"/>
          <w:szCs w:val="24"/>
        </w:rPr>
      </w:pPr>
      <w:r w:rsidRPr="00CC28BE">
        <w:rPr>
          <w:rFonts w:cs="Arial"/>
          <w:szCs w:val="24"/>
        </w:rPr>
        <w:t xml:space="preserve">Khushk, A., Zengtian, Z., Hui, Y. and Atamba, C., </w:t>
      </w:r>
      <w:r>
        <w:rPr>
          <w:rFonts w:cs="Arial"/>
          <w:szCs w:val="24"/>
        </w:rPr>
        <w:t>(</w:t>
      </w:r>
      <w:r w:rsidRPr="00CC28BE">
        <w:rPr>
          <w:rFonts w:cs="Arial"/>
          <w:szCs w:val="24"/>
        </w:rPr>
        <w:t>2022</w:t>
      </w:r>
      <w:r>
        <w:rPr>
          <w:rFonts w:cs="Arial"/>
          <w:szCs w:val="24"/>
        </w:rPr>
        <w:t>)</w:t>
      </w:r>
      <w:r w:rsidRPr="00CC28BE">
        <w:rPr>
          <w:rFonts w:cs="Arial"/>
          <w:szCs w:val="24"/>
        </w:rPr>
        <w:t>. Understanding group dynamics: Theories, practices and future directions. </w:t>
      </w:r>
      <w:r w:rsidRPr="00CC28BE">
        <w:rPr>
          <w:rFonts w:cs="Arial"/>
          <w:i/>
          <w:iCs/>
          <w:szCs w:val="24"/>
        </w:rPr>
        <w:t>Malaysian E Commerce Journal</w:t>
      </w:r>
      <w:r w:rsidRPr="00CC28BE">
        <w:rPr>
          <w:rFonts w:cs="Arial"/>
          <w:szCs w:val="24"/>
        </w:rPr>
        <w:t>, </w:t>
      </w:r>
      <w:r w:rsidRPr="00CC28BE">
        <w:rPr>
          <w:rFonts w:cs="Arial"/>
          <w:i/>
          <w:iCs/>
          <w:szCs w:val="24"/>
        </w:rPr>
        <w:t>6</w:t>
      </w:r>
      <w:r w:rsidRPr="00CC28BE">
        <w:rPr>
          <w:rFonts w:cs="Arial"/>
          <w:szCs w:val="24"/>
        </w:rPr>
        <w:t>(1), pp.01-08.</w:t>
      </w:r>
      <w:r>
        <w:rPr>
          <w:rFonts w:cs="Arial"/>
          <w:szCs w:val="24"/>
        </w:rPr>
        <w:t xml:space="preserve"> </w:t>
      </w:r>
      <w:hyperlink r:id="rId34" w:history="1">
        <w:r w:rsidRPr="00A40791">
          <w:rPr>
            <w:rStyle w:val="Hyperlink"/>
            <w:rFonts w:cs="Arial"/>
            <w:szCs w:val="24"/>
          </w:rPr>
          <w:t>https://www.academia.edu/download/76872762/Understanding_Group_Dynamics_Theories_Practices_and_Future_Directions.pdf</w:t>
        </w:r>
      </w:hyperlink>
      <w:r>
        <w:rPr>
          <w:rFonts w:cs="Arial"/>
          <w:szCs w:val="24"/>
        </w:rPr>
        <w:t xml:space="preserve"> </w:t>
      </w:r>
    </w:p>
    <w:p w14:paraId="430FE352" w14:textId="77777777" w:rsidR="005269D1" w:rsidRPr="00090C65" w:rsidRDefault="005269D1" w:rsidP="00EC7C1E">
      <w:pPr>
        <w:ind w:left="720" w:hanging="720"/>
        <w:rPr>
          <w:rFonts w:cs="Arial"/>
          <w:szCs w:val="24"/>
        </w:rPr>
      </w:pPr>
      <w:r w:rsidRPr="00090C65">
        <w:rPr>
          <w:rFonts w:cs="Arial"/>
          <w:szCs w:val="24"/>
        </w:rPr>
        <w:t>Kobayashi, H. (2024) 'Re-evaluation of Toyota’s strategy for BEV based on the theories of dynamic managerial capabilities and ordinary capabilities', Journal of Strategic Management Studies, 16(1), pp. 35–50.</w:t>
      </w:r>
      <w:r>
        <w:rPr>
          <w:rFonts w:cs="Arial"/>
          <w:szCs w:val="24"/>
        </w:rPr>
        <w:t xml:space="preserve"> </w:t>
      </w:r>
      <w:hyperlink r:id="rId35" w:history="1">
        <w:r w:rsidRPr="00A40791">
          <w:rPr>
            <w:rStyle w:val="Hyperlink"/>
            <w:rFonts w:cs="Arial"/>
            <w:szCs w:val="24"/>
          </w:rPr>
          <w:t>https://www.jstage.jst.go.jp/article/iasme/16/1/16_160105/_pdf</w:t>
        </w:r>
      </w:hyperlink>
      <w:r>
        <w:rPr>
          <w:rFonts w:cs="Arial"/>
          <w:szCs w:val="24"/>
        </w:rPr>
        <w:t xml:space="preserve"> </w:t>
      </w:r>
    </w:p>
    <w:p w14:paraId="539091C9" w14:textId="77777777" w:rsidR="005269D1" w:rsidRPr="00090C65" w:rsidRDefault="005269D1" w:rsidP="00EC7C1E">
      <w:pPr>
        <w:ind w:left="720" w:hanging="720"/>
        <w:rPr>
          <w:rFonts w:cs="Arial"/>
          <w:szCs w:val="24"/>
          <w:lang w:val="en-GB"/>
        </w:rPr>
      </w:pPr>
      <w:r w:rsidRPr="00090C65">
        <w:rPr>
          <w:rFonts w:cs="Arial"/>
          <w:szCs w:val="24"/>
          <w:lang w:val="en-GB"/>
        </w:rPr>
        <w:t xml:space="preserve">Kolb, D.A. (1984) </w:t>
      </w:r>
      <w:r w:rsidRPr="00090C65">
        <w:rPr>
          <w:rFonts w:cs="Arial"/>
          <w:i/>
          <w:iCs/>
          <w:szCs w:val="24"/>
          <w:lang w:val="en-GB"/>
        </w:rPr>
        <w:t>Experiential Learning: Experience as the Source of Learning and Development</w:t>
      </w:r>
      <w:r w:rsidRPr="00090C65">
        <w:rPr>
          <w:rFonts w:cs="Arial"/>
          <w:szCs w:val="24"/>
          <w:lang w:val="en-GB"/>
        </w:rPr>
        <w:t>. Englewood Cliffs, NJ: Prentice Hall.</w:t>
      </w:r>
    </w:p>
    <w:p w14:paraId="6C35B36B" w14:textId="77777777" w:rsidR="005269D1" w:rsidRPr="00090C65" w:rsidRDefault="005269D1" w:rsidP="00EC7C1E">
      <w:pPr>
        <w:ind w:left="720" w:hanging="720"/>
        <w:rPr>
          <w:rFonts w:cs="Arial"/>
          <w:szCs w:val="24"/>
          <w:lang w:val="en-GB"/>
        </w:rPr>
      </w:pPr>
      <w:r w:rsidRPr="00CC28BE">
        <w:rPr>
          <w:rFonts w:cs="Arial"/>
          <w:szCs w:val="24"/>
        </w:rPr>
        <w:t xml:space="preserve">Liker, J., </w:t>
      </w:r>
      <w:r>
        <w:rPr>
          <w:rFonts w:cs="Arial"/>
          <w:szCs w:val="24"/>
        </w:rPr>
        <w:t>(</w:t>
      </w:r>
      <w:r w:rsidRPr="00CC28BE">
        <w:rPr>
          <w:rFonts w:cs="Arial"/>
          <w:szCs w:val="24"/>
        </w:rPr>
        <w:t>2020</w:t>
      </w:r>
      <w:r>
        <w:rPr>
          <w:rFonts w:cs="Arial"/>
          <w:szCs w:val="24"/>
        </w:rPr>
        <w:t>)</w:t>
      </w:r>
      <w:r w:rsidRPr="00CC28BE">
        <w:rPr>
          <w:rFonts w:cs="Arial"/>
          <w:szCs w:val="24"/>
        </w:rPr>
        <w:t>. </w:t>
      </w:r>
      <w:r w:rsidRPr="00CC28BE">
        <w:rPr>
          <w:rFonts w:cs="Arial"/>
          <w:i/>
          <w:iCs/>
          <w:szCs w:val="24"/>
        </w:rPr>
        <w:t>The Toyota way: 14 management principles from the world's greatest manufacturer</w:t>
      </w:r>
      <w:r w:rsidRPr="00CC28BE">
        <w:rPr>
          <w:rFonts w:cs="Arial"/>
          <w:szCs w:val="24"/>
        </w:rPr>
        <w:t>. McGraw-Hill.</w:t>
      </w:r>
    </w:p>
    <w:p w14:paraId="6331032F" w14:textId="77777777" w:rsidR="005269D1" w:rsidRDefault="005269D1" w:rsidP="00EC7C1E">
      <w:pPr>
        <w:ind w:left="720" w:hanging="720"/>
      </w:pPr>
      <w:r w:rsidRPr="00090C65">
        <w:t xml:space="preserve">McLeod, S. (2025) </w:t>
      </w:r>
      <w:r w:rsidRPr="00090C65">
        <w:rPr>
          <w:i/>
          <w:iCs/>
        </w:rPr>
        <w:t>Gibbs Reflective Cycle</w:t>
      </w:r>
      <w:r w:rsidRPr="00090C65">
        <w:t xml:space="preserve">. Simply Psychology. Available at: </w:t>
      </w:r>
      <w:hyperlink r:id="rId36" w:tgtFrame="_new" w:history="1">
        <w:r w:rsidRPr="00090C65">
          <w:rPr>
            <w:rStyle w:val="Hyperlink"/>
          </w:rPr>
          <w:t>https://www.simplypsychology.org/gibbs-reflective-cycle.html</w:t>
        </w:r>
      </w:hyperlink>
      <w:r w:rsidRPr="00090C65">
        <w:t xml:space="preserve"> (Accessed: 14 April 2026).</w:t>
      </w:r>
    </w:p>
    <w:p w14:paraId="6A5410E4" w14:textId="77777777" w:rsidR="005269D1" w:rsidRPr="00090C65" w:rsidRDefault="005269D1" w:rsidP="00EC7C1E">
      <w:pPr>
        <w:ind w:left="720" w:hanging="720"/>
        <w:rPr>
          <w:rFonts w:cs="Arial"/>
          <w:szCs w:val="24"/>
          <w:lang w:val="en-GB"/>
        </w:rPr>
      </w:pPr>
      <w:r w:rsidRPr="00CC28BE">
        <w:rPr>
          <w:rFonts w:cs="Arial"/>
          <w:szCs w:val="24"/>
        </w:rPr>
        <w:t xml:space="preserve">Moon, J.A., </w:t>
      </w:r>
      <w:r>
        <w:rPr>
          <w:rFonts w:cs="Arial"/>
          <w:szCs w:val="24"/>
        </w:rPr>
        <w:t>(</w:t>
      </w:r>
      <w:r w:rsidRPr="00CC28BE">
        <w:rPr>
          <w:rFonts w:cs="Arial"/>
          <w:szCs w:val="24"/>
        </w:rPr>
        <w:t>2013</w:t>
      </w:r>
      <w:r>
        <w:rPr>
          <w:rFonts w:cs="Arial"/>
          <w:szCs w:val="24"/>
        </w:rPr>
        <w:t>)</w:t>
      </w:r>
      <w:r w:rsidRPr="00CC28BE">
        <w:rPr>
          <w:rFonts w:cs="Arial"/>
          <w:szCs w:val="24"/>
        </w:rPr>
        <w:t>. </w:t>
      </w:r>
      <w:r w:rsidRPr="00CC28BE">
        <w:rPr>
          <w:rFonts w:cs="Arial"/>
          <w:i/>
          <w:iCs/>
          <w:szCs w:val="24"/>
        </w:rPr>
        <w:t>A handbook of reflective and experiential learning: Theory and practice</w:t>
      </w:r>
      <w:r w:rsidRPr="00CC28BE">
        <w:rPr>
          <w:rFonts w:cs="Arial"/>
          <w:szCs w:val="24"/>
        </w:rPr>
        <w:t>. Routledge.</w:t>
      </w:r>
    </w:p>
    <w:p w14:paraId="3618ED78" w14:textId="77777777" w:rsidR="005269D1" w:rsidRPr="00322EB1" w:rsidRDefault="005269D1" w:rsidP="00EC7C1E">
      <w:pPr>
        <w:ind w:left="720" w:hanging="720"/>
        <w:rPr>
          <w:lang w:bidi="bn-BD"/>
        </w:rPr>
      </w:pPr>
      <w:r w:rsidRPr="00545666">
        <w:t xml:space="preserve">Ormston, A. (2025) ‘PESTLE analysis: understanding market influences for better decision-making’, </w:t>
      </w:r>
      <w:r w:rsidRPr="00545666">
        <w:rPr>
          <w:i/>
          <w:iCs/>
        </w:rPr>
        <w:t>B2B International</w:t>
      </w:r>
      <w:r w:rsidRPr="00545666">
        <w:t xml:space="preserve">, 3 April. Available at: </w:t>
      </w:r>
      <w:hyperlink r:id="rId37" w:history="1">
        <w:r w:rsidRPr="00545666">
          <w:rPr>
            <w:rStyle w:val="Hyperlink"/>
          </w:rPr>
          <w:t>https://www.b2binternational.com/2025/04/03/pestle-analysis/</w:t>
        </w:r>
      </w:hyperlink>
      <w:r w:rsidRPr="00545666">
        <w:t xml:space="preserve"> </w:t>
      </w:r>
    </w:p>
    <w:p w14:paraId="755AEAFC" w14:textId="77777777" w:rsidR="005269D1" w:rsidRPr="00090C65" w:rsidRDefault="005269D1" w:rsidP="00EC7C1E">
      <w:pPr>
        <w:ind w:left="720" w:hanging="720"/>
        <w:rPr>
          <w:rFonts w:cs="Arial"/>
          <w:szCs w:val="24"/>
          <w:lang w:val="en-GB"/>
        </w:rPr>
      </w:pPr>
      <w:r w:rsidRPr="00A35DC5">
        <w:rPr>
          <w:rFonts w:cs="Arial"/>
          <w:szCs w:val="24"/>
        </w:rPr>
        <w:t xml:space="preserve">Peng, M.W. and Kathuria, N., </w:t>
      </w:r>
      <w:r>
        <w:rPr>
          <w:rFonts w:cs="Arial"/>
          <w:szCs w:val="24"/>
        </w:rPr>
        <w:t>(</w:t>
      </w:r>
      <w:r w:rsidRPr="00A35DC5">
        <w:rPr>
          <w:rFonts w:cs="Arial"/>
          <w:szCs w:val="24"/>
        </w:rPr>
        <w:t>2021</w:t>
      </w:r>
      <w:r>
        <w:rPr>
          <w:rFonts w:cs="Arial"/>
          <w:szCs w:val="24"/>
        </w:rPr>
        <w:t>)</w:t>
      </w:r>
      <w:r w:rsidRPr="00A35DC5">
        <w:rPr>
          <w:rFonts w:cs="Arial"/>
          <w:szCs w:val="24"/>
        </w:rPr>
        <w:t>. Post-covid debates in global strategy.</w:t>
      </w:r>
    </w:p>
    <w:p w14:paraId="3BF5AFF2" w14:textId="77777777" w:rsidR="005269D1" w:rsidRPr="00090C65" w:rsidRDefault="005269D1" w:rsidP="00EC7C1E">
      <w:pPr>
        <w:ind w:left="720" w:hanging="720"/>
        <w:rPr>
          <w:rFonts w:cs="Arial"/>
          <w:szCs w:val="24"/>
        </w:rPr>
      </w:pPr>
      <w:r w:rsidRPr="00090C65">
        <w:rPr>
          <w:rFonts w:cs="Arial"/>
          <w:szCs w:val="24"/>
        </w:rPr>
        <w:t xml:space="preserve">Ramos, M.R. and Ruiz-Gálvez, M.E. (2024) 'The transformation of the automotive industry toward electrification and its impact on global value chains: Inter-plant competition, </w:t>
      </w:r>
      <w:r w:rsidRPr="00090C65">
        <w:rPr>
          <w:rFonts w:cs="Arial"/>
          <w:szCs w:val="24"/>
        </w:rPr>
        <w:lastRenderedPageBreak/>
        <w:t xml:space="preserve">employment, and supply chains', Investigaciones Europeas de Dirección y Economía de la Empresa, 30, 100242. </w:t>
      </w:r>
      <w:hyperlink r:id="rId38" w:history="1">
        <w:r w:rsidRPr="00A40791">
          <w:rPr>
            <w:rStyle w:val="Hyperlink"/>
            <w:rFonts w:cs="Arial"/>
            <w:szCs w:val="24"/>
          </w:rPr>
          <w:t>https://docta.ucm.es/bitstreams/4ec2e46c-9a39-469e-83aa-d9e7e009690a/download</w:t>
        </w:r>
      </w:hyperlink>
      <w:r>
        <w:rPr>
          <w:rFonts w:cs="Arial"/>
          <w:szCs w:val="24"/>
        </w:rPr>
        <w:t xml:space="preserve"> </w:t>
      </w:r>
    </w:p>
    <w:p w14:paraId="5B6BAE0E" w14:textId="77777777" w:rsidR="005269D1" w:rsidRPr="00090C65" w:rsidRDefault="005269D1" w:rsidP="00EC7C1E">
      <w:pPr>
        <w:ind w:left="720" w:hanging="720"/>
        <w:rPr>
          <w:rFonts w:cs="Arial"/>
          <w:szCs w:val="24"/>
          <w:lang w:val="en-GB"/>
        </w:rPr>
      </w:pPr>
      <w:r w:rsidRPr="00A35DC5">
        <w:rPr>
          <w:rFonts w:cs="Arial"/>
          <w:szCs w:val="24"/>
        </w:rPr>
        <w:t xml:space="preserve">Schön, D.A., </w:t>
      </w:r>
      <w:r>
        <w:rPr>
          <w:rFonts w:cs="Arial"/>
          <w:szCs w:val="24"/>
        </w:rPr>
        <w:t>(</w:t>
      </w:r>
      <w:r w:rsidRPr="00A35DC5">
        <w:rPr>
          <w:rFonts w:cs="Arial"/>
          <w:szCs w:val="24"/>
        </w:rPr>
        <w:t>2017</w:t>
      </w:r>
      <w:r>
        <w:rPr>
          <w:rFonts w:cs="Arial"/>
          <w:szCs w:val="24"/>
        </w:rPr>
        <w:t>)</w:t>
      </w:r>
      <w:r w:rsidRPr="00A35DC5">
        <w:rPr>
          <w:rFonts w:cs="Arial"/>
          <w:szCs w:val="24"/>
        </w:rPr>
        <w:t>. </w:t>
      </w:r>
      <w:r w:rsidRPr="00A35DC5">
        <w:rPr>
          <w:rFonts w:cs="Arial"/>
          <w:i/>
          <w:iCs/>
          <w:szCs w:val="24"/>
        </w:rPr>
        <w:t>The reflective practitioner: How professionals think in action</w:t>
      </w:r>
      <w:r w:rsidRPr="00A35DC5">
        <w:rPr>
          <w:rFonts w:cs="Arial"/>
          <w:szCs w:val="24"/>
        </w:rPr>
        <w:t>. Routledge.</w:t>
      </w:r>
    </w:p>
    <w:p w14:paraId="4D013271" w14:textId="77777777" w:rsidR="005269D1" w:rsidRPr="00090C65" w:rsidRDefault="005269D1" w:rsidP="00EC7C1E">
      <w:pPr>
        <w:ind w:left="720" w:hanging="720"/>
        <w:rPr>
          <w:rFonts w:cs="Arial"/>
          <w:szCs w:val="24"/>
        </w:rPr>
      </w:pPr>
      <w:r w:rsidRPr="005269D1">
        <w:rPr>
          <w:lang w:val="en-GB"/>
        </w:rPr>
        <w:t xml:space="preserve">Self-made, adapted from </w:t>
      </w:r>
      <w:r w:rsidRPr="00090C65">
        <w:rPr>
          <w:rFonts w:cs="Arial"/>
          <w:szCs w:val="24"/>
        </w:rPr>
        <w:t xml:space="preserve">Toyota Motor Corporation (2025c) Financial Summary FY2025. Available at: </w:t>
      </w:r>
      <w:hyperlink r:id="rId39" w:history="1">
        <w:r w:rsidRPr="00090C65">
          <w:rPr>
            <w:rStyle w:val="Hyperlink"/>
            <w:rFonts w:cs="Arial"/>
            <w:szCs w:val="24"/>
          </w:rPr>
          <w:t>https://global.toyota/pages/global_toyota/ir/financial-results/2025_4q_summary_en.pdf</w:t>
        </w:r>
      </w:hyperlink>
    </w:p>
    <w:p w14:paraId="41F8ED58" w14:textId="77777777" w:rsidR="005269D1" w:rsidRPr="00545666" w:rsidRDefault="005269D1" w:rsidP="00EC7C1E">
      <w:pPr>
        <w:ind w:left="720" w:hanging="720"/>
      </w:pPr>
      <w:r w:rsidRPr="00545666">
        <w:t xml:space="preserve">Summaryplanet (2025) ‘Internal Resources Capabilities and Competences’. Available at: </w:t>
      </w:r>
      <w:hyperlink r:id="rId40" w:history="1">
        <w:r w:rsidRPr="00A40791">
          <w:rPr>
            <w:rStyle w:val="Hyperlink"/>
          </w:rPr>
          <w:t>https://www.summaryplanet.com/industrial-economics/Internal-Resources-Capabilities-and-Competences.html</w:t>
        </w:r>
      </w:hyperlink>
      <w:r>
        <w:t xml:space="preserve"> </w:t>
      </w:r>
    </w:p>
    <w:p w14:paraId="05B63013" w14:textId="77777777" w:rsidR="005269D1" w:rsidRPr="00090C65" w:rsidRDefault="005269D1" w:rsidP="00EC7C1E">
      <w:pPr>
        <w:ind w:left="720" w:hanging="720"/>
        <w:rPr>
          <w:rFonts w:cs="Arial"/>
          <w:szCs w:val="24"/>
        </w:rPr>
      </w:pPr>
      <w:r w:rsidRPr="00CC28BE">
        <w:rPr>
          <w:rFonts w:cs="Arial"/>
          <w:szCs w:val="24"/>
        </w:rPr>
        <w:t xml:space="preserve">Tawse, A. and Tabesh, P., </w:t>
      </w:r>
      <w:r>
        <w:rPr>
          <w:rFonts w:cs="Arial"/>
          <w:szCs w:val="24"/>
        </w:rPr>
        <w:t>(</w:t>
      </w:r>
      <w:r w:rsidRPr="00CC28BE">
        <w:rPr>
          <w:rFonts w:cs="Arial"/>
          <w:szCs w:val="24"/>
        </w:rPr>
        <w:t>2023</w:t>
      </w:r>
      <w:r>
        <w:rPr>
          <w:rFonts w:cs="Arial"/>
          <w:szCs w:val="24"/>
        </w:rPr>
        <w:t>)</w:t>
      </w:r>
      <w:r w:rsidRPr="00CC28BE">
        <w:rPr>
          <w:rFonts w:cs="Arial"/>
          <w:szCs w:val="24"/>
        </w:rPr>
        <w:t>. Thirty years with the balanced scorecard: What we have learned. </w:t>
      </w:r>
      <w:r w:rsidRPr="00CC28BE">
        <w:rPr>
          <w:rFonts w:cs="Arial"/>
          <w:i/>
          <w:iCs/>
          <w:szCs w:val="24"/>
        </w:rPr>
        <w:t>Business Horizons</w:t>
      </w:r>
      <w:r w:rsidRPr="00CC28BE">
        <w:rPr>
          <w:rFonts w:cs="Arial"/>
          <w:szCs w:val="24"/>
        </w:rPr>
        <w:t>, </w:t>
      </w:r>
      <w:r w:rsidRPr="00CC28BE">
        <w:rPr>
          <w:rFonts w:cs="Arial"/>
          <w:i/>
          <w:iCs/>
          <w:szCs w:val="24"/>
        </w:rPr>
        <w:t>66</w:t>
      </w:r>
      <w:r w:rsidRPr="00CC28BE">
        <w:rPr>
          <w:rFonts w:cs="Arial"/>
          <w:szCs w:val="24"/>
        </w:rPr>
        <w:t>(1), pp.123-132.</w:t>
      </w:r>
      <w:r>
        <w:rPr>
          <w:rFonts w:cs="Arial"/>
          <w:szCs w:val="24"/>
        </w:rPr>
        <w:t xml:space="preserve"> </w:t>
      </w:r>
      <w:hyperlink r:id="rId41" w:history="1">
        <w:r w:rsidRPr="00A40791">
          <w:rPr>
            <w:rStyle w:val="Hyperlink"/>
            <w:rFonts w:cs="Arial"/>
            <w:szCs w:val="24"/>
          </w:rPr>
          <w:t>https://www.sciencedirect.com/science/article/pii/S0007681322000258</w:t>
        </w:r>
      </w:hyperlink>
      <w:r>
        <w:rPr>
          <w:rFonts w:cs="Arial"/>
          <w:szCs w:val="24"/>
        </w:rPr>
        <w:t xml:space="preserve"> </w:t>
      </w:r>
    </w:p>
    <w:p w14:paraId="395EF9FB" w14:textId="77777777" w:rsidR="005269D1" w:rsidRPr="00090C65" w:rsidRDefault="005269D1" w:rsidP="00EC7C1E">
      <w:pPr>
        <w:ind w:left="720" w:hanging="720"/>
        <w:rPr>
          <w:rFonts w:cs="Arial"/>
          <w:szCs w:val="24"/>
          <w:lang w:val="en-GB"/>
        </w:rPr>
      </w:pPr>
      <w:r w:rsidRPr="00090C65">
        <w:rPr>
          <w:rFonts w:cs="Arial"/>
          <w:szCs w:val="24"/>
          <w:lang w:val="en-GB"/>
        </w:rPr>
        <w:t xml:space="preserve">Teece, D.J. (2018) ‘Business models and dynamic capabilities’, </w:t>
      </w:r>
      <w:r w:rsidRPr="00090C65">
        <w:rPr>
          <w:rFonts w:cs="Arial"/>
          <w:i/>
          <w:iCs/>
          <w:szCs w:val="24"/>
          <w:lang w:val="en-GB"/>
        </w:rPr>
        <w:t>Long Range Planning</w:t>
      </w:r>
      <w:r w:rsidRPr="00090C65">
        <w:rPr>
          <w:rFonts w:cs="Arial"/>
          <w:szCs w:val="24"/>
          <w:lang w:val="en-GB"/>
        </w:rPr>
        <w:t>, 51(1), pp. 40–49.</w:t>
      </w:r>
      <w:r w:rsidRPr="00A35DC5">
        <w:t xml:space="preserve"> </w:t>
      </w:r>
      <w:hyperlink r:id="rId42" w:history="1">
        <w:r w:rsidRPr="00A40791">
          <w:rPr>
            <w:rStyle w:val="Hyperlink"/>
            <w:rFonts w:cs="Arial"/>
            <w:szCs w:val="24"/>
            <w:lang w:val="en-GB"/>
          </w:rPr>
          <w:t>https://www.sciencedirect.com/science/article/pii/S0024630117302868</w:t>
        </w:r>
      </w:hyperlink>
      <w:r>
        <w:rPr>
          <w:rFonts w:cs="Arial"/>
          <w:szCs w:val="24"/>
          <w:lang w:val="en-GB"/>
        </w:rPr>
        <w:t xml:space="preserve"> </w:t>
      </w:r>
    </w:p>
    <w:p w14:paraId="0BA8EB0D" w14:textId="77777777" w:rsidR="005269D1" w:rsidRPr="00545666" w:rsidRDefault="005269D1" w:rsidP="00EC7C1E">
      <w:pPr>
        <w:ind w:left="720" w:hanging="720"/>
      </w:pPr>
      <w:r w:rsidRPr="00545666">
        <w:t xml:space="preserve">The Strategy Institute (2024) ‘The Ansoff Matrix: a powerful tool for business strategy and growth’, </w:t>
      </w:r>
      <w:r w:rsidRPr="00545666">
        <w:rPr>
          <w:i/>
          <w:iCs/>
        </w:rPr>
        <w:t>TSI</w:t>
      </w:r>
      <w:r w:rsidRPr="00545666">
        <w:t xml:space="preserve">, 10 May. Available at: </w:t>
      </w:r>
      <w:hyperlink r:id="rId43" w:tgtFrame="_new" w:history="1">
        <w:r w:rsidRPr="00545666">
          <w:rPr>
            <w:rStyle w:val="Hyperlink"/>
          </w:rPr>
          <w:t>https://www.thestrategyinstitute.org/insights/the-ansoff-matrix-a-powerful-tool-for-business-strategy-and-growth</w:t>
        </w:r>
      </w:hyperlink>
      <w:r w:rsidRPr="00545666">
        <w:t xml:space="preserve"> </w:t>
      </w:r>
    </w:p>
    <w:p w14:paraId="6A4E1588" w14:textId="77777777" w:rsidR="005269D1" w:rsidRPr="00090C65" w:rsidRDefault="005269D1" w:rsidP="00EC7C1E">
      <w:pPr>
        <w:ind w:left="720" w:hanging="720"/>
        <w:rPr>
          <w:rFonts w:cs="Arial"/>
          <w:szCs w:val="24"/>
          <w:lang w:val="en-GB"/>
        </w:rPr>
      </w:pPr>
      <w:r w:rsidRPr="00EC7C1E">
        <w:rPr>
          <w:rFonts w:cs="Arial"/>
          <w:szCs w:val="24"/>
        </w:rPr>
        <w:t xml:space="preserve">Thompson, C., </w:t>
      </w:r>
      <w:r>
        <w:rPr>
          <w:rFonts w:cs="Arial"/>
          <w:szCs w:val="24"/>
        </w:rPr>
        <w:t>(</w:t>
      </w:r>
      <w:r w:rsidRPr="00EC7C1E">
        <w:rPr>
          <w:rFonts w:cs="Arial"/>
          <w:szCs w:val="24"/>
        </w:rPr>
        <w:t>2021</w:t>
      </w:r>
      <w:r>
        <w:rPr>
          <w:rFonts w:cs="Arial"/>
          <w:szCs w:val="24"/>
        </w:rPr>
        <w:t>)</w:t>
      </w:r>
      <w:r w:rsidRPr="00EC7C1E">
        <w:rPr>
          <w:rFonts w:cs="Arial"/>
          <w:szCs w:val="24"/>
        </w:rPr>
        <w:t>. </w:t>
      </w:r>
      <w:r w:rsidRPr="00EC7C1E">
        <w:rPr>
          <w:rFonts w:cs="Arial"/>
          <w:i/>
          <w:iCs/>
          <w:szCs w:val="24"/>
        </w:rPr>
        <w:t>Reflective practice for professional development: A guide for teachers</w:t>
      </w:r>
      <w:r w:rsidRPr="00EC7C1E">
        <w:rPr>
          <w:rFonts w:cs="Arial"/>
          <w:szCs w:val="24"/>
        </w:rPr>
        <w:t>. Routledge.</w:t>
      </w:r>
      <w:r>
        <w:rPr>
          <w:rFonts w:cs="Arial"/>
          <w:szCs w:val="24"/>
        </w:rPr>
        <w:t xml:space="preserve"> </w:t>
      </w:r>
      <w:hyperlink r:id="rId44" w:history="1">
        <w:r w:rsidRPr="00A40791">
          <w:rPr>
            <w:rStyle w:val="Hyperlink"/>
            <w:rFonts w:cs="Arial"/>
            <w:szCs w:val="24"/>
          </w:rPr>
          <w:t>https://www.researchgate.net/profile/Carol-Thompson-5/publication/354016728_Reflective_Practice_for_Professional_Development_A_Guide_for_Teachers/links/62d94ddc78e4d13106add384/Reflective-Practice-for-Professional-Development-A-Guide-for-Teachers.pdf</w:t>
        </w:r>
      </w:hyperlink>
      <w:r>
        <w:rPr>
          <w:rFonts w:cs="Arial"/>
          <w:szCs w:val="24"/>
        </w:rPr>
        <w:t xml:space="preserve"> </w:t>
      </w:r>
    </w:p>
    <w:p w14:paraId="509CEB01" w14:textId="77777777" w:rsidR="005269D1" w:rsidRPr="00090C65" w:rsidRDefault="005269D1" w:rsidP="00EC7C1E">
      <w:pPr>
        <w:ind w:left="720" w:hanging="720"/>
        <w:rPr>
          <w:rFonts w:cs="Arial"/>
          <w:szCs w:val="24"/>
          <w:lang w:val="en-GB"/>
        </w:rPr>
      </w:pPr>
      <w:r w:rsidRPr="00A35DC5">
        <w:rPr>
          <w:rFonts w:cs="Arial"/>
          <w:szCs w:val="24"/>
        </w:rPr>
        <w:t xml:space="preserve">Tolontan, M., Orhei, C. and Vasiu, R., </w:t>
      </w:r>
      <w:r>
        <w:rPr>
          <w:rFonts w:cs="Arial"/>
          <w:szCs w:val="24"/>
        </w:rPr>
        <w:t>(</w:t>
      </w:r>
      <w:r w:rsidRPr="00A35DC5">
        <w:rPr>
          <w:rFonts w:cs="Arial"/>
          <w:szCs w:val="24"/>
        </w:rPr>
        <w:t>2024</w:t>
      </w:r>
      <w:r>
        <w:rPr>
          <w:rFonts w:cs="Arial"/>
          <w:szCs w:val="24"/>
        </w:rPr>
        <w:t>)</w:t>
      </w:r>
      <w:r w:rsidRPr="00A35DC5">
        <w:rPr>
          <w:rFonts w:cs="Arial"/>
          <w:szCs w:val="24"/>
        </w:rPr>
        <w:t>, November. Overview of the Technical Risk Analysis and Risk Assessment Analysis in Automotive Industry. In </w:t>
      </w:r>
      <w:r w:rsidRPr="00A35DC5">
        <w:rPr>
          <w:rFonts w:cs="Arial"/>
          <w:i/>
          <w:iCs/>
          <w:szCs w:val="24"/>
        </w:rPr>
        <w:t>2024 International Symposium on Electronics and Telecommunications (ISETC)</w:t>
      </w:r>
      <w:r w:rsidRPr="00A35DC5">
        <w:rPr>
          <w:rFonts w:cs="Arial"/>
          <w:szCs w:val="24"/>
        </w:rPr>
        <w:t> (pp. 1-4). IEEE.</w:t>
      </w:r>
    </w:p>
    <w:p w14:paraId="2EF07515" w14:textId="77777777" w:rsidR="005269D1" w:rsidRPr="00322EB1" w:rsidRDefault="005269D1" w:rsidP="00EC7C1E">
      <w:pPr>
        <w:ind w:left="720" w:hanging="720"/>
        <w:rPr>
          <w:lang w:bidi="bn-BD"/>
        </w:rPr>
      </w:pPr>
      <w:r w:rsidRPr="00545666">
        <w:t xml:space="preserve">Toyota Europe (2026) </w:t>
      </w:r>
      <w:r w:rsidRPr="00545666">
        <w:rPr>
          <w:i/>
          <w:iCs/>
        </w:rPr>
        <w:t>Sustainability at Toyota</w:t>
      </w:r>
      <w:r w:rsidRPr="00545666">
        <w:t xml:space="preserve">. Toyota Europe. Available at: </w:t>
      </w:r>
      <w:hyperlink r:id="rId45" w:history="1">
        <w:r w:rsidRPr="00545666">
          <w:rPr>
            <w:rStyle w:val="Hyperlink"/>
          </w:rPr>
          <w:t>https://www.toyota-europe.com/sustainability</w:t>
        </w:r>
      </w:hyperlink>
      <w:r w:rsidRPr="00545666">
        <w:t xml:space="preserve"> </w:t>
      </w:r>
    </w:p>
    <w:p w14:paraId="59C879CC" w14:textId="77777777" w:rsidR="005269D1" w:rsidRPr="00090C65" w:rsidRDefault="005269D1" w:rsidP="00EC7C1E">
      <w:pPr>
        <w:ind w:left="720" w:hanging="720"/>
        <w:rPr>
          <w:rFonts w:cs="Arial"/>
          <w:szCs w:val="24"/>
        </w:rPr>
      </w:pPr>
      <w:r w:rsidRPr="00090C65">
        <w:rPr>
          <w:rFonts w:cs="Arial"/>
          <w:szCs w:val="24"/>
        </w:rPr>
        <w:t xml:space="preserve">Toyota Motor Corporation (2025a) Philosophy. Available at: </w:t>
      </w:r>
      <w:hyperlink r:id="rId46" w:history="1">
        <w:r w:rsidRPr="00090C65">
          <w:rPr>
            <w:rStyle w:val="Hyperlink"/>
            <w:rFonts w:cs="Arial"/>
            <w:szCs w:val="24"/>
          </w:rPr>
          <w:t>https://global.toyota/en/company/vision-and-philosophy/philosophy/</w:t>
        </w:r>
      </w:hyperlink>
      <w:r w:rsidRPr="00090C65">
        <w:rPr>
          <w:rFonts w:cs="Arial"/>
          <w:szCs w:val="24"/>
        </w:rPr>
        <w:t xml:space="preserve"> </w:t>
      </w:r>
    </w:p>
    <w:p w14:paraId="7AF578C6" w14:textId="77777777" w:rsidR="005269D1" w:rsidRPr="00090C65" w:rsidRDefault="005269D1" w:rsidP="00EC7C1E">
      <w:pPr>
        <w:ind w:left="720" w:hanging="720"/>
        <w:rPr>
          <w:rFonts w:cs="Arial"/>
          <w:szCs w:val="24"/>
        </w:rPr>
      </w:pPr>
      <w:r w:rsidRPr="00090C65">
        <w:rPr>
          <w:rFonts w:cs="Arial"/>
          <w:szCs w:val="24"/>
        </w:rPr>
        <w:lastRenderedPageBreak/>
        <w:t>Toyota Motor Corporation (2025b) Overview. Available at: https://global.toyota/en/company/profile/overview/ (Accessed: 14 April 2026).</w:t>
      </w:r>
    </w:p>
    <w:p w14:paraId="362732D3" w14:textId="77777777" w:rsidR="005269D1" w:rsidRDefault="005269D1" w:rsidP="00EC7C1E">
      <w:pPr>
        <w:ind w:left="720" w:hanging="720"/>
        <w:rPr>
          <w:rFonts w:cs="Arial"/>
          <w:szCs w:val="24"/>
        </w:rPr>
      </w:pPr>
      <w:r w:rsidRPr="00090C65">
        <w:rPr>
          <w:rFonts w:cs="Arial"/>
          <w:szCs w:val="24"/>
        </w:rPr>
        <w:t xml:space="preserve">Toyota Motor Corporation (2025c) Financial Summary FY2025. Available at: </w:t>
      </w:r>
      <w:hyperlink r:id="rId47" w:history="1">
        <w:r w:rsidRPr="00090C65">
          <w:rPr>
            <w:rStyle w:val="Hyperlink"/>
            <w:rFonts w:cs="Arial"/>
            <w:szCs w:val="24"/>
          </w:rPr>
          <w:t>https://global.toyota/pages/global_toyota/ir/financial-results/2025_4q_summary_en.pdf</w:t>
        </w:r>
      </w:hyperlink>
      <w:r w:rsidRPr="00090C65">
        <w:rPr>
          <w:rFonts w:cs="Arial"/>
          <w:szCs w:val="24"/>
        </w:rPr>
        <w:t xml:space="preserve"> </w:t>
      </w:r>
    </w:p>
    <w:p w14:paraId="18D59BE7" w14:textId="77777777" w:rsidR="005269D1" w:rsidRDefault="005269D1" w:rsidP="00EC7C1E">
      <w:pPr>
        <w:ind w:left="720" w:hanging="720"/>
      </w:pPr>
      <w:r w:rsidRPr="00D1566A">
        <w:t>Toyota Times (2024</w:t>
      </w:r>
      <w:r>
        <w:t>a</w:t>
      </w:r>
      <w:r w:rsidRPr="00D1566A">
        <w:t xml:space="preserve">) </w:t>
      </w:r>
      <w:r w:rsidRPr="00D1566A">
        <w:rPr>
          <w:i/>
          <w:iCs/>
        </w:rPr>
        <w:t>The Startup Spirit--Toyota's Approach to New Business Development</w:t>
      </w:r>
      <w:r w:rsidRPr="00D1566A">
        <w:t xml:space="preserve">. Toyota Times, 12 December. Available at: </w:t>
      </w:r>
      <w:hyperlink r:id="rId48" w:history="1">
        <w:r w:rsidRPr="00D1566A">
          <w:rPr>
            <w:rStyle w:val="Hyperlink"/>
          </w:rPr>
          <w:t>https://toyotatimes.jp/en/series/new_business/001.html</w:t>
        </w:r>
      </w:hyperlink>
    </w:p>
    <w:p w14:paraId="55CA98D3" w14:textId="77777777" w:rsidR="005269D1" w:rsidRPr="00D1566A" w:rsidRDefault="005269D1" w:rsidP="00EC7C1E">
      <w:pPr>
        <w:ind w:left="720" w:hanging="720"/>
        <w:rPr>
          <w:rFonts w:cs="Arial"/>
          <w:szCs w:val="24"/>
        </w:rPr>
      </w:pPr>
      <w:r w:rsidRPr="00D1566A">
        <w:t>Toyota Times (2024</w:t>
      </w:r>
      <w:r>
        <w:t>b</w:t>
      </w:r>
      <w:r w:rsidRPr="00D1566A">
        <w:t xml:space="preserve">) ‘Toyota’s financial results—solid revenue structure drives investment for the future’, </w:t>
      </w:r>
      <w:r w:rsidRPr="00D1566A">
        <w:rPr>
          <w:i/>
          <w:iCs/>
        </w:rPr>
        <w:t>Toyota Times</w:t>
      </w:r>
      <w:r w:rsidRPr="00D1566A">
        <w:t xml:space="preserve">, 8 May. Available at: </w:t>
      </w:r>
      <w:hyperlink r:id="rId49" w:history="1">
        <w:r w:rsidRPr="00D1566A">
          <w:rPr>
            <w:rStyle w:val="Hyperlink"/>
          </w:rPr>
          <w:t>https://toyotatimes.jp/en/toyota_news/financial_results_2024/002.html</w:t>
        </w:r>
      </w:hyperlink>
    </w:p>
    <w:p w14:paraId="5855C16D" w14:textId="77777777" w:rsidR="005269D1" w:rsidRPr="00090C65" w:rsidRDefault="005269D1" w:rsidP="00EC7C1E">
      <w:pPr>
        <w:ind w:left="720" w:hanging="720"/>
        <w:rPr>
          <w:rFonts w:cs="Arial"/>
          <w:szCs w:val="24"/>
        </w:rPr>
      </w:pPr>
      <w:r w:rsidRPr="00CC28BE">
        <w:rPr>
          <w:rFonts w:cs="Arial"/>
          <w:szCs w:val="24"/>
        </w:rPr>
        <w:t xml:space="preserve">Whittington, R., Angwin, D., Regnér, P., Johnson, G. and Scholes, K., </w:t>
      </w:r>
      <w:r>
        <w:rPr>
          <w:rFonts w:cs="Arial"/>
          <w:szCs w:val="24"/>
        </w:rPr>
        <w:t>(</w:t>
      </w:r>
      <w:r w:rsidRPr="00CC28BE">
        <w:rPr>
          <w:rFonts w:cs="Arial"/>
          <w:szCs w:val="24"/>
        </w:rPr>
        <w:t>2021</w:t>
      </w:r>
      <w:r>
        <w:rPr>
          <w:rFonts w:cs="Arial"/>
          <w:szCs w:val="24"/>
        </w:rPr>
        <w:t>)</w:t>
      </w:r>
      <w:r w:rsidRPr="00CC28BE">
        <w:rPr>
          <w:rFonts w:cs="Arial"/>
          <w:szCs w:val="24"/>
        </w:rPr>
        <w:t>. Welcome to Exploring Strategy.</w:t>
      </w:r>
      <w:r>
        <w:rPr>
          <w:rFonts w:cs="Arial"/>
          <w:szCs w:val="24"/>
        </w:rPr>
        <w:t xml:space="preserve"> </w:t>
      </w:r>
      <w:hyperlink r:id="rId50" w:history="1">
        <w:r w:rsidRPr="00A40791">
          <w:rPr>
            <w:rStyle w:val="Hyperlink"/>
            <w:rFonts w:cs="Arial"/>
            <w:szCs w:val="24"/>
          </w:rPr>
          <w:t>https://www.pearson.com/en-au/media/g10dyvte/9781292428741_sample.pdf</w:t>
        </w:r>
      </w:hyperlink>
      <w:r>
        <w:rPr>
          <w:rFonts w:cs="Arial"/>
          <w:szCs w:val="24"/>
        </w:rPr>
        <w:t xml:space="preserve"> </w:t>
      </w:r>
    </w:p>
    <w:p w14:paraId="6CEA4637" w14:textId="77777777" w:rsidR="005269D1" w:rsidRPr="00090C65" w:rsidRDefault="005269D1" w:rsidP="00EC7C1E">
      <w:pPr>
        <w:ind w:left="720" w:hanging="720"/>
        <w:rPr>
          <w:rFonts w:cs="Arial"/>
          <w:szCs w:val="24"/>
        </w:rPr>
      </w:pPr>
      <w:r w:rsidRPr="00EC7C1E">
        <w:rPr>
          <w:rFonts w:cs="Arial"/>
          <w:szCs w:val="24"/>
        </w:rPr>
        <w:t xml:space="preserve">Zaharia, R.M. and Zaharia, R., </w:t>
      </w:r>
      <w:r>
        <w:rPr>
          <w:rFonts w:cs="Arial"/>
          <w:szCs w:val="24"/>
        </w:rPr>
        <w:t>(</w:t>
      </w:r>
      <w:r w:rsidRPr="00EC7C1E">
        <w:rPr>
          <w:rFonts w:cs="Arial"/>
          <w:szCs w:val="24"/>
        </w:rPr>
        <w:t>2021</w:t>
      </w:r>
      <w:r>
        <w:rPr>
          <w:rFonts w:cs="Arial"/>
          <w:szCs w:val="24"/>
        </w:rPr>
        <w:t>)</w:t>
      </w:r>
      <w:r w:rsidRPr="00EC7C1E">
        <w:rPr>
          <w:rFonts w:cs="Arial"/>
          <w:szCs w:val="24"/>
        </w:rPr>
        <w:t>. Triple bottom line. In </w:t>
      </w:r>
      <w:r w:rsidRPr="00EC7C1E">
        <w:rPr>
          <w:rFonts w:cs="Arial"/>
          <w:i/>
          <w:iCs/>
          <w:szCs w:val="24"/>
        </w:rPr>
        <w:t>The Palgrave handbook of corporate social responsibility</w:t>
      </w:r>
      <w:r w:rsidRPr="00EC7C1E">
        <w:rPr>
          <w:rFonts w:cs="Arial"/>
          <w:szCs w:val="24"/>
        </w:rPr>
        <w:t> (pp. 75-101). Cham: Springer International Publishing.</w:t>
      </w:r>
      <w:r>
        <w:rPr>
          <w:rFonts w:cs="Arial"/>
          <w:szCs w:val="24"/>
        </w:rPr>
        <w:t xml:space="preserve"> </w:t>
      </w:r>
      <w:hyperlink r:id="rId51" w:history="1">
        <w:r w:rsidRPr="00A40791">
          <w:rPr>
            <w:rStyle w:val="Hyperlink"/>
            <w:rFonts w:cs="Arial"/>
            <w:szCs w:val="24"/>
          </w:rPr>
          <w:t>https://www.scielo.br/j/rac/a/dQWB6Px4YpFjX9yRvvRJZsh/?format=html&amp;lang=en</w:t>
        </w:r>
      </w:hyperlink>
      <w:r>
        <w:rPr>
          <w:rFonts w:cs="Arial"/>
          <w:szCs w:val="24"/>
        </w:rPr>
        <w:t xml:space="preserve"> </w:t>
      </w:r>
    </w:p>
    <w:p w14:paraId="7294A117" w14:textId="77777777" w:rsidR="005269D1" w:rsidRPr="00090C65" w:rsidRDefault="005269D1" w:rsidP="00EC7C1E">
      <w:pPr>
        <w:ind w:left="720" w:hanging="720"/>
        <w:rPr>
          <w:rFonts w:cs="Arial"/>
          <w:szCs w:val="24"/>
        </w:rPr>
      </w:pPr>
      <w:r w:rsidRPr="00EC7C1E">
        <w:rPr>
          <w:rFonts w:cs="Arial"/>
          <w:szCs w:val="24"/>
        </w:rPr>
        <w:t xml:space="preserve">Zulfikar, T. and Juju, U., </w:t>
      </w:r>
      <w:r>
        <w:rPr>
          <w:rFonts w:cs="Arial"/>
          <w:szCs w:val="24"/>
        </w:rPr>
        <w:t>(</w:t>
      </w:r>
      <w:r w:rsidRPr="00EC7C1E">
        <w:rPr>
          <w:rFonts w:cs="Arial"/>
          <w:szCs w:val="24"/>
        </w:rPr>
        <w:t>2025</w:t>
      </w:r>
      <w:r>
        <w:rPr>
          <w:rFonts w:cs="Arial"/>
          <w:szCs w:val="24"/>
        </w:rPr>
        <w:t>)</w:t>
      </w:r>
      <w:r w:rsidRPr="00EC7C1E">
        <w:rPr>
          <w:rFonts w:cs="Arial"/>
          <w:szCs w:val="24"/>
        </w:rPr>
        <w:t>. The Effect of Customer Relations and Marketing Communication on Competitive Advantage and Customer Loyalty. </w:t>
      </w:r>
      <w:r w:rsidRPr="00EC7C1E">
        <w:rPr>
          <w:rFonts w:cs="Arial"/>
          <w:i/>
          <w:iCs/>
          <w:szCs w:val="24"/>
        </w:rPr>
        <w:t>Jurnal Ilmiah Manajemen Kesatuan</w:t>
      </w:r>
      <w:r w:rsidRPr="00EC7C1E">
        <w:rPr>
          <w:rFonts w:cs="Arial"/>
          <w:szCs w:val="24"/>
        </w:rPr>
        <w:t>, </w:t>
      </w:r>
      <w:r w:rsidRPr="00EC7C1E">
        <w:rPr>
          <w:rFonts w:cs="Arial"/>
          <w:i/>
          <w:iCs/>
          <w:szCs w:val="24"/>
        </w:rPr>
        <w:t>13</w:t>
      </w:r>
      <w:r w:rsidRPr="00EC7C1E">
        <w:rPr>
          <w:rFonts w:cs="Arial"/>
          <w:szCs w:val="24"/>
        </w:rPr>
        <w:t>(6), pp.4741-4752.</w:t>
      </w:r>
      <w:r>
        <w:rPr>
          <w:rFonts w:cs="Arial"/>
          <w:szCs w:val="24"/>
        </w:rPr>
        <w:t xml:space="preserve"> </w:t>
      </w:r>
      <w:hyperlink r:id="rId52" w:history="1">
        <w:r w:rsidRPr="00A40791">
          <w:rPr>
            <w:rStyle w:val="Hyperlink"/>
            <w:rFonts w:cs="Arial"/>
            <w:szCs w:val="24"/>
          </w:rPr>
          <w:t>https://jurnal.ibik.ac.id/index.php/jimkes/article/download/4062/2966</w:t>
        </w:r>
      </w:hyperlink>
      <w:r>
        <w:rPr>
          <w:rFonts w:cs="Arial"/>
          <w:szCs w:val="24"/>
        </w:rPr>
        <w:t xml:space="preserve"> </w:t>
      </w:r>
    </w:p>
    <w:p w14:paraId="2C07B42A" w14:textId="77777777" w:rsidR="00EC7C1E" w:rsidRDefault="00EC7C1E"/>
    <w:sectPr w:rsidR="00EC7C1E">
      <w:footerReference w:type="default" r:id="rId53"/>
      <w:pgSz w:w="12240" w:h="15840"/>
      <w:pgMar w:top="1152" w:right="1296" w:bottom="1152"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2B886D" w14:textId="77777777" w:rsidR="0065476E" w:rsidRDefault="0065476E" w:rsidP="00A35DC5">
      <w:pPr>
        <w:spacing w:line="240" w:lineRule="auto"/>
      </w:pPr>
      <w:r>
        <w:separator/>
      </w:r>
    </w:p>
  </w:endnote>
  <w:endnote w:type="continuationSeparator" w:id="0">
    <w:p w14:paraId="11275441" w14:textId="77777777" w:rsidR="0065476E" w:rsidRDefault="0065476E" w:rsidP="00A35D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252575"/>
      <w:docPartObj>
        <w:docPartGallery w:val="Page Numbers (Bottom of Page)"/>
        <w:docPartUnique/>
      </w:docPartObj>
    </w:sdtPr>
    <w:sdtEndPr/>
    <w:sdtContent>
      <w:p w14:paraId="06363007" w14:textId="2416C105" w:rsidR="00A35DC5" w:rsidRDefault="00A35DC5">
        <w:pPr>
          <w:pStyle w:val="Footer"/>
          <w:jc w:val="right"/>
        </w:pPr>
        <w:r>
          <w:fldChar w:fldCharType="begin"/>
        </w:r>
        <w:r>
          <w:instrText>PAGE   \* MERGEFORMAT</w:instrText>
        </w:r>
        <w:r>
          <w:fldChar w:fldCharType="separate"/>
        </w:r>
        <w:r>
          <w:rPr>
            <w:lang w:val="en-GB"/>
          </w:rPr>
          <w:t>2</w:t>
        </w:r>
        <w:r>
          <w:fldChar w:fldCharType="end"/>
        </w:r>
      </w:p>
    </w:sdtContent>
  </w:sdt>
  <w:p w14:paraId="3905AAA3" w14:textId="77777777" w:rsidR="00A35DC5" w:rsidRDefault="00A35D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A67E9A" w14:textId="77777777" w:rsidR="0065476E" w:rsidRDefault="0065476E" w:rsidP="00A35DC5">
      <w:pPr>
        <w:spacing w:line="240" w:lineRule="auto"/>
      </w:pPr>
      <w:r>
        <w:separator/>
      </w:r>
    </w:p>
  </w:footnote>
  <w:footnote w:type="continuationSeparator" w:id="0">
    <w:p w14:paraId="7A718F23" w14:textId="77777777" w:rsidR="0065476E" w:rsidRDefault="0065476E" w:rsidP="00A35DC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3DAB"/>
    <w:rsid w:val="00034616"/>
    <w:rsid w:val="0004402B"/>
    <w:rsid w:val="0006063C"/>
    <w:rsid w:val="00066D41"/>
    <w:rsid w:val="00071857"/>
    <w:rsid w:val="00075A63"/>
    <w:rsid w:val="00090C65"/>
    <w:rsid w:val="001236C5"/>
    <w:rsid w:val="0015074B"/>
    <w:rsid w:val="00150A3C"/>
    <w:rsid w:val="00192FEE"/>
    <w:rsid w:val="00221B7F"/>
    <w:rsid w:val="002865E9"/>
    <w:rsid w:val="0029639D"/>
    <w:rsid w:val="002C1828"/>
    <w:rsid w:val="0031695F"/>
    <w:rsid w:val="00326F90"/>
    <w:rsid w:val="0034394E"/>
    <w:rsid w:val="004B4DF2"/>
    <w:rsid w:val="005269D1"/>
    <w:rsid w:val="005F7194"/>
    <w:rsid w:val="00614633"/>
    <w:rsid w:val="006446AB"/>
    <w:rsid w:val="0065476E"/>
    <w:rsid w:val="006A23AB"/>
    <w:rsid w:val="0070172A"/>
    <w:rsid w:val="00734E3C"/>
    <w:rsid w:val="008273EB"/>
    <w:rsid w:val="00837D47"/>
    <w:rsid w:val="008458A3"/>
    <w:rsid w:val="00865625"/>
    <w:rsid w:val="008B701E"/>
    <w:rsid w:val="008F1C33"/>
    <w:rsid w:val="009A5A6E"/>
    <w:rsid w:val="009D210C"/>
    <w:rsid w:val="009E4CDA"/>
    <w:rsid w:val="00A35DC5"/>
    <w:rsid w:val="00A84F27"/>
    <w:rsid w:val="00AA1D8D"/>
    <w:rsid w:val="00AA3C13"/>
    <w:rsid w:val="00AD5789"/>
    <w:rsid w:val="00B12E82"/>
    <w:rsid w:val="00B47730"/>
    <w:rsid w:val="00B7101D"/>
    <w:rsid w:val="00C22A73"/>
    <w:rsid w:val="00CB0664"/>
    <w:rsid w:val="00CC28BE"/>
    <w:rsid w:val="00CE31AC"/>
    <w:rsid w:val="00D06AE2"/>
    <w:rsid w:val="00D1566A"/>
    <w:rsid w:val="00D21487"/>
    <w:rsid w:val="00D607A1"/>
    <w:rsid w:val="00DD3FA0"/>
    <w:rsid w:val="00DE479D"/>
    <w:rsid w:val="00DF095D"/>
    <w:rsid w:val="00E67348"/>
    <w:rsid w:val="00EC7C1E"/>
    <w:rsid w:val="00ED3D36"/>
    <w:rsid w:val="00EF2722"/>
    <w:rsid w:val="00F55F4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4257DA7"/>
  <w14:defaultImageDpi w14:val="300"/>
  <w15:docId w15:val="{382498DB-BEE2-4069-8A0F-D84157B0B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6AE2"/>
    <w:pPr>
      <w:spacing w:after="0" w:line="360" w:lineRule="auto"/>
      <w:jc w:val="both"/>
    </w:pPr>
    <w:rPr>
      <w:rFonts w:ascii="Arial" w:eastAsia="Aptos" w:hAnsi="Arial"/>
      <w:sz w:val="24"/>
    </w:rPr>
  </w:style>
  <w:style w:type="paragraph" w:styleId="Heading1">
    <w:name w:val="heading 1"/>
    <w:basedOn w:val="Normal"/>
    <w:next w:val="Normal"/>
    <w:link w:val="Heading1Char"/>
    <w:uiPriority w:val="9"/>
    <w:qFormat/>
    <w:rsid w:val="00D06AE2"/>
    <w:pPr>
      <w:keepNext/>
      <w:keepLines/>
      <w:jc w:val="center"/>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8458A3"/>
    <w:pPr>
      <w:keepNext/>
      <w:keepLines/>
      <w:spacing w:before="120" w:after="120"/>
      <w:jc w:val="left"/>
      <w:outlineLvl w:val="1"/>
    </w:pPr>
    <w:rPr>
      <w:rFonts w:eastAsiaTheme="majorEastAsia" w:cstheme="majorBidi"/>
      <w:b/>
      <w:bCs/>
      <w:i/>
      <w:color w:val="000000" w:themeColor="text1"/>
      <w:sz w:val="28"/>
      <w:szCs w:val="26"/>
    </w:rPr>
  </w:style>
  <w:style w:type="paragraph" w:styleId="Heading3">
    <w:name w:val="heading 3"/>
    <w:basedOn w:val="Normal"/>
    <w:next w:val="Normal"/>
    <w:link w:val="Heading3Char"/>
    <w:uiPriority w:val="9"/>
    <w:unhideWhenUsed/>
    <w:qFormat/>
    <w:rsid w:val="00D06AE2"/>
    <w:pPr>
      <w:keepNext/>
      <w:keepLines/>
      <w:spacing w:before="120" w:after="120"/>
      <w:jc w:val="left"/>
      <w:outlineLvl w:val="2"/>
    </w:pPr>
    <w:rPr>
      <w:rFonts w:eastAsiaTheme="majorEastAsia" w:cstheme="majorBidi"/>
      <w:b/>
      <w:bCs/>
      <w:i/>
      <w:color w:val="000000" w:themeColor="text1"/>
      <w:u w:val="single"/>
    </w:rPr>
  </w:style>
  <w:style w:type="paragraph" w:styleId="Heading4">
    <w:name w:val="heading 4"/>
    <w:basedOn w:val="Normal"/>
    <w:next w:val="Normal"/>
    <w:link w:val="Heading4Char"/>
    <w:uiPriority w:val="9"/>
    <w:unhideWhenUsed/>
    <w:qFormat/>
    <w:rsid w:val="00FC693F"/>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rsid w:val="00FC693F"/>
    <w:pPr>
      <w:spacing w:after="0" w:line="240" w:lineRule="auto"/>
    </w:pPr>
  </w:style>
  <w:style w:type="character" w:customStyle="1" w:styleId="Heading1Char">
    <w:name w:val="Heading 1 Char"/>
    <w:basedOn w:val="DefaultParagraphFont"/>
    <w:link w:val="Heading1"/>
    <w:uiPriority w:val="9"/>
    <w:rsid w:val="00D06AE2"/>
    <w:rPr>
      <w:rFonts w:ascii="Arial" w:eastAsiaTheme="majorEastAsia" w:hAnsi="Arial" w:cstheme="majorBidi"/>
      <w:b/>
      <w:bCs/>
      <w:color w:val="000000" w:themeColor="text1"/>
      <w:sz w:val="32"/>
      <w:szCs w:val="28"/>
    </w:rPr>
  </w:style>
  <w:style w:type="character" w:customStyle="1" w:styleId="Heading2Char">
    <w:name w:val="Heading 2 Char"/>
    <w:basedOn w:val="DefaultParagraphFont"/>
    <w:link w:val="Heading2"/>
    <w:uiPriority w:val="9"/>
    <w:rsid w:val="008458A3"/>
    <w:rPr>
      <w:rFonts w:ascii="Arial" w:eastAsiaTheme="majorEastAsia" w:hAnsi="Arial" w:cstheme="majorBidi"/>
      <w:b/>
      <w:bCs/>
      <w:i/>
      <w:color w:val="000000" w:themeColor="text1"/>
      <w:sz w:val="28"/>
      <w:szCs w:val="26"/>
    </w:rPr>
  </w:style>
  <w:style w:type="character" w:customStyle="1" w:styleId="Heading3Char">
    <w:name w:val="Heading 3 Char"/>
    <w:basedOn w:val="DefaultParagraphFont"/>
    <w:link w:val="Heading3"/>
    <w:uiPriority w:val="9"/>
    <w:rsid w:val="00D06AE2"/>
    <w:rPr>
      <w:rFonts w:ascii="Arial" w:eastAsiaTheme="majorEastAsia" w:hAnsi="Arial" w:cstheme="majorBidi"/>
      <w:b/>
      <w:bCs/>
      <w:i/>
      <w:color w:val="000000" w:themeColor="text1"/>
      <w:sz w:val="24"/>
      <w:u w:val="single"/>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D21487"/>
    <w:rPr>
      <w:color w:val="0000FF" w:themeColor="hyperlink"/>
      <w:u w:val="single"/>
    </w:rPr>
  </w:style>
  <w:style w:type="character" w:styleId="UnresolvedMention">
    <w:name w:val="Unresolved Mention"/>
    <w:basedOn w:val="DefaultParagraphFont"/>
    <w:uiPriority w:val="99"/>
    <w:semiHidden/>
    <w:unhideWhenUsed/>
    <w:rsid w:val="00D21487"/>
    <w:rPr>
      <w:color w:val="605E5C"/>
      <w:shd w:val="clear" w:color="auto" w:fill="E1DFDD"/>
    </w:rPr>
  </w:style>
  <w:style w:type="paragraph" w:styleId="TOC1">
    <w:name w:val="toc 1"/>
    <w:basedOn w:val="Normal"/>
    <w:next w:val="Normal"/>
    <w:autoRedefine/>
    <w:uiPriority w:val="39"/>
    <w:unhideWhenUsed/>
    <w:rsid w:val="00A35DC5"/>
    <w:pPr>
      <w:spacing w:after="100"/>
    </w:pPr>
  </w:style>
  <w:style w:type="paragraph" w:styleId="TOC2">
    <w:name w:val="toc 2"/>
    <w:basedOn w:val="Normal"/>
    <w:next w:val="Normal"/>
    <w:autoRedefine/>
    <w:uiPriority w:val="39"/>
    <w:unhideWhenUsed/>
    <w:rsid w:val="00A35DC5"/>
    <w:pPr>
      <w:spacing w:after="100"/>
      <w:ind w:left="240"/>
    </w:pPr>
  </w:style>
  <w:style w:type="paragraph" w:styleId="TOC3">
    <w:name w:val="toc 3"/>
    <w:basedOn w:val="Normal"/>
    <w:next w:val="Normal"/>
    <w:autoRedefine/>
    <w:uiPriority w:val="39"/>
    <w:unhideWhenUsed/>
    <w:rsid w:val="00A35DC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researchgate.net/profile/Oliver-Laasch/publication/335505702_From_Managerial_Responsibility_to_CSR_and_Back_to_Responsible_Management/links/5d69b2ab4585150886012e0d/From-Managerial-Responsibility-to-CSR-and-Back-to-Responsible-Management.pdf" TargetMode="External"/><Relationship Id="rId39" Type="http://schemas.openxmlformats.org/officeDocument/2006/relationships/hyperlink" Target="https://global.toyota/pages/global_toyota/ir/financial-results/2025_4q_summary_en.pdf" TargetMode="External"/><Relationship Id="rId21" Type="http://schemas.openxmlformats.org/officeDocument/2006/relationships/image" Target="media/image14.png"/><Relationship Id="rId34" Type="http://schemas.openxmlformats.org/officeDocument/2006/relationships/hyperlink" Target="https://www.academia.edu/download/76872762/Understanding_Group_Dynamics_Theories_Practices_and_Future_Directions.pdf" TargetMode="External"/><Relationship Id="rId42" Type="http://schemas.openxmlformats.org/officeDocument/2006/relationships/hyperlink" Target="https://www.sciencedirect.com/science/article/pii/S0024630117302868" TargetMode="External"/><Relationship Id="rId47" Type="http://schemas.openxmlformats.org/officeDocument/2006/relationships/hyperlink" Target="https://global.toyota/pages/global_toyota/ir/financial-results/2025_4q_summary_en.pdf" TargetMode="External"/><Relationship Id="rId50" Type="http://schemas.openxmlformats.org/officeDocument/2006/relationships/hyperlink" Target="https://www.pearson.com/en-au/media/g10dyvte/9781292428741_sample.pdf"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helgilibrary.com/charts/toyota-production-by-region/" TargetMode="External"/><Relationship Id="rId11" Type="http://schemas.openxmlformats.org/officeDocument/2006/relationships/image" Target="media/image4.png"/><Relationship Id="rId24" Type="http://schemas.openxmlformats.org/officeDocument/2006/relationships/hyperlink" Target="https://boardmix.com/analysis/bcg-matrix-of-toyota/" TargetMode="External"/><Relationship Id="rId32" Type="http://schemas.openxmlformats.org/officeDocument/2006/relationships/hyperlink" Target="https://www.iea.org/reports/global-ev-outlook-2025" TargetMode="External"/><Relationship Id="rId37" Type="http://schemas.openxmlformats.org/officeDocument/2006/relationships/hyperlink" Target="https://www.b2binternational.com/2025/04/03/pestle-analysis/" TargetMode="External"/><Relationship Id="rId40" Type="http://schemas.openxmlformats.org/officeDocument/2006/relationships/hyperlink" Target="https://www.summaryplanet.com/industrial-economics/Internal-Resources-Capabilities-and-Competences.html" TargetMode="External"/><Relationship Id="rId45" Type="http://schemas.openxmlformats.org/officeDocument/2006/relationships/hyperlink" Target="https://www.toyota-europe.com/sustainability"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hrcoursesonline.com/lewins-change-management-model/" TargetMode="External"/><Relationship Id="rId44" Type="http://schemas.openxmlformats.org/officeDocument/2006/relationships/hyperlink" Target="https://www.researchgate.net/profile/Carol-Thompson-5/publication/354016728_Reflective_Practice_for_Professional_Development_A_Guide_for_Teachers/links/62d94ddc78e4d13106add384/Reflective-Practice-for-Professional-Development-A-Guide-for-Teachers.pdf" TargetMode="External"/><Relationship Id="rId52" Type="http://schemas.openxmlformats.org/officeDocument/2006/relationships/hyperlink" Target="https://jurnal.ibik.ac.id/index.php/jimkes/article/download/4062/296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hyperlink" Target="https://www.business-to-you.com/vrio-from-firm-resources-to-competitive-advantage/" TargetMode="External"/><Relationship Id="rId30" Type="http://schemas.openxmlformats.org/officeDocument/2006/relationships/hyperlink" Target="https://geerthofstede.com/launching-new-hofstede-culture-comparison-tool/" TargetMode="External"/><Relationship Id="rId35" Type="http://schemas.openxmlformats.org/officeDocument/2006/relationships/hyperlink" Target="https://www.jstage.jst.go.jp/article/iasme/16/1/16_160105/_pdf" TargetMode="External"/><Relationship Id="rId43" Type="http://schemas.openxmlformats.org/officeDocument/2006/relationships/hyperlink" Target="https://www.thestrategyinstitute.org/insights/the-ansoff-matrix-a-powerful-tool-for-business-strategy-and-growth" TargetMode="External"/><Relationship Id="rId48" Type="http://schemas.openxmlformats.org/officeDocument/2006/relationships/hyperlink" Target="https://toyotatimes.jp/en/series/new_business/001.html" TargetMode="External"/><Relationship Id="rId8" Type="http://schemas.openxmlformats.org/officeDocument/2006/relationships/image" Target="media/image1.png"/><Relationship Id="rId51" Type="http://schemas.openxmlformats.org/officeDocument/2006/relationships/hyperlink" Target="https://www.scielo.br/j/rac/a/dQWB6Px4YpFjX9yRvvRJZsh/?format=html&amp;lang=en"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storre.stir.ac.uk/bitstream/1893/30461/1/A-Lewin%203-Step%20ModelV1%20Accepted%20Version.pdf" TargetMode="External"/><Relationship Id="rId33" Type="http://schemas.openxmlformats.org/officeDocument/2006/relationships/hyperlink" Target="https://www.jstage.jst.go.jp/article/iasme/14/1/14_140105/_pdf" TargetMode="External"/><Relationship Id="rId38" Type="http://schemas.openxmlformats.org/officeDocument/2006/relationships/hyperlink" Target="https://docta.ucm.es/bitstreams/4ec2e46c-9a39-469e-83aa-d9e7e009690a/download" TargetMode="External"/><Relationship Id="rId46" Type="http://schemas.openxmlformats.org/officeDocument/2006/relationships/hyperlink" Target="https://global.toyota/en/company/vision-and-philosophy/philosophy/" TargetMode="External"/><Relationship Id="rId20" Type="http://schemas.openxmlformats.org/officeDocument/2006/relationships/image" Target="media/image13.png"/><Relationship Id="rId41" Type="http://schemas.openxmlformats.org/officeDocument/2006/relationships/hyperlink" Target="https://www.sciencedirect.com/science/article/pii/S0007681322000258"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adsy.com/blog/perceptual-map-marketing-beginner-guide-brand-positioning" TargetMode="External"/><Relationship Id="rId28" Type="http://schemas.openxmlformats.org/officeDocument/2006/relationships/hyperlink" Target="https://ojs.lib.uwo.ca/index.php/cjils/article/download/17432/15874" TargetMode="External"/><Relationship Id="rId36" Type="http://schemas.openxmlformats.org/officeDocument/2006/relationships/hyperlink" Target="https://www.simplypsychology.org/gibbs-reflective-cycle.html" TargetMode="External"/><Relationship Id="rId49" Type="http://schemas.openxmlformats.org/officeDocument/2006/relationships/hyperlink" Target="https://toyotatimes.jp/en/toyota_news/financial_results_2024/002.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30</Pages>
  <Words>7850</Words>
  <Characters>44746</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52492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13</cp:revision>
  <dcterms:created xsi:type="dcterms:W3CDTF">2026-04-27T16:11:00Z</dcterms:created>
  <dcterms:modified xsi:type="dcterms:W3CDTF">2026-04-30T19:01:00Z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2026-04-13T23:35:50Z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545b7eca-ec8e-4c6b-8551-38bac7675953</vt:lpwstr>
  </property>
  <property fmtid="{D5CDD505-2E9C-101B-9397-08002B2CF9AE}" pid="7" name="MSIP_Label_defa4170-0d19-0005-0004-bc88714345d2_ActionId">
    <vt:lpwstr>1466f246-082d-4926-8cab-458c45bfbc34</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