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240" w:lineRule="auto"/>
        <w:contextualSpacing w:val="0"/>
        <w:rPr>
          <w:sz w:val="20"/>
          <w:szCs w:val="20"/>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c>
          <w:tcPr>
            <w:shd w:fill="c0c0c0" w:val="clear"/>
          </w:tcPr>
          <w:p w:rsidR="00000000" w:rsidDel="00000000" w:rsidP="00000000" w:rsidRDefault="00000000" w:rsidRPr="00000000" w14:paraId="00000001">
            <w:pPr>
              <w:pStyle w:val="Heading4"/>
              <w:keepLines w:val="0"/>
              <w:spacing w:after="120" w:before="120" w:line="240" w:lineRule="auto"/>
              <w:contextualSpacing w:val="0"/>
              <w:jc w:val="center"/>
              <w:rPr>
                <w:b w:val="1"/>
                <w:color w:val="000000"/>
                <w:sz w:val="40"/>
                <w:szCs w:val="40"/>
              </w:rPr>
            </w:pPr>
            <w:r w:rsidDel="00000000" w:rsidR="00000000" w:rsidRPr="00000000">
              <w:rPr>
                <w:b w:val="1"/>
                <w:color w:val="000000"/>
                <w:sz w:val="40"/>
                <w:szCs w:val="40"/>
                <w:rtl w:val="0"/>
              </w:rPr>
              <w:t xml:space="preserve">LEVEL 6 ASSESSMENT SPECIFICATION </w:t>
            </w:r>
          </w:p>
        </w:tc>
      </w:tr>
    </w:tbl>
    <w:p w:rsidR="00000000" w:rsidDel="00000000" w:rsidP="00000000" w:rsidRDefault="00000000" w:rsidRPr="00000000" w14:paraId="00000002">
      <w:pPr>
        <w:spacing w:line="240" w:lineRule="auto"/>
        <w:contextualSpacing w:val="0"/>
        <w:jc w:val="center"/>
        <w:rPr>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c>
          <w:tcPr>
            <w:shd w:fill="auto" w:val="clear"/>
          </w:tcPr>
          <w:p w:rsidR="00000000" w:rsidDel="00000000" w:rsidP="00000000" w:rsidRDefault="00000000" w:rsidRPr="00000000" w14:paraId="00000003">
            <w:pPr>
              <w:spacing w:after="120" w:before="120" w:line="240" w:lineRule="auto"/>
              <w:contextualSpacing w:val="0"/>
              <w:jc w:val="both"/>
              <w:rPr>
                <w:b w:val="1"/>
              </w:rPr>
            </w:pPr>
            <w:r w:rsidDel="00000000" w:rsidR="00000000" w:rsidRPr="00000000">
              <w:rPr>
                <w:b w:val="1"/>
                <w:rtl w:val="0"/>
              </w:rPr>
              <w:t xml:space="preserve">Student name:</w:t>
            </w:r>
          </w:p>
        </w:tc>
        <w:tc>
          <w:tcPr/>
          <w:p w:rsidR="00000000" w:rsidDel="00000000" w:rsidP="00000000" w:rsidRDefault="00000000" w:rsidRPr="00000000" w14:paraId="00000004">
            <w:pPr>
              <w:spacing w:after="120" w:before="120" w:line="240" w:lineRule="auto"/>
              <w:contextualSpacing w:val="0"/>
              <w:jc w:val="both"/>
              <w:rPr>
                <w:b w:val="1"/>
              </w:rPr>
            </w:pPr>
            <w:r w:rsidDel="00000000" w:rsidR="00000000" w:rsidRPr="00000000">
              <w:rPr>
                <w:b w:val="1"/>
                <w:rtl w:val="0"/>
              </w:rPr>
              <w:t xml:space="preserve">     Georgia Howe</w:t>
            </w:r>
          </w:p>
        </w:tc>
        <w:tc>
          <w:tcPr>
            <w:shd w:fill="d9d9d9" w:val="clear"/>
          </w:tcPr>
          <w:p w:rsidR="00000000" w:rsidDel="00000000" w:rsidP="00000000" w:rsidRDefault="00000000" w:rsidRPr="00000000" w14:paraId="00000005">
            <w:pPr>
              <w:spacing w:after="120" w:before="120" w:line="240" w:lineRule="auto"/>
              <w:contextualSpacing w:val="0"/>
              <w:jc w:val="both"/>
              <w:rPr>
                <w:b w:val="1"/>
              </w:rPr>
            </w:pPr>
            <w:r w:rsidDel="00000000" w:rsidR="00000000" w:rsidRPr="00000000">
              <w:rPr>
                <w:b w:val="1"/>
                <w:rtl w:val="0"/>
              </w:rPr>
              <w:t xml:space="preserve">Student ID number:</w:t>
            </w:r>
          </w:p>
        </w:tc>
        <w:tc>
          <w:tcPr/>
          <w:p w:rsidR="00000000" w:rsidDel="00000000" w:rsidP="00000000" w:rsidRDefault="00000000" w:rsidRPr="00000000" w14:paraId="00000006">
            <w:pPr>
              <w:spacing w:after="120" w:before="120" w:line="240" w:lineRule="auto"/>
              <w:contextualSpacing w:val="0"/>
              <w:jc w:val="both"/>
              <w:rPr>
                <w:b w:val="1"/>
              </w:rPr>
            </w:pPr>
            <w:r w:rsidDel="00000000" w:rsidR="00000000" w:rsidRPr="00000000">
              <w:rPr>
                <w:rFonts w:ascii="Times New Roman" w:cs="Times New Roman" w:eastAsia="Times New Roman" w:hAnsi="Times New Roman"/>
                <w:sz w:val="20"/>
                <w:szCs w:val="20"/>
                <w:rtl w:val="0"/>
              </w:rPr>
              <w:t xml:space="preserve">1401449</w:t>
            </w:r>
            <w:r w:rsidDel="00000000" w:rsidR="00000000" w:rsidRPr="00000000">
              <w:rPr>
                <w:rtl w:val="0"/>
              </w:rPr>
            </w:r>
          </w:p>
        </w:tc>
      </w:tr>
      <w:tr>
        <w:tc>
          <w:tcPr>
            <w:shd w:fill="auto" w:val="clear"/>
          </w:tcPr>
          <w:p w:rsidR="00000000" w:rsidDel="00000000" w:rsidP="00000000" w:rsidRDefault="00000000" w:rsidRPr="00000000" w14:paraId="00000007">
            <w:pPr>
              <w:spacing w:after="120" w:before="120" w:line="240" w:lineRule="auto"/>
              <w:contextualSpacing w:val="0"/>
              <w:jc w:val="both"/>
              <w:rPr>
                <w:b w:val="1"/>
              </w:rPr>
            </w:pPr>
            <w:r w:rsidDel="00000000" w:rsidR="00000000" w:rsidRPr="00000000">
              <w:rPr>
                <w:b w:val="1"/>
                <w:rtl w:val="0"/>
              </w:rPr>
              <w:t xml:space="preserve">Programme:</w:t>
            </w:r>
          </w:p>
        </w:tc>
        <w:tc>
          <w:tcPr>
            <w:gridSpan w:val="3"/>
          </w:tcPr>
          <w:p w:rsidR="00000000" w:rsidDel="00000000" w:rsidP="00000000" w:rsidRDefault="00000000" w:rsidRPr="00000000" w14:paraId="00000008">
            <w:pPr>
              <w:spacing w:after="120" w:before="120" w:line="240" w:lineRule="auto"/>
              <w:contextualSpacing w:val="0"/>
              <w:jc w:val="both"/>
              <w:rPr>
                <w:b w:val="1"/>
              </w:rPr>
            </w:pPr>
            <w:r w:rsidDel="00000000" w:rsidR="00000000" w:rsidRPr="00000000">
              <w:rPr>
                <w:b w:val="1"/>
                <w:rtl w:val="0"/>
              </w:rPr>
              <w:t xml:space="preserve">Primary</w:t>
            </w:r>
          </w:p>
        </w:tc>
      </w:tr>
      <w:tr>
        <w:tc>
          <w:tcPr>
            <w:shd w:fill="auto" w:val="clear"/>
          </w:tcPr>
          <w:p w:rsidR="00000000" w:rsidDel="00000000" w:rsidP="00000000" w:rsidRDefault="00000000" w:rsidRPr="00000000" w14:paraId="0000000B">
            <w:pPr>
              <w:spacing w:after="120" w:before="120" w:line="240" w:lineRule="auto"/>
              <w:contextualSpacing w:val="0"/>
              <w:jc w:val="both"/>
              <w:rPr>
                <w:b w:val="1"/>
              </w:rPr>
            </w:pPr>
            <w:r w:rsidDel="00000000" w:rsidR="00000000" w:rsidRPr="00000000">
              <w:rPr>
                <w:b w:val="1"/>
                <w:rtl w:val="0"/>
              </w:rPr>
              <w:t xml:space="preserve">Module:</w:t>
            </w:r>
          </w:p>
        </w:tc>
        <w:tc>
          <w:tcPr>
            <w:gridSpan w:val="3"/>
            <w:shd w:fill="auto" w:val="clear"/>
          </w:tcPr>
          <w:p w:rsidR="00000000" w:rsidDel="00000000" w:rsidP="00000000" w:rsidRDefault="00000000" w:rsidRPr="00000000" w14:paraId="0000000C">
            <w:pPr>
              <w:spacing w:after="120" w:before="120" w:line="240" w:lineRule="auto"/>
              <w:contextualSpacing w:val="0"/>
              <w:jc w:val="both"/>
              <w:rPr>
                <w:b w:val="1"/>
              </w:rPr>
            </w:pPr>
            <w:r w:rsidDel="00000000" w:rsidR="00000000" w:rsidRPr="00000000">
              <w:rPr>
                <w:b w:val="1"/>
                <w:rtl w:val="0"/>
              </w:rPr>
              <w:t xml:space="preserve">Principles of Pedagogy</w:t>
            </w:r>
          </w:p>
        </w:tc>
      </w:tr>
      <w:tr>
        <w:tc>
          <w:tcPr>
            <w:shd w:fill="auto" w:val="clear"/>
          </w:tcPr>
          <w:p w:rsidR="00000000" w:rsidDel="00000000" w:rsidP="00000000" w:rsidRDefault="00000000" w:rsidRPr="00000000" w14:paraId="0000000F">
            <w:pPr>
              <w:spacing w:after="120" w:before="120" w:line="240" w:lineRule="auto"/>
              <w:contextualSpacing w:val="0"/>
              <w:jc w:val="both"/>
              <w:rPr>
                <w:b w:val="1"/>
              </w:rPr>
            </w:pPr>
            <w:r w:rsidDel="00000000" w:rsidR="00000000" w:rsidRPr="00000000">
              <w:rPr>
                <w:b w:val="1"/>
                <w:rtl w:val="0"/>
              </w:rPr>
              <w:t xml:space="preserve">Module code:</w:t>
            </w:r>
          </w:p>
        </w:tc>
        <w:tc>
          <w:tcPr/>
          <w:p w:rsidR="00000000" w:rsidDel="00000000" w:rsidP="00000000" w:rsidRDefault="00000000" w:rsidRPr="00000000" w14:paraId="00000010">
            <w:pPr>
              <w:spacing w:after="120" w:before="120" w:line="240" w:lineRule="auto"/>
              <w:contextualSpacing w:val="0"/>
              <w:jc w:val="both"/>
              <w:rPr>
                <w:b w:val="1"/>
              </w:rPr>
            </w:pPr>
            <w:r w:rsidDel="00000000" w:rsidR="00000000" w:rsidRPr="00000000">
              <w:rPr>
                <w:b w:val="1"/>
                <w:rtl w:val="0"/>
              </w:rPr>
              <w:t xml:space="preserve">M6X01438/C</w:t>
            </w:r>
          </w:p>
        </w:tc>
        <w:tc>
          <w:tcPr>
            <w:shd w:fill="d9d9d9" w:val="clear"/>
          </w:tcPr>
          <w:p w:rsidR="00000000" w:rsidDel="00000000" w:rsidP="00000000" w:rsidRDefault="00000000" w:rsidRPr="00000000" w14:paraId="00000011">
            <w:pPr>
              <w:pStyle w:val="Heading2"/>
              <w:keepLines w:val="0"/>
              <w:spacing w:after="0" w:before="0" w:line="240" w:lineRule="auto"/>
              <w:contextualSpacing w:val="0"/>
              <w:jc w:val="both"/>
              <w:rPr>
                <w:b w:val="1"/>
                <w:sz w:val="22"/>
                <w:szCs w:val="22"/>
              </w:rPr>
            </w:pPr>
            <w:r w:rsidDel="00000000" w:rsidR="00000000" w:rsidRPr="00000000">
              <w:rPr>
                <w:b w:val="1"/>
                <w:sz w:val="22"/>
                <w:szCs w:val="22"/>
                <w:rtl w:val="0"/>
              </w:rPr>
              <w:t xml:space="preserve">Contribution to Overall Module Assessment (%):</w:t>
            </w:r>
          </w:p>
        </w:tc>
        <w:tc>
          <w:tcPr/>
          <w:p w:rsidR="00000000" w:rsidDel="00000000" w:rsidP="00000000" w:rsidRDefault="00000000" w:rsidRPr="00000000" w14:paraId="00000012">
            <w:pPr>
              <w:spacing w:after="120" w:before="120" w:line="240" w:lineRule="auto"/>
              <w:contextualSpacing w:val="0"/>
              <w:jc w:val="both"/>
              <w:rPr>
                <w:b w:val="1"/>
              </w:rPr>
            </w:pPr>
            <w:r w:rsidDel="00000000" w:rsidR="00000000" w:rsidRPr="00000000">
              <w:rPr>
                <w:b w:val="1"/>
                <w:rtl w:val="0"/>
              </w:rPr>
              <w:t xml:space="preserve">100%</w:t>
            </w:r>
          </w:p>
        </w:tc>
      </w:tr>
      <w:tr>
        <w:tc>
          <w:tcPr>
            <w:shd w:fill="auto" w:val="clear"/>
          </w:tcPr>
          <w:p w:rsidR="00000000" w:rsidDel="00000000" w:rsidP="00000000" w:rsidRDefault="00000000" w:rsidRPr="00000000" w14:paraId="00000013">
            <w:pPr>
              <w:spacing w:after="120" w:before="120" w:line="240" w:lineRule="auto"/>
              <w:contextualSpacing w:val="0"/>
              <w:jc w:val="both"/>
              <w:rPr>
                <w:b w:val="1"/>
              </w:rPr>
            </w:pPr>
            <w:r w:rsidDel="00000000" w:rsidR="00000000" w:rsidRPr="00000000">
              <w:rPr>
                <w:b w:val="1"/>
                <w:rtl w:val="0"/>
              </w:rPr>
              <w:t xml:space="preserve">Lecturer:</w:t>
            </w:r>
          </w:p>
        </w:tc>
        <w:tc>
          <w:tcPr/>
          <w:p w:rsidR="00000000" w:rsidDel="00000000" w:rsidP="00000000" w:rsidRDefault="00000000" w:rsidRPr="00000000" w14:paraId="00000014">
            <w:pPr>
              <w:spacing w:after="120" w:before="120" w:line="240" w:lineRule="auto"/>
              <w:contextualSpacing w:val="0"/>
              <w:jc w:val="both"/>
              <w:rPr>
                <w:b w:val="1"/>
              </w:rPr>
            </w:pPr>
            <w:r w:rsidDel="00000000" w:rsidR="00000000" w:rsidRPr="00000000">
              <w:rPr>
                <w:b w:val="1"/>
                <w:rtl w:val="0"/>
              </w:rPr>
              <w:t xml:space="preserve">Siân Brooks</w:t>
            </w:r>
          </w:p>
        </w:tc>
        <w:tc>
          <w:tcPr>
            <w:shd w:fill="d9d9d9" w:val="clear"/>
          </w:tcPr>
          <w:p w:rsidR="00000000" w:rsidDel="00000000" w:rsidP="00000000" w:rsidRDefault="00000000" w:rsidRPr="00000000" w14:paraId="00000015">
            <w:pPr>
              <w:spacing w:after="120" w:before="120" w:line="240" w:lineRule="auto"/>
              <w:contextualSpacing w:val="0"/>
              <w:jc w:val="both"/>
              <w:rPr>
                <w:b w:val="1"/>
              </w:rPr>
            </w:pPr>
            <w:r w:rsidDel="00000000" w:rsidR="00000000" w:rsidRPr="00000000">
              <w:rPr>
                <w:b w:val="1"/>
                <w:rtl w:val="0"/>
              </w:rPr>
              <w:t xml:space="preserve">Internal Verifier:</w:t>
            </w:r>
          </w:p>
        </w:tc>
        <w:tc>
          <w:tcPr/>
          <w:p w:rsidR="00000000" w:rsidDel="00000000" w:rsidP="00000000" w:rsidRDefault="00000000" w:rsidRPr="00000000" w14:paraId="00000016">
            <w:pPr>
              <w:spacing w:after="120" w:before="120" w:line="240" w:lineRule="auto"/>
              <w:contextualSpacing w:val="0"/>
              <w:jc w:val="both"/>
              <w:rPr>
                <w:b w:val="1"/>
              </w:rPr>
            </w:pPr>
            <w:r w:rsidDel="00000000" w:rsidR="00000000" w:rsidRPr="00000000">
              <w:rPr>
                <w:b w:val="1"/>
                <w:rtl w:val="0"/>
              </w:rPr>
              <w:t xml:space="preserve">Siân Brooks</w:t>
            </w:r>
          </w:p>
        </w:tc>
      </w:tr>
      <w:tr>
        <w:tc>
          <w:tcPr>
            <w:shd w:fill="auto" w:val="clear"/>
          </w:tcPr>
          <w:p w:rsidR="00000000" w:rsidDel="00000000" w:rsidP="00000000" w:rsidRDefault="00000000" w:rsidRPr="00000000" w14:paraId="00000017">
            <w:pPr>
              <w:spacing w:after="120" w:before="120" w:line="240" w:lineRule="auto"/>
              <w:contextualSpacing w:val="0"/>
              <w:jc w:val="both"/>
              <w:rPr>
                <w:b w:val="1"/>
              </w:rPr>
            </w:pPr>
            <w:r w:rsidDel="00000000" w:rsidR="00000000" w:rsidRPr="00000000">
              <w:rPr>
                <w:b w:val="1"/>
                <w:rtl w:val="0"/>
              </w:rPr>
              <w:t xml:space="preserve">Assignment Title:</w:t>
            </w:r>
          </w:p>
        </w:tc>
        <w:tc>
          <w:tcPr/>
          <w:p w:rsidR="00000000" w:rsidDel="00000000" w:rsidP="00000000" w:rsidRDefault="00000000" w:rsidRPr="00000000" w14:paraId="00000018">
            <w:pPr>
              <w:spacing w:after="120" w:before="120" w:line="240" w:lineRule="auto"/>
              <w:contextualSpacing w:val="0"/>
              <w:jc w:val="both"/>
              <w:rPr>
                <w:b w:val="1"/>
              </w:rPr>
            </w:pPr>
            <w:r w:rsidDel="00000000" w:rsidR="00000000" w:rsidRPr="00000000">
              <w:rPr>
                <w:b w:val="1"/>
                <w:rtl w:val="0"/>
              </w:rPr>
              <w:t xml:space="preserve">‘Describe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shd w:fill="auto" w:val="clear"/>
          </w:tcPr>
          <w:p w:rsidR="00000000" w:rsidDel="00000000" w:rsidP="00000000" w:rsidRDefault="00000000" w:rsidRPr="00000000" w14:paraId="00000019">
            <w:pPr>
              <w:spacing w:after="120" w:before="120" w:line="240" w:lineRule="auto"/>
              <w:contextualSpacing w:val="0"/>
              <w:jc w:val="both"/>
              <w:rPr>
                <w:b w:val="1"/>
              </w:rPr>
            </w:pPr>
            <w:r w:rsidDel="00000000" w:rsidR="00000000" w:rsidRPr="00000000">
              <w:rPr>
                <w:b w:val="1"/>
                <w:rtl w:val="0"/>
              </w:rPr>
              <w:t xml:space="preserve">Word count (or equivalent):</w:t>
            </w:r>
          </w:p>
        </w:tc>
        <w:tc>
          <w:tcPr/>
          <w:p w:rsidR="00000000" w:rsidDel="00000000" w:rsidP="00000000" w:rsidRDefault="00000000" w:rsidRPr="00000000" w14:paraId="0000001A">
            <w:pPr>
              <w:spacing w:after="120" w:before="120" w:line="240" w:lineRule="auto"/>
              <w:contextualSpacing w:val="0"/>
              <w:jc w:val="both"/>
              <w:rPr>
                <w:b w:val="1"/>
              </w:rPr>
            </w:pPr>
            <w:r w:rsidDel="00000000" w:rsidR="00000000" w:rsidRPr="00000000">
              <w:rPr>
                <w:b w:val="1"/>
                <w:rtl w:val="0"/>
              </w:rPr>
              <w:t xml:space="preserve">5,000 or equivalent.</w:t>
            </w:r>
          </w:p>
        </w:tc>
      </w:tr>
      <w:tr>
        <w:tc>
          <w:tcPr>
            <w:shd w:fill="auto" w:val="clear"/>
          </w:tcPr>
          <w:p w:rsidR="00000000" w:rsidDel="00000000" w:rsidP="00000000" w:rsidRDefault="00000000" w:rsidRPr="00000000" w14:paraId="0000001B">
            <w:pPr>
              <w:spacing w:after="120" w:before="120" w:line="240" w:lineRule="auto"/>
              <w:contextualSpacing w:val="0"/>
              <w:jc w:val="both"/>
              <w:rPr>
                <w:b w:val="1"/>
              </w:rPr>
            </w:pPr>
            <w:r w:rsidDel="00000000" w:rsidR="00000000" w:rsidRPr="00000000">
              <w:rPr>
                <w:b w:val="1"/>
                <w:rtl w:val="0"/>
              </w:rPr>
              <w:t xml:space="preserve">Submission deadline:</w:t>
            </w:r>
          </w:p>
        </w:tc>
        <w:tc>
          <w:tcPr>
            <w:shd w:fill="auto" w:val="clear"/>
          </w:tcPr>
          <w:p w:rsidR="00000000" w:rsidDel="00000000" w:rsidP="00000000" w:rsidRDefault="00000000" w:rsidRPr="00000000" w14:paraId="0000001C">
            <w:pPr>
              <w:spacing w:after="120" w:before="120" w:line="240" w:lineRule="auto"/>
              <w:contextualSpacing w:val="0"/>
              <w:jc w:val="both"/>
              <w:rPr>
                <w:b w:val="1"/>
              </w:rPr>
            </w:pPr>
            <w:r w:rsidDel="00000000" w:rsidR="00000000" w:rsidRPr="00000000">
              <w:rPr>
                <w:b w:val="1"/>
                <w:rtl w:val="0"/>
              </w:rPr>
              <w:t xml:space="preserve">17/10/18 (23.59)</w:t>
            </w:r>
          </w:p>
          <w:p w:rsidR="00000000" w:rsidDel="00000000" w:rsidP="00000000" w:rsidRDefault="00000000" w:rsidRPr="00000000" w14:paraId="0000001D">
            <w:pPr>
              <w:spacing w:after="120" w:before="120" w:line="240" w:lineRule="auto"/>
              <w:contextualSpacing w:val="0"/>
              <w:jc w:val="both"/>
              <w:rPr>
                <w:b w:val="1"/>
              </w:rPr>
            </w:pPr>
            <w:r w:rsidDel="00000000" w:rsidR="00000000" w:rsidRPr="00000000">
              <w:rPr>
                <w:rtl w:val="0"/>
              </w:rPr>
            </w:r>
          </w:p>
        </w:tc>
        <w:tc>
          <w:tcPr>
            <w:shd w:fill="auto" w:val="clear"/>
          </w:tcPr>
          <w:p w:rsidR="00000000" w:rsidDel="00000000" w:rsidP="00000000" w:rsidRDefault="00000000" w:rsidRPr="00000000" w14:paraId="0000001E">
            <w:pPr>
              <w:spacing w:after="120" w:before="120" w:line="240" w:lineRule="auto"/>
              <w:contextualSpacing w:val="0"/>
              <w:jc w:val="both"/>
              <w:rPr>
                <w:b w:val="1"/>
              </w:rPr>
            </w:pPr>
            <w:r w:rsidDel="00000000" w:rsidR="00000000" w:rsidRPr="00000000">
              <w:rPr>
                <w:b w:val="1"/>
                <w:rtl w:val="0"/>
              </w:rPr>
              <w:t xml:space="preserve">Return date of provisional marks &amp; written feedback:</w:t>
            </w:r>
          </w:p>
        </w:tc>
        <w:tc>
          <w:tcPr/>
          <w:p w:rsidR="00000000" w:rsidDel="00000000" w:rsidP="00000000" w:rsidRDefault="00000000" w:rsidRPr="00000000" w14:paraId="0000001F">
            <w:pPr>
              <w:spacing w:after="120" w:before="120" w:line="240" w:lineRule="auto"/>
              <w:contextualSpacing w:val="0"/>
              <w:jc w:val="both"/>
              <w:rPr>
                <w:b w:val="1"/>
              </w:rPr>
            </w:pPr>
            <w:r w:rsidDel="00000000" w:rsidR="00000000" w:rsidRPr="00000000">
              <w:rPr>
                <w:b w:val="1"/>
                <w:rtl w:val="0"/>
              </w:rPr>
              <w:t xml:space="preserve">14/11/18</w:t>
            </w:r>
          </w:p>
        </w:tc>
      </w:tr>
      <w:tr>
        <w:tc>
          <w:tcPr>
            <w:shd w:fill="auto" w:val="clear"/>
          </w:tcPr>
          <w:p w:rsidR="00000000" w:rsidDel="00000000" w:rsidP="00000000" w:rsidRDefault="00000000" w:rsidRPr="00000000" w14:paraId="00000020">
            <w:pPr>
              <w:spacing w:after="120" w:before="120" w:line="240" w:lineRule="auto"/>
              <w:contextualSpacing w:val="0"/>
              <w:jc w:val="both"/>
              <w:rPr>
                <w:b w:val="1"/>
              </w:rPr>
            </w:pPr>
            <w:r w:rsidDel="00000000" w:rsidR="00000000" w:rsidRPr="00000000">
              <w:rPr>
                <w:b w:val="1"/>
                <w:rtl w:val="0"/>
              </w:rPr>
              <w:t xml:space="preserve">Submission method:</w:t>
            </w:r>
          </w:p>
        </w:tc>
        <w:tc>
          <w:tcPr>
            <w:gridSpan w:val="3"/>
            <w:shd w:fill="auto" w:val="clear"/>
          </w:tcPr>
          <w:p w:rsidR="00000000" w:rsidDel="00000000" w:rsidP="00000000" w:rsidRDefault="00000000" w:rsidRPr="00000000" w14:paraId="00000021">
            <w:pPr>
              <w:spacing w:line="240" w:lineRule="auto"/>
              <w:contextualSpacing w:val="0"/>
              <w:rPr/>
            </w:pPr>
            <w:r w:rsidDel="00000000" w:rsidR="00000000" w:rsidRPr="00000000">
              <w:rPr>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2">
            <w:pPr>
              <w:spacing w:after="120" w:before="120" w:line="240" w:lineRule="auto"/>
              <w:contextualSpacing w:val="0"/>
              <w:jc w:val="both"/>
              <w:rPr>
                <w:b w:val="1"/>
              </w:rPr>
            </w:pPr>
            <w:r w:rsidDel="00000000" w:rsidR="00000000" w:rsidRPr="00000000">
              <w:rPr>
                <w:b w:val="1"/>
                <w:rtl w:val="0"/>
              </w:rPr>
              <w:t xml:space="preserve">Alternative submission method (if applicable): </w:t>
            </w:r>
          </w:p>
          <w:p w:rsidR="00000000" w:rsidDel="00000000" w:rsidP="00000000" w:rsidRDefault="00000000" w:rsidRPr="00000000" w14:paraId="00000023">
            <w:pPr>
              <w:spacing w:after="120" w:before="120" w:line="240" w:lineRule="auto"/>
              <w:contextualSpacing w:val="0"/>
              <w:jc w:val="both"/>
              <w:rPr>
                <w:b w:val="1"/>
              </w:rPr>
            </w:pPr>
            <w:r w:rsidDel="00000000" w:rsidR="00000000" w:rsidRPr="00000000">
              <w:rPr>
                <w:b w:val="1"/>
                <w:rtl w:val="0"/>
              </w:rPr>
              <w:t xml:space="preserve">Late submission of the assessment will result in a late penalty mark. </w:t>
            </w:r>
            <w:r w:rsidDel="00000000" w:rsidR="00000000" w:rsidRPr="00000000">
              <w:rPr>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c>
          <w:tcPr>
            <w:shd w:fill="auto" w:val="clear"/>
          </w:tcPr>
          <w:p w:rsidR="00000000" w:rsidDel="00000000" w:rsidP="00000000" w:rsidRDefault="00000000" w:rsidRPr="00000000" w14:paraId="00000026">
            <w:pPr>
              <w:spacing w:after="120" w:before="120" w:line="240" w:lineRule="auto"/>
              <w:contextualSpacing w:val="0"/>
              <w:rPr>
                <w:b w:val="1"/>
              </w:rPr>
            </w:pPr>
            <w:r w:rsidDel="00000000" w:rsidR="00000000" w:rsidRPr="00000000">
              <w:rPr>
                <w:b w:val="1"/>
                <w:rtl w:val="0"/>
              </w:rPr>
              <w:t xml:space="preserve">Academic honesty / referencing:</w:t>
            </w:r>
          </w:p>
        </w:tc>
        <w:tc>
          <w:tcPr>
            <w:gridSpan w:val="3"/>
            <w:shd w:fill="auto" w:val="clear"/>
          </w:tcPr>
          <w:p w:rsidR="00000000" w:rsidDel="00000000" w:rsidP="00000000" w:rsidRDefault="00000000" w:rsidRPr="00000000" w14:paraId="00000027">
            <w:pPr>
              <w:spacing w:after="120" w:before="120" w:line="240" w:lineRule="auto"/>
              <w:contextualSpacing w:val="0"/>
              <w:jc w:val="both"/>
              <w:rPr/>
            </w:pPr>
            <w:r w:rsidDel="00000000" w:rsidR="00000000" w:rsidRPr="00000000">
              <w:rPr>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A">
      <w:pPr>
        <w:spacing w:line="240" w:lineRule="auto"/>
        <w:contextualSpacing w:val="0"/>
        <w:rPr/>
      </w:pPr>
      <w:r w:rsidDel="00000000" w:rsidR="00000000" w:rsidRPr="00000000">
        <w:rPr>
          <w:rtl w:val="0"/>
        </w:rPr>
      </w:r>
    </w:p>
    <w:p w:rsidR="00000000" w:rsidDel="00000000" w:rsidP="00000000" w:rsidRDefault="00000000" w:rsidRPr="00000000" w14:paraId="0000002B">
      <w:pPr>
        <w:spacing w:line="240" w:lineRule="auto"/>
        <w:contextualSpacing w:val="0"/>
        <w:rPr/>
      </w:pPr>
      <w:r w:rsidDel="00000000" w:rsidR="00000000" w:rsidRPr="00000000">
        <w:rPr>
          <w:rtl w:val="0"/>
        </w:rPr>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center"/>
        <w:rPr>
          <w:b w:val="1"/>
          <w:sz w:val="24"/>
          <w:szCs w:val="24"/>
        </w:rPr>
      </w:pPr>
      <w:r w:rsidDel="00000000" w:rsidR="00000000" w:rsidRPr="00000000">
        <w:rPr>
          <w:b w:val="1"/>
          <w:sz w:val="24"/>
          <w:szCs w:val="24"/>
          <w:rtl w:val="0"/>
        </w:rPr>
        <w:t xml:space="preserve">‘Describe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sz w:val="24"/>
          <w:szCs w:val="24"/>
          <w:rtl w:val="0"/>
        </w:rPr>
        <w:t xml:space="preserve">Word Count: 5,087</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sz w:val="24"/>
          <w:szCs w:val="24"/>
        </w:rPr>
        <w:drawing>
          <wp:inline distB="114300" distT="114300" distL="114300" distR="114300">
            <wp:extent cx="5734050" cy="3225800"/>
            <wp:effectExtent b="0" l="0" r="0" t="0"/>
            <wp:docPr id="3" name="image3.jpg"/>
            <a:graphic>
              <a:graphicData uri="http://schemas.openxmlformats.org/drawingml/2006/picture">
                <pic:pic>
                  <pic:nvPicPr>
                    <pic:cNvPr id="0" name="image3.jpg"/>
                    <pic:cNvPicPr preferRelativeResize="0"/>
                  </pic:nvPicPr>
                  <pic:blipFill>
                    <a:blip r:embed="rId6"/>
                    <a:srcRect b="0" l="0" r="0" t="0"/>
                    <a:stretch>
                      <a:fillRect/>
                    </a:stretch>
                  </pic:blipFill>
                  <pic:spPr>
                    <a:xfrm>
                      <a:off x="0" y="0"/>
                      <a:ext cx="573405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sz w:val="24"/>
          <w:szCs w:val="24"/>
          <w:rtl w:val="0"/>
        </w:rPr>
        <w:t xml:space="preserve">Teaching and learning go hand in hand where education is concerned. While there are a vast array of different theories depicting how we learn, it is my intention in this assignment to discuss one learning event in particular, and the theories surrounding that. Learning can be described as an active and ongoing process which builds on prior knowledge and is ever changing (Berkeley 2018). I will be delving into both the constructivist and behaviourist styles of teaching. Part of my main focus is the concept of memory, and just how integral it is in the world of education. I intend to discuss and outline how vital it is that children remember information, not because it is outlined in the curriculum, but because children should want to remember and want to learn.</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sz w:val="24"/>
          <w:szCs w:val="24"/>
          <w:rtl w:val="0"/>
        </w:rPr>
        <w:t xml:space="preserve">I had the opportunity to observe several classrooms of varying ages and abilities in an English medium school located in a small town in South Wales. The school’s student population is 471 and is within the Green support category with a free school meal average of 21.5%. They have a two-form entry and have a Flying Start program on side. The latest Estyn report reveals that they are a pioneer school, part of a wider development plan for professional learning which is being tested out in school all across Wales, incorporating Donaldson’s proposed four purposes of learning (Donaldson, 2015). In accordance with Bera guidelines, I have made the decision to anonymise all participants present in my observations. Pupils and teachers will be given pseudonyms to protect their identities.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sz w:val="24"/>
          <w:szCs w:val="24"/>
        </w:rPr>
        <mc:AlternateContent>
          <mc:Choice Requires="wpg">
            <w:drawing>
              <wp:inline distB="114300" distT="114300" distL="114300" distR="114300">
                <wp:extent cx="5581650" cy="4010025"/>
                <wp:effectExtent b="0" l="0" r="0" t="0"/>
                <wp:docPr id="2" name=""/>
                <a:graphic>
                  <a:graphicData uri="http://schemas.microsoft.com/office/word/2010/wordprocessingGroup">
                    <wpg:wgp>
                      <wpg:cNvGrpSpPr/>
                      <wpg:grpSpPr>
                        <a:xfrm>
                          <a:off x="409575" y="542925"/>
                          <a:ext cx="5581650" cy="4010025"/>
                          <a:chOff x="409575" y="542925"/>
                          <a:chExt cx="5562750" cy="3990975"/>
                        </a:xfrm>
                      </wpg:grpSpPr>
                      <wps:wsp>
                        <wps:cNvSpPr/>
                        <wps:cNvPr id="7" name="Shape 7"/>
                        <wps:spPr>
                          <a:xfrm>
                            <a:off x="3895725" y="542925"/>
                            <a:ext cx="2076600" cy="1295400"/>
                          </a:xfrm>
                          <a:prstGeom prst="wedgeEllipseCallout">
                            <a:avLst>
                              <a:gd fmla="val -56880" name="adj1"/>
                              <a:gd fmla="val 68382" name="adj2"/>
                            </a:avLst>
                          </a:prstGeom>
                          <a:solidFill>
                            <a:srgbClr val="B4A7D6"/>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wps:cNvPr id="8" name="Shape 8"/>
                        <wps:spPr>
                          <a:xfrm flipH="1">
                            <a:off x="3895725" y="3238500"/>
                            <a:ext cx="2076600" cy="1295400"/>
                          </a:xfrm>
                          <a:prstGeom prst="wedgeEllipseCallout">
                            <a:avLst>
                              <a:gd fmla="val 56422" name="adj1"/>
                              <a:gd fmla="val -82353" name="adj2"/>
                            </a:avLst>
                          </a:prstGeom>
                          <a:solidFill>
                            <a:srgbClr val="B4A7D6"/>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wps:cNvPr id="9" name="Shape 9"/>
                        <wps:spPr>
                          <a:xfrm>
                            <a:off x="409575" y="3238500"/>
                            <a:ext cx="2076600" cy="1295400"/>
                          </a:xfrm>
                          <a:prstGeom prst="wedgeEllipseCallout">
                            <a:avLst>
                              <a:gd fmla="val 50910" name="adj1"/>
                              <a:gd fmla="val -80882" name="adj2"/>
                            </a:avLst>
                          </a:prstGeom>
                          <a:solidFill>
                            <a:srgbClr val="B4A7D6"/>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wps:cNvPr id="10" name="Shape 10"/>
                        <wps:spPr>
                          <a:xfrm>
                            <a:off x="409575" y="542925"/>
                            <a:ext cx="2076600" cy="1295400"/>
                          </a:xfrm>
                          <a:prstGeom prst="wedgeEllipseCallout">
                            <a:avLst>
                              <a:gd fmla="val 49075" name="adj1"/>
                              <a:gd fmla="val 70588" name="adj2"/>
                            </a:avLst>
                          </a:prstGeom>
                          <a:solidFill>
                            <a:srgbClr val="B4A7D6"/>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txBox="1"/>
                        <wps:cNvPr id="11" name="Shape 11"/>
                        <wps:spPr>
                          <a:xfrm>
                            <a:off x="2038350" y="2028850"/>
                            <a:ext cx="2190900" cy="10191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The four purposes of the new curriculum proposed for Wales will develop:</w:t>
                              </w:r>
                            </w:p>
                          </w:txbxContent>
                        </wps:txbx>
                        <wps:bodyPr anchorCtr="0" anchor="t" bIns="91425" lIns="91425" spcFirstLastPara="1" rIns="91425" wrap="square" tIns="91425"/>
                      </wps:wsp>
                      <wps:wsp>
                        <wps:cNvSpPr txBox="1"/>
                        <wps:cNvPr id="12" name="Shape 12"/>
                        <wps:spPr>
                          <a:xfrm>
                            <a:off x="676425" y="661950"/>
                            <a:ext cx="1542900" cy="9621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Enterprising, creative contributors, ready to play a full part in life and work</w:t>
                              </w:r>
                            </w:p>
                          </w:txbxContent>
                        </wps:txbx>
                        <wps:bodyPr anchorCtr="0" anchor="t" bIns="91425" lIns="91425" spcFirstLastPara="1" rIns="91425" wrap="square" tIns="91425"/>
                      </wps:wsp>
                      <wps:wsp>
                        <wps:cNvSpPr txBox="1"/>
                        <wps:cNvPr id="13" name="Shape 13"/>
                        <wps:spPr>
                          <a:xfrm>
                            <a:off x="4043400" y="740475"/>
                            <a:ext cx="1686000" cy="7098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Ambitious, capable learners, ready to learn throughout their lives</w:t>
                              </w:r>
                            </w:p>
                          </w:txbxContent>
                        </wps:txbx>
                        <wps:bodyPr anchorCtr="0" anchor="t" bIns="91425" lIns="91425" spcFirstLastPara="1" rIns="91425" wrap="square" tIns="91425"/>
                      </wps:wsp>
                      <wps:wsp>
                        <wps:cNvSpPr txBox="1"/>
                        <wps:cNvPr id="14" name="Shape 14"/>
                        <wps:spPr>
                          <a:xfrm>
                            <a:off x="462075" y="3452750"/>
                            <a:ext cx="1971600" cy="9240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Healthy, confident individuals, ready to lead fulfilling lives as valued members of society</w:t>
                              </w:r>
                            </w:p>
                          </w:txbxContent>
                        </wps:txbx>
                        <wps:bodyPr anchorCtr="0" anchor="t" bIns="91425" lIns="91425" spcFirstLastPara="1" rIns="91425" wrap="square" tIns="91425"/>
                      </wps:wsp>
                      <wps:wsp>
                        <wps:cNvSpPr txBox="1"/>
                        <wps:cNvPr id="15" name="Shape 15"/>
                        <wps:spPr>
                          <a:xfrm>
                            <a:off x="4052925" y="3514800"/>
                            <a:ext cx="1762200" cy="10191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Ethical, informed citizens of Wales and the world</w:t>
                              </w:r>
                            </w:p>
                          </w:txbxContent>
                        </wps:txbx>
                        <wps:bodyPr anchorCtr="0" anchor="t" bIns="91425" lIns="91425" spcFirstLastPara="1" rIns="91425" wrap="square" tIns="91425"/>
                      </wps:wsp>
                    </wpg:wgp>
                  </a:graphicData>
                </a:graphic>
              </wp:inline>
            </w:drawing>
          </mc:Choice>
          <mc:Fallback>
            <w:drawing>
              <wp:inline distB="114300" distT="114300" distL="114300" distR="114300">
                <wp:extent cx="5581650" cy="4010025"/>
                <wp:effectExtent b="0" l="0" r="0" t="0"/>
                <wp:docPr id="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5581650" cy="40100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b w:val="1"/>
          <w:sz w:val="24"/>
          <w:szCs w:val="24"/>
          <w:rtl w:val="0"/>
        </w:rPr>
        <w:t xml:space="preserve">Figure 1</w:t>
      </w:r>
      <w:r w:rsidDel="00000000" w:rsidR="00000000" w:rsidRPr="00000000">
        <w:rPr>
          <w:sz w:val="24"/>
          <w:szCs w:val="24"/>
          <w:rtl w:val="0"/>
        </w:rPr>
        <w:t xml:space="preserve">. Donaldson’s four purposes for children in the curriculum. Taken from Donaldson (2015)</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b w:val="1"/>
          <w:sz w:val="24"/>
          <w:szCs w:val="24"/>
          <w:u w:val="single"/>
        </w:rPr>
      </w:pPr>
      <w:r w:rsidDel="00000000" w:rsidR="00000000" w:rsidRPr="00000000">
        <w:rPr>
          <w:b w:val="1"/>
          <w:sz w:val="24"/>
          <w:szCs w:val="24"/>
          <w:u w:val="single"/>
          <w:rtl w:val="0"/>
        </w:rPr>
        <w:t xml:space="preserve">Observation </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sz w:val="24"/>
          <w:szCs w:val="24"/>
          <w:rtl w:val="0"/>
        </w:rPr>
        <w:t xml:space="preserve">The learning event I have chosen to discuss in this assignment occurred in a Year 2 classroom on a Wednesday morning. The class population was 30 children, with one teacher and one teaching assistant. My observation of this classroom lasted roughly two hours. In such time I saw that the pupils had been split into two groups that had been established at the beginning of term, the ‘smarty pants’ and the ‘clever clogs’. The decision to split the class in half was made to support a behaviourist teaching method, which was operant conditioning. Both groups had an assigned jar, in which marbles would be placed in lieu of an act of good behaviour, kindness, good work, progress among the many other possibilities. This was a behaviourism technique used across the foundation phase to shape good behaviour, which I will discuss in more detail further into my assignment.  The smarty pants, in smaller groups of three rotated around the room, were given the task of recapping their learning.  They did this by visiting each of the six learning stations around the room, each consisting of activities based on the current curriculum focus using an array of subjects including maths and digital competence. The approach to this task was that of a behaviourist approach of dividing a long task into several smaller and achievable ones (Cox 2018: 18). This term, the focus was The Great Fire of London. Mrs Shilling, the teacher, explained to me that she had introduced the topic to them by way of props and videos, as well as dramatic storytelling and art lessons. Her reasoning for introducing this topic in such a creative way can be supported by research regarding memory, and pairing a topic with little association to the children with a strong visual image (Kyriacou 2009: 33). The clever clogs were set comprehension work to do based on the fire also. It was during the writing where I observed 7 year old Daniel, who sat next to a girl called Ella. Compared to the other children on his table, Ella included, his comprehension ability appeared low, as did his writing capability. I noticed he was having trouble writing the word ‘fire’, despite it being written on the page in text. I took this opportunity to encourage him, below is a transcript of the conversation we had. </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tbl>
      <w:tblPr>
        <w:tblStyle w:val="Table3"/>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Daniel: I’m on the word fire</w:t>
            </w:r>
          </w:p>
        </w:tc>
      </w:tr>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Me: That’s an exciting word</w:t>
            </w:r>
          </w:p>
        </w:tc>
      </w:tr>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Daniel: Did you know, we’re learning about the Great Fire of London that happened in 1666?</w:t>
            </w:r>
          </w:p>
        </w:tc>
      </w:tr>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Me: No, are you really?</w:t>
            </w:r>
          </w:p>
        </w:tc>
      </w:tr>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Daniel: Yeah and the whole town caught on fire, it started in a baker shop and helped kill a plague</w:t>
            </w:r>
          </w:p>
        </w:tc>
      </w:tr>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Ella: It wasn’t a plage, it was something else.</w:t>
            </w:r>
          </w:p>
        </w:tc>
      </w:tr>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Daniel: It was a plague, Ella</w:t>
            </w:r>
          </w:p>
        </w:tc>
      </w:tr>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Ella: Oh yeah, it was plague</w:t>
            </w:r>
          </w:p>
        </w:tc>
      </w:tr>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Daniel: And the man who started the fire was called Thomas Farmer, and he left his bread in the oven and it caught on fire, then everything was on fire. Then the fire was put out in all the buildings but not by fire engines though because they didn’t have any. </w:t>
            </w:r>
          </w:p>
        </w:tc>
      </w:tr>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Me: Really? They didn’t have fire engines?</w:t>
            </w:r>
          </w:p>
        </w:tc>
      </w:tr>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Daniel: No, they didn’t have them in the olden days, so they threw buckets of water on it, and it rained. And Samuel Pepys was the one who saw the fire and when they put it out everyone was safe.</w:t>
            </w:r>
          </w:p>
        </w:tc>
      </w:tr>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Me: and then what happened?</w:t>
            </w:r>
          </w:p>
        </w:tc>
      </w:tr>
      <w:tr>
        <w:tc>
          <w:tcPr>
            <w:tcBorders>
              <w:top w:color="9fc5e8" w:space="0" w:sz="8" w:val="single"/>
              <w:left w:color="9fc5e8" w:space="0" w:sz="8" w:val="single"/>
              <w:bottom w:color="9fc5e8" w:space="0" w:sz="8" w:val="single"/>
              <w:right w:color="9fc5e8" w:space="0" w:sz="8" w:val="single"/>
            </w:tcBorders>
            <w:shd w:fill="a4c2f4"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24"/>
                <w:szCs w:val="24"/>
              </w:rPr>
            </w:pPr>
            <w:r w:rsidDel="00000000" w:rsidR="00000000" w:rsidRPr="00000000">
              <w:rPr>
                <w:sz w:val="24"/>
                <w:szCs w:val="24"/>
                <w:rtl w:val="0"/>
              </w:rPr>
              <w:t xml:space="preserve">Daniel: Then the King said all the new houses have to be made out of bricks to keep the fire away</w:t>
            </w:r>
          </w:p>
        </w:tc>
      </w:tr>
    </w:tbl>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b w:val="1"/>
          <w:sz w:val="24"/>
          <w:szCs w:val="24"/>
          <w:rtl w:val="0"/>
        </w:rPr>
        <w:t xml:space="preserve">Figure 2</w:t>
      </w:r>
      <w:r w:rsidDel="00000000" w:rsidR="00000000" w:rsidRPr="00000000">
        <w:rPr>
          <w:sz w:val="24"/>
          <w:szCs w:val="24"/>
          <w:rtl w:val="0"/>
        </w:rPr>
        <w:t xml:space="preserve">. A transcript recorded during my observation between myself and two children in a year 2 classroom.</w:t>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I decided to use this particular learning event as my focus for this assignment because it is an excellent example of how memory works in young minds. My preferred method of observation in this setting would have been to use a dictaphone in order to audibly capture the enthusiasm and fluidity in his speech. The benefits of recording the event would have provided me with a richer detail of the conversation and allowed me to strengthen the depth of my observation. However due to ethical restrictions of annoniminity (BERA, 2011), my observation method is solely written as a transcript. Had I been talking with more than one student, this method would have been difficult to maintain as I was transcribing while talking. </w:t>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Daniel’s recollection of the fire was impressively detailed and accurate. Despite having a low reading and writing level, he was able to convey the entire story to me by outlining the key elements of the story, even using names of people involved, it could be said that he was in a sense of flow, wherein he was almost completely immersed in his story and was both engaged and absorbed within his sense of skill of this particular subject matter (</w:t>
      </w:r>
      <w:r w:rsidDel="00000000" w:rsidR="00000000" w:rsidRPr="00000000">
        <w:rPr>
          <w:sz w:val="24"/>
          <w:szCs w:val="24"/>
          <w:highlight w:val="white"/>
          <w:rtl w:val="0"/>
        </w:rPr>
        <w:t xml:space="preserve">Csikszentmihalyi 1990</w:t>
      </w:r>
      <w:r w:rsidDel="00000000" w:rsidR="00000000" w:rsidRPr="00000000">
        <w:rPr>
          <w:sz w:val="24"/>
          <w:szCs w:val="24"/>
          <w:rtl w:val="0"/>
        </w:rPr>
        <w:t xml:space="preserve">). It is clear that through being taught about The Great Fire of London in a theatrical and visual approach, he has absorbed so much information, which supports the effectiveness of Vygotsky’s Zone of Proximal Development (ZPD), which is a notion referring to the child’s level of development, and the distance in which is is from their potential level of cognitive development which can be achieved through facilitation of learning and understanding. Vygotsky disputes the notion that directing a child’s attention to the key features of a task can assist in facilitating children who may experience difficulties in learning (Kyriacou 2014: 30). Daniel’s reference to fire engines not being present in 1666 is a classic exemplar of his cognitive development and thinking, which links to the Piagetian idea that children actively seek to make sense of the world around them (Waters 2018). In addition to this, Daniel exhibits a constructed sense of time by comparing an ordinary experience of water extinguishing a fire to the idea of rain helping to douse the fire in 1666, which is one of the first areas that are generally tackled when using a constructivist approach in history teaching (Selley 1999: 62). Daniel’s ability to connect the new information about The Great Fire of London to his prior knowledge of the purpose of a fire engine is a model example of Jean Piaget’s notion of cognitive matching, where in Daniel’s understanding of 1666 has been extended (Kyriacou 1997: 30). What I am most impressed with, is his ability to recall such a huge chunk of information and relay it back to me without needing any prompting, showing that he not only remembered learning about it, but that he understood it (Clark 2015). </w:t>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Pr>
        <w:drawing>
          <wp:inline distB="114300" distT="114300" distL="114300" distR="114300">
            <wp:extent cx="5734050" cy="4305300"/>
            <wp:effectExtent b="0" l="0" r="0" t="0"/>
            <wp:docPr id="4"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573405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b w:val="1"/>
          <w:sz w:val="24"/>
          <w:szCs w:val="24"/>
          <w:rtl w:val="0"/>
        </w:rPr>
        <w:t xml:space="preserve">Figure 3</w:t>
      </w:r>
      <w:r w:rsidDel="00000000" w:rsidR="00000000" w:rsidRPr="00000000">
        <w:rPr>
          <w:sz w:val="24"/>
          <w:szCs w:val="24"/>
          <w:rtl w:val="0"/>
        </w:rPr>
        <w:t xml:space="preserve">. Magpie Words, taken from my observed year 2 classroom.</w:t>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Within the classroom, there was a small wall display that doubled as a learning station for the children to visit during activity rotations, this wall acted as a prompt for engaging the children’s learning and memory. Though Daniel was not looking at nor facing this wall when he discussed the event to me, he was able to pinpoint many of the key words on this display, revealing to me that he may well have visited this learning station to aid his recollection of the story. It is my belief that memory is one of the most important tools learners have in their arsenal.  The conversation I had with Daniel may have only lasted a few minutes, but it was an excellent way for him to practice his knowledge of the Great Fire of London, thus embedding his knowledge further into his long term memory, much like how practicing a monologue helps to set it stronger in your memory. Forgetting is known to be a large downfall when it comes to recalling stored information, which can be overcome by repetition and practice, and of course, having those strong visual pairings (Kyriacou 2014: 32)</w:t>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I later observed Daniel while the class were having carpet time, where they watched an interactive video about phonics. He seemed to be eager to participate by way of putting his hand up to answer every question posed by the teacher, which made me regret not having more time to ask him questions for my personal observation notes. Had I been given the opportunity to return to this observation, I likely would have had more questions to ask Daniel, such as, “how do you think the people in the fire might have felt?” This question would have allowed me to have gaged where Daniel sits on the scale of historical appreciation. It would have been interesting to know just how far along he was in acquiring the concept of time. It is in theory that although children may acquire a concept of historical time at an early age, to develop the ability to explain in is much more advanced (Selley 1999: 64). From my observation I am able to recognise some elements of this. When Daniel says “the King said all the new houses have to be made out of bricks to keep the fire away.” If his acquisition of historical time had been more developed, he might have said “The King said all the new houses have to be made of bricks </w:t>
      </w:r>
      <w:r w:rsidDel="00000000" w:rsidR="00000000" w:rsidRPr="00000000">
        <w:rPr>
          <w:i w:val="1"/>
          <w:sz w:val="24"/>
          <w:szCs w:val="24"/>
          <w:rtl w:val="0"/>
        </w:rPr>
        <w:t xml:space="preserve">because </w:t>
      </w:r>
      <w:r w:rsidDel="00000000" w:rsidR="00000000" w:rsidRPr="00000000">
        <w:rPr>
          <w:sz w:val="24"/>
          <w:szCs w:val="24"/>
          <w:rtl w:val="0"/>
        </w:rPr>
        <w:t xml:space="preserve">they will keep the fire away better than wooden houses.</w:t>
      </w:r>
      <w:r w:rsidDel="00000000" w:rsidR="00000000" w:rsidRPr="00000000">
        <w:rPr>
          <w:sz w:val="24"/>
          <w:szCs w:val="24"/>
          <w:rtl w:val="0"/>
        </w:rPr>
        <w:t xml:space="preserve">”</w:t>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b w:val="1"/>
          <w:sz w:val="24"/>
          <w:szCs w:val="24"/>
          <w:u w:val="single"/>
        </w:rPr>
      </w:pPr>
      <w:r w:rsidDel="00000000" w:rsidR="00000000" w:rsidRPr="00000000">
        <w:rPr>
          <w:b w:val="1"/>
          <w:sz w:val="24"/>
          <w:szCs w:val="24"/>
          <w:u w:val="single"/>
          <w:rtl w:val="0"/>
        </w:rPr>
        <w:t xml:space="preserve">Learning theories</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When performing under a behaviourist approach in the foundation phase, children can often be motivated to learn by an expected reward, which can be in the form of verbal praise or by other means (Cox 2018: 20). It is evident that within the classroom setting I observed, a behaviourist method of operant conditioning was very much in practice, and was working effectively to shape the student’s behaviour based on rewards. The class, split into two groups, each had a marble jar on a shelf, in order to monitor good behaviour, whenever a child was found to be exhibiting the desired behaviour, or had completed a piece of work exceeding the standard, or spoke Welsh unprovoked, the group he/she was in would receive a marble in the jar.  Creating competition within a classroom has been proved to enhance learning and push students to aim higher. It is a healthy way to maximize the student’s potential and is definitely something to be encouraged in the classroom (Fabien 2018). </w:t>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However, although I do condone positive reinforcement and operant conditioning to facilitate learning and good behaviour, I lean more towards a constructivist approach of teaching, and find it to be better suited to my own beliefs and styles I wish to implement in my classroom. Behaviourist approaches can sometimes fail to see children as young learners, but rather empty vessels in need of conditioning. Behaviourism lends itself to the ideology that children can be conditioned into responding to certain stimuli, just like animals. Pavlov’s most famous experiment on classical conditioning was conducted in the 1890s using his dogs as the subject focus. He provided a neutral stimulus (a bell), which used alone would provide no reaction from the dogs. He also incorporated a non-neutral stimulus (food), which would inevitably cause the dogs to salivate, which he deemed to be an unconditioned response, a response that is seen in many mammals since saliva is produced by the body to break down food in the digestive system. He combined the food with the sound of a bell to condition the dogs into associating the two together. His reasoning was this, if he were to to pair the noise of a bell with food, but then remove the food (the non-neutral stimulus for salivation), would the dogs still salivate with only the sound of the bell? The answer was yes, they would, thus proving his theory that animals could be conditioned to responding to a neutral stimulus (Cherry 2017). However, just because they can be conditioned, does not mean that they should. </w:t>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The constructivist approach seeks to engage in active learning rather than passive teacher talk (Cox 2018: 18) This method of teaching has one very central aim, which is to encourage the pupil’s mental capabilities. The constructivist teacher takes into consideration that learning is an ongoing process throughout life, and seeks to continuously encourage the pupil’s creativity, ingenuity and fluency in the application of knowledge (Selley 1999: 86). They don’t seek to stifle creativity, but rather teach children to harness it. This approach is largely composed from revisioning bits and pieces of knowledge - some which will have been obtained by communicating with other people, and some which will have been gathered from first-hand experience - amalgamating together for the learned to have an intelligible and satisfactory picture of the world around them (Selley 1999: 3).  It is this approach that gives children the control of their learning, in areas such as physical, emotional, philosophical and emotional by way of offering them the necessary tools (tools that include knowledge offered by the teacher) to access this information.  The desired outcome of successful constructivist teaching is for children to end up with a wish to pursue enquiry, to have a wide understanding of diverse topics and a conversational style that is both fluent and articulate. Inevitably, after being taught by a constructivist approach, the learner will have the capability to rapidly expand their knowledge when necessary (Selley 1999: 86). </w:t>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Constructivism puts a great deal of emphasis on the cognitive process and gaining independence and knowledge through experiences that challenge us (Pritchard, 2015). It is vital to progression that learners are given the opportunities to form ideas for themselves and not completely influenced by someone else’s ideas of what the world is. To put a label on this, Piaget referred to children as being like ‘lone scientists’ (Pritchard, 2015). He spoke highly about learning being a process of assimilation and accommodation, meaning that the learner’s existing schemas are used to aid the understanding of a new experience (assimilation), then the learner’s existing schemas are adjusted to heed the new information that has been gained from the new experience (accommodation), both playing integral roles in information processing and requiring a balance between the two (Kyriacou 2014).  In the classroom, Daniel’s existing schema would have been that fire is extinguished by water, usually found in a fire engine or seen falling from the sky. His existing schema was then adjusted when he was faced with new information that in 1666, fire engines were not in existence, thus his mind accommodated this information and was able to process the idea of throwing buckets of water on the flames, as well as keeping the existing concept of rain being present throughout time, hence why he sought to add it in his explanation of the event (see figure 2).</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Athey (1990) believes that a constructivist’s focus is on the process by which children  build their knowledge. While Piaget discusses the importance of a learning environment, he fails to approach learning with a social constructivist view, where in which there is a great emphasis on social interaction. Lev Vygotsky classifies social constructivism as an approach where social interaction is integral to learning under a social constructivist way of teaching.  He was intrigued by the idea of memory, and how exactly it worked and could be used as a tool in teaching. It is a tool we are familiar with from everyday experience and are constantly using it in almost everything we do. Jerome Bruner, who had a deep interest in the work of Vygotsky and Piaget, sought to extend this type of thinking regarding memory and the process of how children form concepts. He believed that learning is something that can be initiated and enhanced by someone known as a ‘more knowledgeable other’. This meant that someone (more often than not, a teacher) who had knowledge that the child didn’t yet have, could share that knowledge through guidance, prompting and questioning, expanding the child’s knowledge (Cox 2018: 20). Bruner called this method ‘scaffolding,’ whose term he borrowed from the construction industry, since to scaffold something is to provide a temporary support to a building until the building is ready to stand by itself, (Smidt 2009: 121) an appropriate metaphor for the relationship between teacher and student. It is an active process in which learners use their current/past knowledge to construct new ideas or concepts, a style of learning in which there is an exchange of dialogue, usually between an adult and a child to maximise the growth and functioning within a child’s mind (Smidt 2009). With scaffolding, the most important feature is that the pupil is the one who does the work, with the teacher simply aiding in directing the pupil’s cognitive process (Kyriacou 2014: 30). Scaffolding links heavily to memory, and ties in to just how we cache knowledge and information. Memory is the term given to the necessary structures involved in the retrieval and the storage of information. It is something that is embedded at the heart of everything we do and is essential to operating in the present and and thinking about the future (McLeod 2013). </w:t>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Memory in human beings is highly similar to that of a computer memory. In psychology, there is said to be a sequential process of how memory is used. I have outlined this in a figure below and written a brief description of what each term means:</w:t>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Pr>
        <mc:AlternateContent>
          <mc:Choice Requires="wpg">
            <w:drawing>
              <wp:inline distB="114300" distT="114300" distL="114300" distR="114300">
                <wp:extent cx="5734050" cy="868071"/>
                <wp:effectExtent b="0" l="0" r="0" t="0"/>
                <wp:docPr id="1" name=""/>
                <a:graphic>
                  <a:graphicData uri="http://schemas.microsoft.com/office/word/2010/wordprocessingGroup">
                    <wpg:wgp>
                      <wpg:cNvGrpSpPr/>
                      <wpg:grpSpPr>
                        <a:xfrm>
                          <a:off x="0" y="495225"/>
                          <a:ext cx="5734050" cy="868071"/>
                          <a:chOff x="0" y="495225"/>
                          <a:chExt cx="6858000" cy="1019175"/>
                        </a:xfrm>
                      </wpg:grpSpPr>
                      <wps:wsp>
                        <wps:cNvSpPr txBox="1"/>
                        <wps:cNvPr id="2" name="Shape 2"/>
                        <wps:spPr>
                          <a:xfrm>
                            <a:off x="0" y="535725"/>
                            <a:ext cx="1866900" cy="978600"/>
                          </a:xfrm>
                          <a:prstGeom prst="rect">
                            <a:avLst/>
                          </a:prstGeom>
                          <a:solidFill>
                            <a:srgbClr val="FFE599"/>
                          </a:solid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Encoding</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An initial experience of learning </w:t>
                              </w:r>
                            </w:p>
                          </w:txbxContent>
                        </wps:txbx>
                        <wps:bodyPr anchorCtr="0" anchor="t" bIns="91425" lIns="91425" spcFirstLastPara="1" rIns="91425" wrap="square" tIns="91425"/>
                      </wps:wsp>
                      <wps:wsp>
                        <wps:cNvSpPr txBox="1"/>
                        <wps:cNvPr id="3" name="Shape 3"/>
                        <wps:spPr>
                          <a:xfrm>
                            <a:off x="2476500" y="495300"/>
                            <a:ext cx="1581300" cy="1019100"/>
                          </a:xfrm>
                          <a:prstGeom prst="rect">
                            <a:avLst/>
                          </a:prstGeom>
                          <a:solidFill>
                            <a:srgbClr val="EA9999"/>
                          </a:solid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Storage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Maintains that information in your memory</w:t>
                              </w:r>
                            </w:p>
                          </w:txbxContent>
                        </wps:txbx>
                        <wps:bodyPr anchorCtr="0" anchor="t" bIns="91425" lIns="91425" spcFirstLastPara="1" rIns="91425" wrap="square" tIns="91425"/>
                      </wps:wsp>
                      <wps:wsp>
                        <wps:cNvSpPr txBox="1"/>
                        <wps:cNvPr id="4" name="Shape 4"/>
                        <wps:spPr>
                          <a:xfrm>
                            <a:off x="4857900" y="495225"/>
                            <a:ext cx="2000100" cy="1019100"/>
                          </a:xfrm>
                          <a:prstGeom prst="rect">
                            <a:avLst/>
                          </a:prstGeom>
                          <a:solidFill>
                            <a:srgbClr val="B4A7D6"/>
                          </a:solid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Retrieval</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The key process: recalling/recognising that information</w:t>
                              </w:r>
                            </w:p>
                          </w:txbxContent>
                        </wps:txbx>
                        <wps:bodyPr anchorCtr="0" anchor="t" bIns="91425" lIns="91425" spcFirstLastPara="1" rIns="91425" wrap="square" tIns="91425"/>
                      </wps:wsp>
                      <wps:wsp>
                        <wps:cNvCnPr/>
                        <wps:spPr>
                          <a:xfrm flipH="1" rot="10800000">
                            <a:off x="1866900" y="1015725"/>
                            <a:ext cx="609600" cy="93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wps:wsp>
                      <wps:wsp>
                        <wps:cNvCnPr/>
                        <wps:spPr>
                          <a:xfrm>
                            <a:off x="4057800" y="1004850"/>
                            <a:ext cx="800100" cy="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wps:wsp>
                    </wpg:wgp>
                  </a:graphicData>
                </a:graphic>
              </wp:inline>
            </w:drawing>
          </mc:Choice>
          <mc:Fallback>
            <w:drawing>
              <wp:inline distB="114300" distT="114300" distL="114300" distR="114300">
                <wp:extent cx="5734050" cy="868071"/>
                <wp:effectExtent b="0" l="0" r="0" t="0"/>
                <wp:docPr id="1" name="image1.png"/>
                <a:graphic>
                  <a:graphicData uri="http://schemas.openxmlformats.org/drawingml/2006/picture">
                    <pic:pic>
                      <pic:nvPicPr>
                        <pic:cNvPr id="0" name="image1.png"/>
                        <pic:cNvPicPr preferRelativeResize="0"/>
                      </pic:nvPicPr>
                      <pic:blipFill>
                        <a:blip r:embed="rId9"/>
                        <a:srcRect/>
                        <a:stretch>
                          <a:fillRect/>
                        </a:stretch>
                      </pic:blipFill>
                      <pic:spPr>
                        <a:xfrm>
                          <a:off x="0" y="0"/>
                          <a:ext cx="5734050" cy="868071"/>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b w:val="1"/>
          <w:sz w:val="24"/>
          <w:szCs w:val="24"/>
          <w:rtl w:val="0"/>
        </w:rPr>
        <w:t xml:space="preserve">Figure 4</w:t>
      </w:r>
      <w:r w:rsidDel="00000000" w:rsidR="00000000" w:rsidRPr="00000000">
        <w:rPr>
          <w:sz w:val="24"/>
          <w:szCs w:val="24"/>
          <w:rtl w:val="0"/>
        </w:rPr>
        <w:t xml:space="preserve">. The Basic Memory Process: taken from </w:t>
      </w:r>
      <w:hyperlink r:id="rId10">
        <w:r w:rsidDel="00000000" w:rsidR="00000000" w:rsidRPr="00000000">
          <w:rPr>
            <w:color w:val="1155cc"/>
            <w:sz w:val="24"/>
            <w:szCs w:val="24"/>
            <w:u w:val="single"/>
            <w:rtl w:val="0"/>
          </w:rPr>
          <w:t xml:space="preserve">https://www.theeducatedbrain.com/memory-defined.html</w:t>
        </w:r>
      </w:hyperlink>
      <w:r w:rsidDel="00000000" w:rsidR="00000000" w:rsidRPr="00000000">
        <w:rPr>
          <w:sz w:val="24"/>
          <w:szCs w:val="24"/>
          <w:rtl w:val="0"/>
        </w:rPr>
        <w:t xml:space="preserve"> [accessed on 12/10/18]</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We have the ability to store vast amounts of information scattered across an array of different forms. I have shown the three main ones are listed below with some examples of what they can include:</w:t>
      </w:r>
    </w:p>
    <w:p w:rsidR="00000000" w:rsidDel="00000000" w:rsidP="00000000" w:rsidRDefault="00000000" w:rsidRPr="00000000" w14:paraId="0000007C">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720" w:hanging="360"/>
        <w:jc w:val="both"/>
        <w:rPr>
          <w:sz w:val="24"/>
          <w:szCs w:val="24"/>
          <w:u w:val="none"/>
        </w:rPr>
      </w:pPr>
      <w:r w:rsidDel="00000000" w:rsidR="00000000" w:rsidRPr="00000000">
        <w:rPr>
          <w:sz w:val="24"/>
          <w:szCs w:val="24"/>
          <w:rtl w:val="0"/>
        </w:rPr>
        <w:t xml:space="preserve">Visual (the encoding of images, e.g. pictures, videos, performances)</w:t>
      </w:r>
    </w:p>
    <w:p w:rsidR="00000000" w:rsidDel="00000000" w:rsidP="00000000" w:rsidRDefault="00000000" w:rsidRPr="00000000" w14:paraId="0000007D">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720" w:hanging="360"/>
        <w:jc w:val="both"/>
        <w:rPr>
          <w:sz w:val="24"/>
          <w:szCs w:val="24"/>
          <w:u w:val="none"/>
        </w:rPr>
      </w:pPr>
      <w:r w:rsidDel="00000000" w:rsidR="00000000" w:rsidRPr="00000000">
        <w:rPr>
          <w:sz w:val="24"/>
          <w:szCs w:val="24"/>
          <w:rtl w:val="0"/>
        </w:rPr>
        <w:t xml:space="preserve">Acoustic (the encoding of sound, words in particular)</w:t>
      </w:r>
    </w:p>
    <w:p w:rsidR="00000000" w:rsidDel="00000000" w:rsidP="00000000" w:rsidRDefault="00000000" w:rsidRPr="00000000" w14:paraId="0000007E">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720" w:hanging="360"/>
        <w:jc w:val="both"/>
        <w:rPr>
          <w:sz w:val="24"/>
          <w:szCs w:val="24"/>
          <w:u w:val="none"/>
        </w:rPr>
      </w:pPr>
      <w:r w:rsidDel="00000000" w:rsidR="00000000" w:rsidRPr="00000000">
        <w:rPr>
          <w:sz w:val="24"/>
          <w:szCs w:val="24"/>
          <w:rtl w:val="0"/>
        </w:rPr>
        <w:t xml:space="preserve">Semantic (processing the information on a deeper level)</w:t>
      </w:r>
    </w:p>
    <w:p w:rsidR="00000000" w:rsidDel="00000000" w:rsidP="00000000" w:rsidRDefault="00000000" w:rsidRPr="00000000" w14:paraId="0000007F">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(Lumen 2018)</w:t>
      </w:r>
    </w:p>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The use of the Magpie Words (figure 3) is an example of both the visual and acoustic forms, as in said display, pictures accompanied the relevant words. It is my belief and understanding that the learning event I witnessed.</w:t>
      </w:r>
    </w:p>
    <w:p w:rsidR="00000000" w:rsidDel="00000000" w:rsidP="00000000" w:rsidRDefault="00000000" w:rsidRPr="00000000" w14:paraId="00000081">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83">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b w:val="1"/>
          <w:sz w:val="24"/>
          <w:szCs w:val="24"/>
          <w:u w:val="single"/>
          <w:rtl w:val="0"/>
        </w:rPr>
        <w:t xml:space="preserve">My Ideal Learning Environment</w:t>
      </w:r>
      <w:r w:rsidDel="00000000" w:rsidR="00000000" w:rsidRPr="00000000">
        <w:rPr>
          <w:rtl w:val="0"/>
        </w:rPr>
      </w:r>
    </w:p>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sz w:val="24"/>
          <w:szCs w:val="24"/>
          <w:rtl w:val="0"/>
        </w:rPr>
        <w:t xml:space="preserve">One of the biggest influences of the climate of a classroom can be the layout of the classroom and the overall physical appearance. In an article by the Room 241 Team (2017), they discuss how when students are comfortable, they are more ready to learn. A study carried out by Pye (1988) suggests that teachers were valued more by pupils when they felt that their individuality was being recognised and treated all students fairly with the same level of value. Having several different learning areas within my classroom is a decision I did not make lightly. I wanted my class to be a place of discovery and exploratory learning, by which having multiple learning areas that each have a specific focus on certain areas of learning will aid in giving my learners a more active role in the classroom (Kyriacou 2014). </w:t>
      </w:r>
    </w:p>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b w:val="1"/>
          <w:sz w:val="24"/>
          <w:szCs w:val="24"/>
        </w:rPr>
      </w:pPr>
      <w:r w:rsidDel="00000000" w:rsidR="00000000" w:rsidRPr="00000000">
        <w:rPr>
          <w:rtl w:val="0"/>
        </w:rPr>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sz w:val="24"/>
          <w:szCs w:val="24"/>
          <w:rtl w:val="0"/>
        </w:rPr>
        <w:t xml:space="preserve">The learning zone</w:t>
      </w:r>
      <w:r w:rsidDel="00000000" w:rsidR="00000000" w:rsidRPr="00000000">
        <w:rPr>
          <w:b w:val="1"/>
          <w:sz w:val="24"/>
          <w:szCs w:val="24"/>
          <w:rtl w:val="0"/>
        </w:rPr>
        <w:t xml:space="preserve"> </w:t>
      </w:r>
      <w:r w:rsidDel="00000000" w:rsidR="00000000" w:rsidRPr="00000000">
        <w:rPr>
          <w:sz w:val="24"/>
          <w:szCs w:val="24"/>
          <w:rtl w:val="0"/>
        </w:rPr>
        <w:t xml:space="preserve">will be the hub of learning. I made the decision to organise the desks in an almost semicircle, coming from a theatre background, I’ve found sitting where I can see my peers at all times to be comforting and more natural. By arranging the seating in this way, each child will have the same view of the whiteboard and will not have to turn around in their chair to see me as I teach. It will also eliminate learner’s temptations to chatter and provide me with increased visibility of each child in order to assess them better and easily access their desks when providing one-to one help. Not only that, it is often easy for teachers to expect less from pupils with low motivation and low levels of attainment, however I believe that arranging the students like this will allow me to retain a stance of positivity and be able to encourage them better (Kyriacou 2014). </w:t>
      </w:r>
    </w:p>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sz w:val="24"/>
          <w:szCs w:val="24"/>
          <w:rtl w:val="0"/>
        </w:rPr>
        <w:t xml:space="preserve">The creative zone</w:t>
      </w:r>
      <w:r w:rsidDel="00000000" w:rsidR="00000000" w:rsidRPr="00000000">
        <w:rPr>
          <w:i w:val="1"/>
          <w:sz w:val="24"/>
          <w:szCs w:val="24"/>
          <w:rtl w:val="0"/>
        </w:rPr>
        <w:t xml:space="preserve"> </w:t>
      </w:r>
      <w:r w:rsidDel="00000000" w:rsidR="00000000" w:rsidRPr="00000000">
        <w:rPr>
          <w:sz w:val="24"/>
          <w:szCs w:val="24"/>
          <w:rtl w:val="0"/>
        </w:rPr>
        <w:t xml:space="preserve">will be a place of investigation and exploration. This space will provide learners a separate area to be creative and messy. It is said that dull teaching combined with unimaginative teachers can often deter young children from pursuing various creative avenues of work (Lytton 2011). I will ensure that all of my students feel free to express who they are by way of being creative, I intend to encourage them to pursue whatever career path they desire and will provide them with the knowledge that anything is possible, just like my teachers did for me when I was their age. By allowing young learners to be creative and letting them partake in practical experiments, we are providing them with a specialised environment in which they can nurture their inherent passion for inquiry and curiosity. This zone will be home to various activities such as science experiments, art and cooking to name just a few. The learners will be placed around small tables for these lessons, this way there will be opportunities to work both individually and as part of a smaller group. Whitaker (1995) suggests that small group work gives pupils an opportunity to converse reflectively and promotes an environment of co-operation. Small group will also aid in their social skills and ability to collaboratively solve problems and reflect on their work. Undertaking regular, challenging and focused practical science is an excellent way for children to develop problem solving skills, which can be very difficult to learn alone (Sullivan 2015). </w:t>
      </w:r>
    </w:p>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The reading zone will not only be a comfortable place to go during silent reading should the children wish, but it will also be a hub for an end of day storytime. In the last 20-30 minutes of class each day, I plan to read to my class. Story time was such a memorable part of my education and I’d very much like to transfer that same experience on my class. This particular zone will have bean bags and pillows laid on the floor for my learners to relax and unwind. Michael Morpurgo, the author of War Horse is calling for the government to reinstate story time in schools as he believes that children deserve time within the day to hear stories without being tested (Furness 2013). The stories we read will be based on a number of factors, the current curriculum focus, the student choice and my own personal choices. Class reading has the potential for class discussion and the sharing of opinions and thoughts on characters and how the story might end. Here, there will be no tests or assessments, this will be an environment saved for winding down and just listening to a story, with no hidden agenda or learning objective. In an article by Wesley Sharpe (2009), he says that reading to your class is one of the most important activities you can use with school children to enable them to build visual images from the words you speak. Children who have a lower reading ability will also find this beneficial as they will store the images of the story and the words in their imaginations. With my background in theatre, I enjoy reading aloud and intend to do so as often as possible and believe that it is one of the best ways to teach children to love reading. </w:t>
      </w:r>
    </w:p>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8B">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There are multiple case studies proving the effectiveness of an outdoor learning environment. There is much concern that in a day and age where technology is dominant in young people’s lives, they have become distanced from nature. Opportunities to experience the outdoors are slim, so it is our job as educators to encourage children to want to learn about the outdoors. I believe my outdoor zone is perfect for that. Growing Schools (2001) seek to encourage schools to take children outdoors. They have found that schools who make regular use of outdoor learning environments find that their learners are highly attentive  and willing to delve in.</w:t>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In an article by The Guardian, schools across England have been reported to be excellent examples of schools bringing together gardening and healthy eating (Riley, 2016). With my allotment, I plan to work with the children to plant and grow fruits and vegetables, so that they are able to have a firsthand experience of just how much work goes into producing the food items they may have previously taken for granted in the supermarket.  In a recent report by Estyn (2018), commitment to education is discussed as a way of enriching the lives of young learners by teaching children to appreciate the importance of agriculture, and other attributes such as positivity towards learning, attributes that are necessary to become lifelong learners. </w:t>
      </w:r>
    </w:p>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The outdoor zone, as well as having plants and allotments, will also have an outdoor learning area, which will be used as an outdoor classroom when the curriculum will benefit from moving the lesson outdoors. For example, a school garden can teach so much more than just planting food, it can be used as a tool for cross-curricular learning. There is also so much to be taught about conservation, sustainability and recycling, all of which can be taught in the outdoors (Green Education Foundation 2018). My other reasons for teaching outside are to provide my students with a fresh perspective if the day has become trying. This will be up to me to determine by gaging the level of attention and morale. Using the behaviourist method of intermittent reinforcement, I could reward the class’ excellent work and behaviour with an agricultural/conservation activity in the outdoor environment.</w:t>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sz w:val="24"/>
          <w:szCs w:val="24"/>
          <w:rtl w:val="0"/>
        </w:rPr>
        <w:t xml:space="preserve">Improving digital competency within the classroom is not only part of the curriculum requirements, children must work to develop their skills and be able to confidently and creatively use an array of technologies in this quickly advancing digital world (Welsh Gov 2016). ICT will play a crucial role in my classroom. Not only will there will be a designated area of computers, but in the resource storage shelf will be a space for iPads, which the students will be able to take out and use in all of the zones in the classroom. I plan to embed digital competency in all of my zones, from recording experiments via recordings and pictures, documenting the progress of plants in the class outdoor zone to free play and research. </w:t>
      </w:r>
    </w:p>
    <w:p w:rsidR="00000000" w:rsidDel="00000000" w:rsidP="00000000" w:rsidRDefault="00000000" w:rsidRPr="00000000" w14:paraId="0000008F">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b w:val="1"/>
          <w:sz w:val="24"/>
          <w:szCs w:val="24"/>
          <w:u w:val="single"/>
        </w:rPr>
      </w:pPr>
      <w:r w:rsidDel="00000000" w:rsidR="00000000" w:rsidRPr="00000000">
        <w:rPr>
          <w:rtl w:val="0"/>
        </w:rPr>
      </w:r>
    </w:p>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sz w:val="24"/>
          <w:szCs w:val="24"/>
          <w:rtl w:val="0"/>
        </w:rPr>
        <w:t xml:space="preserve">I will incorporate Assessment for Learning (AFL) into my classroom, the main purpose being that not all children display their best work and their best selves when put under unnecessary stress just to endure an exam or mandatory test. I believe that assessing by way of observation, questioning and discussion promotes learning and is a much simpler way of gaining a better understanding of the progress of each student and makes developing a future improvement plan (Kyriacou 2014) It also will allow me as a teacher to provide my students with constructive comments on how they can improve, and will also allow me to adjust my teaching in accordance with the results of each child’s assessment in order to hone in on the areas in which the learners are struggling (Black and Wiliam 1998). Black and Wiliam (1998) discussed how AFL is intended to give pupils more time to think and answer questions as well as encourage them to actively assess each other. Black and WIliam also mention that part of AFL is sharing the learning objectives and helping the students recognise their learning objectives. The work that is completed by my students will be displayed in class someway or another, be if verbally recognising their efforts or pinning the work up on a designated display wall for excellence. In doing this they will be empowered to learn, as it will make them feel valued and appreciated (Room 241 Team, 2017)</w:t>
      </w:r>
    </w:p>
    <w:p w:rsidR="00000000" w:rsidDel="00000000" w:rsidP="00000000" w:rsidRDefault="00000000" w:rsidRPr="00000000" w14:paraId="00000091">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2">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93">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My findings have shown that the learning event I witnessed has been influenced heavily by a constructivist way of teaching, in a classroom where a diverse collection of theories and styles of learned have been incorporated to ensure the children receive the best possible educational environment to stimulate knowledge progression as well as growth. From my findings it is clear that incorporating behaviourist methods of positive reinforcement are effective. insights into methods I might use in my own future practice. One of which is to teach using strong visual images to maximise knowledge retention. I have discussed how vital memory is to a child’s education. From this, I will endeavour to remember that the process of learning is a long and exciting one, and implement the method of scaffolding within my classroom. From planning my ideal learning environment it is clear that there are an abundance of components that go into creating a successful classroom environment and that through careful planning it can be catered to the needs of the child. Lastly, it is my opinion that using a constructivist/social constructivist approach to teaching, where a social interaction will be predominant in my classroom in order to arise a fluency of conversational style and a constantly widening understanding of topics through communication and synergy will be the most beneficial to my students.</w:t>
      </w:r>
    </w:p>
    <w:p w:rsidR="00000000" w:rsidDel="00000000" w:rsidP="00000000" w:rsidRDefault="00000000" w:rsidRPr="00000000" w14:paraId="00000094">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5">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6">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7">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8">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9">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A">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B">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C">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D">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E">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F">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0">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b w:val="1"/>
          <w:sz w:val="24"/>
          <w:szCs w:val="24"/>
          <w:u w:val="single"/>
        </w:rPr>
      </w:pPr>
      <w:r w:rsidDel="00000000" w:rsidR="00000000" w:rsidRPr="00000000">
        <w:rPr>
          <w:b w:val="1"/>
          <w:sz w:val="24"/>
          <w:szCs w:val="24"/>
          <w:u w:val="single"/>
          <w:rtl w:val="0"/>
        </w:rPr>
        <w:t xml:space="preserve">References</w:t>
      </w:r>
    </w:p>
    <w:p w:rsidR="00000000" w:rsidDel="00000000" w:rsidP="00000000" w:rsidRDefault="00000000" w:rsidRPr="00000000" w14:paraId="000000A1">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sz w:val="24"/>
          <w:szCs w:val="24"/>
          <w:rtl w:val="0"/>
        </w:rPr>
        <w:t xml:space="preserve">Athey, C (1990) </w:t>
      </w:r>
      <w:r w:rsidDel="00000000" w:rsidR="00000000" w:rsidRPr="00000000">
        <w:rPr>
          <w:i w:val="1"/>
          <w:sz w:val="24"/>
          <w:szCs w:val="24"/>
          <w:rtl w:val="0"/>
        </w:rPr>
        <w:t xml:space="preserve">Extending Thought in Young Children: A Parent-Teacher Partnership.</w:t>
      </w:r>
      <w:r w:rsidDel="00000000" w:rsidR="00000000" w:rsidRPr="00000000">
        <w:rPr>
          <w:sz w:val="24"/>
          <w:szCs w:val="24"/>
          <w:rtl w:val="0"/>
        </w:rPr>
        <w:t xml:space="preserve"> London: Paul Chapman</w:t>
      </w:r>
    </w:p>
    <w:p w:rsidR="00000000" w:rsidDel="00000000" w:rsidP="00000000" w:rsidRDefault="00000000" w:rsidRPr="00000000" w14:paraId="000000A2">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A3">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sz w:val="24"/>
          <w:szCs w:val="24"/>
          <w:rtl w:val="0"/>
        </w:rPr>
        <w:t xml:space="preserve">Black and Wiliam, (1998) </w:t>
      </w:r>
      <w:r w:rsidDel="00000000" w:rsidR="00000000" w:rsidRPr="00000000">
        <w:rPr>
          <w:i w:val="1"/>
          <w:sz w:val="24"/>
          <w:szCs w:val="24"/>
          <w:rtl w:val="0"/>
        </w:rPr>
        <w:t xml:space="preserve">Assessment and Classroom Learning.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http://ld6ela.edublogs.org/files/2008/08/blackandwiliam_ed-5nov03.doc</w:t>
        </w:r>
      </w:hyperlink>
      <w:r w:rsidDel="00000000" w:rsidR="00000000" w:rsidRPr="00000000">
        <w:rPr>
          <w:sz w:val="24"/>
          <w:szCs w:val="24"/>
          <w:rtl w:val="0"/>
        </w:rPr>
        <w:t xml:space="preserve"> [accessed October 14th 2018]</w:t>
      </w:r>
    </w:p>
    <w:p w:rsidR="00000000" w:rsidDel="00000000" w:rsidP="00000000" w:rsidRDefault="00000000" w:rsidRPr="00000000" w14:paraId="000000A4">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5">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British Educational Research Association (BERA) (2011) </w:t>
      </w:r>
      <w:r w:rsidDel="00000000" w:rsidR="00000000" w:rsidRPr="00000000">
        <w:rPr>
          <w:i w:val="1"/>
          <w:sz w:val="24"/>
          <w:szCs w:val="24"/>
          <w:rtl w:val="0"/>
        </w:rPr>
        <w:t xml:space="preserve">Ethical guidelines for educational research</w:t>
      </w:r>
      <w:r w:rsidDel="00000000" w:rsidR="00000000" w:rsidRPr="00000000">
        <w:rPr>
          <w:sz w:val="24"/>
          <w:szCs w:val="24"/>
          <w:rtl w:val="0"/>
        </w:rPr>
        <w:t xml:space="preserve">. Available at: </w:t>
      </w:r>
      <w:hyperlink r:id="rId12">
        <w:r w:rsidDel="00000000" w:rsidR="00000000" w:rsidRPr="00000000">
          <w:rPr>
            <w:sz w:val="24"/>
            <w:szCs w:val="24"/>
            <w:u w:val="single"/>
            <w:rtl w:val="0"/>
          </w:rPr>
          <w:t xml:space="preserve">https://www.bera.ac.uk/researchers-resources/publications/ethical-guidelines-for-educational-research-2011</w:t>
        </w:r>
      </w:hyperlink>
      <w:r w:rsidDel="00000000" w:rsidR="00000000" w:rsidRPr="00000000">
        <w:rPr>
          <w:rtl w:val="0"/>
        </w:rPr>
      </w:r>
    </w:p>
    <w:p w:rsidR="00000000" w:rsidDel="00000000" w:rsidP="00000000" w:rsidRDefault="00000000" w:rsidRPr="00000000" w14:paraId="000000A6">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A7">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Bruner, J (2018) </w:t>
      </w:r>
      <w:r w:rsidDel="00000000" w:rsidR="00000000" w:rsidRPr="00000000">
        <w:rPr>
          <w:i w:val="1"/>
          <w:sz w:val="24"/>
          <w:szCs w:val="24"/>
          <w:rtl w:val="0"/>
        </w:rPr>
        <w:t xml:space="preserve">Learning Theory in Education.</w:t>
      </w:r>
      <w:r w:rsidDel="00000000" w:rsidR="00000000" w:rsidRPr="00000000">
        <w:rPr>
          <w:sz w:val="24"/>
          <w:szCs w:val="24"/>
          <w:rtl w:val="0"/>
        </w:rPr>
        <w:t xml:space="preserve"> Simply Psychology: </w:t>
      </w:r>
      <w:hyperlink r:id="rId13">
        <w:r w:rsidDel="00000000" w:rsidR="00000000" w:rsidRPr="00000000">
          <w:rPr>
            <w:color w:val="1155cc"/>
            <w:sz w:val="24"/>
            <w:szCs w:val="24"/>
            <w:u w:val="single"/>
            <w:rtl w:val="0"/>
          </w:rPr>
          <w:t xml:space="preserve">https://www.simplypsychology.org/bruner.html</w:t>
        </w:r>
      </w:hyperlink>
      <w:r w:rsidDel="00000000" w:rsidR="00000000" w:rsidRPr="00000000">
        <w:rPr>
          <w:sz w:val="24"/>
          <w:szCs w:val="24"/>
          <w:rtl w:val="0"/>
        </w:rPr>
        <w:t xml:space="preserve"> [accessed on October 9th 2018]</w:t>
      </w:r>
    </w:p>
    <w:p w:rsidR="00000000" w:rsidDel="00000000" w:rsidP="00000000" w:rsidRDefault="00000000" w:rsidRPr="00000000" w14:paraId="000000A8">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A9">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sz w:val="24"/>
          <w:szCs w:val="24"/>
          <w:highlight w:val="white"/>
          <w:rtl w:val="0"/>
        </w:rPr>
        <w:t xml:space="preserve">Cherry, K (2017) </w:t>
      </w:r>
      <w:r w:rsidDel="00000000" w:rsidR="00000000" w:rsidRPr="00000000">
        <w:rPr>
          <w:i w:val="1"/>
          <w:sz w:val="24"/>
          <w:szCs w:val="24"/>
          <w:highlight w:val="white"/>
          <w:rtl w:val="0"/>
        </w:rPr>
        <w:t xml:space="preserve">Pavlov’s Dogs and Classical Conditioning: How Ivan Pavlov Discovered Classical Conditioning</w:t>
      </w:r>
      <w:r w:rsidDel="00000000" w:rsidR="00000000" w:rsidRPr="00000000">
        <w:rPr>
          <w:sz w:val="24"/>
          <w:szCs w:val="24"/>
          <w:highlight w:val="white"/>
          <w:rtl w:val="0"/>
        </w:rPr>
        <w:t xml:space="preserve">. Available at: </w:t>
      </w:r>
    </w:p>
    <w:p w:rsidR="00000000" w:rsidDel="00000000" w:rsidP="00000000" w:rsidRDefault="00000000" w:rsidRPr="00000000" w14:paraId="000000AA">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hyperlink r:id="rId14">
        <w:r w:rsidDel="00000000" w:rsidR="00000000" w:rsidRPr="00000000">
          <w:rPr>
            <w:color w:val="1155cc"/>
            <w:sz w:val="24"/>
            <w:szCs w:val="24"/>
            <w:highlight w:val="white"/>
            <w:u w:val="single"/>
            <w:rtl w:val="0"/>
          </w:rPr>
          <w:t xml:space="preserve">https://www.verywellmind.com/pavlovs-dogs-2794989</w:t>
        </w:r>
      </w:hyperlink>
      <w:r w:rsidDel="00000000" w:rsidR="00000000" w:rsidRPr="00000000">
        <w:rPr>
          <w:rtl w:val="0"/>
        </w:rPr>
      </w:r>
    </w:p>
    <w:p w:rsidR="00000000" w:rsidDel="00000000" w:rsidP="00000000" w:rsidRDefault="00000000" w:rsidRPr="00000000" w14:paraId="000000AB">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C">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Chris Kyriacou (2009) </w:t>
      </w:r>
      <w:r w:rsidDel="00000000" w:rsidR="00000000" w:rsidRPr="00000000">
        <w:rPr>
          <w:i w:val="1"/>
          <w:sz w:val="24"/>
          <w:szCs w:val="24"/>
          <w:rtl w:val="0"/>
        </w:rPr>
        <w:t xml:space="preserve">Effective Teaching in Schools: Theory and Practice Second Edition. </w:t>
      </w:r>
      <w:r w:rsidDel="00000000" w:rsidR="00000000" w:rsidRPr="00000000">
        <w:rPr>
          <w:sz w:val="24"/>
          <w:szCs w:val="24"/>
          <w:rtl w:val="0"/>
        </w:rPr>
        <w:t xml:space="preserve">Oxford University Press</w:t>
      </w:r>
    </w:p>
    <w:p w:rsidR="00000000" w:rsidDel="00000000" w:rsidP="00000000" w:rsidRDefault="00000000" w:rsidRPr="00000000" w14:paraId="000000AD">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AE">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Chris Kyriacou (2014) </w:t>
      </w:r>
      <w:r w:rsidDel="00000000" w:rsidR="00000000" w:rsidRPr="00000000">
        <w:rPr>
          <w:i w:val="1"/>
          <w:sz w:val="24"/>
          <w:szCs w:val="24"/>
          <w:rtl w:val="0"/>
        </w:rPr>
        <w:t xml:space="preserve">Effective Teaching in Schools: Theory and Practice Third Edition.</w:t>
      </w:r>
      <w:r w:rsidDel="00000000" w:rsidR="00000000" w:rsidRPr="00000000">
        <w:rPr>
          <w:sz w:val="24"/>
          <w:szCs w:val="24"/>
          <w:rtl w:val="0"/>
        </w:rPr>
        <w:t xml:space="preserve"> Oxford University Press</w:t>
      </w:r>
    </w:p>
    <w:p w:rsidR="00000000" w:rsidDel="00000000" w:rsidP="00000000" w:rsidRDefault="00000000" w:rsidRPr="00000000" w14:paraId="000000AF">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B0">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sz w:val="24"/>
          <w:szCs w:val="24"/>
          <w:highlight w:val="white"/>
          <w:rtl w:val="0"/>
        </w:rPr>
        <w:t xml:space="preserve">Clark, D. (2015). </w:t>
      </w:r>
      <w:r w:rsidDel="00000000" w:rsidR="00000000" w:rsidRPr="00000000">
        <w:rPr>
          <w:i w:val="1"/>
          <w:sz w:val="24"/>
          <w:szCs w:val="24"/>
          <w:highlight w:val="white"/>
          <w:rtl w:val="0"/>
        </w:rPr>
        <w:t xml:space="preserve">Bloom's Taxonomy of Learning Domains: The Cognitive Domain</w:t>
      </w:r>
      <w:r w:rsidDel="00000000" w:rsidR="00000000" w:rsidRPr="00000000">
        <w:rPr>
          <w:sz w:val="24"/>
          <w:szCs w:val="24"/>
          <w:highlight w:val="white"/>
          <w:rtl w:val="0"/>
        </w:rPr>
        <w:t xml:space="preserve">. Available at: </w:t>
      </w:r>
      <w:hyperlink r:id="rId15">
        <w:r w:rsidDel="00000000" w:rsidR="00000000" w:rsidRPr="00000000">
          <w:rPr>
            <w:color w:val="1155cc"/>
            <w:sz w:val="24"/>
            <w:szCs w:val="24"/>
            <w:highlight w:val="white"/>
            <w:u w:val="single"/>
            <w:rtl w:val="0"/>
          </w:rPr>
          <w:t xml:space="preserve">http://www.nwlink.com/~donclark/hrd/bloom.html</w:t>
        </w:r>
      </w:hyperlink>
      <w:r w:rsidDel="00000000" w:rsidR="00000000" w:rsidRPr="00000000">
        <w:rPr>
          <w:sz w:val="24"/>
          <w:szCs w:val="24"/>
          <w:highlight w:val="white"/>
          <w:rtl w:val="0"/>
        </w:rPr>
        <w:t xml:space="preserve"> [Accessed 3rd October 2018].</w:t>
      </w:r>
    </w:p>
    <w:p w:rsidR="00000000" w:rsidDel="00000000" w:rsidP="00000000" w:rsidRDefault="00000000" w:rsidRPr="00000000" w14:paraId="000000B1">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B2">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sz w:val="24"/>
          <w:szCs w:val="24"/>
          <w:highlight w:val="white"/>
          <w:rtl w:val="0"/>
        </w:rPr>
        <w:t xml:space="preserve">Cox, T (2018: 18) </w:t>
      </w:r>
      <w:r w:rsidDel="00000000" w:rsidR="00000000" w:rsidRPr="00000000">
        <w:rPr>
          <w:i w:val="1"/>
          <w:sz w:val="24"/>
          <w:szCs w:val="24"/>
          <w:highlight w:val="white"/>
          <w:rtl w:val="0"/>
        </w:rPr>
        <w:t xml:space="preserve">Children as Learners</w:t>
      </w:r>
      <w:r w:rsidDel="00000000" w:rsidR="00000000" w:rsidRPr="00000000">
        <w:rPr>
          <w:sz w:val="24"/>
          <w:szCs w:val="24"/>
          <w:highlight w:val="white"/>
          <w:rtl w:val="0"/>
        </w:rPr>
        <w:t xml:space="preserve"> M6X01438-C University of Wales Trinity Saint David 18/09/18</w:t>
      </w:r>
    </w:p>
    <w:p w:rsidR="00000000" w:rsidDel="00000000" w:rsidP="00000000" w:rsidRDefault="00000000" w:rsidRPr="00000000" w14:paraId="000000B3">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B4">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sz w:val="24"/>
          <w:szCs w:val="24"/>
          <w:highlight w:val="white"/>
          <w:rtl w:val="0"/>
        </w:rPr>
        <w:t xml:space="preserve">Cox, T (2018: 20) </w:t>
      </w:r>
      <w:r w:rsidDel="00000000" w:rsidR="00000000" w:rsidRPr="00000000">
        <w:rPr>
          <w:i w:val="1"/>
          <w:sz w:val="24"/>
          <w:szCs w:val="24"/>
          <w:highlight w:val="white"/>
          <w:rtl w:val="0"/>
        </w:rPr>
        <w:t xml:space="preserve">What is Learning</w:t>
      </w:r>
      <w:r w:rsidDel="00000000" w:rsidR="00000000" w:rsidRPr="00000000">
        <w:rPr>
          <w:sz w:val="24"/>
          <w:szCs w:val="24"/>
          <w:highlight w:val="white"/>
          <w:rtl w:val="0"/>
        </w:rPr>
        <w:t xml:space="preserve"> M6X01438-C University of Wales Trinity Saint David 20/09/18</w:t>
      </w:r>
    </w:p>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B6">
      <w:pPr>
        <w:pBdr>
          <w:top w:color="auto" w:space="0" w:sz="0" w:val="none"/>
          <w:left w:color="auto" w:space="0" w:sz="0" w:val="none"/>
          <w:bottom w:color="auto" w:space="0" w:sz="0" w:val="none"/>
          <w:right w:color="auto" w:space="0" w:sz="0" w:val="none"/>
          <w:between w:color="auto" w:space="0" w:sz="0" w:val="none"/>
        </w:pBdr>
        <w:shd w:fill="ffffff" w:val="clear"/>
        <w:spacing w:after="0" w:afterAutospacing="1" w:line="288" w:lineRule="auto"/>
        <w:contextualSpacing w:val="0"/>
        <w:jc w:val="both"/>
        <w:rPr>
          <w:sz w:val="24"/>
          <w:szCs w:val="24"/>
        </w:rPr>
      </w:pPr>
      <w:r w:rsidDel="00000000" w:rsidR="00000000" w:rsidRPr="00000000">
        <w:rPr>
          <w:sz w:val="24"/>
          <w:szCs w:val="24"/>
          <w:rtl w:val="0"/>
        </w:rPr>
        <w:t xml:space="preserve">Csikszentmihalyi, M (2009) </w:t>
      </w:r>
      <w:r w:rsidDel="00000000" w:rsidR="00000000" w:rsidRPr="00000000">
        <w:rPr>
          <w:i w:val="1"/>
          <w:sz w:val="24"/>
          <w:szCs w:val="24"/>
          <w:rtl w:val="0"/>
        </w:rPr>
        <w:t xml:space="preserve">Flow: The Psychology of Happiness: The Classic Work on How to Achieve Happiness</w:t>
      </w:r>
      <w:r w:rsidDel="00000000" w:rsidR="00000000" w:rsidRPr="00000000">
        <w:rPr>
          <w:sz w:val="24"/>
          <w:szCs w:val="24"/>
          <w:rtl w:val="0"/>
        </w:rPr>
        <w:t xml:space="preserve">. Rider Publishing</w:t>
      </w:r>
    </w:p>
    <w:p w:rsidR="00000000" w:rsidDel="00000000" w:rsidP="00000000" w:rsidRDefault="00000000" w:rsidRPr="00000000" w14:paraId="000000B7">
      <w:pPr>
        <w:pBdr>
          <w:top w:color="auto" w:space="0" w:sz="0" w:val="none"/>
          <w:left w:color="auto" w:space="0" w:sz="0" w:val="none"/>
          <w:bottom w:color="auto" w:space="0" w:sz="0" w:val="none"/>
          <w:right w:color="auto" w:space="0" w:sz="0" w:val="none"/>
          <w:between w:color="auto" w:space="0" w:sz="0" w:val="none"/>
        </w:pBdr>
        <w:shd w:fill="ffffff" w:val="clear"/>
        <w:spacing w:after="0" w:afterAutospacing="1" w:line="288" w:lineRule="auto"/>
        <w:contextualSpacing w:val="0"/>
        <w:jc w:val="both"/>
        <w:rPr>
          <w:sz w:val="24"/>
          <w:szCs w:val="24"/>
        </w:rPr>
      </w:pPr>
      <w:r w:rsidDel="00000000" w:rsidR="00000000" w:rsidRPr="00000000">
        <w:rPr>
          <w:rtl w:val="0"/>
        </w:rPr>
      </w:r>
    </w:p>
    <w:p w:rsidR="00000000" w:rsidDel="00000000" w:rsidP="00000000" w:rsidRDefault="00000000" w:rsidRPr="00000000" w14:paraId="000000B8">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Donaldson, G (2015) </w:t>
      </w:r>
      <w:r w:rsidDel="00000000" w:rsidR="00000000" w:rsidRPr="00000000">
        <w:rPr>
          <w:i w:val="1"/>
          <w:sz w:val="24"/>
          <w:szCs w:val="24"/>
          <w:rtl w:val="0"/>
        </w:rPr>
        <w:t xml:space="preserve">Successful Futures</w:t>
      </w:r>
      <w:r w:rsidDel="00000000" w:rsidR="00000000" w:rsidRPr="00000000">
        <w:rPr>
          <w:sz w:val="24"/>
          <w:szCs w:val="24"/>
          <w:rtl w:val="0"/>
        </w:rPr>
        <w:t xml:space="preserve">  Available at:</w:t>
      </w:r>
    </w:p>
    <w:p w:rsidR="00000000" w:rsidDel="00000000" w:rsidP="00000000" w:rsidRDefault="00000000" w:rsidRPr="00000000" w14:paraId="000000B9">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hyperlink r:id="rId16">
        <w:r w:rsidDel="00000000" w:rsidR="00000000" w:rsidRPr="00000000">
          <w:rPr>
            <w:sz w:val="24"/>
            <w:szCs w:val="24"/>
            <w:u w:val="single"/>
            <w:rtl w:val="0"/>
          </w:rPr>
          <w:t xml:space="preserve">https://beta.gov.wales/sites/default/files/publications/2018-03/succesful-futures-a-summary-of-professor-graham-donaldsons-report.pdf</w:t>
        </w:r>
      </w:hyperlink>
      <w:r w:rsidDel="00000000" w:rsidR="00000000" w:rsidRPr="00000000">
        <w:rPr>
          <w:rtl w:val="0"/>
        </w:rPr>
      </w:r>
    </w:p>
    <w:p w:rsidR="00000000" w:rsidDel="00000000" w:rsidP="00000000" w:rsidRDefault="00000000" w:rsidRPr="00000000" w14:paraId="000000BA">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BB">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sz w:val="24"/>
          <w:szCs w:val="24"/>
          <w:highlight w:val="white"/>
          <w:rtl w:val="0"/>
        </w:rPr>
        <w:t xml:space="preserve">Furness, H (2013) Article. </w:t>
      </w:r>
      <w:r w:rsidDel="00000000" w:rsidR="00000000" w:rsidRPr="00000000">
        <w:rPr>
          <w:i w:val="1"/>
          <w:sz w:val="24"/>
          <w:szCs w:val="24"/>
          <w:highlight w:val="white"/>
          <w:rtl w:val="0"/>
        </w:rPr>
        <w:t xml:space="preserve">Michael Morpurgo: Bring back story time in every school</w:t>
      </w:r>
      <w:r w:rsidDel="00000000" w:rsidR="00000000" w:rsidRPr="00000000">
        <w:rPr>
          <w:sz w:val="24"/>
          <w:szCs w:val="24"/>
          <w:highlight w:val="white"/>
          <w:rtl w:val="0"/>
        </w:rPr>
        <w:t xml:space="preserve">. The Telegraph. Available at: </w:t>
      </w:r>
      <w:hyperlink r:id="rId17">
        <w:r w:rsidDel="00000000" w:rsidR="00000000" w:rsidRPr="00000000">
          <w:rPr>
            <w:color w:val="1155cc"/>
            <w:sz w:val="24"/>
            <w:szCs w:val="24"/>
            <w:highlight w:val="white"/>
            <w:u w:val="single"/>
            <w:rtl w:val="0"/>
          </w:rPr>
          <w:t xml:space="preserve">https://www.telegraph.co.uk/culture/books/booknews/10468670/Michael-Morpurgo-Bring-back-story-time-in-every-school.html</w:t>
        </w:r>
      </w:hyperlink>
      <w:r w:rsidDel="00000000" w:rsidR="00000000" w:rsidRPr="00000000">
        <w:rPr>
          <w:sz w:val="24"/>
          <w:szCs w:val="24"/>
          <w:highlight w:val="white"/>
          <w:rtl w:val="0"/>
        </w:rPr>
        <w:t xml:space="preserve"> [accessed on October 15th 2017]</w:t>
      </w:r>
    </w:p>
    <w:p w:rsidR="00000000" w:rsidDel="00000000" w:rsidP="00000000" w:rsidRDefault="00000000" w:rsidRPr="00000000" w14:paraId="000000BC">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BD">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sz w:val="24"/>
          <w:szCs w:val="24"/>
          <w:highlight w:val="white"/>
          <w:rtl w:val="0"/>
        </w:rPr>
        <w:t xml:space="preserve">Green Education Foundation (online) </w:t>
      </w:r>
      <w:r w:rsidDel="00000000" w:rsidR="00000000" w:rsidRPr="00000000">
        <w:rPr>
          <w:i w:val="1"/>
          <w:sz w:val="24"/>
          <w:szCs w:val="24"/>
          <w:highlight w:val="white"/>
          <w:rtl w:val="0"/>
        </w:rPr>
        <w:t xml:space="preserve">Creating a Sustainable Future Through Education. </w:t>
      </w:r>
      <w:r w:rsidDel="00000000" w:rsidR="00000000" w:rsidRPr="00000000">
        <w:rPr>
          <w:sz w:val="24"/>
          <w:szCs w:val="24"/>
          <w:highlight w:val="white"/>
          <w:rtl w:val="0"/>
        </w:rPr>
        <w:t xml:space="preserve">Available at: </w:t>
      </w:r>
      <w:hyperlink r:id="rId18">
        <w:r w:rsidDel="00000000" w:rsidR="00000000" w:rsidRPr="00000000">
          <w:rPr>
            <w:color w:val="1155cc"/>
            <w:sz w:val="24"/>
            <w:szCs w:val="24"/>
            <w:highlight w:val="white"/>
            <w:u w:val="single"/>
            <w:rtl w:val="0"/>
          </w:rPr>
          <w:t xml:space="preserve">http://www.greeneducationfoundation.org/greenthumbchallengesub/curriculum-and-activities/garden-as-a-teaching-tool.html</w:t>
        </w:r>
      </w:hyperlink>
      <w:r w:rsidDel="00000000" w:rsidR="00000000" w:rsidRPr="00000000">
        <w:rPr>
          <w:sz w:val="24"/>
          <w:szCs w:val="24"/>
          <w:highlight w:val="white"/>
          <w:rtl w:val="0"/>
        </w:rPr>
        <w:t xml:space="preserve"> [accessed on October 12th 2018]</w:t>
      </w:r>
    </w:p>
    <w:p w:rsidR="00000000" w:rsidDel="00000000" w:rsidP="00000000" w:rsidRDefault="00000000" w:rsidRPr="00000000" w14:paraId="000000BE">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BF">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sz w:val="24"/>
          <w:szCs w:val="24"/>
          <w:highlight w:val="white"/>
          <w:rtl w:val="0"/>
        </w:rPr>
        <w:t xml:space="preserve">Growing Schools: </w:t>
      </w:r>
      <w:r w:rsidDel="00000000" w:rsidR="00000000" w:rsidRPr="00000000">
        <w:rPr>
          <w:i w:val="1"/>
          <w:sz w:val="24"/>
          <w:szCs w:val="24"/>
          <w:highlight w:val="white"/>
          <w:rtl w:val="0"/>
        </w:rPr>
        <w:t xml:space="preserve">Everyone knows that children would rather be out than in. </w:t>
      </w:r>
      <w:r w:rsidDel="00000000" w:rsidR="00000000" w:rsidRPr="00000000">
        <w:rPr>
          <w:sz w:val="24"/>
          <w:szCs w:val="24"/>
          <w:highlight w:val="white"/>
          <w:rtl w:val="0"/>
        </w:rPr>
        <w:t xml:space="preserve">Department for Education and Skills. Available at </w:t>
      </w:r>
      <w:hyperlink r:id="rId19">
        <w:r w:rsidDel="00000000" w:rsidR="00000000" w:rsidRPr="00000000">
          <w:rPr>
            <w:color w:val="1155cc"/>
            <w:sz w:val="24"/>
            <w:szCs w:val="24"/>
            <w:highlight w:val="white"/>
            <w:u w:val="single"/>
            <w:rtl w:val="0"/>
          </w:rPr>
          <w:t xml:space="preserve">http://webarchive.nationalarchives.gov.uk/20130323075343/https://www.education.gov.uk/publications/eOrderingDownload/TGSG%200515MIG29.pdf</w:t>
        </w:r>
      </w:hyperlink>
      <w:r w:rsidDel="00000000" w:rsidR="00000000" w:rsidRPr="00000000">
        <w:rPr>
          <w:sz w:val="24"/>
          <w:szCs w:val="24"/>
          <w:highlight w:val="white"/>
          <w:rtl w:val="0"/>
        </w:rPr>
        <w:t xml:space="preserve"> [Accessed October 11th 2018]</w:t>
      </w:r>
    </w:p>
    <w:p w:rsidR="00000000" w:rsidDel="00000000" w:rsidP="00000000" w:rsidRDefault="00000000" w:rsidRPr="00000000" w14:paraId="000000C0">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Joyette Fabien (2018) </w:t>
      </w:r>
      <w:r w:rsidDel="00000000" w:rsidR="00000000" w:rsidRPr="00000000">
        <w:rPr>
          <w:i w:val="1"/>
          <w:sz w:val="24"/>
          <w:szCs w:val="24"/>
          <w:rtl w:val="0"/>
        </w:rPr>
        <w:t xml:space="preserve">The Value of Competition in the Classroom</w:t>
      </w:r>
      <w:r w:rsidDel="00000000" w:rsidR="00000000" w:rsidRPr="00000000">
        <w:rPr>
          <w:sz w:val="24"/>
          <w:szCs w:val="24"/>
          <w:rtl w:val="0"/>
        </w:rPr>
        <w:t xml:space="preserve"> Available at: </w:t>
      </w:r>
      <w:hyperlink r:id="rId20">
        <w:r w:rsidDel="00000000" w:rsidR="00000000" w:rsidRPr="00000000">
          <w:rPr>
            <w:color w:val="1155cc"/>
            <w:sz w:val="24"/>
            <w:szCs w:val="24"/>
            <w:u w:val="single"/>
            <w:rtl w:val="0"/>
          </w:rPr>
          <w:t xml:space="preserve">https://owlcation.com/academia/studentrivalry</w:t>
        </w:r>
      </w:hyperlink>
      <w:r w:rsidDel="00000000" w:rsidR="00000000" w:rsidRPr="00000000">
        <w:rPr>
          <w:sz w:val="24"/>
          <w:szCs w:val="24"/>
          <w:rtl w:val="0"/>
        </w:rPr>
        <w:t xml:space="preserve"> [accessed October 10th 2018]</w:t>
      </w:r>
    </w:p>
    <w:p w:rsidR="00000000" w:rsidDel="00000000" w:rsidP="00000000" w:rsidRDefault="00000000" w:rsidRPr="00000000" w14:paraId="000000C2">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3">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highlight w:val="white"/>
        </w:rPr>
      </w:pPr>
      <w:r w:rsidDel="00000000" w:rsidR="00000000" w:rsidRPr="00000000">
        <w:rPr>
          <w:sz w:val="24"/>
          <w:szCs w:val="24"/>
          <w:highlight w:val="white"/>
          <w:rtl w:val="0"/>
        </w:rPr>
        <w:t xml:space="preserve">Lumen: Introduction to Psychology 2018. Available at </w:t>
      </w:r>
      <w:hyperlink r:id="rId21">
        <w:r w:rsidDel="00000000" w:rsidR="00000000" w:rsidRPr="00000000">
          <w:rPr>
            <w:color w:val="1155cc"/>
            <w:sz w:val="24"/>
            <w:szCs w:val="24"/>
            <w:highlight w:val="white"/>
            <w:u w:val="single"/>
            <w:rtl w:val="0"/>
          </w:rPr>
          <w:t xml:space="preserve">https://courses.lumenlearning.com/wmopen-psychology/chapter/how-memory-functions/</w:t>
        </w:r>
      </w:hyperlink>
      <w:r w:rsidDel="00000000" w:rsidR="00000000" w:rsidRPr="00000000">
        <w:rPr>
          <w:sz w:val="24"/>
          <w:szCs w:val="24"/>
          <w:highlight w:val="white"/>
          <w:rtl w:val="0"/>
        </w:rPr>
        <w:t xml:space="preserve"> [accessed on October 13th 2018]</w:t>
      </w:r>
    </w:p>
    <w:p w:rsidR="00000000" w:rsidDel="00000000" w:rsidP="00000000" w:rsidRDefault="00000000" w:rsidRPr="00000000" w14:paraId="000000C4">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5">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sz w:val="24"/>
          <w:szCs w:val="24"/>
          <w:highlight w:val="white"/>
          <w:rtl w:val="0"/>
        </w:rPr>
        <w:t xml:space="preserve">Lytton, H (2011) </w:t>
      </w:r>
      <w:r w:rsidDel="00000000" w:rsidR="00000000" w:rsidRPr="00000000">
        <w:rPr>
          <w:i w:val="1"/>
          <w:sz w:val="24"/>
          <w:szCs w:val="24"/>
          <w:highlight w:val="white"/>
          <w:rtl w:val="0"/>
        </w:rPr>
        <w:t xml:space="preserve">Creativity and Education. </w:t>
      </w:r>
      <w:r w:rsidDel="00000000" w:rsidR="00000000" w:rsidRPr="00000000">
        <w:rPr>
          <w:sz w:val="24"/>
          <w:szCs w:val="24"/>
          <w:highlight w:val="white"/>
          <w:rtl w:val="0"/>
        </w:rPr>
        <w:t xml:space="preserve">Routledge Library </w:t>
      </w:r>
    </w:p>
    <w:p w:rsidR="00000000" w:rsidDel="00000000" w:rsidP="00000000" w:rsidRDefault="00000000" w:rsidRPr="00000000" w14:paraId="000000C6">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7">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Pavlov,  I.  P.  (1927) Conditioned reflexes: An investigation of the physiological activity of the cerebral cortex. London. Oxford University Press</w:t>
      </w:r>
    </w:p>
    <w:p w:rsidR="00000000" w:rsidDel="00000000" w:rsidP="00000000" w:rsidRDefault="00000000" w:rsidRPr="00000000" w14:paraId="000000C8">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9">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sz w:val="24"/>
          <w:szCs w:val="24"/>
          <w:highlight w:val="white"/>
          <w:rtl w:val="0"/>
        </w:rPr>
        <w:t xml:space="preserve">Pritchard, A. (2015) </w:t>
      </w:r>
      <w:r w:rsidDel="00000000" w:rsidR="00000000" w:rsidRPr="00000000">
        <w:rPr>
          <w:i w:val="1"/>
          <w:sz w:val="24"/>
          <w:szCs w:val="24"/>
          <w:highlight w:val="white"/>
          <w:rtl w:val="0"/>
        </w:rPr>
        <w:t xml:space="preserve">Ways of Learning: Learning theories and learning styles in the classroom. </w:t>
      </w:r>
      <w:r w:rsidDel="00000000" w:rsidR="00000000" w:rsidRPr="00000000">
        <w:rPr>
          <w:sz w:val="24"/>
          <w:szCs w:val="24"/>
          <w:highlight w:val="white"/>
          <w:rtl w:val="0"/>
        </w:rPr>
        <w:t xml:space="preserve">London: Routledge</w:t>
      </w:r>
    </w:p>
    <w:p w:rsidR="00000000" w:rsidDel="00000000" w:rsidP="00000000" w:rsidRDefault="00000000" w:rsidRPr="00000000" w14:paraId="000000CA">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B">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sz w:val="24"/>
          <w:szCs w:val="24"/>
          <w:highlight w:val="white"/>
          <w:rtl w:val="0"/>
        </w:rPr>
        <w:t xml:space="preserve">Pye, J (1988) </w:t>
      </w:r>
      <w:r w:rsidDel="00000000" w:rsidR="00000000" w:rsidRPr="00000000">
        <w:rPr>
          <w:i w:val="1"/>
          <w:sz w:val="24"/>
          <w:szCs w:val="24"/>
          <w:highlight w:val="white"/>
          <w:rtl w:val="0"/>
        </w:rPr>
        <w:t xml:space="preserve">Invisible Children: Who are the real losers at school?</w:t>
      </w:r>
      <w:r w:rsidDel="00000000" w:rsidR="00000000" w:rsidRPr="00000000">
        <w:rPr>
          <w:sz w:val="24"/>
          <w:szCs w:val="24"/>
          <w:highlight w:val="white"/>
          <w:rtl w:val="0"/>
        </w:rPr>
        <w:t xml:space="preserve"> Oxford University Press</w:t>
      </w:r>
    </w:p>
    <w:p w:rsidR="00000000" w:rsidDel="00000000" w:rsidP="00000000" w:rsidRDefault="00000000" w:rsidRPr="00000000" w14:paraId="000000CC">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D">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sz w:val="24"/>
          <w:szCs w:val="24"/>
          <w:highlight w:val="white"/>
          <w:rtl w:val="0"/>
        </w:rPr>
        <w:t xml:space="preserve">Room 241 Team (2017): </w:t>
      </w:r>
      <w:r w:rsidDel="00000000" w:rsidR="00000000" w:rsidRPr="00000000">
        <w:rPr>
          <w:i w:val="1"/>
          <w:sz w:val="24"/>
          <w:szCs w:val="24"/>
          <w:highlight w:val="white"/>
          <w:rtl w:val="0"/>
        </w:rPr>
        <w:t xml:space="preserve"> How comfortable classrooms lead to a better student community: </w:t>
      </w:r>
      <w:r w:rsidDel="00000000" w:rsidR="00000000" w:rsidRPr="00000000">
        <w:rPr>
          <w:sz w:val="24"/>
          <w:szCs w:val="24"/>
          <w:highlight w:val="white"/>
          <w:rtl w:val="0"/>
        </w:rPr>
        <w:t xml:space="preserve">Blog by Concordia University, Portland. Available at: </w:t>
      </w:r>
      <w:hyperlink r:id="rId22">
        <w:r w:rsidDel="00000000" w:rsidR="00000000" w:rsidRPr="00000000">
          <w:rPr>
            <w:color w:val="1155cc"/>
            <w:sz w:val="24"/>
            <w:szCs w:val="24"/>
            <w:highlight w:val="white"/>
            <w:u w:val="single"/>
            <w:rtl w:val="0"/>
          </w:rPr>
          <w:t xml:space="preserve">https://education.cu-portland.edu/blog/classroom-resources/welcoming-classrooms-better-students/</w:t>
        </w:r>
      </w:hyperlink>
      <w:r w:rsidDel="00000000" w:rsidR="00000000" w:rsidRPr="00000000">
        <w:rPr>
          <w:sz w:val="24"/>
          <w:szCs w:val="24"/>
          <w:highlight w:val="white"/>
          <w:rtl w:val="0"/>
        </w:rPr>
        <w:t xml:space="preserve"> [accessed on October 14th 2018]</w:t>
      </w:r>
    </w:p>
    <w:p w:rsidR="00000000" w:rsidDel="00000000" w:rsidP="00000000" w:rsidRDefault="00000000" w:rsidRPr="00000000" w14:paraId="000000CE">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F">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sz w:val="24"/>
          <w:szCs w:val="24"/>
          <w:highlight w:val="white"/>
          <w:rtl w:val="0"/>
        </w:rPr>
        <w:t xml:space="preserve">Sharpe, W (2009) Article. </w:t>
      </w:r>
      <w:r w:rsidDel="00000000" w:rsidR="00000000" w:rsidRPr="00000000">
        <w:rPr>
          <w:i w:val="1"/>
          <w:sz w:val="24"/>
          <w:szCs w:val="24"/>
          <w:highlight w:val="white"/>
          <w:rtl w:val="0"/>
        </w:rPr>
        <w:t xml:space="preserve">Reading Aloud - Is It Worth It?</w:t>
      </w:r>
      <w:r w:rsidDel="00000000" w:rsidR="00000000" w:rsidRPr="00000000">
        <w:rPr>
          <w:sz w:val="24"/>
          <w:szCs w:val="24"/>
          <w:highlight w:val="white"/>
          <w:rtl w:val="0"/>
        </w:rPr>
        <w:t xml:space="preserve"> Education World Available at: </w:t>
      </w:r>
      <w:hyperlink r:id="rId23">
        <w:r w:rsidDel="00000000" w:rsidR="00000000" w:rsidRPr="00000000">
          <w:rPr>
            <w:color w:val="1155cc"/>
            <w:sz w:val="24"/>
            <w:szCs w:val="24"/>
            <w:highlight w:val="white"/>
            <w:u w:val="single"/>
            <w:rtl w:val="0"/>
          </w:rPr>
          <w:t xml:space="preserve">https://www.educationworld.com/a_curr/curr213.shtml</w:t>
        </w:r>
      </w:hyperlink>
      <w:r w:rsidDel="00000000" w:rsidR="00000000" w:rsidRPr="00000000">
        <w:rPr>
          <w:sz w:val="24"/>
          <w:szCs w:val="24"/>
          <w:highlight w:val="white"/>
          <w:rtl w:val="0"/>
        </w:rPr>
        <w:t xml:space="preserve"> [accessed on October 15th 2018]</w:t>
      </w:r>
    </w:p>
    <w:p w:rsidR="00000000" w:rsidDel="00000000" w:rsidP="00000000" w:rsidRDefault="00000000" w:rsidRPr="00000000" w14:paraId="000000D0">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D1">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sz w:val="24"/>
          <w:szCs w:val="24"/>
          <w:highlight w:val="white"/>
          <w:rtl w:val="0"/>
        </w:rPr>
        <w:t xml:space="preserve">Smidt, S (2009) </w:t>
      </w:r>
      <w:r w:rsidDel="00000000" w:rsidR="00000000" w:rsidRPr="00000000">
        <w:rPr>
          <w:i w:val="1"/>
          <w:sz w:val="24"/>
          <w:szCs w:val="24"/>
          <w:highlight w:val="white"/>
          <w:rtl w:val="0"/>
        </w:rPr>
        <w:t xml:space="preserve">Introducing Vygotsky: A guide for practitioners and students in early years education. </w:t>
      </w:r>
      <w:r w:rsidDel="00000000" w:rsidR="00000000" w:rsidRPr="00000000">
        <w:rPr>
          <w:sz w:val="24"/>
          <w:szCs w:val="24"/>
          <w:highlight w:val="white"/>
          <w:rtl w:val="0"/>
        </w:rPr>
        <w:t xml:space="preserve">London: Routledge</w:t>
      </w:r>
    </w:p>
    <w:p w:rsidR="00000000" w:rsidDel="00000000" w:rsidP="00000000" w:rsidRDefault="00000000" w:rsidRPr="00000000" w14:paraId="000000D2">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D3">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sz w:val="24"/>
          <w:szCs w:val="24"/>
          <w:highlight w:val="white"/>
          <w:rtl w:val="0"/>
        </w:rPr>
        <w:t xml:space="preserve">Sullivan, D (2015) </w:t>
      </w:r>
      <w:r w:rsidDel="00000000" w:rsidR="00000000" w:rsidRPr="00000000">
        <w:rPr>
          <w:i w:val="1"/>
          <w:sz w:val="24"/>
          <w:szCs w:val="24"/>
          <w:highlight w:val="white"/>
          <w:rtl w:val="0"/>
        </w:rPr>
        <w:t xml:space="preserve">Practical Science at KS2 </w:t>
      </w:r>
      <w:r w:rsidDel="00000000" w:rsidR="00000000" w:rsidRPr="00000000">
        <w:rPr>
          <w:sz w:val="24"/>
          <w:szCs w:val="24"/>
          <w:highlight w:val="white"/>
          <w:rtl w:val="0"/>
        </w:rPr>
        <w:t xml:space="preserve">Headteacher Update. Available at: </w:t>
      </w:r>
      <w:hyperlink r:id="rId24">
        <w:r w:rsidDel="00000000" w:rsidR="00000000" w:rsidRPr="00000000">
          <w:rPr>
            <w:color w:val="1155cc"/>
            <w:sz w:val="24"/>
            <w:szCs w:val="24"/>
            <w:highlight w:val="white"/>
            <w:u w:val="single"/>
            <w:rtl w:val="0"/>
          </w:rPr>
          <w:t xml:space="preserve">http://www.headteacher-update.com/best-practice-article/practical-science-at-ks2/88920/</w:t>
        </w:r>
      </w:hyperlink>
      <w:r w:rsidDel="00000000" w:rsidR="00000000" w:rsidRPr="00000000">
        <w:rPr>
          <w:sz w:val="24"/>
          <w:szCs w:val="24"/>
          <w:highlight w:val="white"/>
          <w:rtl w:val="0"/>
        </w:rPr>
        <w:t xml:space="preserve"> [Accessed October 11th 2018]</w:t>
      </w:r>
    </w:p>
    <w:p w:rsidR="00000000" w:rsidDel="00000000" w:rsidP="00000000" w:rsidRDefault="00000000" w:rsidRPr="00000000" w14:paraId="000000D4">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D5">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rtl w:val="0"/>
        </w:rPr>
      </w:r>
    </w:p>
    <w:p w:rsidR="00000000" w:rsidDel="00000000" w:rsidP="00000000" w:rsidRDefault="00000000" w:rsidRPr="00000000" w14:paraId="000000D6">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sz w:val="24"/>
          <w:szCs w:val="24"/>
          <w:highlight w:val="white"/>
          <w:rtl w:val="0"/>
        </w:rPr>
        <w:t xml:space="preserve">UC Berkeley: </w:t>
      </w:r>
      <w:r w:rsidDel="00000000" w:rsidR="00000000" w:rsidRPr="00000000">
        <w:rPr>
          <w:i w:val="1"/>
          <w:sz w:val="24"/>
          <w:szCs w:val="24"/>
          <w:highlight w:val="white"/>
          <w:rtl w:val="0"/>
        </w:rPr>
        <w:t xml:space="preserve">Center for Teaching &amp; Learning: What is Learning? </w:t>
      </w:r>
      <w:r w:rsidDel="00000000" w:rsidR="00000000" w:rsidRPr="00000000">
        <w:rPr>
          <w:sz w:val="24"/>
          <w:szCs w:val="24"/>
          <w:highlight w:val="white"/>
          <w:rtl w:val="0"/>
        </w:rPr>
        <w:t xml:space="preserve">Available at </w:t>
      </w:r>
      <w:hyperlink r:id="rId25">
        <w:r w:rsidDel="00000000" w:rsidR="00000000" w:rsidRPr="00000000">
          <w:rPr>
            <w:color w:val="1155cc"/>
            <w:sz w:val="24"/>
            <w:szCs w:val="24"/>
            <w:highlight w:val="white"/>
            <w:u w:val="single"/>
            <w:rtl w:val="0"/>
          </w:rPr>
          <w:t xml:space="preserve">https://teaching.berkeley.edu/resources/learn/what-learning</w:t>
        </w:r>
      </w:hyperlink>
      <w:r w:rsidDel="00000000" w:rsidR="00000000" w:rsidRPr="00000000">
        <w:rPr>
          <w:sz w:val="24"/>
          <w:szCs w:val="24"/>
          <w:highlight w:val="white"/>
          <w:rtl w:val="0"/>
        </w:rPr>
        <w:t xml:space="preserve"> [accessed on October 13th 2018]</w:t>
      </w:r>
    </w:p>
    <w:p w:rsidR="00000000" w:rsidDel="00000000" w:rsidP="00000000" w:rsidRDefault="00000000" w:rsidRPr="00000000" w14:paraId="000000D7">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D8">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sz w:val="24"/>
          <w:szCs w:val="24"/>
          <w:rtl w:val="0"/>
        </w:rPr>
        <w:t xml:space="preserve">Waters, J (2018): Welsh Government Theories of Learning. Available at: </w:t>
      </w:r>
      <w:hyperlink r:id="rId26">
        <w:r w:rsidDel="00000000" w:rsidR="00000000" w:rsidRPr="00000000">
          <w:rPr>
            <w:sz w:val="24"/>
            <w:szCs w:val="24"/>
            <w:u w:val="single"/>
            <w:rtl w:val="0"/>
          </w:rPr>
          <w:t xml:space="preserve">http://learning.gov.wales/docs/learningwales/publications/140206-theories-of-learning-en.ppt</w:t>
        </w:r>
      </w:hyperlink>
      <w:r w:rsidDel="00000000" w:rsidR="00000000" w:rsidRPr="00000000">
        <w:rPr>
          <w:rtl w:val="0"/>
        </w:rPr>
      </w:r>
    </w:p>
    <w:p w:rsidR="00000000" w:rsidDel="00000000" w:rsidP="00000000" w:rsidRDefault="00000000" w:rsidRPr="00000000" w14:paraId="000000D9">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rtl w:val="0"/>
        </w:rPr>
      </w:r>
    </w:p>
    <w:p w:rsidR="00000000" w:rsidDel="00000000" w:rsidP="00000000" w:rsidRDefault="00000000" w:rsidRPr="00000000" w14:paraId="000000DA">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Welsh Government (2016) </w:t>
      </w:r>
      <w:r w:rsidDel="00000000" w:rsidR="00000000" w:rsidRPr="00000000">
        <w:rPr>
          <w:i w:val="1"/>
          <w:sz w:val="24"/>
          <w:szCs w:val="24"/>
          <w:rtl w:val="0"/>
        </w:rPr>
        <w:t xml:space="preserve">Digital Competency Framework</w:t>
      </w:r>
      <w:r w:rsidDel="00000000" w:rsidR="00000000" w:rsidRPr="00000000">
        <w:rPr>
          <w:sz w:val="24"/>
          <w:szCs w:val="24"/>
          <w:rtl w:val="0"/>
        </w:rPr>
        <w:t xml:space="preserve">: Your Questions Answered. Available at: </w:t>
      </w:r>
      <w:hyperlink r:id="rId27">
        <w:r w:rsidDel="00000000" w:rsidR="00000000" w:rsidRPr="00000000">
          <w:rPr>
            <w:color w:val="1155cc"/>
            <w:sz w:val="24"/>
            <w:szCs w:val="24"/>
            <w:u w:val="single"/>
            <w:rtl w:val="0"/>
          </w:rPr>
          <w:t xml:space="preserve">http://learning.gov.wales/docs/learningwales/publications/160831-dcf-your-questions-answered-en.pdf</w:t>
        </w:r>
      </w:hyperlink>
      <w:r w:rsidDel="00000000" w:rsidR="00000000" w:rsidRPr="00000000">
        <w:rPr>
          <w:sz w:val="24"/>
          <w:szCs w:val="24"/>
          <w:rtl w:val="0"/>
        </w:rPr>
        <w:t xml:space="preserve"> [accessed on October 9th 2018]</w:t>
      </w:r>
    </w:p>
    <w:p w:rsidR="00000000" w:rsidDel="00000000" w:rsidP="00000000" w:rsidRDefault="00000000" w:rsidRPr="00000000" w14:paraId="000000DB">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rtl w:val="0"/>
        </w:rPr>
      </w:r>
    </w:p>
    <w:sectPr>
      <w:headerReference r:id="rId28" w:type="default"/>
      <w:footerReference r:id="rId29" w:type="default"/>
      <w:footerReference r:id="rId30" w:type="first"/>
      <w:pgSz w:h="16834" w:w="11909"/>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D">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E">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C">
    <w:pPr>
      <w:contextualSpacing w:val="0"/>
      <w:rPr>
        <w:color w:val="666666"/>
      </w:rPr>
    </w:pPr>
    <w:r w:rsidDel="00000000" w:rsidR="00000000" w:rsidRPr="00000000">
      <w:rPr>
        <w:color w:val="666666"/>
        <w:rtl w:val="0"/>
      </w:rPr>
      <w:t xml:space="preserve">1401449 - Group 3</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owlcation.com/academia/studentrivalry" TargetMode="External"/><Relationship Id="rId22" Type="http://schemas.openxmlformats.org/officeDocument/2006/relationships/hyperlink" Target="https://education.cu-portland.edu/blog/classroom-resources/welcoming-classrooms-better-students/" TargetMode="External"/><Relationship Id="rId21" Type="http://schemas.openxmlformats.org/officeDocument/2006/relationships/hyperlink" Target="https://courses.lumenlearning.com/wmopen-psychology/chapter/how-memory-functions/" TargetMode="External"/><Relationship Id="rId24" Type="http://schemas.openxmlformats.org/officeDocument/2006/relationships/hyperlink" Target="http://www.headteacher-update.com/best-practice-article/practical-science-at-ks2/88920/" TargetMode="External"/><Relationship Id="rId23" Type="http://schemas.openxmlformats.org/officeDocument/2006/relationships/hyperlink" Target="https://www.educationworld.com/a_curr/curr213.s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hyperlink" Target="http://learning.gov.wales/docs/learningwales/publications/140206-theories-of-learning-en.ppt" TargetMode="External"/><Relationship Id="rId25" Type="http://schemas.openxmlformats.org/officeDocument/2006/relationships/hyperlink" Target="https://teaching.berkeley.edu/resources/learn/what-learning" TargetMode="External"/><Relationship Id="rId28" Type="http://schemas.openxmlformats.org/officeDocument/2006/relationships/header" Target="header1.xml"/><Relationship Id="rId27" Type="http://schemas.openxmlformats.org/officeDocument/2006/relationships/hyperlink" Target="http://learning.gov.wales/docs/learningwales/publications/160831-dcf-your-questions-answered-en.pdf" TargetMode="External"/><Relationship Id="rId5" Type="http://schemas.openxmlformats.org/officeDocument/2006/relationships/styles" Target="styles.xml"/><Relationship Id="rId6" Type="http://schemas.openxmlformats.org/officeDocument/2006/relationships/image" Target="media/image3.jpg"/><Relationship Id="rId29" Type="http://schemas.openxmlformats.org/officeDocument/2006/relationships/footer" Target="footer2.xml"/><Relationship Id="rId7" Type="http://schemas.openxmlformats.org/officeDocument/2006/relationships/image" Target="media/image2.png"/><Relationship Id="rId8" Type="http://schemas.openxmlformats.org/officeDocument/2006/relationships/image" Target="media/image4.jpg"/><Relationship Id="rId30" Type="http://schemas.openxmlformats.org/officeDocument/2006/relationships/footer" Target="footer1.xml"/><Relationship Id="rId11" Type="http://schemas.openxmlformats.org/officeDocument/2006/relationships/hyperlink" Target="http://ld6ela.edublogs.org/files/2008/08/blackandwiliam_ed-5nov03.doc" TargetMode="External"/><Relationship Id="rId10" Type="http://schemas.openxmlformats.org/officeDocument/2006/relationships/hyperlink" Target="https://www.theeducatedbrain.com/memory-defined.html" TargetMode="External"/><Relationship Id="rId13" Type="http://schemas.openxmlformats.org/officeDocument/2006/relationships/hyperlink" Target="https://www.simplypsychology.org/bruner.html" TargetMode="External"/><Relationship Id="rId12" Type="http://schemas.openxmlformats.org/officeDocument/2006/relationships/hyperlink" Target="https://www.bera.ac.uk/researchers-resources/publications/ethical-guidelines-for-educational-research-2011" TargetMode="External"/><Relationship Id="rId15" Type="http://schemas.openxmlformats.org/officeDocument/2006/relationships/hyperlink" Target="http://www.nwlink.com/~donclark/hrd/bloom.html" TargetMode="External"/><Relationship Id="rId14" Type="http://schemas.openxmlformats.org/officeDocument/2006/relationships/hyperlink" Target="https://www.verywellmind.com/pavlovs-dogs-2794989" TargetMode="External"/><Relationship Id="rId17" Type="http://schemas.openxmlformats.org/officeDocument/2006/relationships/hyperlink" Target="https://www.telegraph.co.uk/culture/books/booknews/10468670/Michael-Morpurgo-Bring-back-story-time-in-every-school.html" TargetMode="External"/><Relationship Id="rId16" Type="http://schemas.openxmlformats.org/officeDocument/2006/relationships/hyperlink" Target="https://beta.gov.wales/sites/default/files/publications/2018-03/succesful-futures-a-summary-of-professor-graham-donaldsons-report.pdf" TargetMode="External"/><Relationship Id="rId19" Type="http://schemas.openxmlformats.org/officeDocument/2006/relationships/hyperlink" Target="http://webarchive.nationalarchives.gov.uk/20130323075343/https://www.education.gov.uk/publications/eOrderingDownload/TGSG%200515MIG29.pdf" TargetMode="External"/><Relationship Id="rId18" Type="http://schemas.openxmlformats.org/officeDocument/2006/relationships/hyperlink" Target="http://www.greeneducationfoundation.org/greenthumbchallengesub/curriculum-and-activities/garden-as-a-teaching-too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