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5"/>
        <w:spacing w:line="480" w:lineRule="auto"/>
        <w:jc w:val="center"/>
        <w:rPr>
          <w:rFonts w:ascii="Times New Roman" w:eastAsia="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p>
    <w:p>
      <w:pPr>
        <w:spacing w:line="480" w:lineRule="auto"/>
        <w:jc w:val="center"/>
        <w:rPr>
          <w:rFonts w:ascii="Times New Roman" w:cs="Times New Roman" w:hAnsi="Times New Roman"/>
          <w:b/>
          <w:sz w:val="32"/>
          <w:szCs w:val="32"/>
        </w:rPr>
      </w:pPr>
      <w:r>
        <w:rPr>
          <w:rFonts w:ascii="Times New Roman" w:cs="Times New Roman" w:hAnsi="Times New Roman"/>
          <w:b/>
          <w:sz w:val="32"/>
          <w:szCs w:val="32"/>
        </w:rPr>
        <w:t>BMMB7000: CHANGE &amp; STABILITY MANAGEMENT</w:t>
      </w:r>
    </w:p>
    <w:p>
      <w:pPr>
        <w:spacing w:line="480" w:lineRule="auto"/>
        <w:jc w:val="center"/>
        <w:rPr>
          <w:rFonts w:ascii="Times New Roman" w:cs="Times New Roman" w:hAnsi="Times New Roman"/>
          <w:b/>
          <w:sz w:val="32"/>
          <w:szCs w:val="32"/>
        </w:rPr>
      </w:pPr>
      <w:r>
        <w:rPr>
          <w:rFonts w:ascii="Times New Roman" w:cs="Times New Roman" w:hAnsi="Times New Roman"/>
          <w:b/>
          <w:sz w:val="32"/>
          <w:szCs w:val="32"/>
        </w:rPr>
        <w:t>ASSESSMENT 2: REPORT</w:t>
      </w:r>
    </w:p>
    <w:p>
      <w:pPr>
        <w:spacing w:line="480" w:lineRule="auto"/>
        <w:jc w:val="center"/>
        <w:rPr>
          <w:rFonts w:ascii="Times New Roman" w:cs="Times New Roman" w:hAnsi="Times New Roman"/>
          <w:b/>
          <w:sz w:val="32"/>
          <w:szCs w:val="32"/>
        </w:rPr>
      </w:pPr>
      <w:r>
        <w:rPr>
          <w:rFonts w:ascii="Times New Roman" w:cs="Times New Roman" w:hAnsi="Times New Roman"/>
          <w:b/>
          <w:sz w:val="32"/>
          <w:szCs w:val="32"/>
        </w:rPr>
        <w:t>NAME- BHUMIKA</w:t>
      </w:r>
    </w:p>
    <w:p>
      <w:pPr>
        <w:spacing w:line="480" w:lineRule="auto"/>
        <w:jc w:val="center"/>
        <w:rPr>
          <w:rFonts w:ascii="Times New Roman" w:cs="Times New Roman" w:hAnsi="Times New Roman"/>
          <w:b/>
          <w:sz w:val="32"/>
          <w:szCs w:val="32"/>
        </w:rPr>
      </w:pPr>
      <w:r>
        <w:rPr>
          <w:rFonts w:ascii="Times New Roman" w:cs="Times New Roman" w:hAnsi="Times New Roman"/>
          <w:b/>
          <w:sz w:val="32"/>
          <w:szCs w:val="32"/>
        </w:rPr>
        <w:t>STUDENT I'D NO</w:t>
      </w:r>
      <w:bookmarkStart w:id="0" w:name="_GoBack"/>
      <w:bookmarkEnd w:id="0"/>
      <w:r>
        <w:rPr>
          <w:rFonts w:ascii="Times New Roman" w:cs="Times New Roman" w:hAnsi="Times New Roman"/>
          <w:b/>
          <w:sz w:val="32"/>
          <w:szCs w:val="32"/>
        </w:rPr>
        <w:t>- 2230753</w:t>
      </w:r>
    </w:p>
    <w:p>
      <w:pPr>
        <w:spacing w:line="480" w:lineRule="auto"/>
        <w:jc w:val="center"/>
        <w:rPr>
          <w:rFonts w:ascii="Times New Roman" w:cs="Times New Roman" w:hAnsi="Times New Roman"/>
          <w:b/>
          <w:sz w:val="32"/>
          <w:szCs w:val="32"/>
        </w:rPr>
      </w:pPr>
      <w:r>
        <w:rPr>
          <w:rFonts w:ascii="Times New Roman" w:cs="Times New Roman" w:hAnsi="Times New Roman"/>
          <w:b/>
          <w:sz w:val="32"/>
          <w:szCs w:val="32"/>
        </w:rPr>
        <w:t xml:space="preserve">MBA PROGRAM </w:t>
      </w:r>
    </w:p>
    <w:p>
      <w:pPr>
        <w:rPr>
          <w:rFonts w:ascii="Times New Roman" w:cs="Times New Roman" w:hAnsi="Times New Roman"/>
          <w:b/>
          <w:sz w:val="32"/>
          <w:szCs w:val="32"/>
        </w:rPr>
      </w:pPr>
      <w:r>
        <w:rPr>
          <w:rFonts w:ascii="Times New Roman" w:cs="Times New Roman" w:hAnsi="Times New Roman"/>
          <w:b/>
          <w:sz w:val="32"/>
          <w:szCs w:val="32"/>
        </w:rPr>
        <w:br w:type="page"/>
      </w:r>
    </w:p>
    <w:p>
      <w:pPr>
        <w:spacing w:line="480" w:lineRule="auto"/>
        <w:jc w:val="center"/>
        <w:rPr>
          <w:rFonts w:ascii="Times New Roman" w:cs="Times New Roman" w:hAnsi="Times New Roman"/>
          <w:b/>
          <w:sz w:val="28"/>
          <w:szCs w:val="28"/>
        </w:rPr>
      </w:pPr>
      <w:r>
        <w:rPr>
          <w:rFonts w:ascii="Times New Roman" w:cs="Times New Roman" w:hAnsi="Times New Roman"/>
          <w:b/>
          <w:sz w:val="28"/>
          <w:szCs w:val="28"/>
        </w:rPr>
        <w:t>Table of Contents</w:t>
      </w:r>
    </w:p>
    <w:p>
      <w:pPr>
        <w:pStyle w:val="21"/>
      </w:pPr>
    </w:p>
    <w:p>
      <w:pPr>
        <w:pStyle w:val="22"/>
        <w:tabs>
          <w:tab w:val="right" w:leader="dot" w:pos="9350"/>
        </w:tabs>
        <w:spacing w:line="360" w:lineRule="auto"/>
        <w:jc w:val="both"/>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Hyperlink \l "_Toc140012186"</w:instrText>
      </w:r>
      <w:r>
        <w:fldChar w:fldCharType="separate"/>
      </w:r>
      <w:r>
        <w:rPr>
          <w:rFonts w:ascii="Times New Roman" w:cs="Times New Roman" w:hAnsi="Times New Roman"/>
          <w:sz w:val="24"/>
          <w:szCs w:val="24"/>
        </w:rPr>
        <w:t>Introduction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_Toc140012186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"_Toc140012187"</w:instrText>
      </w:r>
      <w:r>
        <w:fldChar w:fldCharType="separate"/>
      </w:r>
      <w:r>
        <w:rPr>
          <w:rFonts w:ascii="Times New Roman" w:cs="Times New Roman" w:hAnsi="Times New Roman"/>
          <w:sz w:val="24"/>
          <w:szCs w:val="24"/>
        </w:rPr>
        <w:t>Background to the organisation and the reason for change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_Toc140012187 \h </w:instrText>
      </w:r>
      <w:r>
        <w:rPr>
          <w:rFonts w:ascii="Times New Roman" w:cs="Times New Roman" w:hAnsi="Times New Roman"/>
          <w:sz w:val="24"/>
          <w:szCs w:val="24"/>
        </w:rPr>
        <w:fldChar w:fldCharType="separate"/>
      </w:r>
      <w:r>
        <w:rPr>
          <w:rFonts w:ascii="Times New Roman" w:cs="Times New Roman" w:hAnsi="Times New Roman"/>
          <w:sz w:val="24"/>
          <w:szCs w:val="24"/>
        </w:rPr>
        <w:t>3</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"_Toc140012188"</w:instrText>
      </w:r>
      <w:r>
        <w:fldChar w:fldCharType="separate"/>
      </w:r>
      <w:r>
        <w:rPr>
          <w:rFonts w:ascii="Times New Roman" w:cs="Times New Roman" w:hAnsi="Times New Roman"/>
          <w:sz w:val="24"/>
          <w:szCs w:val="24"/>
        </w:rPr>
        <w:t>Critically appraising the key change management Models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_Toc140012188 \h </w:instrText>
      </w:r>
      <w:r>
        <w:rPr>
          <w:rFonts w:ascii="Times New Roman" w:cs="Times New Roman" w:hAnsi="Times New Roman"/>
          <w:sz w:val="24"/>
          <w:szCs w:val="24"/>
        </w:rPr>
        <w:fldChar w:fldCharType="separate"/>
      </w:r>
      <w:r>
        <w:rPr>
          <w:rFonts w:ascii="Times New Roman" w:cs="Times New Roman" w:hAnsi="Times New Roman"/>
          <w:sz w:val="24"/>
          <w:szCs w:val="24"/>
        </w:rPr>
        <w:t>5</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"_Toc140012189"</w:instrText>
      </w:r>
      <w:r>
        <w:fldChar w:fldCharType="separate"/>
      </w:r>
      <w:r>
        <w:rPr>
          <w:rFonts w:ascii="Times New Roman" w:cs="Times New Roman" w:hAnsi="Times New Roman"/>
          <w:sz w:val="24"/>
          <w:szCs w:val="24"/>
        </w:rPr>
        <w:t>Utilising the models for incremental (small scale) or a large scale change program</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_Toc140012189 \h </w:instrText>
      </w:r>
      <w:r>
        <w:rPr>
          <w:rFonts w:ascii="Times New Roman" w:cs="Times New Roman" w:hAnsi="Times New Roman"/>
          <w:sz w:val="24"/>
          <w:szCs w:val="24"/>
        </w:rPr>
        <w:fldChar w:fldCharType="separate"/>
      </w:r>
      <w:r>
        <w:rPr>
          <w:rFonts w:ascii="Times New Roman" w:cs="Times New Roman" w:hAnsi="Times New Roman"/>
          <w:sz w:val="24"/>
          <w:szCs w:val="24"/>
        </w:rPr>
        <w:t>7</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"_Toc140012190"</w:instrText>
      </w:r>
      <w:r>
        <w:fldChar w:fldCharType="separate"/>
      </w:r>
      <w:r>
        <w:rPr>
          <w:rFonts w:ascii="Times New Roman" w:cs="Times New Roman" w:hAnsi="Times New Roman"/>
          <w:sz w:val="24"/>
          <w:szCs w:val="24"/>
        </w:rPr>
        <w:t>Driver factors for change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_Toc140012190 \h </w:instrText>
      </w:r>
      <w:r>
        <w:rPr>
          <w:rFonts w:ascii="Times New Roman" w:cs="Times New Roman" w:hAnsi="Times New Roman"/>
          <w:sz w:val="24"/>
          <w:szCs w:val="24"/>
        </w:rPr>
        <w:fldChar w:fldCharType="separate"/>
      </w:r>
      <w:r>
        <w:rPr>
          <w:rFonts w:ascii="Times New Roman" w:cs="Times New Roman" w:hAnsi="Times New Roman"/>
          <w:sz w:val="24"/>
          <w:szCs w:val="24"/>
        </w:rPr>
        <w:t>10</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"_Toc140012191"</w:instrText>
      </w:r>
      <w:r>
        <w:fldChar w:fldCharType="separate"/>
      </w:r>
      <w:r>
        <w:rPr>
          <w:rFonts w:ascii="Times New Roman" w:cs="Times New Roman" w:hAnsi="Times New Roman"/>
          <w:sz w:val="24"/>
          <w:szCs w:val="24"/>
        </w:rPr>
        <w:t>Dealing with the resistance factors for the change</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_Toc140012191 \h </w:instrText>
      </w:r>
      <w:r>
        <w:rPr>
          <w:rFonts w:ascii="Times New Roman" w:cs="Times New Roman" w:hAnsi="Times New Roman"/>
          <w:sz w:val="24"/>
          <w:szCs w:val="24"/>
        </w:rPr>
        <w:fldChar w:fldCharType="separate"/>
      </w:r>
      <w:r>
        <w:rPr>
          <w:rFonts w:ascii="Times New Roman" w:cs="Times New Roman" w:hAnsi="Times New Roman"/>
          <w:sz w:val="24"/>
          <w:szCs w:val="24"/>
        </w:rPr>
        <w:t>15</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"_Toc140012192"</w:instrText>
      </w:r>
      <w:r>
        <w:fldChar w:fldCharType="separate"/>
      </w:r>
      <w:r>
        <w:rPr>
          <w:rFonts w:ascii="Times New Roman" w:cs="Times New Roman" w:hAnsi="Times New Roman"/>
          <w:sz w:val="24"/>
          <w:szCs w:val="24"/>
        </w:rPr>
        <w:t>Effectiveness of the change Program</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_Toc140012192 \h </w:instrText>
      </w:r>
      <w:r>
        <w:rPr>
          <w:rFonts w:ascii="Times New Roman" w:cs="Times New Roman" w:hAnsi="Times New Roman"/>
          <w:sz w:val="24"/>
          <w:szCs w:val="24"/>
        </w:rPr>
        <w:fldChar w:fldCharType="separate"/>
      </w:r>
      <w:r>
        <w:rPr>
          <w:rFonts w:ascii="Times New Roman" w:cs="Times New Roman" w:hAnsi="Times New Roman"/>
          <w:sz w:val="24"/>
          <w:szCs w:val="24"/>
        </w:rPr>
        <w:t>16</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rPr>
          <w:rFonts w:ascii="Times New Roman" w:cs="Times New Roman" w:hAnsi="Times New Roman"/>
          <w:sz w:val="24"/>
          <w:szCs w:val="24"/>
        </w:rPr>
      </w:pPr>
      <w:r>
        <w:fldChar w:fldCharType="begin"/>
      </w:r>
      <w:r>
        <w:instrText>Hyperlink \l "_Toc140012193"</w:instrText>
      </w:r>
      <w:r>
        <w:fldChar w:fldCharType="separate"/>
      </w:r>
      <w:r>
        <w:rPr>
          <w:rFonts w:ascii="Times New Roman" w:cs="Times New Roman" w:hAnsi="Times New Roman"/>
          <w:sz w:val="24"/>
          <w:szCs w:val="24"/>
        </w:rPr>
        <w:t>Conclusion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_Toc140012193 \h </w:instrText>
      </w:r>
      <w:r>
        <w:rPr>
          <w:rFonts w:ascii="Times New Roman" w:cs="Times New Roman" w:hAnsi="Times New Roman"/>
          <w:sz w:val="24"/>
          <w:szCs w:val="24"/>
        </w:rPr>
        <w:fldChar w:fldCharType="separate"/>
      </w:r>
      <w:r>
        <w:rPr>
          <w:rFonts w:ascii="Times New Roman" w:cs="Times New Roman" w:hAnsi="Times New Roman"/>
          <w:sz w:val="24"/>
          <w:szCs w:val="24"/>
        </w:rPr>
        <w:t>17</w:t>
      </w:r>
      <w:r>
        <w:rPr>
          <w:rFonts w:ascii="Times New Roman" w:cs="Times New Roman" w:hAnsi="Times New Roman"/>
          <w:sz w:val="24"/>
          <w:szCs w:val="24"/>
        </w:rPr>
        <w:fldChar w:fldCharType="end"/>
      </w:r>
      <w:r>
        <w:fldChar w:fldCharType="end"/>
      </w:r>
    </w:p>
    <w:p>
      <w:pPr>
        <w:pStyle w:val="22"/>
        <w:tabs>
          <w:tab w:val="right" w:leader="dot" w:pos="9350"/>
        </w:tabs>
        <w:spacing w:line="360" w:lineRule="auto"/>
        <w:jc w:val="both"/>
      </w:pPr>
      <w:r>
        <w:fldChar w:fldCharType="begin"/>
      </w:r>
      <w:r>
        <w:instrText>Hyperlink \l "_Toc140012194"</w:instrText>
      </w:r>
      <w:r>
        <w:fldChar w:fldCharType="separate"/>
      </w:r>
      <w:r>
        <w:rPr>
          <w:rFonts w:ascii="Times New Roman" w:cs="Times New Roman" w:hAnsi="Times New Roman"/>
          <w:sz w:val="24"/>
          <w:szCs w:val="24"/>
        </w:rPr>
        <w:t>References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_Toc140012194 \h </w:instrText>
      </w:r>
      <w:r>
        <w:rPr>
          <w:rFonts w:ascii="Times New Roman" w:cs="Times New Roman" w:hAnsi="Times New Roman"/>
          <w:sz w:val="24"/>
          <w:szCs w:val="24"/>
        </w:rPr>
        <w:fldChar w:fldCharType="separate"/>
      </w:r>
      <w:r>
        <w:rPr>
          <w:rFonts w:ascii="Times New Roman" w:cs="Times New Roman" w:hAnsi="Times New Roman"/>
          <w:sz w:val="24"/>
          <w:szCs w:val="24"/>
        </w:rPr>
        <w:t>19</w:t>
      </w:r>
      <w:r>
        <w:rPr>
          <w:rFonts w:ascii="Times New Roman" w:cs="Times New Roman" w:hAnsi="Times New Roman"/>
          <w:sz w:val="24"/>
          <w:szCs w:val="24"/>
        </w:rPr>
        <w:fldChar w:fldCharType="end"/>
      </w:r>
      <w:r>
        <w:fldChar w:fldCharType="end"/>
      </w:r>
    </w:p>
    <w:p>
      <w:r>
        <w:fldChar w:fldCharType="end"/>
      </w:r>
    </w:p>
    <w:p>
      <w:pPr>
        <w:spacing w:line="480" w:lineRule="auto"/>
        <w:jc w:val="center"/>
        <w:rPr>
          <w:rFonts w:ascii="Times New Roman" w:cs="Times New Roman" w:hAnsi="Times New Roman"/>
          <w:b/>
          <w:sz w:val="28"/>
          <w:szCs w:val="28"/>
        </w:rPr>
      </w:pPr>
    </w:p>
    <w:p>
      <w:pPr>
        <w:rPr>
          <w:rFonts w:ascii="Times New Roman" w:hAnsi="Times New Roman"/>
          <w:b/>
          <w:sz w:val="28"/>
          <w:szCs w:val="40"/>
        </w:rPr>
      </w:pPr>
      <w:r>
        <w:br w:type="page"/>
      </w:r>
    </w:p>
    <w:p>
      <w:pPr>
        <w:pStyle w:val="1"/>
      </w:pPr>
      <w:bookmarkStart w:id="1" w:name="_Toc140012186"/>
      <w:r>
        <w:t>Introduction</w:t>
      </w:r>
      <w:bookmarkEnd w:id="1"/>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business environment is dynamic as it always needs to cater to the changing trends as well as customer requirements. Consequently, there is a rising need for flexibility within organisations such that these can effectively bring about a change within their management as well as operations to address the needs of their target. In this context, </w:t>
      </w:r>
      <w:r>
        <w:rPr>
          <w:rFonts w:ascii="Times New Roman" w:eastAsia="Times New Roman" w:cs="Times New Roman" w:hAnsi="Times New Roman"/>
          <w:sz w:val="24"/>
          <w:szCs w:val="24"/>
          <w:highlight w:val="white"/>
        </w:rPr>
        <w:t>Cameron and Green (2019)</w:t>
      </w:r>
      <w:r>
        <w:rPr>
          <w:rFonts w:ascii="Times New Roman" w:eastAsia="Times New Roman" w:cs="Times New Roman" w:hAnsi="Times New Roman"/>
          <w:sz w:val="24"/>
          <w:szCs w:val="24"/>
        </w:rPr>
        <w:t xml:space="preserve"> further argue that change management capacity and capability within organizations keep on varying. Thus, organisations should take the initiative to create a suitable plan to implement any change. This can be further ensured by following change management models. The adherence to change management models will provide the organisations with the opportunity to analyse if the changes are possible and what areas are being missed out on during the change implementation.</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chosen organisation for the preparation of change management strategy is Tesco. The assignment will critically appraise key change management models. It will also analyse driver factors for change for the organisation to implement any changes in the organisation effectively. In order to implement changes in the organisation, analysis of possible resistance factors needs to be analysed. The report will analyse such factors and also analyse their effectiveness.</w:t>
      </w:r>
    </w:p>
    <w:p>
      <w:pPr>
        <w:pStyle w:val="1"/>
      </w:pPr>
      <w:bookmarkStart w:id="2" w:name="_Toc140012187"/>
      <w:r>
        <w:t>Background to the organisation and the reason for the change</w:t>
      </w:r>
      <w:bookmarkEnd w:id="2"/>
      <w:r>
        <w:t xml:space="preserve"> </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Tesco is a grocery and general merchandise retailer which is of British origin. It is one of the most popular retail organisations and is considered among the organisations which have a considerable share of the market. Till 2018, Tesco had a 28.9% market share within the UK. The business of Tesco was diversified into various fields such as financial services, clothing, electronics, furniture, software, book, and others. Now, the market share of Tesco is 27.3% which has decreased from the figure of 27.7% in February 2022 (Assosia, 2023).</w:t>
      </w:r>
    </w:p>
    <w:p>
      <w:pPr>
        <w:pStyle w:val="15"/>
        <w:spacing w:before="240" w:after="240"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Reason</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main reason for introducing change in the operation of Tesco is to keep the organisation competitive. Tesco UK's CEO Jason Tarry stated that despite being a risky decision, this change in management was implemented to increase the </w:t>
      </w:r>
      <w:r>
        <w:rPr>
          <w:rFonts w:ascii="Times New Roman" w:eastAsia="Times New Roman" w:cs="Times New Roman" w:hAnsi="Times New Roman"/>
          <w:sz w:val="24"/>
          <w:szCs w:val="24"/>
          <w:highlight w:val="white"/>
        </w:rPr>
        <w:t>focus on delivering value to the organisation's customers (The Economic Times, 2023).</w:t>
      </w:r>
      <w:r>
        <w:rPr>
          <w:rFonts w:ascii="Times New Roman" w:eastAsia="Times New Roman" w:cs="Times New Roman" w:hAnsi="Times New Roman"/>
          <w:sz w:val="24"/>
          <w:szCs w:val="24"/>
        </w:rPr>
        <w:t xml:space="preserve"> The change has been done in the form of recruiting shift leaders along with closing the counters due to its decreasing demand from the customers. The reason behind decreasing the number of counters is increasing the range of in-aisle products. In Tesco, the Shift leaders are provided with the opportunity to implement their own decision-making and organisational skills in running the stores smoothly. Additionally, these shift leaders are also provided with the responsibility to manage teams effectively at every store (Tesco, 2023b). Hence the recruitment of these shift leaders has the scope of increased productivity as the tasks will be delegated properly, and due to the individuality of the leaders, they can come up with innovative approaches that can increase customer value.</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However, recruiting 1800 shifting leaders will affect the jobs of  1750 leads and team managers of the large stores negatively (Tesco</w:t>
      </w:r>
      <w:r>
        <w:rPr>
          <w:rFonts w:ascii="Times New Roman" w:eastAsia="Times New Roman" w:cs="Times New Roman" w:hAnsi="Times New Roman"/>
          <w:i/>
          <w:sz w:val="24"/>
          <w:szCs w:val="24"/>
        </w:rPr>
        <w:t xml:space="preserve">, </w:t>
      </w:r>
      <w:r>
        <w:rPr>
          <w:rFonts w:ascii="Times New Roman" w:eastAsia="Times New Roman" w:cs="Times New Roman" w:hAnsi="Times New Roman"/>
          <w:sz w:val="24"/>
          <w:szCs w:val="24"/>
        </w:rPr>
        <w:t xml:space="preserve">2023a). Tesco is keen on addressing this job cut and associated issues. While the job of shift leader is paid lower, then the staff who are willing to stay within the company will be given the choice of receiving lump sump for making up for the salary discrepancy or even can take the opportunity to receive the same wage as earlier for the consecutive two years (Kollewe and Partridge, 2023). Therefore, Tesco has shown concern towards the employees and provided them with compensation. </w:t>
      </w:r>
    </w:p>
    <w:p>
      <w:pPr>
        <w:pStyle w:val="1"/>
      </w:pPr>
      <w:bookmarkStart w:id="3" w:name="_Toc140012188"/>
      <w:r>
        <w:t>Critically appraising the key change management models</w:t>
      </w:r>
      <w:bookmarkEnd w:id="3"/>
    </w:p>
    <w:p>
      <w:pPr>
        <w:pStyle w:val="15"/>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b/>
          <w:i/>
          <w:sz w:val="24"/>
          <w:szCs w:val="24"/>
        </w:rPr>
        <w:t>ADKAR change management model</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model specifies a proper structure for implementing changes in the workplace (</w:t>
      </w:r>
      <w:r>
        <w:rPr>
          <w:rFonts w:ascii="Times New Roman" w:eastAsia="Times New Roman" w:cs="Times New Roman" w:hAnsi="Times New Roman"/>
          <w:sz w:val="24"/>
          <w:szCs w:val="24"/>
          <w:highlight w:val="white"/>
        </w:rPr>
        <w:t xml:space="preserve">Paramitha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 xml:space="preserve">.  </w:t>
      </w:r>
    </w:p>
    <w:p>
      <w:pPr>
        <w:pStyle w:val="15"/>
        <w:spacing w:before="240" w:after="240"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038600" cy="1981200"/>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4038600" cy="1981200"/>
                    </a:xfrm>
                    <a:prstGeom prst="rect"/>
                    <a:noFill/>
                    <a:ln w="12700" cmpd="sng" cap="flat">
                      <a:noFill/>
                      <a:prstDash val="solid"/>
                      <a:miter/>
                    </a:ln>
                  </pic:spPr>
                </pic:pic>
              </a:graphicData>
            </a:graphic>
          </wp:inline>
        </w:drawing>
      </w:r>
    </w:p>
    <w:p>
      <w:pPr>
        <w:pStyle w:val="15"/>
        <w:spacing w:before="240" w:after="240" w:line="48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1: ADKAR Change Management Model</w:t>
      </w:r>
    </w:p>
    <w:p>
      <w:pPr>
        <w:pStyle w:val="15"/>
        <w:spacing w:before="240" w:after="240"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w:t>
      </w:r>
      <w:r>
        <w:rPr>
          <w:rFonts w:ascii="Times New Roman" w:eastAsia="Times New Roman" w:cs="Times New Roman" w:hAnsi="Times New Roman"/>
          <w:sz w:val="24"/>
          <w:szCs w:val="24"/>
          <w:highlight w:val="white"/>
        </w:rPr>
        <w:t xml:space="preserve"> Yousefi </w:t>
      </w:r>
      <w:r>
        <w:rPr>
          <w:rFonts w:ascii="Times New Roman" w:eastAsia="Times New Roman" w:cs="Times New Roman" w:hAnsi="Times New Roman"/>
          <w:i/>
          <w:sz w:val="24"/>
          <w:szCs w:val="24"/>
          <w:highlight w:val="white"/>
        </w:rPr>
        <w:t>et al.</w:t>
      </w:r>
      <w:r>
        <w:rPr>
          <w:rFonts w:ascii="Times New Roman" w:eastAsia="Times New Roman" w:cs="Times New Roman" w:hAnsi="Times New Roman"/>
          <w:sz w:val="24"/>
          <w:szCs w:val="24"/>
          <w:highlight w:val="white"/>
        </w:rPr>
        <w:t xml:space="preserve"> 2022</w:t>
      </w:r>
      <w:r>
        <w:rPr>
          <w:rFonts w:ascii="Times New Roman" w:eastAsia="Times New Roman" w:cs="Times New Roman" w:hAnsi="Times New Roman"/>
          <w:sz w:val="24"/>
          <w:szCs w:val="24"/>
        </w:rPr>
        <w:t>)</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ADKAR is an acronym representing five tangible and concrete outcomes including awareness, desire, knowledge, ability and reinforcement (</w:t>
      </w:r>
      <w:r>
        <w:rPr>
          <w:rFonts w:ascii="Times New Roman" w:eastAsia="Times New Roman" w:cs="Times New Roman" w:hAnsi="Times New Roman"/>
          <w:sz w:val="24"/>
          <w:szCs w:val="24"/>
          <w:highlight w:val="white"/>
        </w:rPr>
        <w:t>Bekmukhambetova, 2021</w:t>
      </w:r>
      <w:r>
        <w:rPr>
          <w:rFonts w:ascii="Times New Roman" w:eastAsia="Times New Roman" w:cs="Times New Roman" w:hAnsi="Times New Roman"/>
          <w:sz w:val="24"/>
          <w:szCs w:val="24"/>
        </w:rPr>
        <w:t xml:space="preserve">).  First of all, it is necessary to increase awareness among the employees about the change. Moreover, after that, it is required to know everyone's choices regarding the case. The atmosphere needs to be properly communicative and everyone needs to have detailed information about their part to play in the change management process.  After that, it is essential to provide training and development to all the employees to make sure that their skills are appropriate for the change process. On the contrary, this model excludes the fact that change can be complex along with ignoring the long-term vision of change. </w:t>
      </w:r>
      <w:r>
        <w:rPr>
          <w:rFonts w:ascii="Times New Roman" w:eastAsia="Times New Roman" w:cs="Times New Roman" w:hAnsi="Times New Roman"/>
          <w:sz w:val="24"/>
          <w:szCs w:val="24"/>
          <w:highlight w:val="white"/>
        </w:rPr>
        <w:t>Bekmukhambetova, (2021)</w:t>
      </w:r>
      <w:r>
        <w:rPr>
          <w:rFonts w:ascii="Times New Roman" w:eastAsia="Times New Roman" w:cs="Times New Roman" w:hAnsi="Times New Roman"/>
          <w:sz w:val="24"/>
          <w:szCs w:val="24"/>
        </w:rPr>
        <w:t xml:space="preserve"> argues that ADKAR Model is limited while making largescale implementations. Also, it fails to effectively understand and manage why change management strategies are labelled nebulous.</w:t>
      </w:r>
    </w:p>
    <w:p>
      <w:pPr>
        <w:pStyle w:val="15"/>
        <w:spacing w:before="240" w:after="240"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Lewin's change management model</w:t>
      </w:r>
    </w:p>
    <w:p>
      <w:pPr>
        <w:pStyle w:val="15"/>
        <w:spacing w:before="240" w:after="240" w:line="480" w:lineRule="auto"/>
        <w:jc w:val="center"/>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drawing>
          <wp:inline distT="114300" distB="114300" distL="114300" distR="114300">
            <wp:extent cx="5943600" cy="2374900"/>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5943600" cy="2374900"/>
                    </a:xfrm>
                    <a:prstGeom prst="rect"/>
                    <a:noFill/>
                    <a:ln w="12700" cmpd="sng" cap="flat">
                      <a:noFill/>
                      <a:prstDash val="solid"/>
                      <a:miter/>
                    </a:ln>
                  </pic:spPr>
                </pic:pic>
              </a:graphicData>
            </a:graphic>
          </wp:inline>
        </w:drawing>
      </w:r>
    </w:p>
    <w:p>
      <w:pPr>
        <w:pStyle w:val="15"/>
        <w:spacing w:before="240" w:after="240" w:line="48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2: Lewin’s Change Management Model</w:t>
      </w:r>
    </w:p>
    <w:p>
      <w:pPr>
        <w:pStyle w:val="15"/>
        <w:spacing w:before="240" w:after="240"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w:t>
      </w:r>
      <w:r>
        <w:rPr>
          <w:rFonts w:ascii="Times New Roman" w:eastAsia="Times New Roman" w:cs="Times New Roman" w:hAnsi="Times New Roman"/>
          <w:sz w:val="24"/>
          <w:szCs w:val="24"/>
          <w:highlight w:val="white"/>
        </w:rPr>
        <w:t>Burnes, 2020</w:t>
      </w:r>
      <w:r>
        <w:rPr>
          <w:rFonts w:ascii="Times New Roman" w:eastAsia="Times New Roman" w:cs="Times New Roman" w:hAnsi="Times New Roman"/>
          <w:sz w:val="24"/>
          <w:szCs w:val="24"/>
        </w:rPr>
        <w:t>)</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There are main stages of this change management consisting of unfreeze, change, and refreeze. In the stage of unfreezing, the organisation mainly analyzes the changes that need to be made assessing the previous scenario (</w:t>
      </w:r>
      <w:r>
        <w:rPr>
          <w:rFonts w:ascii="Times New Roman" w:eastAsia="Times New Roman" w:cs="Times New Roman" w:hAnsi="Times New Roman"/>
          <w:sz w:val="24"/>
          <w:szCs w:val="24"/>
          <w:highlight w:val="white"/>
        </w:rPr>
        <w:t xml:space="preserve">Ratana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 xml:space="preserve">. In this particular stage, information about the change and its needs will be specified to the employees. Specifically, the preparation of the change is mainly done in this stage of the change management model. Moreover, detailed information about the changes is given to the employees in this stage to assure their responses. The next step is change and it is the stage where the change is properly implemented. In this stage of the model, proper and constant support is provided to the employees. Another step is refreezing, which is the stage where the proper working of the change processes is checked. </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highlight w:val="white"/>
        </w:rPr>
        <w:t xml:space="preserve">Dergletckaia (2023) </w:t>
      </w:r>
      <w:r>
        <w:rPr>
          <w:rFonts w:ascii="Times New Roman" w:eastAsia="Times New Roman" w:cs="Times New Roman" w:hAnsi="Times New Roman"/>
          <w:sz w:val="24"/>
          <w:szCs w:val="24"/>
        </w:rPr>
        <w:t>argues that Lewin emphasises on proper communication of the need and reasons for change is crucial for change management whereas the ADKAR model considers that individual steps of interacting with change are more effective as compared to a group-based approach.</w:t>
      </w:r>
    </w:p>
    <w:p>
      <w:pPr>
        <w:pStyle w:val="1"/>
      </w:pPr>
      <w:bookmarkStart w:id="4" w:name="_Toc140012189"/>
      <w:r>
        <w:t>Utilising the models for incremental (small scale) or a large scale change program</w:t>
      </w:r>
      <w:bookmarkEnd w:id="4"/>
    </w:p>
    <w:p>
      <w:pPr>
        <w:pStyle w:val="15"/>
        <w:spacing w:before="240" w:after="240"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sz w:val="24"/>
          <w:szCs w:val="24"/>
        </w:rPr>
        <w:t>Tesco is trying to change the workplace by recruiting shift leaders which is a large-scale program (</w:t>
      </w:r>
      <w:r>
        <w:rPr>
          <w:rFonts w:ascii="Times New Roman" w:eastAsia="Times New Roman" w:cs="Times New Roman" w:hAnsi="Times New Roman"/>
          <w:sz w:val="24"/>
          <w:szCs w:val="24"/>
          <w:highlight w:val="white"/>
        </w:rPr>
        <w:t>Awadari and Kanwal, 2019</w:t>
      </w:r>
      <w:r>
        <w:rPr>
          <w:rFonts w:ascii="Times New Roman" w:eastAsia="Times New Roman" w:cs="Times New Roman" w:hAnsi="Times New Roman"/>
          <w:sz w:val="24"/>
          <w:szCs w:val="24"/>
        </w:rPr>
        <w:t>). However, Tesco has not made public declarations about the further strategies that it has been or will be taking to adjust to this change. Thus, possible strategies that can be undertaken by Tesco in the successful implementation of the change can be discussed in the context of the change management models.</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Lewin’s change management model</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Tesco's organisational board members announced that shifting leaders will be recruited strictly based on their skill sets and eligibility without any kind of referrals. Additionally, there was an increasing awareness about the benefit of the action on the increased customer value. This type of approach is similar to the unfreezing stage of Lewin's Change management. Moreover, the organisation has also given efforts in understanding the main issues faced by the employees during this change process. Therefore, the employees whose jobs have been cut down are given the chance of applying for the role of shifting leaders (</w:t>
      </w:r>
      <w:r>
        <w:rPr>
          <w:rFonts w:ascii="Times New Roman" w:eastAsia="Times New Roman" w:cs="Times New Roman" w:hAnsi="Times New Roman"/>
          <w:sz w:val="24"/>
          <w:szCs w:val="24"/>
          <w:highlight w:val="white"/>
        </w:rPr>
        <w:t>Paavola and Cuthbertson, 2022</w:t>
      </w:r>
      <w:r>
        <w:rPr>
          <w:rFonts w:ascii="Times New Roman" w:eastAsia="Times New Roman" w:cs="Times New Roman" w:hAnsi="Times New Roman"/>
          <w:sz w:val="24"/>
          <w:szCs w:val="24"/>
        </w:rPr>
        <w:t>). Closing the unnecessary counter is also the result of a change in the structure of leadership within the organisation. The stage of the plan, where the real change needs to be implemented is mainly managed by the organisational authoritative aborted by identifying the needs of the newly recruited shifting leaders. This is one of the main things that need to be focussed by every company which is trying to implement a change and get success from it. It must be noted that Tesco has not publicly made any further declaration about any unique strategy that it will be implementing to train the new shift leaders. In this context, Tesco can focus on proper training and development for the shifting leaders to make them capable of working at any time within the strict deadline. This type of approach shall be a part of the change program. It is considered as things done to assure that the change is properly implemented in the workplace. Therefore, this approach in the stage where the change is done mainly resembles the change stage of the model. After this, the organisation gives an effort towards monitoring the effectiveness of the change and checking if it is properly implemented within the organisation or not. The company has vacancies of over 2000 and more than 1800 shifting leaders will be recruited which is a modification in the change process (Tesco</w:t>
      </w:r>
      <w:r>
        <w:rPr>
          <w:rFonts w:ascii="Times New Roman" w:eastAsia="Times New Roman" w:cs="Times New Roman" w:hAnsi="Times New Roman"/>
          <w:i/>
          <w:sz w:val="24"/>
          <w:szCs w:val="24"/>
        </w:rPr>
        <w:t xml:space="preserve">, </w:t>
      </w:r>
      <w:r>
        <w:rPr>
          <w:rFonts w:ascii="Times New Roman" w:eastAsia="Times New Roman" w:cs="Times New Roman" w:hAnsi="Times New Roman"/>
          <w:sz w:val="24"/>
          <w:szCs w:val="24"/>
        </w:rPr>
        <w:t>2023b). It is done after assessing the requirement of the workplace and finding out the required modification that needs to be done. This particular approach can be considered as making modifications in the change stage of the plan.</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As argued by </w:t>
      </w:r>
      <w:r>
        <w:rPr>
          <w:rFonts w:ascii="Times New Roman" w:eastAsia="Times New Roman" w:cs="Times New Roman" w:hAnsi="Times New Roman"/>
          <w:sz w:val="24"/>
          <w:szCs w:val="24"/>
          <w:highlight w:val="white"/>
        </w:rPr>
        <w:t>Burnes (2020),</w:t>
      </w:r>
      <w:r>
        <w:rPr>
          <w:rFonts w:ascii="Times New Roman" w:eastAsia="Times New Roman" w:cs="Times New Roman" w:hAnsi="Times New Roman"/>
          <w:sz w:val="24"/>
          <w:szCs w:val="24"/>
        </w:rPr>
        <w:t xml:space="preserve">  the freezing stage or refreezing stage of Lewin’s Model intends to stabilise employee behaviour at a new quasi-stationary equilibrium so that the organisation remains safe from regression. This stage needs to be congruent with and reinforced by the actions, personality, and organisational environment of those concerned so that there is no dissatisfaction among the components of change. Controlling and monitoring the change process can help the organisation to identify the risk that can arise at any time diminishing the effectiveness of the exchange process (</w:t>
      </w:r>
      <w:r>
        <w:rPr>
          <w:rFonts w:ascii="Times New Roman" w:eastAsia="Times New Roman" w:cs="Times New Roman" w:hAnsi="Times New Roman"/>
          <w:sz w:val="24"/>
          <w:szCs w:val="24"/>
          <w:highlight w:val="white"/>
        </w:rPr>
        <w:t xml:space="preserve">Zafari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 Tesco has found out the strategies for managing the risks in the future by screening the present situation after applying the change in the workplace. The declaration of compensating the wage to address the needs of the employees is also an approach towards controlling the possible dissatisfaction and lack of loyalty of employees towards Tesco.</w:t>
      </w:r>
    </w:p>
    <w:p>
      <w:pPr>
        <w:pStyle w:val="15"/>
        <w:spacing w:before="240" w:after="240"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ADKAR Model</w:t>
      </w:r>
    </w:p>
    <w:p>
      <w:pPr>
        <w:pStyle w:val="15"/>
        <w:numPr>
          <w:ilvl w:val="0"/>
          <w:numId w:val="1"/>
        </w:numPr>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i/>
          <w:sz w:val="24"/>
          <w:szCs w:val="24"/>
        </w:rPr>
        <w:t>Awareness</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awareness regarding the need for change is increased when the employees are made aware of the increasing need to focus on customer value creation. In addition, Tesco assures to realign its manager roles to ensure equality in size and complexity (Tesco, 2023a). This will make the employees feel they are being treated equally thus making them feel benefitted.</w:t>
      </w:r>
    </w:p>
    <w:p>
      <w:pPr>
        <w:pStyle w:val="15"/>
        <w:numPr>
          <w:ilvl w:val="0"/>
          <w:numId w:val="1"/>
        </w:numPr>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i/>
          <w:sz w:val="24"/>
          <w:szCs w:val="24"/>
        </w:rPr>
        <w:t>Desire</w:t>
      </w:r>
    </w:p>
    <w:p>
      <w:pPr>
        <w:pStyle w:val="15"/>
        <w:spacing w:before="240" w:after="240" w:line="480" w:lineRule="auto"/>
        <w:jc w:val="both"/>
        <w:rPr>
          <w:rFonts w:ascii="Times New Roman" w:eastAsia="Times New Roman" w:cs="Times New Roman" w:hAnsi="Times New Roman"/>
          <w:sz w:val="26"/>
          <w:szCs w:val="26"/>
        </w:rPr>
      </w:pPr>
      <w:r>
        <w:rPr>
          <w:rFonts w:ascii="Times New Roman" w:eastAsia="Times New Roman" w:cs="Times New Roman" w:hAnsi="Times New Roman"/>
          <w:sz w:val="24"/>
          <w:szCs w:val="24"/>
        </w:rPr>
        <w:t>Despite the risks of job cuts, the compensation of salary, or the lumpsum money provided will make the employees believe that the organisation thinks about the employees and considers them as crucial elements. This will increase their trust in Tesco, making them accept the change process. Additionally, Tesco has decided to increase the additional skills payment for Shift Leaders by an extra 40p per hour totalling up to £2.26, thus increasing their hourly rate to £13.28 (Tesco, 2023c).</w:t>
      </w:r>
    </w:p>
    <w:p>
      <w:pPr>
        <w:pStyle w:val="15"/>
        <w:numPr>
          <w:ilvl w:val="0"/>
          <w:numId w:val="1"/>
        </w:numPr>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i/>
          <w:sz w:val="24"/>
          <w:szCs w:val="24"/>
        </w:rPr>
        <w:t>Knowledge</w:t>
      </w:r>
    </w:p>
    <w:p>
      <w:pPr>
        <w:pStyle w:val="15"/>
        <w:spacing w:before="240" w:after="240" w:line="480" w:lineRule="auto"/>
        <w:jc w:val="both"/>
        <w:rPr>
          <w:rFonts w:ascii="Times New Roman" w:eastAsia="Times New Roman" w:cs="Times New Roman" w:hAnsi="Times New Roman"/>
          <w:b/>
          <w:sz w:val="24"/>
          <w:szCs w:val="24"/>
        </w:rPr>
      </w:pPr>
      <w:r>
        <w:rPr>
          <w:rFonts w:ascii="Times New Roman" w:eastAsia="Times New Roman" w:cs="Times New Roman" w:hAnsi="Times New Roman"/>
          <w:sz w:val="24"/>
          <w:szCs w:val="24"/>
        </w:rPr>
        <w:t>In order to increase the knowledge of the employees regarding the new change of job roles, there is a requirement to provide the employees with special training for shift leaders. For this, Tesco can rely on the previous shift leaders and provide them with the scope to play the people of trainers and increase the competence of the newly recruited workforce.</w:t>
      </w:r>
    </w:p>
    <w:p>
      <w:pPr>
        <w:pStyle w:val="15"/>
        <w:numPr>
          <w:ilvl w:val="0"/>
          <w:numId w:val="1"/>
        </w:numPr>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i/>
          <w:sz w:val="24"/>
          <w:szCs w:val="24"/>
        </w:rPr>
        <w:t>Ability</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scope of being the trainer will instigate a sense of satisfaction and recognition within the senior shift leaders. This in return will increase employee loyalty.</w:t>
      </w:r>
    </w:p>
    <w:p>
      <w:pPr>
        <w:pStyle w:val="15"/>
        <w:numPr>
          <w:ilvl w:val="0"/>
          <w:numId w:val="1"/>
        </w:numPr>
        <w:spacing w:before="240" w:after="240" w:line="480" w:lineRule="auto"/>
        <w:jc w:val="both"/>
        <w:rPr>
          <w:rFonts w:ascii="Times New Roman" w:eastAsia="Times New Roman" w:cs="Times New Roman" w:hAnsi="Times New Roman"/>
          <w:i/>
          <w:sz w:val="24"/>
          <w:szCs w:val="24"/>
        </w:rPr>
      </w:pPr>
      <w:r>
        <w:rPr>
          <w:rFonts w:ascii="Times New Roman" w:eastAsia="Times New Roman" w:cs="Times New Roman" w:hAnsi="Times New Roman"/>
          <w:i/>
          <w:sz w:val="24"/>
          <w:szCs w:val="24"/>
        </w:rPr>
        <w:t>Reinforcement</w:t>
      </w:r>
    </w:p>
    <w:p>
      <w:pPr>
        <w:pStyle w:val="15"/>
        <w:spacing w:before="240" w:after="240"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In order to reinforce the positivity, Tesco can arrange award policies. This can be dependent on the performance of the shift leaders both old and new. </w:t>
      </w:r>
    </w:p>
    <w:p>
      <w:pPr>
        <w:pStyle w:val="1"/>
      </w:pPr>
      <w:bookmarkStart w:id="5" w:name="_Toc140012190"/>
      <w:r>
        <w:t>Driver factors for change</w:t>
      </w:r>
      <w:bookmarkEnd w:id="5"/>
      <w:r>
        <w:t xml:space="preserve"> </w:t>
      </w:r>
    </w:p>
    <w:p>
      <w:pPr>
        <w:pStyle w:val="15"/>
        <w:spacing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Culture</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Organisational culture is inclusive of a range of values, conventions and norms that are responsible to influence the manner subordinates in a firm think, behave and act (Tran, 2021). The main organisational culture of Tesco aims at serving consumers, communities and the planet better while keeping customers at the heart of everything Tesco does (Tesco, 2023). The organisational structure of Tesco is mainly hierarchical where the company's current approaches involve fostering a sense of community and interpersonal relationships among the staff. Alternatively, Tesco is currently focused to simplify its operational structures. This is mainly induced by the concept that aligns with the changes in market structures. For example, Tesco's operational structure under its organisational culture has the motive to improve efficiency while giving line managers accountability for enhancing customer experience and supporting colleagues (Tesco, 2018). In order to enhance the efficiency of the company's performance and management in both domestic and International markets, the organisational structures of supermarkets and MNCs such as Tesco need to align with the interest of both customers and employees. According to a study by OGBONNAYA, (2020), Tesco is a British company that is responsible for a compensation scheme in order to improve the morale of employees. Organizational goals and strategies of the entire company are designed in a manner where each role and task of employees are already designed. This in turn helps employees to exercise their roles and duties while accomplishing tasks when they are already bound to achieve excellence in the marketplace in accordance to their competitors. Through the implementation of shift leadership roles within the organisational culture of Tesco, there has been a massive change within the overall job structures as well. This is expected to impact the overall job roles of employees, management and organisational leaders even though the changes in market structures are induced by ongoing macroeconomic uncertainties. On the contrary, Tesco is committed to extending its structure across its largest superstores with the motive to open extra stores (Economictimes, 2023). This depicts a market expansion strategy by the company which has been induced by the formulation of a shift leadership planning structure. </w:t>
      </w:r>
    </w:p>
    <w:p>
      <w:pPr>
        <w:pStyle w:val="15"/>
        <w:spacing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Leadership, Power and Competition</w:t>
      </w:r>
    </w:p>
    <w:p>
      <w:pPr>
        <w:pStyle w:val="15"/>
        <w:spacing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r>
        <w:rPr>
          <w:rFonts w:ascii="Times New Roman" w:eastAsia="Times New Roman" w:cs="Times New Roman" w:hAnsi="Times New Roman"/>
          <w:sz w:val="24"/>
          <w:szCs w:val="24"/>
        </w:rPr>
        <w:drawing>
          <wp:inline distT="114300" distB="114300" distL="114300" distR="114300">
            <wp:extent cx="5943600" cy="38227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5943600" cy="3822700"/>
                    </a:xfrm>
                    <a:prstGeom prst="rect"/>
                    <a:noFill/>
                    <a:ln w="12700" cmpd="sng" cap="flat">
                      <a:noFill/>
                      <a:prstDash val="solid"/>
                      <a:miter/>
                    </a:ln>
                  </pic:spPr>
                </pic:pic>
              </a:graphicData>
            </a:graphic>
          </wp:inline>
        </w:drawing>
      </w:r>
    </w:p>
    <w:p>
      <w:pPr>
        <w:pStyle w:val="15"/>
        <w:spacing w:line="48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3: Organisational structure of Tesco</w:t>
      </w:r>
    </w:p>
    <w:p>
      <w:pPr>
        <w:pStyle w:val="15"/>
        <w:spacing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Theorg, 2023)</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figure above depicts the hierarchical organisational structure of Tesco. The hierarchical organisation structure of Tesco helps it to align diverse roles and responsibilities among the overall workforce. This in turn helps to enhance the performance and productivity of employees while gaining a competitive advantage in the highly competitive marketplace. According to the organisational culture theory by Edger Schein, culture models consist of inner and oyster layers where the core or inner layer is comprised of assumptions responsible to dictate how things are performed by organisational people based on their previous perception, experience and value (OGBONNAYA, 2020). It has been found that the company is responsible to eliminate manager roles accounting for hundreds of numbers across its diverse stores. This resulted in Tesco closing all the remaining food counters and hot slides while being the biggest operator in the supermarket seeking to cut costs based on its commitment to introduce shift leadership in its comparatively larger stores (Bloomberg, 2023). On the contrary, the transition of the organisational structure of Tesco into being a shift leader in the supermarket chain is a threat to cause job cuts and plans to overhaul. Tesco is looking forward to cutting team and lead managers in large stores of the UK estimated to be about 1750 while introducing 1,800 roles of shift leaders that are lower paid and are responsible for daily operations on the shop floor (Kollewe and Partridge, 2023). However, Tesco is committed to keeping the process down while raising the wages of employees in accordance to sustain the impact of the increase in inflation rate across the UK region (Bloomberg, 2023). Simultaneously, workers who have been affected due to the sudden implementation of shift leader jobs within Tesco have been given options by Tesco's organisational leaders. However, Tesco is focused to roll out its brand strategy and management structure in approximately 350 stores which are in smaller sizes comparatively in the past two years (Economictimes, 2023). Therefore, the main drivers for change for Tesco are the changes in market trends where the demands of customers are gradually changing. </w:t>
      </w:r>
    </w:p>
    <w:p>
      <w:pPr>
        <w:pStyle w:val="15"/>
        <w:spacing w:line="48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Digitalisation</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With the advancement of technologies in this era of industrialisation 4.0, MNCs and other supermarket giants are also focused to invest on advanced and innovative technologies, it has been found that Whoosh, which is the rapid delivery service of Tesco, is available across the UK from 1,000 express stores (Retail technology, 2023). This new technological adoption by Tesco allows customers to order snacks or food from a curated list of essential products within 30 minutes. Alternatively, this helps the company adhere to quick and easy delivery of meals to customers based on last-minute purchases and improve customer experience while leaning forward with digital transformation. </w:t>
      </w:r>
    </w:p>
    <w:p>
      <w:pPr>
        <w:pStyle w:val="15"/>
        <w:spacing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r>
        <w:rPr>
          <w:rFonts w:ascii="Times New Roman" w:eastAsia="Times New Roman" w:cs="Times New Roman" w:hAnsi="Times New Roman"/>
          <w:sz w:val="24"/>
          <w:szCs w:val="24"/>
        </w:rPr>
        <w:drawing>
          <wp:inline distT="114300" distB="114300" distL="114300" distR="114300">
            <wp:extent cx="5334000" cy="6667500"/>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5334000" cy="6667500"/>
                    </a:xfrm>
                    <a:prstGeom prst="rect"/>
                    <a:noFill/>
                    <a:ln w="12700" cmpd="sng" cap="flat">
                      <a:noFill/>
                      <a:prstDash val="solid"/>
                      <a:miter/>
                    </a:ln>
                  </pic:spPr>
                </pic:pic>
              </a:graphicData>
            </a:graphic>
          </wp:inline>
        </w:drawing>
      </w:r>
    </w:p>
    <w:p>
      <w:pPr>
        <w:pStyle w:val="15"/>
        <w:spacing w:line="48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4: Post of Whoosh delivery option by Tesco</w:t>
      </w:r>
    </w:p>
    <w:p>
      <w:pPr>
        <w:pStyle w:val="15"/>
        <w:spacing w:line="48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Retail technology, 2023)</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figure above depicts the utilisation of web 3.0 technologies such as Twitter by Tesco under its digitisation process. Alternatively, Tesco has also introduced features into their app for the customer for automated tracking of products that are served by assistant counters. As a result, this allows the shift leaders within the organisational structure of Tesco to keep track of all the purchases made by the shoppers while enhancing their innovative and digital skills as well. This in turn helps the company gain a competitive advantage to reach customers easily through the utilisation of both innovative management processes and digital transformation processes. </w:t>
      </w:r>
    </w:p>
    <w:p>
      <w:pPr>
        <w:pStyle w:val="1"/>
      </w:pPr>
      <w:bookmarkStart w:id="6" w:name="_Toc140012191"/>
      <w:r>
        <w:t>Dealing with the resistance factors for the change</w:t>
      </w:r>
      <w:bookmarkEnd w:id="6"/>
    </w:p>
    <w:p>
      <w:pPr>
        <w:pStyle w:val="15"/>
        <w:spacing w:line="480" w:lineRule="auto"/>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Fear of unknown</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Human beings are designed to fear the unknown factor in life which leads to the uncertainty factor. The changes adopted by the organisation might face challenges in the organisation because of the uncertainty factors in the minds of employees (</w:t>
      </w:r>
      <w:r>
        <w:rPr>
          <w:rFonts w:ascii="Times New Roman" w:eastAsia="Times New Roman" w:cs="Times New Roman" w:hAnsi="Times New Roman"/>
          <w:sz w:val="24"/>
          <w:szCs w:val="24"/>
          <w:highlight w:val="white"/>
        </w:rPr>
        <w:t xml:space="preserve">Carriero </w:t>
      </w:r>
      <w:r>
        <w:rPr>
          <w:rFonts w:ascii="Times New Roman" w:eastAsia="Times New Roman" w:cs="Times New Roman" w:hAnsi="Times New Roman"/>
          <w:i/>
          <w:sz w:val="24"/>
          <w:szCs w:val="24"/>
          <w:highlight w:val="white"/>
        </w:rPr>
        <w:t>et al.</w:t>
      </w:r>
      <w:r>
        <w:rPr>
          <w:rFonts w:ascii="Times New Roman" w:eastAsia="Times New Roman" w:cs="Times New Roman" w:hAnsi="Times New Roman"/>
          <w:sz w:val="24"/>
          <w:szCs w:val="24"/>
          <w:highlight w:val="white"/>
        </w:rPr>
        <w:t xml:space="preserve"> 2018</w:t>
      </w:r>
      <w:r>
        <w:rPr>
          <w:rFonts w:ascii="Times New Roman" w:eastAsia="Times New Roman" w:cs="Times New Roman" w:hAnsi="Times New Roman"/>
          <w:sz w:val="24"/>
          <w:szCs w:val="24"/>
        </w:rPr>
        <w:t>). The uncertainty factor will be the most challenging factor for changes regarding the organisation's management. The uncertainty factor for changing the role of shift leaders in the organisation may face challenges. It is yet unknown if the change will have its desired outcomes and if Tesco will be benefited from the change in the industry.</w:t>
      </w:r>
    </w:p>
    <w:p>
      <w:pPr>
        <w:pStyle w:val="15"/>
        <w:spacing w:line="480" w:lineRule="auto"/>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Employee values for change</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Employee values in the organisation can be a significant force of resistance to change implementation in the organisation. Different employees have different sets of values and beliefs regarding changes in the organisation. Communication with leaders is important for enhancing employee performance and team efficiency (</w:t>
      </w:r>
      <w:r>
        <w:rPr>
          <w:rFonts w:ascii="Times New Roman" w:eastAsia="Times New Roman" w:cs="Times New Roman" w:hAnsi="Times New Roman"/>
          <w:highlight w:val="white"/>
        </w:rPr>
        <w:t xml:space="preserve">Ben Sedrine </w:t>
      </w:r>
      <w:r>
        <w:rPr>
          <w:rFonts w:ascii="Times New Roman" w:eastAsia="Times New Roman" w:cs="Times New Roman" w:hAnsi="Times New Roman"/>
          <w:i/>
          <w:highlight w:val="white"/>
        </w:rPr>
        <w:t>et al.</w:t>
      </w:r>
      <w:r>
        <w:rPr>
          <w:rFonts w:ascii="Times New Roman" w:eastAsia="Times New Roman" w:cs="Times New Roman" w:hAnsi="Times New Roman"/>
          <w:highlight w:val="white"/>
        </w:rPr>
        <w:t xml:space="preserve"> 2021</w:t>
      </w:r>
      <w:r>
        <w:rPr>
          <w:rFonts w:ascii="Times New Roman" w:eastAsia="Times New Roman" w:cs="Times New Roman" w:hAnsi="Times New Roman"/>
          <w:sz w:val="24"/>
          <w:szCs w:val="24"/>
        </w:rPr>
        <w:t xml:space="preserve">). Some employees might take the new concept of shift leaders positively and build strong communication with the newly appointed shift leaders. On the other hand, some employees might not accept the change, they may think that communication and personal relationships with former team leaders were more efficient. Thus, they might not build efficient communication with the new leaders. </w:t>
      </w:r>
    </w:p>
    <w:p>
      <w:pPr>
        <w:pStyle w:val="15"/>
        <w:spacing w:line="480" w:lineRule="auto"/>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Existing norms in an organisation</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Existing norms in the organisation can be difficult for implementing changes. Employees in the organisation are accustomed to existing norms for efficient management. Once employees are accustomed to existing norms and it proves to be efficient for the organisation, employees tend to lack the willingness to adopt changes. The concept of shift leaders can be challenging to implement in the organisation as employees are required to push themselves out of their comfort zone and adopt new norms for the change. In order to implement the change in the organisation the employees are required to adopt new norms which can be challenging for the implementation of the concept of shift leaders in Tesco.</w:t>
      </w:r>
    </w:p>
    <w:p>
      <w:pPr>
        <w:pStyle w:val="1"/>
      </w:pPr>
      <w:bookmarkStart w:id="7" w:name="_Toc140012192"/>
      <w:r>
        <w:t>Effectiveness of the change program</w:t>
      </w:r>
      <w:bookmarkEnd w:id="7"/>
    </w:p>
    <w:p>
      <w:pPr>
        <w:pStyle w:val="15"/>
        <w:spacing w:line="480" w:lineRule="auto"/>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Increased employee productivity</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Tesco has decided to introduce approximately 1800 new shift leaders in the stores of the organisation. It can be argued that an increase in the number of leaders will be beneficial for increasing the efficiency of employees. Appointing more leaders suggests that employees will have better monitoring of employees and it will enhance the efficiency of the worker in the store. Besides the shift leaders will monitor the day-to-day activity of the organisation which will also impact the daily performance of employees (Tesco, 2023a). It can be further argued that employees will be better assisted by leaders for increased availability of leaders in the store. Challenges faced in daily operations will also be mitigated quickly by the leader's intervention in the operational activities. The induction of shift leaders will also help make the customer service operation effective and generate value for the customers by providing effective services (Tesco, 2023a). However, there is a possibility of complication in the decision-making while mitigating challenges in day-to-day operation in the stores of the organisation. Input from different leaders may also complicate operational activities in the organisation.</w:t>
      </w:r>
    </w:p>
    <w:p>
      <w:pPr>
        <w:pStyle w:val="15"/>
        <w:spacing w:line="480" w:lineRule="auto"/>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Better communication with the central management body</w:t>
      </w:r>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incorporation of shift leaders in Tesco might provide an opportunity for the central management to implement better communication with the leaders. The shift leaders will be able to provide a complete operational situation to the central management of the organisation. The leader will be able to communicate about operational situations in the Tesco stores which will prompt the central management body to analyse the situation and make necessary arrangements to solve the issue. The situational analysis done by the central committee will be based on evidence-based inputs provided by the shift leaders. However, inputs from different leaders might differ from one another which might not present a clear picture of the real situation.</w:t>
      </w:r>
    </w:p>
    <w:p>
      <w:pPr>
        <w:pStyle w:val="1"/>
      </w:pPr>
      <w:bookmarkStart w:id="8" w:name="_Toc140012193"/>
      <w:r>
        <w:t>Conclusion</w:t>
      </w:r>
      <w:bookmarkEnd w:id="8"/>
    </w:p>
    <w:p>
      <w:pPr>
        <w:pStyle w:val="15"/>
        <w:spacing w:line="48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change report has considered analysing the implementation of shift leaders in stores of Tesco which is one of the largest retailers in the UK. The move to implement change in the organisation has been analysed by utilising the Lewin change management model and ADKAR model. The report has also identified that the core driver of change is the need to create customer value and the motivation for the employees is the compensation offered to them as well as the raise of hourly wages. An analysis of the driver factor for change has been done. It has included the culture of the organisation, leadership, power and competition existing in the market for Tesco. Besides, it has also included digitalisation as a driver for change and provides an analysis of the same. The report has also considered analysing factors that might contribute to the resistance to implementing change in the organisation. Fear of unknown employee values and existing norms in the organisation might prove to be some of the resistance factors to change in the organisation. Besides, a critical analysis has also been done for the effectiveness of the change programme.</w:t>
      </w:r>
    </w:p>
    <w:p>
      <w:pPr>
        <w:pStyle w:val="15"/>
        <w:spacing w:line="480" w:lineRule="auto"/>
        <w:jc w:val="both"/>
        <w:rPr>
          <w:rFonts w:ascii="Times New Roman" w:eastAsia="Times New Roman" w:cs="Times New Roman" w:hAnsi="Times New Roman"/>
          <w:sz w:val="24"/>
          <w:szCs w:val="24"/>
        </w:rPr>
      </w:pPr>
    </w:p>
    <w:p>
      <w:pPr>
        <w:pStyle w:val="15"/>
        <w:spacing w:line="480" w:lineRule="auto"/>
        <w:rPr>
          <w:rFonts w:ascii="Times New Roman" w:eastAsia="Times New Roman" w:cs="Times New Roman" w:hAnsi="Times New Roman"/>
          <w:b/>
          <w:sz w:val="24"/>
          <w:szCs w:val="24"/>
        </w:rPr>
      </w:pPr>
      <w:r>
        <w:rPr>
          <w:rFonts w:ascii="Times New Roman" w:cs="Times New Roman" w:hAnsi="Times New Roman"/>
        </w:rPr>
        <w:br w:type="page"/>
      </w:r>
    </w:p>
    <w:p>
      <w:pPr>
        <w:pStyle w:val="1"/>
        <w:spacing w:line="480" w:lineRule="auto"/>
        <w:rPr>
          <w:rFonts w:cs="Times New Roman"/>
        </w:rPr>
      </w:pPr>
      <w:bookmarkStart w:id="9" w:name="_Toc140012194"/>
      <w:r>
        <w:rPr>
          <w:rFonts w:cs="Times New Roman"/>
        </w:rPr>
        <w:t>References</w:t>
      </w:r>
      <w:bookmarkEnd w:id="9"/>
    </w:p>
    <w:p>
      <w:pPr>
        <w:pStyle w:val="19"/>
        <w:spacing w:before="0" w:beforeAutospacing="0" w:line="480" w:lineRule="auto"/>
        <w:jc w:val="both"/>
      </w:pPr>
      <w:r>
        <w:t xml:space="preserve">Assosia, (2023). </w:t>
      </w:r>
      <w:r>
        <w:rPr>
          <w:i/>
          <w:iCs/>
        </w:rPr>
        <w:t>UK supermarket market share 2023</w:t>
      </w:r>
      <w:r>
        <w:t xml:space="preserve">. Available from: </w:t>
      </w:r>
      <w:r>
        <w:rPr>
          <w:rStyle w:val="20"/>
          <w:color w:val="auto"/>
        </w:rPr>
        <w:fldChar w:fldCharType="begin"/>
      </w:r>
      <w:r>
        <w:instrText>HYPERLINK "https://www.assosia.com/uk-supermarkets-market-share-2022"</w:instrText>
      </w:r>
      <w:r>
        <w:rPr>
          <w:rStyle w:val="20"/>
          <w:color w:val="auto"/>
        </w:rPr>
        <w:fldChar w:fldCharType="separate"/>
      </w:r>
      <w:r>
        <w:rPr>
          <w:rStyle w:val="20"/>
          <w:color w:val="auto"/>
        </w:rPr>
        <w:t>https://www.assosia.com/uk-supermarkets-market-share-2022</w:t>
      </w:r>
      <w:r>
        <w:rPr>
          <w:rStyle w:val="20"/>
          <w:color w:val="auto"/>
        </w:rPr>
        <w:fldChar w:fldCharType="end"/>
      </w:r>
      <w:r>
        <w:t xml:space="preserve"> [Accessed 11 July 2023]</w:t>
      </w:r>
    </w:p>
    <w:p>
      <w:pPr>
        <w:pStyle w:val="19"/>
        <w:spacing w:before="0" w:beforeAutospacing="0" w:line="480" w:lineRule="auto"/>
        <w:jc w:val="both"/>
      </w:pPr>
      <w:r>
        <w:rPr>
          <w:shd w:val="clear" w:color="auto" w:fill="FFFFFF"/>
        </w:rPr>
        <w:t xml:space="preserve">Awadari, A.C. and Kanwal, S., (2019). Employee participation in organizational change: A case of Tesco PLC. </w:t>
      </w:r>
      <w:r>
        <w:rPr>
          <w:i/>
          <w:iCs/>
        </w:rPr>
        <w:t>International Journal of Financial, Accounting, and Management</w:t>
      </w:r>
      <w:r>
        <w:t xml:space="preserve">, </w:t>
      </w:r>
      <w:r>
        <w:rPr>
          <w:i/>
          <w:iCs/>
        </w:rPr>
        <w:t>1</w:t>
      </w:r>
      <w:r>
        <w:t>(2), pp.91-99.</w:t>
      </w:r>
      <w:r>
        <w:rPr>
          <w:rStyle w:val="20"/>
          <w:color w:val="auto"/>
        </w:rPr>
        <w:fldChar w:fldCharType="begin"/>
      </w:r>
      <w:r>
        <w:instrText>HYPERLINK "https://goodwoodpub.com/index.php/ijfam/article/download/93/23"</w:instrText>
      </w:r>
      <w:r>
        <w:rPr>
          <w:rStyle w:val="20"/>
          <w:color w:val="auto"/>
        </w:rPr>
        <w:fldChar w:fldCharType="separate"/>
      </w:r>
      <w:r>
        <w:rPr>
          <w:rStyle w:val="20"/>
          <w:color w:val="auto"/>
        </w:rPr>
        <w:t xml:space="preserve"> </w:t>
      </w:r>
      <w:r>
        <w:rPr>
          <w:rStyle w:val="20"/>
          <w:color w:val="auto"/>
        </w:rPr>
        <w:fldChar w:fldCharType="end"/>
      </w:r>
      <w:r>
        <w:t xml:space="preserve">Available from: </w:t>
      </w:r>
      <w:r>
        <w:rPr>
          <w:rStyle w:val="20"/>
          <w:color w:val="auto"/>
        </w:rPr>
        <w:fldChar w:fldCharType="begin"/>
      </w:r>
      <w:r>
        <w:instrText>HYPERLINK "https://goodwoodpub.com/index.php/ijfam/article/download/93/23"</w:instrText>
      </w:r>
      <w:r>
        <w:rPr>
          <w:rStyle w:val="20"/>
          <w:color w:val="auto"/>
        </w:rPr>
        <w:fldChar w:fldCharType="separate"/>
      </w:r>
      <w:r>
        <w:rPr>
          <w:rStyle w:val="20"/>
          <w:color w:val="auto"/>
        </w:rPr>
        <w:t>https://goodwoodpub.com/index.php/ijfam/article/download/93/23</w:t>
      </w:r>
      <w:r>
        <w:rPr>
          <w:rStyle w:val="20"/>
          <w:color w:val="auto"/>
        </w:rPr>
        <w:fldChar w:fldCharType="end"/>
      </w:r>
      <w:r>
        <w:rPr>
          <w:u w:val="single"/>
        </w:rPr>
        <w:t xml:space="preserve"> </w:t>
      </w:r>
      <w:r>
        <w:t>[Accessed 11 July 2023]</w:t>
      </w:r>
    </w:p>
    <w:p>
      <w:pPr>
        <w:pStyle w:val="19"/>
        <w:spacing w:before="0" w:beforeAutospacing="0" w:line="480" w:lineRule="auto"/>
        <w:jc w:val="both"/>
      </w:pPr>
      <w:r>
        <w:rPr>
          <w:shd w:val="clear" w:color="auto" w:fill="FFFFFF"/>
        </w:rPr>
        <w:t xml:space="preserve">Bekmukhambetova, A., 2021. Comparative analysis of change management models based on an exploratory literature review. </w:t>
      </w:r>
      <w:r>
        <w:t>DOI: 10.14267/978-963-503-867-1_10 </w:t>
      </w:r>
    </w:p>
    <w:p>
      <w:pPr>
        <w:pStyle w:val="19"/>
        <w:spacing w:before="0" w:beforeAutospacing="0" w:line="480" w:lineRule="auto"/>
        <w:jc w:val="both"/>
      </w:pPr>
      <w:r>
        <w:rPr>
          <w:shd w:val="clear" w:color="auto" w:fill="FFFFFF"/>
        </w:rPr>
        <w:t xml:space="preserve">Ben Sedrine, S., Bouderbala, A. and Nasraoui, H., (2021). Leadership style effect on virtual team efficiency: trust, operational cohesion and media richness roles. </w:t>
      </w:r>
      <w:r>
        <w:rPr>
          <w:i/>
          <w:iCs/>
          <w:shd w:val="clear" w:color="auto" w:fill="FFFFFF"/>
        </w:rPr>
        <w:t>Journal of Management Development</w:t>
      </w:r>
      <w:r>
        <w:rPr>
          <w:shd w:val="clear" w:color="auto" w:fill="FFFFFF"/>
        </w:rPr>
        <w:t xml:space="preserve">, </w:t>
      </w:r>
      <w:r>
        <w:rPr>
          <w:i/>
          <w:iCs/>
          <w:shd w:val="clear" w:color="auto" w:fill="FFFFFF"/>
        </w:rPr>
        <w:t>40</w:t>
      </w:r>
      <w:r>
        <w:rPr>
          <w:shd w:val="clear" w:color="auto" w:fill="FFFFFF"/>
        </w:rPr>
        <w:t>(5), pp.365-388.</w:t>
      </w:r>
      <w:r>
        <w:t>Available from:</w:t>
      </w:r>
      <w:r>
        <w:rPr>
          <w:rStyle w:val="20"/>
          <w:color w:val="auto"/>
        </w:rPr>
        <w:fldChar w:fldCharType="begin"/>
      </w:r>
      <w:r>
        <w:instrText>HYPERLINK "https://www.researchgate.net/profile/Amel-Bouderbala/publication/340461894_Leadership_style_effect_on_virtual_team_efficiency_trust_operational_cohesion_and_media_richness_roles/links/617d83943c987366c3065a2f/Leadership-style-effect-on-virtual-team-efficiency-trust-operational-cohesion-and-media-richness-roles.pdf"</w:instrText>
      </w:r>
      <w:r>
        <w:rPr>
          <w:rStyle w:val="20"/>
          <w:color w:val="auto"/>
        </w:rPr>
        <w:fldChar w:fldCharType="separate"/>
      </w:r>
      <w:r>
        <w:rPr>
          <w:rStyle w:val="20"/>
          <w:color w:val="auto"/>
        </w:rPr>
        <w:t>https://www.researchgate.net/profile/Amel-Bouderbala/publication/340461894_Leadership_style_effect_on_virtual_team_efficiency_trust_operational_cohesion_and_media_richness_roles/links/617d83943c987366c3065a2f/Leadership-style-effect-on-virtual-team-efficiency-trust-operational-cohesion-and-media-richness-roles.pdf</w:t>
      </w:r>
      <w:r>
        <w:rPr>
          <w:rStyle w:val="20"/>
          <w:color w:val="auto"/>
        </w:rPr>
        <w:fldChar w:fldCharType="end"/>
      </w:r>
      <w:r>
        <w:t xml:space="preserve"> [Accessed 11 July 2023]</w:t>
      </w:r>
    </w:p>
    <w:p>
      <w:pPr>
        <w:pStyle w:val="19"/>
        <w:spacing w:before="0" w:beforeAutospacing="0" w:line="480" w:lineRule="auto"/>
        <w:jc w:val="both"/>
      </w:pPr>
      <w:r>
        <w:t xml:space="preserve">Bloomberg, (2023), </w:t>
      </w:r>
      <w:r>
        <w:rPr>
          <w:i/>
          <w:iCs/>
        </w:rPr>
        <w:t>Over 2,000 Tesco jobs at risk under cost-cutting overhaul plans</w:t>
      </w:r>
      <w:r>
        <w:t xml:space="preserve">, [online], Available from: </w:t>
      </w:r>
      <w:r>
        <w:rPr>
          <w:rStyle w:val="20"/>
          <w:color w:val="auto"/>
        </w:rPr>
        <w:fldChar w:fldCharType="begin"/>
      </w:r>
      <w:r>
        <w:instrText>HYPERLINK "https://www.livemint.com/news/over-2-000-tesco-jobs-at-risk-under-cost-cutting-overhaul-plans-11675161374685.html"</w:instrText>
      </w:r>
      <w:r>
        <w:rPr>
          <w:rStyle w:val="20"/>
          <w:color w:val="auto"/>
        </w:rPr>
        <w:fldChar w:fldCharType="separate"/>
      </w:r>
      <w:r>
        <w:rPr>
          <w:rStyle w:val="20"/>
          <w:color w:val="auto"/>
        </w:rPr>
        <w:t>https://www.livemint.com/news/over-2-000-tesco-jobs-at-risk-under-cost-cutting-overhaul-plans-11675161374685.html</w:t>
      </w:r>
      <w:r>
        <w:rPr>
          <w:rStyle w:val="20"/>
          <w:color w:val="auto"/>
        </w:rPr>
        <w:fldChar w:fldCharType="end"/>
      </w:r>
      <w:r>
        <w:t xml:space="preserve"> [Accessed 11 July 2023]</w:t>
      </w:r>
    </w:p>
    <w:p>
      <w:pPr>
        <w:pStyle w:val="19"/>
        <w:spacing w:before="0" w:beforeAutospacing="0" w:line="480" w:lineRule="auto"/>
        <w:jc w:val="both"/>
      </w:pPr>
      <w:r>
        <w:rPr>
          <w:shd w:val="clear" w:color="auto" w:fill="FFFFFF"/>
        </w:rPr>
        <w:t xml:space="preserve">Burnes, B., 2020. The origins of Lewin’s three-step model of change. </w:t>
      </w:r>
      <w:r>
        <w:rPr>
          <w:i/>
          <w:iCs/>
          <w:shd w:val="clear" w:color="auto" w:fill="FFFFFF"/>
        </w:rPr>
        <w:t>The Journal of Applied Behavioral Science</w:t>
      </w:r>
      <w:r>
        <w:rPr>
          <w:shd w:val="clear" w:color="auto" w:fill="FFFFFF"/>
        </w:rPr>
        <w:t xml:space="preserve">, </w:t>
      </w:r>
      <w:r>
        <w:rPr>
          <w:i/>
          <w:iCs/>
          <w:shd w:val="clear" w:color="auto" w:fill="FFFFFF"/>
        </w:rPr>
        <w:t>56</w:t>
      </w:r>
      <w:r>
        <w:rPr>
          <w:shd w:val="clear" w:color="auto" w:fill="FFFFFF"/>
        </w:rPr>
        <w:t>(1), pp.32-59.</w:t>
      </w:r>
      <w:r>
        <w:t xml:space="preserve">Available from: </w:t>
      </w:r>
      <w:r>
        <w:rPr>
          <w:rStyle w:val="20"/>
          <w:color w:val="auto"/>
        </w:rPr>
        <w:fldChar w:fldCharType="begin"/>
      </w:r>
      <w:r>
        <w:instrText>HYPERLINK "https://doi.org/10.1177/0021886319892685"</w:instrText>
      </w:r>
      <w:r>
        <w:rPr>
          <w:rStyle w:val="20"/>
          <w:color w:val="auto"/>
        </w:rPr>
        <w:fldChar w:fldCharType="separate"/>
      </w:r>
      <w:r>
        <w:rPr>
          <w:rStyle w:val="20"/>
          <w:color w:val="auto"/>
        </w:rPr>
        <w:t>https://doi.org/10.1177/0021886319892685</w:t>
      </w:r>
      <w:r>
        <w:rPr>
          <w:rStyle w:val="20"/>
          <w:color w:val="auto"/>
        </w:rPr>
        <w:fldChar w:fldCharType="end"/>
      </w:r>
      <w:r>
        <w:t xml:space="preserve"> [Accessed 11 July 2023]</w:t>
      </w:r>
    </w:p>
    <w:p>
      <w:pPr>
        <w:pStyle w:val="15"/>
        <w:spacing w:after="100" w:afterAutospacing="1" w:line="480" w:lineRule="auto"/>
        <w:jc w:val="both"/>
        <w:rPr>
          <w:rFonts w:ascii="Times New Roman" w:eastAsia="Times New Roman" w:cs="Times New Roman" w:hAnsi="Times New Roman"/>
          <w:sz w:val="24"/>
          <w:szCs w:val="24"/>
        </w:rPr>
      </w:pPr>
      <w:r>
        <w:rPr>
          <w:rFonts w:ascii="Times New Roman" w:cs="Times New Roman" w:hAnsi="Times New Roman"/>
          <w:sz w:val="24"/>
          <w:szCs w:val="24"/>
          <w:shd w:val="clear" w:color="auto" w:fill="FFFFFF"/>
        </w:rPr>
        <w:t xml:space="preserve">Cameron, E. and Green, M., 2019. </w:t>
      </w:r>
      <w:r>
        <w:rPr>
          <w:rFonts w:ascii="Times New Roman" w:cs="Times New Roman" w:hAnsi="Times New Roman"/>
          <w:i/>
          <w:iCs/>
          <w:sz w:val="24"/>
          <w:szCs w:val="24"/>
          <w:shd w:val="clear" w:color="auto" w:fill="FFFFFF"/>
        </w:rPr>
        <w:t>Making sense of change management: A complete guide to the models, tools and techniques of organizational change</w:t>
      </w:r>
      <w:r>
        <w:rPr>
          <w:rFonts w:ascii="Times New Roman" w:cs="Times New Roman" w:hAnsi="Times New Roman"/>
          <w:sz w:val="24"/>
          <w:szCs w:val="24"/>
          <w:shd w:val="clear" w:color="auto" w:fill="FFFFFF"/>
        </w:rPr>
        <w:t>. Kogan Page Publishers.</w:t>
      </w:r>
      <w:r>
        <w:rPr>
          <w:rFonts w:ascii="Times New Roman" w:cs="Times New Roman" w:hAnsi="Times New Roman"/>
          <w:sz w:val="24"/>
          <w:szCs w:val="24"/>
        </w:rPr>
        <w:t xml:space="preserve">Available from: </w:t>
      </w:r>
      <w:r>
        <w:rPr>
          <w:rStyle w:val="20"/>
          <w:rFonts w:ascii="Times New Roman" w:cs="Times New Roman" w:hAnsi="Times New Roman"/>
          <w:color w:val="auto"/>
          <w:sz w:val="24"/>
          <w:szCs w:val="24"/>
        </w:rPr>
        <w:fldChar w:fldCharType="begin"/>
      </w:r>
      <w:r>
        <w:instrText>HYPERLINK "https://www.booksfree.org/wp-content/uploads/2022/03/Making-Sense-Of-Change-Management.pdf"</w:instrText>
      </w:r>
      <w:r>
        <w:rPr>
          <w:rStyle w:val="20"/>
          <w:rFonts w:ascii="Times New Roman" w:cs="Times New Roman" w:hAnsi="Times New Roman"/>
          <w:color w:val="auto"/>
          <w:sz w:val="24"/>
          <w:szCs w:val="24"/>
        </w:rPr>
        <w:fldChar w:fldCharType="separate"/>
      </w:r>
      <w:r>
        <w:rPr>
          <w:rStyle w:val="20"/>
          <w:rFonts w:ascii="Times New Roman" w:cs="Times New Roman" w:hAnsi="Times New Roman"/>
          <w:color w:val="auto"/>
          <w:sz w:val="24"/>
          <w:szCs w:val="24"/>
        </w:rPr>
        <w:t>https://www.booksfree.org/wp-content/uploads/2022/03/Making-Sense-Of-Change-Management.pdf</w:t>
      </w:r>
      <w:r>
        <w:rPr>
          <w:rStyle w:val="20"/>
          <w:rFonts w:ascii="Times New Roman" w:cs="Times New Roman" w:hAnsi="Times New Roman"/>
          <w:color w:val="auto"/>
          <w:sz w:val="24"/>
          <w:szCs w:val="24"/>
        </w:rPr>
        <w:fldChar w:fldCharType="end"/>
      </w:r>
      <w:r>
        <w:rPr>
          <w:rFonts w:ascii="Times New Roman" w:cs="Times New Roman" w:hAnsi="Times New Roman"/>
          <w:sz w:val="24"/>
          <w:szCs w:val="24"/>
        </w:rPr>
        <w:t xml:space="preserve"> [Accessed 11 July 2023]</w:t>
      </w:r>
    </w:p>
    <w:p>
      <w:pPr>
        <w:pStyle w:val="19"/>
        <w:spacing w:before="0" w:beforeAutospacing="0" w:line="480" w:lineRule="auto"/>
        <w:jc w:val="both"/>
      </w:pPr>
      <w:r>
        <w:rPr>
          <w:shd w:val="clear" w:color="auto" w:fill="FFFFFF"/>
        </w:rPr>
        <w:t xml:space="preserve">Carriero, A., Clark, T.E. and Marcellino, M., (2018). Measuring uncertainty and its impact on the economy. </w:t>
      </w:r>
      <w:r>
        <w:rPr>
          <w:i/>
          <w:iCs/>
          <w:shd w:val="clear" w:color="auto" w:fill="FFFFFF"/>
        </w:rPr>
        <w:t>Review of Economics and Statistics</w:t>
      </w:r>
      <w:r>
        <w:rPr>
          <w:shd w:val="clear" w:color="auto" w:fill="FFFFFF"/>
        </w:rPr>
        <w:t xml:space="preserve">, </w:t>
      </w:r>
      <w:r>
        <w:rPr>
          <w:i/>
          <w:iCs/>
          <w:shd w:val="clear" w:color="auto" w:fill="FFFFFF"/>
        </w:rPr>
        <w:t>100</w:t>
      </w:r>
      <w:r>
        <w:rPr>
          <w:shd w:val="clear" w:color="auto" w:fill="FFFFFF"/>
        </w:rPr>
        <w:t>(5), pp.799-815.</w:t>
      </w:r>
      <w:r>
        <w:t>Available from:</w:t>
      </w:r>
      <w:r>
        <w:rPr>
          <w:rStyle w:val="20"/>
          <w:color w:val="auto"/>
        </w:rPr>
        <w:fldChar w:fldCharType="begin"/>
      </w:r>
      <w:r>
        <w:instrText>HYPERLINK "https://www.clevelandfed.org/-/media/project/clevelandfedtenant/clevelandfedsite/publications/working-papers/2016/wp-1622-measuring-uncertainty-and-its-impact-on-the-economy-pdf.pdf"</w:instrText>
      </w:r>
      <w:r>
        <w:rPr>
          <w:rStyle w:val="20"/>
          <w:color w:val="auto"/>
        </w:rPr>
        <w:fldChar w:fldCharType="separate"/>
      </w:r>
      <w:r>
        <w:rPr>
          <w:rStyle w:val="20"/>
          <w:color w:val="auto"/>
        </w:rPr>
        <w:t>https://www.clevelandfed.org/-/media/project/clevelandfedtenant/clevelandfedsite/publications/working-papers/2016/wp-1622-measuring-uncertainty-and-its-impact-on-the-economy-pdf.pdf</w:t>
      </w:r>
      <w:r>
        <w:rPr>
          <w:rStyle w:val="20"/>
          <w:color w:val="auto"/>
        </w:rPr>
        <w:fldChar w:fldCharType="end"/>
      </w:r>
      <w:r>
        <w:t xml:space="preserve"> [Accessed 11 July 2023]</w:t>
      </w:r>
    </w:p>
    <w:p>
      <w:pPr>
        <w:pStyle w:val="19"/>
        <w:spacing w:before="0" w:beforeAutospacing="0" w:line="480" w:lineRule="auto"/>
        <w:jc w:val="both"/>
      </w:pPr>
      <w:r>
        <w:rPr>
          <w:shd w:val="clear" w:color="auto" w:fill="FFFFFF"/>
        </w:rPr>
        <w:t xml:space="preserve">Dergletckaia, V., 2023. Change Management in a Context of Digital Transformation. </w:t>
      </w:r>
      <w:r>
        <w:t xml:space="preserve">Available from: </w:t>
      </w:r>
      <w:r>
        <w:rPr>
          <w:rStyle w:val="20"/>
          <w:color w:val="auto"/>
        </w:rPr>
        <w:fldChar w:fldCharType="begin"/>
      </w:r>
      <w:r>
        <w:instrText>HYPERLINK "https://www.theseus.fi/bitstream/handle/10024/798107/CHANGE MANAGEMENT IN A CONTEXT OF DIGITAL TRANSFORMATION.pdf?sequence=2"</w:instrText>
      </w:r>
      <w:r>
        <w:rPr>
          <w:rStyle w:val="20"/>
          <w:color w:val="auto"/>
        </w:rPr>
        <w:fldChar w:fldCharType="separate"/>
      </w:r>
      <w:r>
        <w:rPr>
          <w:rStyle w:val="20"/>
          <w:color w:val="auto"/>
        </w:rPr>
        <w:t>https://www.theseus.fi/bitstream/handle/10024/798107/CHANGE%20MANAGEMENT%20IN%20A%20CONTEXT%20OF%20DIGITAL%20TRANSFORMATION.pdf?sequence=2</w:t>
      </w:r>
      <w:r>
        <w:rPr>
          <w:rStyle w:val="20"/>
          <w:color w:val="auto"/>
        </w:rPr>
        <w:fldChar w:fldCharType="end"/>
      </w:r>
      <w:r>
        <w:t xml:space="preserve"> [Accessed 11 July 2023]</w:t>
      </w:r>
    </w:p>
    <w:p>
      <w:pPr>
        <w:pStyle w:val="19"/>
        <w:spacing w:before="0" w:beforeAutospacing="0" w:line="480" w:lineRule="auto"/>
        <w:jc w:val="both"/>
      </w:pPr>
      <w:r>
        <w:t xml:space="preserve">Economictimes, (2023), </w:t>
      </w:r>
      <w:r>
        <w:rPr>
          <w:i/>
          <w:iCs/>
        </w:rPr>
        <w:t>Tesco to introduce massive changes to UK stores impacting 2,100 jobs</w:t>
      </w:r>
      <w:r>
        <w:t xml:space="preserve">, [online] Available from: </w:t>
      </w:r>
      <w:r>
        <w:rPr>
          <w:rStyle w:val="20"/>
          <w:color w:val="auto"/>
        </w:rPr>
        <w:fldChar w:fldCharType="begin"/>
      </w:r>
      <w:r>
        <w:instrText>HYPERLINK "https://economictimes.indiatimes.com/news/international/uk/tesco-to-introduce-massive-changes-to-uk-stores-impacting-2100-jobs/articleshow/97490982.cms?from=mdr"</w:instrText>
      </w:r>
      <w:r>
        <w:rPr>
          <w:rStyle w:val="20"/>
          <w:color w:val="auto"/>
        </w:rPr>
        <w:fldChar w:fldCharType="separate"/>
      </w:r>
      <w:r>
        <w:rPr>
          <w:rStyle w:val="20"/>
          <w:color w:val="auto"/>
        </w:rPr>
        <w:t>https://economictimes.indiatimes.com/news/international/uk/tesco-to-introduce-massive-changes-to-uk-stores-impacting-2100-jobs/articleshow/97490982.cms?from=mdr</w:t>
      </w:r>
      <w:r>
        <w:rPr>
          <w:rStyle w:val="20"/>
          <w:color w:val="auto"/>
        </w:rPr>
        <w:fldChar w:fldCharType="end"/>
      </w:r>
      <w:r>
        <w:t xml:space="preserve"> [Accessed 11 July 2023]</w:t>
      </w:r>
    </w:p>
    <w:p>
      <w:pPr>
        <w:pStyle w:val="19"/>
        <w:spacing w:before="0" w:beforeAutospacing="0" w:line="480" w:lineRule="auto"/>
        <w:jc w:val="both"/>
      </w:pPr>
      <w:r>
        <w:t xml:space="preserve">Kollewe, J. and Partridge, J., (2023), </w:t>
      </w:r>
      <w:r>
        <w:rPr>
          <w:i/>
          <w:iCs/>
        </w:rPr>
        <w:t xml:space="preserve">Tesco to make big changes to stores, affecting 2,100 jobs, </w:t>
      </w:r>
      <w:r>
        <w:t xml:space="preserve">[online], Available from: </w:t>
      </w:r>
      <w:r>
        <w:rPr>
          <w:rStyle w:val="20"/>
          <w:color w:val="auto"/>
        </w:rPr>
        <w:fldChar w:fldCharType="begin"/>
      </w:r>
      <w:r>
        <w:instrText>HYPERLINK "https://www.theguardian.com/business/2023/jan/31/tesco-stores-jobs-supermarket-chain-managers"</w:instrText>
      </w:r>
      <w:r>
        <w:rPr>
          <w:rStyle w:val="20"/>
          <w:color w:val="auto"/>
        </w:rPr>
        <w:fldChar w:fldCharType="separate"/>
      </w:r>
      <w:r>
        <w:rPr>
          <w:rStyle w:val="20"/>
          <w:color w:val="auto"/>
        </w:rPr>
        <w:t>https://www.theguardian.com/business/2023/jan/31/tesco-stores-jobs-supermarket-chain-managers</w:t>
      </w:r>
      <w:r>
        <w:rPr>
          <w:rStyle w:val="20"/>
          <w:color w:val="auto"/>
        </w:rPr>
        <w:fldChar w:fldCharType="end"/>
      </w:r>
      <w:r>
        <w:t xml:space="preserve"> [Accessed 11 July 2023]</w:t>
      </w:r>
    </w:p>
    <w:p>
      <w:pPr>
        <w:pStyle w:val="19"/>
        <w:spacing w:before="0" w:beforeAutospacing="0" w:line="480" w:lineRule="auto"/>
        <w:jc w:val="both"/>
      </w:pPr>
      <w:r>
        <w:t xml:space="preserve">OGBONNAYA, M.E., (2020). INFLUENCE OF ORGANISATIONAL CULTURE ON EMPLOYEES’PERFORMANCE (A study of Access Bank Nigeria Plc, Imo state). Available from: </w:t>
      </w:r>
      <w:r>
        <w:rPr>
          <w:rStyle w:val="20"/>
          <w:color w:val="auto"/>
        </w:rPr>
        <w:fldChar w:fldCharType="begin"/>
      </w:r>
      <w:r>
        <w:instrText>HYPERLINK "http://ir.mtu.edu.ng/jspui/bitstream/123456789/659/1/%28MMESOMA%29INFLUENCE OF ORGANISATIONAL CULTURE ON EMPLOYEES%E2%80%99 PERFORMANCE.pdf"</w:instrText>
      </w:r>
      <w:r>
        <w:rPr>
          <w:rStyle w:val="20"/>
          <w:color w:val="auto"/>
        </w:rPr>
        <w:fldChar w:fldCharType="separate"/>
      </w:r>
      <w:r>
        <w:rPr>
          <w:rStyle w:val="20"/>
          <w:color w:val="auto"/>
        </w:rPr>
        <w:t>http://ir.mtu.edu.ng/jspui/bitstream/123456789/659/1/%28MMESOMA%29INFLUENCE%20OF%20ORGANISATIONAL%20CULTURE%20ON%20EMPLOYEES%E2%80%99%20PERFORMANCE.pdf</w:t>
      </w:r>
      <w:r>
        <w:rPr>
          <w:rStyle w:val="20"/>
          <w:color w:val="auto"/>
        </w:rPr>
        <w:fldChar w:fldCharType="end"/>
      </w:r>
      <w:r>
        <w:t xml:space="preserve"> [Accessed 11 July 2023]</w:t>
      </w:r>
    </w:p>
    <w:p>
      <w:pPr>
        <w:pStyle w:val="19"/>
        <w:spacing w:before="0" w:beforeAutospacing="0" w:line="480" w:lineRule="auto"/>
        <w:jc w:val="both"/>
      </w:pPr>
      <w:r>
        <w:rPr>
          <w:shd w:val="clear" w:color="auto" w:fill="FFFFFF"/>
        </w:rPr>
        <w:t xml:space="preserve">Paavola, L. and Cuthbertson, R., (2022). Redefining capabilities as drivers of adaptation, incremental change, and transformation: Recognizing the importance of strategic and operational intent on performance. </w:t>
      </w:r>
      <w:r>
        <w:rPr>
          <w:i/>
          <w:iCs/>
        </w:rPr>
        <w:t>Journal of Management &amp; Organization</w:t>
      </w:r>
      <w:r>
        <w:t xml:space="preserve">, </w:t>
      </w:r>
      <w:r>
        <w:rPr>
          <w:i/>
          <w:iCs/>
        </w:rPr>
        <w:t>28</w:t>
      </w:r>
      <w:r>
        <w:t>(3), pp.522-539.</w:t>
      </w:r>
      <w:r>
        <w:rPr>
          <w:rStyle w:val="20"/>
          <w:color w:val="auto"/>
        </w:rPr>
        <w:fldChar w:fldCharType="begin"/>
      </w:r>
      <w:r>
        <w:instrText>HYPERLINK "https://ora.ox.ac.uk/objects/uuid:5add4ab0-9bee-43ec-9e40-ca789f0825e3/download_file?file_format=pdf&amp;hyrax_fileset_id=s2j62s617d&amp;safe_filename=Paavola_and_Cuthbertson_2022_Redefining_capabilities_as.pdf&amp;type_of_work=Journal+article"</w:instrText>
      </w:r>
      <w:r>
        <w:rPr>
          <w:rStyle w:val="20"/>
          <w:color w:val="auto"/>
        </w:rPr>
        <w:fldChar w:fldCharType="separate"/>
      </w:r>
      <w:r>
        <w:rPr>
          <w:rStyle w:val="20"/>
          <w:color w:val="auto"/>
        </w:rPr>
        <w:t xml:space="preserve"> </w:t>
      </w:r>
      <w:r>
        <w:rPr>
          <w:rStyle w:val="20"/>
          <w:color w:val="auto"/>
        </w:rPr>
        <w:fldChar w:fldCharType="end"/>
      </w:r>
      <w:r>
        <w:t xml:space="preserve">Available from: </w:t>
      </w:r>
      <w:r>
        <w:rPr>
          <w:rStyle w:val="20"/>
          <w:color w:val="auto"/>
        </w:rPr>
        <w:fldChar w:fldCharType="begin"/>
      </w:r>
      <w:r>
        <w:instrText>HYPERLINK "https://ora.ox.ac.uk/objects/uuid:5add4ab0-9bee-43ec-9e40-ca789f0825e3/download_file?file_format=pdf&amp;hyrax_fileset_id=s2j62s617d&amp;safe_filename=Paavola_and_Cuthbertson_2022_Redefining_capabilities_as.pdf&amp;type_of_work=Journal+article"</w:instrText>
      </w:r>
      <w:r>
        <w:rPr>
          <w:rStyle w:val="20"/>
          <w:color w:val="auto"/>
        </w:rPr>
        <w:fldChar w:fldCharType="separate"/>
      </w:r>
      <w:r>
        <w:rPr>
          <w:rStyle w:val="20"/>
          <w:color w:val="auto"/>
        </w:rPr>
        <w:t>https://ora.ox.ac.uk/objects/uuid:5add4ab0-9bee-43ec-9e40-ca789f0825e3/download_file?file_format=pdf&amp;hyrax_fileset_id=s2j62s617d&amp;safe_filename=Paavola_and_Cuthbertson_2022_Redefining_capabilities_as.pdf&amp;type_of_work=Journal+article</w:t>
      </w:r>
      <w:r>
        <w:rPr>
          <w:rStyle w:val="20"/>
          <w:color w:val="auto"/>
        </w:rPr>
        <w:fldChar w:fldCharType="end"/>
      </w:r>
      <w:r>
        <w:rPr>
          <w:u w:val="single"/>
        </w:rPr>
        <w:t xml:space="preserve"> </w:t>
      </w:r>
      <w:r>
        <w:t>[Accessed 11 July 2023]</w:t>
      </w:r>
    </w:p>
    <w:p>
      <w:pPr>
        <w:pStyle w:val="19"/>
        <w:spacing w:before="0" w:beforeAutospacing="0" w:line="480" w:lineRule="auto"/>
        <w:jc w:val="both"/>
      </w:pPr>
      <w:r>
        <w:rPr>
          <w:shd w:val="clear" w:color="auto" w:fill="FFFFFF"/>
        </w:rPr>
        <w:t xml:space="preserve">Paramitha, T.A., Tobing, D.K. and Suroso, I., (2020). ADKAR Model to Manage Organizational Change. </w:t>
      </w:r>
      <w:r>
        <w:rPr>
          <w:i/>
          <w:iCs/>
        </w:rPr>
        <w:t>International Journal of Research Science and Management</w:t>
      </w:r>
      <w:r>
        <w:t xml:space="preserve">, </w:t>
      </w:r>
      <w:r>
        <w:rPr>
          <w:i/>
          <w:iCs/>
        </w:rPr>
        <w:t>7</w:t>
      </w:r>
      <w:r>
        <w:t>(1), pp.141-149.</w:t>
      </w:r>
      <w:r>
        <w:rPr>
          <w:rStyle w:val="20"/>
          <w:color w:val="auto"/>
        </w:rPr>
        <w:fldChar w:fldCharType="begin"/>
      </w:r>
      <w:r>
        <w:instrText>HYPERLINK "http://ijrsm.com/index.php/journal-ijrsm/article/download/80/78"</w:instrText>
      </w:r>
      <w:r>
        <w:rPr>
          <w:rStyle w:val="20"/>
          <w:color w:val="auto"/>
        </w:rPr>
        <w:fldChar w:fldCharType="separate"/>
      </w:r>
      <w:r>
        <w:rPr>
          <w:rStyle w:val="20"/>
          <w:color w:val="auto"/>
        </w:rPr>
        <w:t xml:space="preserve"> </w:t>
      </w:r>
      <w:r>
        <w:rPr>
          <w:rStyle w:val="20"/>
          <w:color w:val="auto"/>
        </w:rPr>
        <w:fldChar w:fldCharType="end"/>
      </w:r>
      <w:r>
        <w:t xml:space="preserve">Available from: </w:t>
      </w:r>
      <w:r>
        <w:rPr>
          <w:rStyle w:val="20"/>
          <w:color w:val="auto"/>
        </w:rPr>
        <w:fldChar w:fldCharType="begin"/>
      </w:r>
      <w:r>
        <w:instrText>HYPERLINK "http://ijrsm.com/index.php/journal-ijrsm/article/download/80/78"</w:instrText>
      </w:r>
      <w:r>
        <w:rPr>
          <w:rStyle w:val="20"/>
          <w:color w:val="auto"/>
        </w:rPr>
        <w:fldChar w:fldCharType="separate"/>
      </w:r>
      <w:r>
        <w:rPr>
          <w:rStyle w:val="20"/>
          <w:color w:val="auto"/>
        </w:rPr>
        <w:t>http://ijrsm.com/index.php/journal-ijrsm/article/download/80/78</w:t>
      </w:r>
      <w:r>
        <w:rPr>
          <w:rStyle w:val="20"/>
          <w:color w:val="auto"/>
        </w:rPr>
        <w:fldChar w:fldCharType="end"/>
      </w:r>
      <w:r>
        <w:rPr>
          <w:u w:val="single"/>
        </w:rPr>
        <w:t xml:space="preserve"> </w:t>
      </w:r>
      <w:r>
        <w:t>[Accessed 11 July 2023]</w:t>
      </w:r>
    </w:p>
    <w:p>
      <w:pPr>
        <w:pStyle w:val="19"/>
        <w:spacing w:before="0" w:beforeAutospacing="0" w:line="480" w:lineRule="auto"/>
        <w:jc w:val="both"/>
      </w:pPr>
      <w:r>
        <w:rPr>
          <w:shd w:val="clear" w:color="auto" w:fill="FFFFFF"/>
        </w:rPr>
        <w:t xml:space="preserve">Ratana, S., Raksmey, C. and Danut, D., (2020). Conceptualizing a framework: A critical review of the development of change management theories. </w:t>
      </w:r>
      <w:r>
        <w:rPr>
          <w:i/>
          <w:iCs/>
        </w:rPr>
        <w:t>Studies in Business and Economics</w:t>
      </w:r>
      <w:r>
        <w:t xml:space="preserve">, </w:t>
      </w:r>
      <w:r>
        <w:rPr>
          <w:i/>
          <w:iCs/>
        </w:rPr>
        <w:t>15</w:t>
      </w:r>
      <w:r>
        <w:t>(2), pp.205-214.</w:t>
      </w:r>
      <w:r>
        <w:rPr>
          <w:rStyle w:val="20"/>
          <w:color w:val="auto"/>
        </w:rPr>
        <w:fldChar w:fldCharType="begin"/>
      </w:r>
      <w:r>
        <w:instrText>HYPERLINK "https://sciendo.com/pdf/10.2478/sbe-2020-0035"</w:instrText>
      </w:r>
      <w:r>
        <w:rPr>
          <w:rStyle w:val="20"/>
          <w:color w:val="auto"/>
        </w:rPr>
        <w:fldChar w:fldCharType="separate"/>
      </w:r>
      <w:r>
        <w:rPr>
          <w:rStyle w:val="20"/>
          <w:color w:val="auto"/>
        </w:rPr>
        <w:t xml:space="preserve"> </w:t>
      </w:r>
      <w:r>
        <w:rPr>
          <w:rStyle w:val="20"/>
          <w:color w:val="auto"/>
        </w:rPr>
        <w:fldChar w:fldCharType="end"/>
      </w:r>
      <w:r>
        <w:t xml:space="preserve">Available from: </w:t>
      </w:r>
      <w:r>
        <w:rPr>
          <w:rStyle w:val="20"/>
          <w:color w:val="auto"/>
          <w:shd w:val="clear" w:color="auto" w:fill="FFFFFF"/>
        </w:rPr>
        <w:fldChar w:fldCharType="begin"/>
      </w:r>
      <w:r>
        <w:instrText>HYPERLINK "https://sciendo.com/pdf/10.2478/sbe-2020-0035"</w:instrText>
      </w:r>
      <w:r>
        <w:rPr>
          <w:rStyle w:val="20"/>
          <w:color w:val="auto"/>
          <w:shd w:val="clear" w:color="auto" w:fill="FFFFFF"/>
        </w:rPr>
        <w:fldChar w:fldCharType="separate"/>
      </w:r>
      <w:r>
        <w:rPr>
          <w:rStyle w:val="20"/>
          <w:color w:val="auto"/>
          <w:shd w:val="clear" w:color="auto" w:fill="FFFFFF"/>
        </w:rPr>
        <w:t>https://sciendo.com/pdf/10.2478/sbe-2020-0035</w:t>
      </w:r>
      <w:r>
        <w:rPr>
          <w:rStyle w:val="20"/>
          <w:color w:val="auto"/>
          <w:shd w:val="clear" w:color="auto" w:fill="FFFFFF"/>
        </w:rPr>
        <w:fldChar w:fldCharType="end"/>
      </w:r>
      <w:r>
        <w:rPr>
          <w:u w:val="single"/>
          <w:shd w:val="clear" w:color="auto" w:fill="FFFFFF"/>
        </w:rPr>
        <w:t xml:space="preserve"> </w:t>
      </w:r>
      <w:r>
        <w:t>[Accessed 11 July 2023]</w:t>
      </w:r>
    </w:p>
    <w:p>
      <w:pPr>
        <w:pStyle w:val="19"/>
        <w:spacing w:before="0" w:beforeAutospacing="0" w:line="480" w:lineRule="auto"/>
        <w:jc w:val="both"/>
      </w:pPr>
      <w:r>
        <w:t xml:space="preserve">Retail technology, (2023), </w:t>
      </w:r>
      <w:r>
        <w:rPr>
          <w:i/>
          <w:iCs/>
        </w:rPr>
        <w:t xml:space="preserve">Starring Walmart, Tesco, and Amazon: Here’s what happened in the retail technology space during March, </w:t>
      </w:r>
      <w:r>
        <w:t>[online], Available from:</w:t>
      </w:r>
      <w:r>
        <w:rPr>
          <w:rStyle w:val="20"/>
          <w:color w:val="auto"/>
        </w:rPr>
        <w:fldChar w:fldCharType="begin"/>
      </w:r>
      <w:r>
        <w:instrText>HYPERLINK "https://retailtechinnovationhub.com/home/2023/4/3/starring-walmart-tesco-and-amazon-heres-what-happened-in-the-retail-technology-space-during-march"</w:instrText>
      </w:r>
      <w:r>
        <w:rPr>
          <w:rStyle w:val="20"/>
          <w:color w:val="auto"/>
        </w:rPr>
        <w:fldChar w:fldCharType="separate"/>
      </w:r>
      <w:r>
        <w:rPr>
          <w:rStyle w:val="20"/>
          <w:color w:val="auto"/>
        </w:rPr>
        <w:t>https://retailtechinnovationhub.com/home/2023/4/3/starring-walmart-tesco-and-amazon-heres-what-happened-in-the-retail-technology-space-during-march</w:t>
      </w:r>
      <w:r>
        <w:rPr>
          <w:rStyle w:val="20"/>
          <w:color w:val="auto"/>
        </w:rPr>
        <w:fldChar w:fldCharType="end"/>
      </w:r>
      <w:r>
        <w:t>  [Accessed 11 July 2023]</w:t>
      </w:r>
    </w:p>
    <w:p>
      <w:pPr>
        <w:pStyle w:val="19"/>
        <w:spacing w:before="0" w:beforeAutospacing="0" w:line="480" w:lineRule="auto"/>
        <w:jc w:val="both"/>
      </w:pPr>
      <w:r>
        <w:t xml:space="preserve">Tesco, (2018), </w:t>
      </w:r>
      <w:r>
        <w:rPr>
          <w:i/>
          <w:iCs/>
        </w:rPr>
        <w:t xml:space="preserve">Tesco to simplify operational structures, </w:t>
      </w:r>
      <w:r>
        <w:t xml:space="preserve">[online], Available from: </w:t>
      </w:r>
      <w:r>
        <w:rPr>
          <w:rStyle w:val="20"/>
          <w:color w:val="auto"/>
        </w:rPr>
        <w:fldChar w:fldCharType="begin"/>
      </w:r>
      <w:r>
        <w:instrText>HYPERLINK "https://www.tescoplc.com/tesco-to-simplify-operational-structures/"</w:instrText>
      </w:r>
      <w:r>
        <w:rPr>
          <w:rStyle w:val="20"/>
          <w:color w:val="auto"/>
        </w:rPr>
        <w:fldChar w:fldCharType="separate"/>
      </w:r>
      <w:r>
        <w:rPr>
          <w:rStyle w:val="20"/>
          <w:color w:val="auto"/>
        </w:rPr>
        <w:t>https://www.tescoplc.com/tesco-to-simplify-operational-structures/</w:t>
      </w:r>
      <w:r>
        <w:rPr>
          <w:rStyle w:val="20"/>
          <w:color w:val="auto"/>
        </w:rPr>
        <w:fldChar w:fldCharType="end"/>
      </w:r>
      <w:r>
        <w:t xml:space="preserve"> [Accessed 11 July 2023]</w:t>
      </w:r>
    </w:p>
    <w:p>
      <w:pPr>
        <w:pStyle w:val="19"/>
        <w:spacing w:before="0" w:beforeAutospacing="0" w:line="480" w:lineRule="auto"/>
        <w:jc w:val="both"/>
      </w:pPr>
      <w:r>
        <w:t xml:space="preserve">Tesco, (2023), </w:t>
      </w:r>
      <w:r>
        <w:rPr>
          <w:i/>
          <w:iCs/>
        </w:rPr>
        <w:t xml:space="preserve">Culture, </w:t>
      </w:r>
      <w:r>
        <w:t xml:space="preserve">[online], Available from: </w:t>
      </w:r>
      <w:r>
        <w:rPr>
          <w:rStyle w:val="20"/>
          <w:color w:val="auto"/>
        </w:rPr>
        <w:fldChar w:fldCharType="begin"/>
      </w:r>
      <w:r>
        <w:instrText>HYPERLINK "https://www.tesco-careers.com/explore-our-world/our-culture/#:~:text=It's about listening to people,innovating to meet their needs.&amp;text=We know that looking after,to the success of Tesco"</w:instrText>
      </w:r>
      <w:r>
        <w:rPr>
          <w:rStyle w:val="20"/>
          <w:color w:val="auto"/>
        </w:rPr>
        <w:fldChar w:fldCharType="separate"/>
      </w:r>
      <w:r>
        <w:rPr>
          <w:rStyle w:val="20"/>
          <w:color w:val="auto"/>
        </w:rPr>
        <w:t>https://www.tesco-careers.com/explore-our-world/our-culture/#:~:text=It's%20about%20listening%20to%20people,innovating%20to%20meet%20their%20needs.&amp;text=We%20know%20that%20looking%20after,to%20the%20success%20of%20Tesco</w:t>
      </w:r>
      <w:r>
        <w:rPr>
          <w:rStyle w:val="20"/>
          <w:color w:val="auto"/>
        </w:rPr>
        <w:fldChar w:fldCharType="end"/>
      </w:r>
      <w:r>
        <w:t>. [Accessed 11 July 2023]</w:t>
      </w:r>
    </w:p>
    <w:p>
      <w:pPr>
        <w:pStyle w:val="19"/>
        <w:spacing w:before="0" w:beforeAutospacing="0" w:line="480" w:lineRule="auto"/>
        <w:jc w:val="both"/>
      </w:pPr>
      <w:r>
        <w:t xml:space="preserve">Tesco, (2023a). </w:t>
      </w:r>
      <w:r>
        <w:rPr>
          <w:i/>
          <w:iCs/>
        </w:rPr>
        <w:t>Store changes helping us to remain competitive.</w:t>
      </w:r>
      <w:r>
        <w:t xml:space="preserve"> Available from:</w:t>
      </w:r>
      <w:r>
        <w:rPr>
          <w:rStyle w:val="20"/>
          <w:color w:val="auto"/>
        </w:rPr>
        <w:fldChar w:fldCharType="begin"/>
      </w:r>
      <w:r>
        <w:instrText>HYPERLINK "https://www.tescoplc.com/store-changes-helping-us-to-remain-competitive/"</w:instrText>
      </w:r>
      <w:r>
        <w:rPr>
          <w:rStyle w:val="20"/>
          <w:color w:val="auto"/>
        </w:rPr>
        <w:fldChar w:fldCharType="separate"/>
      </w:r>
      <w:r>
        <w:rPr>
          <w:rStyle w:val="20"/>
          <w:color w:val="auto"/>
        </w:rPr>
        <w:t>https://www.tescoplc.com/store-changes-helping-us-to-remain-competitive/</w:t>
      </w:r>
      <w:r>
        <w:rPr>
          <w:rStyle w:val="20"/>
          <w:color w:val="auto"/>
        </w:rPr>
        <w:fldChar w:fldCharType="end"/>
      </w:r>
      <w:r>
        <w:t xml:space="preserve"> [Accessed 11 July 2023]</w:t>
      </w:r>
    </w:p>
    <w:p>
      <w:pPr>
        <w:pStyle w:val="19"/>
        <w:spacing w:before="0" w:beforeAutospacing="0" w:line="480" w:lineRule="auto"/>
        <w:jc w:val="both"/>
      </w:pPr>
      <w:r>
        <w:t xml:space="preserve">Tesco, 2023b, </w:t>
      </w:r>
      <w:r>
        <w:rPr>
          <w:i/>
          <w:iCs/>
        </w:rPr>
        <w:t xml:space="preserve">Shift Leader, </w:t>
      </w:r>
      <w:r>
        <w:t xml:space="preserve">Available from: </w:t>
      </w:r>
      <w:r>
        <w:rPr>
          <w:rStyle w:val="20"/>
          <w:color w:val="auto"/>
        </w:rPr>
        <w:fldChar w:fldCharType="begin"/>
      </w:r>
      <w:r>
        <w:instrText>HYPERLINK "https://www.tesco-careers.com/shiftleader/"</w:instrText>
      </w:r>
      <w:r>
        <w:rPr>
          <w:rStyle w:val="20"/>
          <w:color w:val="auto"/>
        </w:rPr>
        <w:fldChar w:fldCharType="separate"/>
      </w:r>
      <w:r>
        <w:rPr>
          <w:rStyle w:val="20"/>
          <w:color w:val="auto"/>
        </w:rPr>
        <w:t>https://www.tesco-careers.com/shiftleader/</w:t>
      </w:r>
      <w:r>
        <w:rPr>
          <w:rStyle w:val="20"/>
          <w:color w:val="auto"/>
        </w:rPr>
        <w:fldChar w:fldCharType="end"/>
      </w:r>
      <w:r>
        <w:t xml:space="preserve"> [Accessed 11 July 2023]</w:t>
      </w:r>
    </w:p>
    <w:p>
      <w:pPr>
        <w:pStyle w:val="19"/>
        <w:spacing w:before="0" w:beforeAutospacing="0" w:line="480" w:lineRule="auto"/>
        <w:jc w:val="both"/>
      </w:pPr>
      <w:r>
        <w:t xml:space="preserve">Tesco, 2023c, </w:t>
      </w:r>
      <w:r>
        <w:rPr>
          <w:i/>
          <w:iCs/>
        </w:rPr>
        <w:t xml:space="preserve">Tesco makes biggest ever investment in hourly pay, taking the rate to over £11 an hour, </w:t>
      </w:r>
      <w:r>
        <w:t xml:space="preserve">Available from: </w:t>
      </w:r>
      <w:r>
        <w:rPr>
          <w:rStyle w:val="20"/>
          <w:color w:val="auto"/>
        </w:rPr>
        <w:fldChar w:fldCharType="begin"/>
      </w:r>
      <w:r>
        <w:instrText>HYPERLINK "https://www.tescoplc.com/news/2023/tesco-makes-biggest-ever-investment-in-hourly-pay-taking-the-rate-to-over-11-an-hour/"</w:instrText>
      </w:r>
      <w:r>
        <w:rPr>
          <w:rStyle w:val="20"/>
          <w:color w:val="auto"/>
        </w:rPr>
        <w:fldChar w:fldCharType="separate"/>
      </w:r>
      <w:r>
        <w:rPr>
          <w:rStyle w:val="20"/>
          <w:color w:val="auto"/>
        </w:rPr>
        <w:t>https://www.tescoplc.com/news/2023/tesco-makes-biggest-ever-investment-in-hourly-pay-taking-the-rate-to-over-11-an-hour/</w:t>
      </w:r>
      <w:r>
        <w:rPr>
          <w:rStyle w:val="20"/>
          <w:color w:val="auto"/>
        </w:rPr>
        <w:fldChar w:fldCharType="end"/>
      </w:r>
      <w:r>
        <w:t xml:space="preserve"> [Accessed 11 July 2023]</w:t>
      </w:r>
    </w:p>
    <w:p>
      <w:pPr>
        <w:pStyle w:val="19"/>
        <w:spacing w:before="0" w:beforeAutospacing="0" w:line="480" w:lineRule="auto"/>
        <w:jc w:val="both"/>
      </w:pPr>
      <w:r>
        <w:t>The Economic Times, 2023,</w:t>
      </w:r>
      <w:r>
        <w:rPr>
          <w:i/>
          <w:iCs/>
        </w:rPr>
        <w:t xml:space="preserve"> </w:t>
      </w:r>
      <w:r>
        <w:rPr>
          <w:i/>
          <w:iCs/>
          <w:shd w:val="clear" w:color="auto" w:fill="FFFFFF"/>
        </w:rPr>
        <w:t>Tesco to introduce massive changes to UK stores impacting 2,100 jobs</w:t>
      </w:r>
      <w:r>
        <w:rPr>
          <w:i/>
          <w:iCs/>
        </w:rPr>
        <w:t xml:space="preserve">, </w:t>
      </w:r>
      <w:r>
        <w:t xml:space="preserve">Available from: </w:t>
      </w:r>
      <w:r>
        <w:rPr>
          <w:rStyle w:val="20"/>
          <w:color w:val="auto"/>
        </w:rPr>
        <w:fldChar w:fldCharType="begin"/>
      </w:r>
      <w:r>
        <w:instrText>HYPERLINK "https://economictimes.indiatimes.com/news/international/uk/tesco-to-introduce-massive-changes-to-uk-stores-impacting-2100-jobs/articleshow/97490982.cms?from=mdr"</w:instrText>
      </w:r>
      <w:r>
        <w:rPr>
          <w:rStyle w:val="20"/>
          <w:color w:val="auto"/>
        </w:rPr>
        <w:fldChar w:fldCharType="separate"/>
      </w:r>
      <w:r>
        <w:rPr>
          <w:rStyle w:val="20"/>
          <w:color w:val="auto"/>
        </w:rPr>
        <w:t>https://economictimes.indiatimes.com/news/international/uk/tesco-to-introduce-massive-changes-to-uk-stores-impacting-2100-jobs/articleshow/97490982.cms?from=mdr</w:t>
      </w:r>
      <w:r>
        <w:rPr>
          <w:rStyle w:val="20"/>
          <w:color w:val="auto"/>
        </w:rPr>
        <w:fldChar w:fldCharType="end"/>
      </w:r>
      <w:r>
        <w:t xml:space="preserve"> [Accessed 11 July 2023]</w:t>
      </w:r>
    </w:p>
    <w:p>
      <w:pPr>
        <w:pStyle w:val="15"/>
        <w:spacing w:after="100" w:afterAutospacing="1" w:line="480" w:lineRule="auto"/>
        <w:rPr>
          <w:rFonts w:ascii="Times New Roman" w:eastAsia="Times New Roman" w:cs="Times New Roman" w:hAnsi="Times New Roman"/>
          <w:b/>
          <w:sz w:val="24"/>
          <w:szCs w:val="24"/>
        </w:rPr>
      </w:pPr>
      <w:r>
        <w:rPr>
          <w:rFonts w:ascii="Times New Roman" w:cs="Times New Roman" w:hAnsi="Times New Roman"/>
          <w:sz w:val="24"/>
          <w:szCs w:val="24"/>
        </w:rPr>
        <w:t xml:space="preserve">Theorg, (2023), </w:t>
      </w:r>
      <w:r>
        <w:rPr>
          <w:rFonts w:ascii="Times New Roman" w:cs="Times New Roman" w:hAnsi="Times New Roman"/>
          <w:i/>
          <w:iCs/>
          <w:sz w:val="24"/>
          <w:szCs w:val="24"/>
        </w:rPr>
        <w:t xml:space="preserve">Tesco, </w:t>
      </w:r>
      <w:r>
        <w:rPr>
          <w:rFonts w:ascii="Times New Roman" w:cs="Times New Roman" w:hAnsi="Times New Roman"/>
          <w:sz w:val="24"/>
          <w:szCs w:val="24"/>
        </w:rPr>
        <w:t>[online] Available from:</w:t>
      </w:r>
      <w:r>
        <w:rPr>
          <w:rStyle w:val="20"/>
          <w:rFonts w:ascii="Times New Roman" w:cs="Times New Roman" w:hAnsi="Times New Roman"/>
          <w:color w:val="auto"/>
          <w:sz w:val="24"/>
          <w:szCs w:val="24"/>
        </w:rPr>
        <w:fldChar w:fldCharType="begin"/>
      </w:r>
      <w:r>
        <w:instrText>HYPERLINK "https://theorg.com/org/tesco"</w:instrText>
      </w:r>
      <w:r>
        <w:rPr>
          <w:rStyle w:val="20"/>
          <w:rFonts w:ascii="Times New Roman" w:cs="Times New Roman" w:hAnsi="Times New Roman"/>
          <w:color w:val="auto"/>
          <w:sz w:val="24"/>
          <w:szCs w:val="24"/>
        </w:rPr>
        <w:fldChar w:fldCharType="separate"/>
      </w:r>
      <w:r>
        <w:rPr>
          <w:rStyle w:val="20"/>
          <w:rFonts w:ascii="Times New Roman" w:cs="Times New Roman" w:hAnsi="Times New Roman"/>
          <w:color w:val="auto"/>
          <w:sz w:val="24"/>
          <w:szCs w:val="24"/>
        </w:rPr>
        <w:t>https://theorg.com/org/tesco</w:t>
      </w:r>
      <w:r>
        <w:rPr>
          <w:rStyle w:val="20"/>
          <w:rFonts w:ascii="Times New Roman" w:cs="Times New Roman" w:hAnsi="Times New Roman"/>
          <w:color w:val="auto"/>
          <w:sz w:val="24"/>
          <w:szCs w:val="24"/>
        </w:rPr>
        <w:fldChar w:fldCharType="end"/>
      </w:r>
      <w:r>
        <w:rPr>
          <w:rFonts w:ascii="Times New Roman" w:cs="Times New Roman" w:hAnsi="Times New Roman"/>
          <w:sz w:val="24"/>
          <w:szCs w:val="24"/>
        </w:rPr>
        <w:t xml:space="preserve"> [Accessed 11 July 2023]</w:t>
      </w:r>
    </w:p>
    <w:p>
      <w:pPr>
        <w:pStyle w:val="19"/>
        <w:spacing w:before="0" w:beforeAutospacing="0" w:line="480" w:lineRule="auto"/>
        <w:jc w:val="both"/>
      </w:pPr>
      <w:r>
        <w:t xml:space="preserve">Tran, Q.H., (2021). Organisational culture, leadership behaviour and job satisfaction in the Vietnam context. </w:t>
      </w:r>
      <w:r>
        <w:rPr>
          <w:i/>
          <w:iCs/>
        </w:rPr>
        <w:t>International Journal of Organizational Analysis, 29</w:t>
      </w:r>
      <w:r>
        <w:t xml:space="preserve">(1), pp.136-154. Available from: </w:t>
      </w:r>
      <w:r>
        <w:rPr>
          <w:rStyle w:val="20"/>
          <w:color w:val="auto"/>
        </w:rPr>
        <w:fldChar w:fldCharType="begin"/>
      </w:r>
      <w:r>
        <w:instrText>HYPERLINK "http://dx.doi.org/10.1108/IJOA-10-2019-1919"</w:instrText>
      </w:r>
      <w:r>
        <w:rPr>
          <w:rStyle w:val="20"/>
          <w:color w:val="auto"/>
        </w:rPr>
        <w:fldChar w:fldCharType="separate"/>
      </w:r>
      <w:r>
        <w:rPr>
          <w:rStyle w:val="20"/>
          <w:color w:val="auto"/>
        </w:rPr>
        <w:t>http://dx.doi.org/10.1108/IJOA-10-2019-1919</w:t>
      </w:r>
      <w:r>
        <w:rPr>
          <w:rStyle w:val="20"/>
          <w:color w:val="auto"/>
        </w:rPr>
        <w:fldChar w:fldCharType="end"/>
      </w:r>
      <w:r>
        <w:t xml:space="preserve"> [Accessed 11 July 2023]</w:t>
      </w:r>
    </w:p>
    <w:p>
      <w:pPr>
        <w:pStyle w:val="19"/>
        <w:spacing w:before="0" w:beforeAutospacing="0" w:line="480" w:lineRule="auto"/>
        <w:jc w:val="both"/>
      </w:pPr>
      <w:r>
        <w:rPr>
          <w:shd w:val="clear" w:color="auto" w:fill="FFFFFF"/>
        </w:rPr>
        <w:t xml:space="preserve">Yousefi, M., Mashhadi, L., Akbarisari, A. and Ebrahimi, Z., 2022, November. Change Management in Hospitals: A Framework Analysis. In </w:t>
      </w:r>
      <w:r>
        <w:rPr>
          <w:i/>
          <w:iCs/>
          <w:shd w:val="clear" w:color="auto" w:fill="FFFFFF"/>
        </w:rPr>
        <w:t>PHealth 2022: Proceedings of the 19th International Conference on Wearable Micro and Nano Technologies for Personalized Health</w:t>
      </w:r>
      <w:r>
        <w:rPr>
          <w:shd w:val="clear" w:color="auto" w:fill="FFFFFF"/>
        </w:rPr>
        <w:t xml:space="preserve"> (Vol. 299, p. 262). IOS Press. </w:t>
      </w:r>
      <w:r>
        <w:t xml:space="preserve">Available from: </w:t>
      </w:r>
      <w:r>
        <w:rPr>
          <w:rStyle w:val="20"/>
          <w:color w:val="auto"/>
        </w:rPr>
        <w:fldChar w:fldCharType="begin"/>
      </w:r>
      <w:r>
        <w:instrText>HYPERLINK "https://scholar.archive.org/work/h5gktaohvvc3xhzotfzmilfuvy/access/wayback/https:/ebooks.iospress.nl/pdf/doi/10.3233/SHTI220995"</w:instrText>
      </w:r>
      <w:r>
        <w:rPr>
          <w:rStyle w:val="20"/>
          <w:color w:val="auto"/>
        </w:rPr>
        <w:fldChar w:fldCharType="separate"/>
      </w:r>
      <w:r>
        <w:rPr>
          <w:rStyle w:val="20"/>
          <w:color w:val="auto"/>
        </w:rPr>
        <w:t>https://scholar.archive.org/work/h5gktaohvvc3xhzotfzmilfuvy/access/wayback/https://ebooks.iospress.nl/pdf/doi/10.3233/SHTI220995</w:t>
      </w:r>
      <w:r>
        <w:rPr>
          <w:rStyle w:val="20"/>
          <w:color w:val="auto"/>
        </w:rPr>
        <w:fldChar w:fldCharType="end"/>
      </w:r>
      <w:r>
        <w:t>  [Accessed 11 July 2023]</w:t>
      </w:r>
    </w:p>
    <w:p>
      <w:pPr>
        <w:pStyle w:val="19"/>
        <w:spacing w:before="0" w:beforeAutospacing="0" w:line="480" w:lineRule="auto"/>
        <w:jc w:val="both"/>
      </w:pPr>
      <w:r>
        <w:rPr>
          <w:shd w:val="clear" w:color="auto" w:fill="FFFFFF"/>
        </w:rPr>
        <w:t xml:space="preserve">Zafari, K., Biggemann, S. and Garry, T., (2020). Mindful management of relationships during periods of crises: A model of trust, doubt and relational adjustments. </w:t>
      </w:r>
      <w:r>
        <w:rPr>
          <w:i/>
          <w:iCs/>
        </w:rPr>
        <w:t>Industrial Marketing Management</w:t>
      </w:r>
      <w:r>
        <w:t xml:space="preserve">, </w:t>
      </w:r>
      <w:r>
        <w:rPr>
          <w:i/>
          <w:iCs/>
        </w:rPr>
        <w:t>88</w:t>
      </w:r>
      <w:r>
        <w:t>, pp.278-286.</w:t>
      </w:r>
      <w:r>
        <w:rPr>
          <w:rStyle w:val="20"/>
          <w:color w:val="auto"/>
        </w:rPr>
        <w:fldChar w:fldCharType="begin"/>
      </w:r>
      <w:r>
        <w:instrText>HYPERLINK "https://www.ncbi.nlm.nih.gov/pmc/articles/PMC7274625/"</w:instrText>
      </w:r>
      <w:r>
        <w:rPr>
          <w:rStyle w:val="20"/>
          <w:color w:val="auto"/>
        </w:rPr>
        <w:fldChar w:fldCharType="separate"/>
      </w:r>
      <w:r>
        <w:rPr>
          <w:rStyle w:val="20"/>
          <w:color w:val="auto"/>
        </w:rPr>
        <w:t xml:space="preserve"> </w:t>
      </w:r>
      <w:r>
        <w:rPr>
          <w:rStyle w:val="20"/>
          <w:color w:val="auto"/>
        </w:rPr>
        <w:fldChar w:fldCharType="end"/>
      </w:r>
      <w:r>
        <w:t xml:space="preserve">Available from: </w:t>
      </w:r>
      <w:r>
        <w:rPr>
          <w:rStyle w:val="20"/>
          <w:color w:val="auto"/>
        </w:rPr>
        <w:fldChar w:fldCharType="begin"/>
      </w:r>
      <w:r>
        <w:instrText>HYPERLINK "https://www.ncbi.nlm.nih.gov/pmc/articles/PMC7274625/"</w:instrText>
      </w:r>
      <w:r>
        <w:rPr>
          <w:rStyle w:val="20"/>
          <w:color w:val="auto"/>
        </w:rPr>
        <w:fldChar w:fldCharType="separate"/>
      </w:r>
      <w:r>
        <w:rPr>
          <w:rStyle w:val="20"/>
          <w:color w:val="auto"/>
        </w:rPr>
        <w:t>https://www.ncbi.nlm.nih.gov/pmc/articles/PMC7274625/</w:t>
      </w:r>
      <w:r>
        <w:rPr>
          <w:rStyle w:val="20"/>
          <w:color w:val="auto"/>
        </w:rPr>
        <w:fldChar w:fldCharType="end"/>
      </w:r>
      <w:r>
        <w:rPr>
          <w:u w:val="single"/>
        </w:rPr>
        <w:t xml:space="preserve"> </w:t>
      </w:r>
      <w:r>
        <w:t>[Accessed 11 July 2023]</w:t>
      </w:r>
    </w:p>
    <w:p>
      <w:pPr>
        <w:pStyle w:val="15"/>
        <w:spacing w:before="240" w:after="240" w:line="48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p>
    <w:p>
      <w:pPr>
        <w:pStyle w:val="15"/>
        <w:spacing w:before="240" w:after="240" w:line="48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p>
    <w:p>
      <w:pPr>
        <w:pStyle w:val="15"/>
        <w:spacing w:line="480" w:lineRule="auto"/>
        <w:rPr>
          <w:rFonts w:ascii="Times New Roman" w:eastAsia="Times New Roman" w:cs="Times New Roman" w:hAnsi="Times New Roman"/>
          <w:sz w:val="24"/>
          <w:szCs w:val="24"/>
        </w:rPr>
      </w:pPr>
    </w:p>
    <w:p>
      <w:pPr>
        <w:pStyle w:val="15"/>
        <w:spacing w:line="480" w:lineRule="auto"/>
        <w:rPr>
          <w:rFonts w:ascii="Times New Roman" w:eastAsia="Times New Roman" w:cs="Times New Roman" w:hAnsi="Times New Roman"/>
          <w:sz w:val="24"/>
          <w:szCs w:val="24"/>
        </w:rPr>
      </w:pP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12"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4"/>
      <w:tabs>
        <w:tab w:val="center" w:pos="4513"/>
        <w:tab w:val="right" w:pos="9026"/>
      </w:tabs>
      <w:jc w:val="right"/>
      <w:rPr>
        <w:rFonts w:ascii="Times New Roman" w:cs="Times New Roman" w:hAnsi="Times New Roman"/>
      </w:rPr>
    </w:pPr>
    <w:r>
      <w:rPr>
        <w:rFonts w:ascii="Times New Roman" w:cs="Times New Roman" w:hAnsi="Times New Roman"/>
      </w:rPr>
      <w:t xml:space="preserve">Page </w:t>
    </w:r>
    <w:r>
      <w:rPr>
        <w:rFonts w:ascii="Times New Roman" w:cs="Times New Roman" w:hAnsi="Times New Roman"/>
      </w:rPr>
      <w:fldChar w:fldCharType="begin"/>
    </w:r>
    <w:r>
      <w:rPr>
        <w:rFonts w:ascii="Times New Roman" w:cs="Times New Roman" w:hAnsi="Times New Roman"/>
      </w:rPr>
      <w:instrText xml:space="preserve"> PAGE </w:instrText>
    </w:r>
    <w:r>
      <w:rPr>
        <w:rFonts w:ascii="Times New Roman" w:cs="Times New Roman" w:hAnsi="Times New Roman"/>
      </w:rPr>
      <w:fldChar w:fldCharType="separate"/>
    </w:r>
    <w:r>
      <w:rPr>
        <w:rFonts w:ascii="Times New Roman" w:cs="Times New Roman" w:hAnsi="Times New Roman"/>
      </w:rPr>
      <w:t>1</w:t>
    </w:r>
    <w:r>
      <w:rPr>
        <w:rFonts w:ascii="Times New Roman" w:cs="Times New Roman" w:hAnsi="Times New Roman"/>
      </w:rPr>
      <w:fldChar w:fldCharType="end"/>
    </w:r>
    <w:r>
      <w:rPr>
        <w:rFonts w:ascii="Times New Roman" w:cs="Times New Roman" w:hAnsi="Times New Roman"/>
      </w:rPr>
      <w:t xml:space="preserve"> of </w:t>
    </w:r>
    <w:r>
      <w:rPr>
        <w:rFonts w:ascii="Times New Roman" w:cs="Times New Roman" w:hAnsi="Times New Roman"/>
      </w:rPr>
      <w:fldChar w:fldCharType="begin"/>
    </w:r>
    <w:r>
      <w:rPr>
        <w:rFonts w:ascii="Times New Roman" w:cs="Times New Roman" w:hAnsi="Times New Roman"/>
      </w:rPr>
      <w:instrText xml:space="preserve"> NUMPAGES  </w:instrText>
    </w:r>
    <w:r>
      <w:rPr>
        <w:rFonts w:ascii="Times New Roman" w:cs="Times New Roman" w:hAnsi="Times New Roman"/>
      </w:rPr>
      <w:fldChar w:fldCharType="separate"/>
    </w:r>
    <w:r>
      <w:rPr>
        <w:rFonts w:ascii="Times New Roman" w:cs="Times New Roman" w:hAnsi="Times New Roman"/>
      </w:rPr>
      <w:t>24</w:t>
    </w:r>
    <w:r>
      <w:rPr>
        <w:rFonts w:ascii="Times New Roman" w:cs="Times New Roman" w:hAnsi="Times New Roman"/>
      </w:rPr>
      <w:fldChar w:fldCharType="end"/>
    </w:r>
  </w:p>
  <w:p>
    <w:pPr>
      <w:pStyle w:val="24"/>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3AAA40DF"/>
    <w:multiLevelType w:val="multilevel"/>
    <w:tmpl w:val="CDCEF13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88"/>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IN" w:eastAsia="en-IN" w:bidi="ar-SA"/>
    </w:rPr>
  </w:style>
  <w:style w:type="paragraph" w:styleId="1">
    <w:name w:val="heading 1"/>
    <w:basedOn w:val="15"/>
    <w:next w:val="15"/>
    <w:pPr>
      <w:keepNext/>
      <w:keepLines/>
      <w:spacing w:before="400" w:after="120" w:line="360" w:lineRule="auto"/>
      <w:jc w:val="both"/>
      <w:outlineLvl w:val="0"/>
    </w:pPr>
    <w:rPr>
      <w:rFonts w:ascii="Times New Roman" w:hAnsi="Times New Roman"/>
      <w:b/>
      <w:sz w:val="28"/>
      <w:szCs w:val="40"/>
    </w:rPr>
  </w:style>
  <w:style w:type="paragraph" w:styleId="2">
    <w:name w:val="heading 2"/>
    <w:basedOn w:val="15"/>
    <w:next w:val="15"/>
    <w:pPr>
      <w:keepNext/>
      <w:keepLines/>
      <w:spacing w:before="360" w:after="120"/>
      <w:outlineLvl w:val="1"/>
    </w:pPr>
    <w:rPr>
      <w:sz w:val="32"/>
      <w:szCs w:val="32"/>
    </w:rPr>
  </w:style>
  <w:style w:type="paragraph" w:styleId="3">
    <w:name w:val="heading 3"/>
    <w:basedOn w:val="15"/>
    <w:next w:val="15"/>
    <w:pPr>
      <w:keepNext/>
      <w:keepLines/>
      <w:spacing w:before="320" w:after="80"/>
      <w:outlineLvl w:val="2"/>
    </w:pPr>
    <w:rPr>
      <w:color w:val="434343"/>
      <w:sz w:val="28"/>
      <w:szCs w:val="28"/>
    </w:rPr>
  </w:style>
  <w:style w:type="paragraph" w:styleId="4">
    <w:name w:val="heading 4"/>
    <w:basedOn w:val="15"/>
    <w:next w:val="15"/>
    <w:pPr>
      <w:keepNext/>
      <w:keepLines/>
      <w:spacing w:before="280" w:after="80"/>
      <w:outlineLvl w:val="3"/>
    </w:pPr>
    <w:rPr>
      <w:color w:val="666666"/>
      <w:sz w:val="24"/>
      <w:szCs w:val="24"/>
    </w:rPr>
  </w:style>
  <w:style w:type="paragraph" w:styleId="5">
    <w:name w:val="heading 5"/>
    <w:basedOn w:val="15"/>
    <w:next w:val="15"/>
    <w:pPr>
      <w:keepNext/>
      <w:keepLines/>
      <w:spacing w:before="240" w:after="80"/>
      <w:outlineLvl w:val="4"/>
    </w:pPr>
    <w:rPr>
      <w:color w:val="666666"/>
    </w:rPr>
  </w:style>
  <w:style w:type="paragraph" w:styleId="6">
    <w:name w:val="heading 6"/>
    <w:basedOn w:val="15"/>
    <w:next w:val="15"/>
    <w:pPr>
      <w:keepNext/>
      <w:keepLines/>
      <w:spacing w:before="240" w:after="80"/>
      <w:outlineLvl w:val="5"/>
    </w:pPr>
    <w:rPr>
      <w:i/>
      <w:color w:val="666666"/>
    </w:rPr>
  </w:style>
  <w:style w:type="character" w:default="1" w:styleId="10">
    <w:name w:val="Default Paragraph Font"/>
  </w:style>
  <w:style w:type="paragraph" w:customStyle="1" w:styleId="15">
    <w:name w:val="normal"/>
    <w:pPr>
      <w:spacing w:line="276" w:lineRule="auto"/>
    </w:pPr>
    <w:rPr>
      <w:rFonts w:ascii="Arial" w:eastAsia="Arial" w:cs="Arial" w:hAnsi="Arial"/>
      <w:sz w:val="22"/>
      <w:szCs w:val="22"/>
      <w:lang w:val="en-IN" w:eastAsia="en-IN" w:bidi="ar-SA"/>
    </w:rPr>
  </w:style>
  <w:style w:type="paragraph" w:styleId="16">
    <w:name w:val="Title"/>
    <w:basedOn w:val="15"/>
    <w:next w:val="15"/>
    <w:pPr>
      <w:keepNext/>
      <w:keepLines/>
      <w:spacing w:after="60"/>
    </w:pPr>
    <w:rPr>
      <w:sz w:val="52"/>
      <w:szCs w:val="52"/>
    </w:rPr>
  </w:style>
  <w:style w:type="paragraph" w:styleId="17">
    <w:name w:val="Subtitle"/>
    <w:basedOn w:val="15"/>
    <w:next w:val="15"/>
    <w:pPr>
      <w:keepNext/>
      <w:keepLines/>
      <w:spacing w:after="320"/>
    </w:pPr>
    <w:rPr>
      <w:color w:val="666666"/>
      <w:sz w:val="30"/>
      <w:szCs w:val="30"/>
    </w:rPr>
  </w:style>
  <w:style w:type="paragraph" w:styleId="18">
    <w:name w:val="Balloon Text"/>
    <w:basedOn w:val="0"/>
    <w:pPr>
      <w:spacing w:line="240" w:lineRule="auto"/>
    </w:pPr>
    <w:rPr>
      <w:rFonts w:ascii="Tahoma" w:cs="Tahoma" w:hAnsi="Tahoma"/>
      <w:sz w:val="16"/>
      <w:szCs w:val="16"/>
    </w:rPr>
  </w:style>
  <w:style w:type="paragraph" w:styleId="19">
    <w:name w:val="Normal (Web)"/>
    <w:basedOn w:val="0"/>
    <w:pPr>
      <w:spacing w:before="100" w:beforeAutospacing="1" w:after="100" w:afterAutospacing="1" w:line="240" w:lineRule="auto"/>
    </w:pPr>
    <w:rPr>
      <w:rFonts w:ascii="Times New Roman" w:eastAsia="Times New Roman" w:cs="Times New Roman" w:hAnsi="Times New Roman"/>
      <w:sz w:val="24"/>
      <w:szCs w:val="24"/>
    </w:rPr>
  </w:style>
  <w:style w:type="character" w:styleId="20">
    <w:name w:val="Hyperlink"/>
    <w:basedOn w:val="10"/>
    <w:rPr>
      <w:color w:val="0000FF"/>
      <w:u w:val="single"/>
    </w:rPr>
  </w:style>
  <w:style w:type="paragraph" w:customStyle="1" w:styleId="21">
    <w:name w:val="TOC Heading"/>
    <w:basedOn w:val="1"/>
    <w:next w:val="0"/>
    <w:pPr>
      <w:spacing w:before="480" w:after="0" w:line="276" w:lineRule="auto"/>
      <w:jc w:val="left"/>
      <w:outlineLvl w:val="9"/>
    </w:pPr>
    <w:rPr>
      <w:rFonts w:ascii="Droid Sans" w:eastAsia="宋体" w:cs="Times New Roman" w:hAnsi="Droid Sans"/>
      <w:bCs/>
      <w:color w:val="365F91"/>
      <w:szCs w:val="28"/>
      <w:lang w:val="en-US" w:eastAsia="en-US"/>
    </w:rPr>
  </w:style>
  <w:style w:type="paragraph" w:styleId="22">
    <w:name w:val="toc 1"/>
    <w:basedOn w:val="0"/>
    <w:autoRedefine/>
    <w:next w:val="0"/>
    <w:pPr>
      <w:spacing w:after="100"/>
    </w:pPr>
  </w:style>
  <w:style w:type="paragraph" w:styleId="23">
    <w:name w:val="header"/>
    <w:basedOn w:val="0"/>
    <w:pPr>
      <w:tabs>
        <w:tab w:val="center" w:pos="4513"/>
        <w:tab w:val="right" w:pos="9026"/>
      </w:tabs>
      <w:spacing w:line="240" w:lineRule="auto"/>
    </w:pPr>
  </w:style>
  <w:style w:type="paragraph" w:styleId="24">
    <w:name w:val="footer"/>
    <w:basedOn w:val="0"/>
    <w:pPr>
      <w:tabs>
        <w:tab w:val="center" w:pos="4513"/>
        <w:tab w:val="right" w:pos="9026"/>
      </w:tabs>
      <w:spacing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styles" Target="styles.xml"/><Relationship Id="rId8" Type="http://schemas.openxmlformats.org/officeDocument/2006/relationships/numbering" Target="numbering.xml"/><Relationship Id="rId9" Type="http://schemas.openxmlformats.org/officeDocument/2006/relationships/fontTable" Target="fontTable.xml"/></Relationships>
</file>

<file path=docProps/app.xml><?xml version="1.0" encoding="utf-8"?>
<Properties xmlns="http://schemas.openxmlformats.org/officeDocument/2006/extended-properties">
  <Template>Normal.eit</Template>
  <TotalTime>7</TotalTime>
  <Application>Yozo_Office</Application>
  <Pages>29</Pages>
  <Words>4327</Words>
  <Characters>26616</Characters>
  <Lines>454</Lines>
  <Paragraphs>106</Paragraphs>
  <CharactersWithSpaces>30852</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8</cp:revision>
  <dcterms:created xsi:type="dcterms:W3CDTF">2023-07-11T18:21:00Z</dcterms:created>
  <dcterms:modified xsi:type="dcterms:W3CDTF">2023-07-21T01:56:34Z</dcterms:modified>
</cp:coreProperties>
</file>