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4B94D" w14:textId="77777777" w:rsidR="00D35038" w:rsidRPr="00F22CEC" w:rsidRDefault="00D35038" w:rsidP="00D35038">
      <w:pPr>
        <w:jc w:val="center"/>
        <w:rPr>
          <w:b/>
          <w:color w:val="000000" w:themeColor="text1"/>
          <w:sz w:val="28"/>
        </w:rPr>
      </w:pPr>
    </w:p>
    <w:p w14:paraId="1985A002" w14:textId="77777777" w:rsidR="00D35038" w:rsidRPr="00F22CEC" w:rsidRDefault="00D35038" w:rsidP="00D35038">
      <w:pPr>
        <w:jc w:val="center"/>
        <w:rPr>
          <w:b/>
          <w:color w:val="000000" w:themeColor="text1"/>
          <w:sz w:val="28"/>
        </w:rPr>
      </w:pPr>
    </w:p>
    <w:p w14:paraId="365828D2" w14:textId="77777777" w:rsidR="00D35038" w:rsidRPr="00F22CEC" w:rsidRDefault="00D35038" w:rsidP="00D35038">
      <w:pPr>
        <w:jc w:val="center"/>
        <w:rPr>
          <w:b/>
          <w:color w:val="000000" w:themeColor="text1"/>
          <w:sz w:val="28"/>
        </w:rPr>
      </w:pPr>
    </w:p>
    <w:p w14:paraId="6F22CDB0" w14:textId="77777777" w:rsidR="00D35038" w:rsidRPr="00F22CEC" w:rsidRDefault="00D35038" w:rsidP="00D35038">
      <w:pPr>
        <w:jc w:val="center"/>
        <w:rPr>
          <w:b/>
          <w:color w:val="000000" w:themeColor="text1"/>
          <w:sz w:val="28"/>
        </w:rPr>
      </w:pPr>
    </w:p>
    <w:p w14:paraId="2539CB21" w14:textId="77777777" w:rsidR="00D35038" w:rsidRPr="00F22CEC" w:rsidRDefault="00D35038" w:rsidP="00D35038">
      <w:pPr>
        <w:jc w:val="center"/>
        <w:rPr>
          <w:b/>
          <w:color w:val="000000" w:themeColor="text1"/>
          <w:sz w:val="28"/>
        </w:rPr>
      </w:pPr>
    </w:p>
    <w:p w14:paraId="353283EF" w14:textId="77777777" w:rsidR="00D35038" w:rsidRPr="00F22CEC" w:rsidRDefault="00D35038" w:rsidP="00D35038">
      <w:pPr>
        <w:jc w:val="center"/>
        <w:rPr>
          <w:b/>
          <w:color w:val="000000" w:themeColor="text1"/>
          <w:sz w:val="28"/>
        </w:rPr>
      </w:pPr>
    </w:p>
    <w:p w14:paraId="01E00364" w14:textId="3731806D" w:rsidR="00D35038" w:rsidRPr="00F22CEC" w:rsidRDefault="00D35038" w:rsidP="00D35038">
      <w:pPr>
        <w:jc w:val="center"/>
        <w:rPr>
          <w:b/>
          <w:color w:val="000000" w:themeColor="text1"/>
          <w:sz w:val="28"/>
        </w:rPr>
      </w:pPr>
      <w:r w:rsidRPr="00D35038">
        <w:rPr>
          <w:b/>
          <w:color w:val="000000" w:themeColor="text1"/>
          <w:sz w:val="28"/>
        </w:rPr>
        <w:t>Problem Solving &amp; Innovation (BMSW4014)</w:t>
      </w:r>
    </w:p>
    <w:p w14:paraId="27286BB4" w14:textId="1C490D0E" w:rsidR="00D35038" w:rsidRPr="00F22CEC" w:rsidRDefault="00D35038" w:rsidP="00D35038">
      <w:pPr>
        <w:jc w:val="center"/>
        <w:rPr>
          <w:b/>
          <w:color w:val="000000" w:themeColor="text1"/>
        </w:rPr>
      </w:pPr>
      <w:r w:rsidRPr="00D35038">
        <w:rPr>
          <w:b/>
          <w:color w:val="000000" w:themeColor="text1"/>
        </w:rPr>
        <w:t>GREENWASHING IN THE AUTOMOTIVE INDUSTRY: A ROOT CAUSE ANALYSIS</w:t>
      </w:r>
    </w:p>
    <w:p w14:paraId="7010EF23" w14:textId="77777777" w:rsidR="00D35038" w:rsidRDefault="00D35038" w:rsidP="00D35038">
      <w:pPr>
        <w:jc w:val="center"/>
        <w:rPr>
          <w:b/>
          <w:i/>
          <w:color w:val="000000" w:themeColor="text1"/>
        </w:rPr>
      </w:pPr>
    </w:p>
    <w:p w14:paraId="726A7138" w14:textId="77777777" w:rsidR="00D35038" w:rsidRDefault="00D35038" w:rsidP="00D35038">
      <w:pPr>
        <w:jc w:val="center"/>
        <w:rPr>
          <w:b/>
          <w:i/>
          <w:color w:val="000000" w:themeColor="text1"/>
        </w:rPr>
      </w:pPr>
    </w:p>
    <w:p w14:paraId="54B8A0C3" w14:textId="54B30242" w:rsidR="00D35038" w:rsidRPr="00F22CEC" w:rsidRDefault="00D35038" w:rsidP="00D35038">
      <w:pPr>
        <w:jc w:val="center"/>
        <w:rPr>
          <w:b/>
          <w:i/>
          <w:color w:val="000000" w:themeColor="text1"/>
        </w:rPr>
      </w:pPr>
      <w:r w:rsidRPr="00F22CEC">
        <w:rPr>
          <w:b/>
          <w:i/>
          <w:color w:val="000000" w:themeColor="text1"/>
        </w:rPr>
        <w:t>Student Name:</w:t>
      </w:r>
    </w:p>
    <w:p w14:paraId="1F676EC1" w14:textId="61576BB6" w:rsidR="00D35038" w:rsidRDefault="00D35038" w:rsidP="00D35038">
      <w:pPr>
        <w:jc w:val="center"/>
        <w:rPr>
          <w:b/>
          <w:color w:val="000000" w:themeColor="text1"/>
        </w:rPr>
      </w:pPr>
      <w:r w:rsidRPr="00F22CEC">
        <w:rPr>
          <w:b/>
          <w:i/>
          <w:color w:val="000000" w:themeColor="text1"/>
        </w:rPr>
        <w:t>Student ID:</w:t>
      </w:r>
    </w:p>
    <w:p w14:paraId="406C6F51" w14:textId="77777777" w:rsidR="00D35038" w:rsidRDefault="00D35038" w:rsidP="00D35038">
      <w:pPr>
        <w:rPr>
          <w:b/>
          <w:color w:val="000000" w:themeColor="text1"/>
        </w:rPr>
      </w:pPr>
    </w:p>
    <w:p w14:paraId="4320EE01" w14:textId="77777777" w:rsidR="00D35038" w:rsidRDefault="00D35038">
      <w:pPr>
        <w:rPr>
          <w:b/>
          <w:color w:val="000000" w:themeColor="text1"/>
        </w:rPr>
      </w:pPr>
      <w:r>
        <w:rPr>
          <w:b/>
          <w:color w:val="000000" w:themeColor="text1"/>
        </w:rPr>
        <w:br w:type="page"/>
      </w:r>
    </w:p>
    <w:p w14:paraId="46AA1FC8" w14:textId="7F217F63" w:rsidR="00A51D4A" w:rsidRDefault="00395C76" w:rsidP="00D35038">
      <w:pPr>
        <w:rPr>
          <w:b/>
          <w:bCs/>
        </w:rPr>
      </w:pPr>
      <w:r w:rsidRPr="00395C76">
        <w:rPr>
          <w:b/>
          <w:bCs/>
        </w:rPr>
        <w:lastRenderedPageBreak/>
        <w:t>500</w:t>
      </w:r>
      <w:r>
        <w:rPr>
          <w:b/>
          <w:bCs/>
        </w:rPr>
        <w:t xml:space="preserve"> </w:t>
      </w:r>
      <w:r w:rsidRPr="00395C76">
        <w:rPr>
          <w:b/>
          <w:bCs/>
        </w:rPr>
        <w:t>-</w:t>
      </w:r>
      <w:r>
        <w:rPr>
          <w:b/>
          <w:bCs/>
        </w:rPr>
        <w:t xml:space="preserve"> </w:t>
      </w:r>
      <w:r w:rsidRPr="00395C76">
        <w:rPr>
          <w:b/>
          <w:bCs/>
        </w:rPr>
        <w:t>Word Supporting Commentary</w:t>
      </w:r>
    </w:p>
    <w:p w14:paraId="189FC58D" w14:textId="55AF3469" w:rsidR="00395C76" w:rsidRDefault="00395C76" w:rsidP="00395C76">
      <w:pPr>
        <w:spacing w:line="360" w:lineRule="auto"/>
      </w:pPr>
      <w:r w:rsidRPr="00395C76">
        <w:t xml:space="preserve">This document explains why the presentation was made and how a root cause analysis (RCA) was used to study greenwashing in the automotive sector. The growing challenge of greenwashing creates a divide between marketing claims and actual environmental performance, making it an issue for consumers and regulators. According to </w:t>
      </w:r>
      <w:r w:rsidR="00417C27" w:rsidRPr="00417C27">
        <w:t>Delmas &amp; Burbano (2011)</w:t>
      </w:r>
      <w:r w:rsidRPr="00395C76">
        <w:t>, companies use eco-words and misleading sustainability messaging to shield their brands from fines, damage and boycotts. The automotive sector has increasingly stringent emissions regulations, strong demand for innovation, and rising consumer expectations for low-emission technology, thus making it an appropriate context for a root-cause investigation.</w:t>
      </w:r>
    </w:p>
    <w:p w14:paraId="41C0C1B6" w14:textId="61C7BD6B" w:rsidR="00395C76" w:rsidRDefault="00395C76" w:rsidP="00395C76">
      <w:pPr>
        <w:spacing w:line="360" w:lineRule="auto"/>
      </w:pPr>
      <w:r w:rsidRPr="00395C76">
        <w:t>The presentation started with greenwashing, what it is, and reasons why it was selected. The reason we looked at the car industry was the incident involving Volkswagen which was known as the Dieselgate. It showed us that reporting of incorrect emissions can turn into a worldwide matter which is ethical or regulatory. The International Energy Agency (IEA, 2023) highlights that real-world emission levels of certain diesel cars were markedly higher than laboratory test results with clear evidence of fraud on the environmental performance. This was a strong starting point for applying RCA tools because the problem revealed a problem with multiple interacting causes rather than a single technical failure.</w:t>
      </w:r>
    </w:p>
    <w:p w14:paraId="02A79C14" w14:textId="5481A0BC" w:rsidR="00395C76" w:rsidRPr="00417C27" w:rsidRDefault="00395C76" w:rsidP="00395C76">
      <w:pPr>
        <w:spacing w:line="360" w:lineRule="auto"/>
      </w:pPr>
      <w:r w:rsidRPr="00417C27">
        <w:t xml:space="preserve">The issue was monitored and investigated through two RCA tools, namely, the Five Whys and the Fishbone Diagram. By repeatedly asking why, the Five Whys was helpful in figuring out how emissions came to be manipulated. According to </w:t>
      </w:r>
      <w:r w:rsidR="00417C27" w:rsidRPr="00417C27">
        <w:t>Hotten (2015)</w:t>
      </w:r>
      <w:r w:rsidRPr="00417C27">
        <w:t>, automotive firms face high technology and finance barriers to comply with tightening emissions regulations. It leads to situations where internal targets become unachievable, and leadership may favour market competitiveness over transparency. The Five Whys method asserted that the genuine reason for the manipulation of the software lies in the pressure on strategy, governance, costing and compliance.</w:t>
      </w:r>
    </w:p>
    <w:p w14:paraId="61E6AF1C" w14:textId="41AF99A4" w:rsidR="00395C76" w:rsidRDefault="00395C76" w:rsidP="00395C76">
      <w:pPr>
        <w:spacing w:line="360" w:lineRule="auto"/>
      </w:pPr>
      <w:r w:rsidRPr="00395C76">
        <w:t xml:space="preserve">The Fishbone Diagram was helpful in classifying the causes into broad categories like People, Processes, Technology, Policy, Competition and Culture. This step showed us that individuals do not show greenwashing behaviour due to unethical behaviour. Instead, greenwashing behaviour is due to flaws in the overall system. According to </w:t>
      </w:r>
      <w:r w:rsidR="00417C27" w:rsidRPr="00417C27">
        <w:t>Lyon &amp; Montgomery (2015)</w:t>
      </w:r>
      <w:r w:rsidR="00417C27">
        <w:t xml:space="preserve">, </w:t>
      </w:r>
      <w:r w:rsidRPr="00395C76">
        <w:t xml:space="preserve">organisations can make misleading </w:t>
      </w:r>
      <w:r w:rsidRPr="00395C76">
        <w:lastRenderedPageBreak/>
        <w:t xml:space="preserve">environmental claims due to poor internal auditing and weak sustainability governance.  </w:t>
      </w:r>
      <w:r w:rsidR="00417C27" w:rsidRPr="00417C27">
        <w:t>Freitas Netto et al. (2020)</w:t>
      </w:r>
      <w:r w:rsidR="00417C27">
        <w:t xml:space="preserve"> </w:t>
      </w:r>
      <w:r w:rsidRPr="00395C76">
        <w:t>argue that tension from the competition can induce firms to exaggerate their environmental achievements when innovation lags behind the market.</w:t>
      </w:r>
    </w:p>
    <w:p w14:paraId="76A1E895" w14:textId="5D12F3F8" w:rsidR="00395C76" w:rsidRPr="00395C76" w:rsidRDefault="00395C76" w:rsidP="00395C76">
      <w:pPr>
        <w:spacing w:line="360" w:lineRule="auto"/>
      </w:pPr>
      <w:r w:rsidRPr="00395C76">
        <w:t>The RCA findings conclude that root causes of greenwashing are structural and not unintentional issues. This suggests that long-lasting investment in clean technologies, more effective internal controls and transparent reporting practices are needed to avoid similar problems. The analysis underlines the importance of applying RCA to any business problem, as it will show how the strategic dynamics, the organisational culture and being technologically deprived interact to create complex ethical problems. Car companies can create safer cars as their innovation technology depends on the pushback from the consumer and environment.</w:t>
      </w:r>
    </w:p>
    <w:p w14:paraId="7552CCFF" w14:textId="26F4B162" w:rsidR="00395C76" w:rsidRDefault="00395C76">
      <w:pPr>
        <w:rPr>
          <w:b/>
          <w:bCs/>
        </w:rPr>
      </w:pPr>
      <w:r>
        <w:rPr>
          <w:b/>
          <w:bCs/>
        </w:rPr>
        <w:br w:type="page"/>
      </w:r>
    </w:p>
    <w:p w14:paraId="10F3343B" w14:textId="5DBE1ACC" w:rsidR="00395C76" w:rsidRDefault="00395C76">
      <w:pPr>
        <w:rPr>
          <w:b/>
          <w:bCs/>
        </w:rPr>
      </w:pPr>
      <w:r>
        <w:rPr>
          <w:b/>
          <w:bCs/>
        </w:rPr>
        <w:lastRenderedPageBreak/>
        <w:t>References</w:t>
      </w:r>
    </w:p>
    <w:p w14:paraId="3D82FAC2" w14:textId="603E8DBE" w:rsidR="00417C27" w:rsidRPr="00417C27" w:rsidRDefault="00417C27" w:rsidP="00417C27">
      <w:r w:rsidRPr="00417C27">
        <w:t>1. Delmas, M. A. &amp; Burbano, V. C. (2011)</w:t>
      </w:r>
      <w:r>
        <w:t xml:space="preserve"> </w:t>
      </w:r>
      <w:r w:rsidRPr="00417C27">
        <w:t>‘The Drivers of Greenwashing’, California Management Review, 54(1), pp. 64–87.</w:t>
      </w:r>
      <w:r>
        <w:t xml:space="preserve"> </w:t>
      </w:r>
      <w:r w:rsidRPr="00417C27">
        <w:t xml:space="preserve">Available at: </w:t>
      </w:r>
      <w:hyperlink r:id="rId6" w:history="1">
        <w:r w:rsidRPr="00A55C31">
          <w:rPr>
            <w:rStyle w:val="Hyperlink"/>
          </w:rPr>
          <w:t>https://journals.sagepub.com/doi/10.1525/cmr.2011.54.1.64</w:t>
        </w:r>
      </w:hyperlink>
      <w:r>
        <w:t xml:space="preserve"> </w:t>
      </w:r>
    </w:p>
    <w:p w14:paraId="27C06FD9" w14:textId="0373F5F7" w:rsidR="00417C27" w:rsidRPr="00417C27" w:rsidRDefault="00417C27" w:rsidP="00417C27">
      <w:r w:rsidRPr="00417C27">
        <w:t>2. European Environment Agency (EEA) (2023)</w:t>
      </w:r>
      <w:r>
        <w:t xml:space="preserve"> </w:t>
      </w:r>
      <w:r w:rsidRPr="00417C27">
        <w:t>Carbon dioxide emissions from new passenger cars in Europe.</w:t>
      </w:r>
      <w:r>
        <w:t xml:space="preserve"> </w:t>
      </w:r>
      <w:r w:rsidRPr="00417C27">
        <w:t xml:space="preserve">Available at: </w:t>
      </w:r>
      <w:hyperlink r:id="rId7" w:history="1">
        <w:r w:rsidRPr="00A55C31">
          <w:rPr>
            <w:rStyle w:val="Hyperlink"/>
          </w:rPr>
          <w:t>https://www.eea.europa.eu/ims/co2-emission-new-passenger-cars</w:t>
        </w:r>
      </w:hyperlink>
      <w:r>
        <w:t xml:space="preserve"> </w:t>
      </w:r>
    </w:p>
    <w:p w14:paraId="03D1A27D" w14:textId="0E2AC81B" w:rsidR="00417C27" w:rsidRPr="00417C27" w:rsidRDefault="00417C27" w:rsidP="00417C27">
      <w:r w:rsidRPr="00417C27">
        <w:t>3. Hotten, R. (2015)</w:t>
      </w:r>
      <w:r>
        <w:t xml:space="preserve">  </w:t>
      </w:r>
      <w:r w:rsidRPr="00417C27">
        <w:t>‘Volkswagen: The emissions scandal explained’, BBC News, 10 December.</w:t>
      </w:r>
      <w:r>
        <w:t xml:space="preserve"> </w:t>
      </w:r>
      <w:r w:rsidRPr="00417C27">
        <w:t xml:space="preserve">Available at: </w:t>
      </w:r>
      <w:hyperlink r:id="rId8" w:history="1">
        <w:r w:rsidRPr="00A55C31">
          <w:rPr>
            <w:rStyle w:val="Hyperlink"/>
          </w:rPr>
          <w:t>https://www.bbc.com/news/business-34324772</w:t>
        </w:r>
      </w:hyperlink>
      <w:r>
        <w:t xml:space="preserve"> </w:t>
      </w:r>
    </w:p>
    <w:p w14:paraId="609D0347" w14:textId="418596A5" w:rsidR="00417C27" w:rsidRPr="00417C27" w:rsidRDefault="00417C27" w:rsidP="00417C27">
      <w:r w:rsidRPr="00417C27">
        <w:t>4. Lyon, T. P. &amp; Montgomery, A. W. (2015)</w:t>
      </w:r>
      <w:r>
        <w:t xml:space="preserve"> </w:t>
      </w:r>
      <w:r w:rsidRPr="00417C27">
        <w:t>‘The Means and Ends of Greenwash’, Organization &amp; Environment, 28(2), pp. 223–249.</w:t>
      </w:r>
      <w:r>
        <w:t xml:space="preserve"> </w:t>
      </w:r>
      <w:r w:rsidRPr="00417C27">
        <w:t xml:space="preserve">Available at: </w:t>
      </w:r>
      <w:hyperlink r:id="rId9" w:history="1">
        <w:r w:rsidRPr="00A55C31">
          <w:rPr>
            <w:rStyle w:val="Hyperlink"/>
          </w:rPr>
          <w:t>https://journals.sagepub.com/doi/10.1177/1086026615575332</w:t>
        </w:r>
      </w:hyperlink>
      <w:r>
        <w:t xml:space="preserve"> </w:t>
      </w:r>
    </w:p>
    <w:p w14:paraId="22903200" w14:textId="05F3A677" w:rsidR="00417C27" w:rsidRPr="00417C27" w:rsidRDefault="00417C27" w:rsidP="00417C27">
      <w:r w:rsidRPr="00417C27">
        <w:t>5. de Freitas Netto, S. V., Sobral, M. F. F., Ribeiro, A. R. B. &amp; da Luz Soares, G. R. (2020)</w:t>
      </w:r>
      <w:r>
        <w:t xml:space="preserve"> </w:t>
      </w:r>
      <w:r w:rsidRPr="00417C27">
        <w:t>‘Concepts and forms of greenwashing: a systematic review’, Environmental Sciences Europe, 32(19).</w:t>
      </w:r>
      <w:r>
        <w:t xml:space="preserve"> </w:t>
      </w:r>
      <w:r w:rsidRPr="00417C27">
        <w:t xml:space="preserve">Available at: </w:t>
      </w:r>
      <w:hyperlink r:id="rId10" w:history="1">
        <w:r w:rsidRPr="00A55C31">
          <w:rPr>
            <w:rStyle w:val="Hyperlink"/>
          </w:rPr>
          <w:t>https://enveurope.springeropen.com/articles/10.1186/s12302-020-0300-3</w:t>
        </w:r>
      </w:hyperlink>
      <w:r>
        <w:t xml:space="preserve"> </w:t>
      </w:r>
    </w:p>
    <w:sectPr w:rsidR="00417C27" w:rsidRPr="00417C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8C625" w14:textId="77777777" w:rsidR="00EF4FF9" w:rsidRDefault="00EF4FF9" w:rsidP="00317BA7">
      <w:pPr>
        <w:spacing w:after="0" w:line="240" w:lineRule="auto"/>
      </w:pPr>
      <w:r>
        <w:separator/>
      </w:r>
    </w:p>
  </w:endnote>
  <w:endnote w:type="continuationSeparator" w:id="0">
    <w:p w14:paraId="69707F77" w14:textId="77777777" w:rsidR="00EF4FF9" w:rsidRDefault="00EF4FF9" w:rsidP="00317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33F51" w14:textId="77777777" w:rsidR="00EF4FF9" w:rsidRDefault="00EF4FF9" w:rsidP="00317BA7">
      <w:pPr>
        <w:spacing w:after="0" w:line="240" w:lineRule="auto"/>
      </w:pPr>
      <w:r>
        <w:separator/>
      </w:r>
    </w:p>
  </w:footnote>
  <w:footnote w:type="continuationSeparator" w:id="0">
    <w:p w14:paraId="0B2FB236" w14:textId="77777777" w:rsidR="00EF4FF9" w:rsidRDefault="00EF4FF9" w:rsidP="00317B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C76"/>
    <w:rsid w:val="000328C6"/>
    <w:rsid w:val="00253E19"/>
    <w:rsid w:val="00317BA7"/>
    <w:rsid w:val="00395C76"/>
    <w:rsid w:val="00417C27"/>
    <w:rsid w:val="00451E86"/>
    <w:rsid w:val="00911F25"/>
    <w:rsid w:val="00A05805"/>
    <w:rsid w:val="00A51D4A"/>
    <w:rsid w:val="00D35038"/>
    <w:rsid w:val="00D46785"/>
    <w:rsid w:val="00EF4FF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8A8C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C76"/>
    <w:rPr>
      <w:rFonts w:ascii="Arial" w:hAnsi="Arial"/>
      <w:noProof/>
      <w:lang w:val="en-GB"/>
    </w:rPr>
  </w:style>
  <w:style w:type="paragraph" w:styleId="Heading1">
    <w:name w:val="heading 1"/>
    <w:basedOn w:val="Normal"/>
    <w:next w:val="Normal"/>
    <w:link w:val="Heading1Char"/>
    <w:uiPriority w:val="9"/>
    <w:qFormat/>
    <w:rsid w:val="00395C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5C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5C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5C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5C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5C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5C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5C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5C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C76"/>
    <w:rPr>
      <w:rFonts w:asciiTheme="majorHAnsi" w:eastAsiaTheme="majorEastAsia" w:hAnsiTheme="majorHAnsi" w:cstheme="majorBidi"/>
      <w:noProof/>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395C76"/>
    <w:rPr>
      <w:rFonts w:asciiTheme="majorHAnsi" w:eastAsiaTheme="majorEastAsia" w:hAnsiTheme="majorHAnsi" w:cstheme="majorBidi"/>
      <w:noProof/>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395C76"/>
    <w:rPr>
      <w:rFonts w:eastAsiaTheme="majorEastAsia" w:cstheme="majorBidi"/>
      <w:noProof/>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395C76"/>
    <w:rPr>
      <w:rFonts w:eastAsiaTheme="majorEastAsia" w:cstheme="majorBidi"/>
      <w:i/>
      <w:iCs/>
      <w:noProof/>
      <w:color w:val="0F4761" w:themeColor="accent1" w:themeShade="BF"/>
      <w:lang w:val="en-GB"/>
    </w:rPr>
  </w:style>
  <w:style w:type="character" w:customStyle="1" w:styleId="Heading5Char">
    <w:name w:val="Heading 5 Char"/>
    <w:basedOn w:val="DefaultParagraphFont"/>
    <w:link w:val="Heading5"/>
    <w:uiPriority w:val="9"/>
    <w:semiHidden/>
    <w:rsid w:val="00395C76"/>
    <w:rPr>
      <w:rFonts w:eastAsiaTheme="majorEastAsia" w:cstheme="majorBidi"/>
      <w:noProof/>
      <w:color w:val="0F4761" w:themeColor="accent1" w:themeShade="BF"/>
      <w:lang w:val="en-GB"/>
    </w:rPr>
  </w:style>
  <w:style w:type="character" w:customStyle="1" w:styleId="Heading6Char">
    <w:name w:val="Heading 6 Char"/>
    <w:basedOn w:val="DefaultParagraphFont"/>
    <w:link w:val="Heading6"/>
    <w:uiPriority w:val="9"/>
    <w:semiHidden/>
    <w:rsid w:val="00395C76"/>
    <w:rPr>
      <w:rFonts w:eastAsiaTheme="majorEastAsia" w:cstheme="majorBidi"/>
      <w:i/>
      <w:iCs/>
      <w:noProof/>
      <w:color w:val="595959" w:themeColor="text1" w:themeTint="A6"/>
      <w:lang w:val="en-GB"/>
    </w:rPr>
  </w:style>
  <w:style w:type="character" w:customStyle="1" w:styleId="Heading7Char">
    <w:name w:val="Heading 7 Char"/>
    <w:basedOn w:val="DefaultParagraphFont"/>
    <w:link w:val="Heading7"/>
    <w:uiPriority w:val="9"/>
    <w:semiHidden/>
    <w:rsid w:val="00395C76"/>
    <w:rPr>
      <w:rFonts w:eastAsiaTheme="majorEastAsia" w:cstheme="majorBidi"/>
      <w:noProof/>
      <w:color w:val="595959" w:themeColor="text1" w:themeTint="A6"/>
      <w:lang w:val="en-GB"/>
    </w:rPr>
  </w:style>
  <w:style w:type="character" w:customStyle="1" w:styleId="Heading8Char">
    <w:name w:val="Heading 8 Char"/>
    <w:basedOn w:val="DefaultParagraphFont"/>
    <w:link w:val="Heading8"/>
    <w:uiPriority w:val="9"/>
    <w:semiHidden/>
    <w:rsid w:val="00395C76"/>
    <w:rPr>
      <w:rFonts w:eastAsiaTheme="majorEastAsia" w:cstheme="majorBidi"/>
      <w:i/>
      <w:iCs/>
      <w:noProof/>
      <w:color w:val="272727" w:themeColor="text1" w:themeTint="D8"/>
      <w:lang w:val="en-GB"/>
    </w:rPr>
  </w:style>
  <w:style w:type="character" w:customStyle="1" w:styleId="Heading9Char">
    <w:name w:val="Heading 9 Char"/>
    <w:basedOn w:val="DefaultParagraphFont"/>
    <w:link w:val="Heading9"/>
    <w:uiPriority w:val="9"/>
    <w:semiHidden/>
    <w:rsid w:val="00395C76"/>
    <w:rPr>
      <w:rFonts w:eastAsiaTheme="majorEastAsia" w:cstheme="majorBidi"/>
      <w:noProof/>
      <w:color w:val="272727" w:themeColor="text1" w:themeTint="D8"/>
      <w:lang w:val="en-GB"/>
    </w:rPr>
  </w:style>
  <w:style w:type="paragraph" w:styleId="Title">
    <w:name w:val="Title"/>
    <w:basedOn w:val="Normal"/>
    <w:next w:val="Normal"/>
    <w:link w:val="TitleChar"/>
    <w:uiPriority w:val="10"/>
    <w:qFormat/>
    <w:rsid w:val="00395C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5C76"/>
    <w:rPr>
      <w:rFonts w:asciiTheme="majorHAnsi" w:eastAsiaTheme="majorEastAsia" w:hAnsiTheme="majorHAnsi" w:cstheme="majorBidi"/>
      <w:noProof/>
      <w:spacing w:val="-10"/>
      <w:kern w:val="28"/>
      <w:sz w:val="56"/>
      <w:szCs w:val="56"/>
      <w:lang w:val="en-GB"/>
    </w:rPr>
  </w:style>
  <w:style w:type="paragraph" w:styleId="Subtitle">
    <w:name w:val="Subtitle"/>
    <w:basedOn w:val="Normal"/>
    <w:next w:val="Normal"/>
    <w:link w:val="SubtitleChar"/>
    <w:uiPriority w:val="11"/>
    <w:qFormat/>
    <w:rsid w:val="00395C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5C76"/>
    <w:rPr>
      <w:rFonts w:eastAsiaTheme="majorEastAsia" w:cstheme="majorBidi"/>
      <w:noProof/>
      <w:color w:val="595959" w:themeColor="text1" w:themeTint="A6"/>
      <w:spacing w:val="15"/>
      <w:sz w:val="28"/>
      <w:szCs w:val="28"/>
      <w:lang w:val="en-GB"/>
    </w:rPr>
  </w:style>
  <w:style w:type="paragraph" w:styleId="Quote">
    <w:name w:val="Quote"/>
    <w:basedOn w:val="Normal"/>
    <w:next w:val="Normal"/>
    <w:link w:val="QuoteChar"/>
    <w:uiPriority w:val="29"/>
    <w:qFormat/>
    <w:rsid w:val="00395C76"/>
    <w:pPr>
      <w:spacing w:before="160"/>
      <w:jc w:val="center"/>
    </w:pPr>
    <w:rPr>
      <w:i/>
      <w:iCs/>
      <w:color w:val="404040" w:themeColor="text1" w:themeTint="BF"/>
    </w:rPr>
  </w:style>
  <w:style w:type="character" w:customStyle="1" w:styleId="QuoteChar">
    <w:name w:val="Quote Char"/>
    <w:basedOn w:val="DefaultParagraphFont"/>
    <w:link w:val="Quote"/>
    <w:uiPriority w:val="29"/>
    <w:rsid w:val="00395C76"/>
    <w:rPr>
      <w:i/>
      <w:iCs/>
      <w:noProof/>
      <w:color w:val="404040" w:themeColor="text1" w:themeTint="BF"/>
      <w:lang w:val="en-GB"/>
    </w:rPr>
  </w:style>
  <w:style w:type="paragraph" w:styleId="ListParagraph">
    <w:name w:val="List Paragraph"/>
    <w:basedOn w:val="Normal"/>
    <w:uiPriority w:val="34"/>
    <w:qFormat/>
    <w:rsid w:val="00395C76"/>
    <w:pPr>
      <w:ind w:left="720"/>
      <w:contextualSpacing/>
    </w:pPr>
  </w:style>
  <w:style w:type="character" w:styleId="IntenseEmphasis">
    <w:name w:val="Intense Emphasis"/>
    <w:basedOn w:val="DefaultParagraphFont"/>
    <w:uiPriority w:val="21"/>
    <w:qFormat/>
    <w:rsid w:val="00395C76"/>
    <w:rPr>
      <w:i/>
      <w:iCs/>
      <w:color w:val="0F4761" w:themeColor="accent1" w:themeShade="BF"/>
    </w:rPr>
  </w:style>
  <w:style w:type="paragraph" w:styleId="IntenseQuote">
    <w:name w:val="Intense Quote"/>
    <w:basedOn w:val="Normal"/>
    <w:next w:val="Normal"/>
    <w:link w:val="IntenseQuoteChar"/>
    <w:uiPriority w:val="30"/>
    <w:qFormat/>
    <w:rsid w:val="00395C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5C76"/>
    <w:rPr>
      <w:i/>
      <w:iCs/>
      <w:noProof/>
      <w:color w:val="0F4761" w:themeColor="accent1" w:themeShade="BF"/>
      <w:lang w:val="en-GB"/>
    </w:rPr>
  </w:style>
  <w:style w:type="character" w:styleId="IntenseReference">
    <w:name w:val="Intense Reference"/>
    <w:basedOn w:val="DefaultParagraphFont"/>
    <w:uiPriority w:val="32"/>
    <w:qFormat/>
    <w:rsid w:val="00395C76"/>
    <w:rPr>
      <w:b/>
      <w:bCs/>
      <w:smallCaps/>
      <w:color w:val="0F4761" w:themeColor="accent1" w:themeShade="BF"/>
      <w:spacing w:val="5"/>
    </w:rPr>
  </w:style>
  <w:style w:type="character" w:styleId="Hyperlink">
    <w:name w:val="Hyperlink"/>
    <w:basedOn w:val="DefaultParagraphFont"/>
    <w:uiPriority w:val="99"/>
    <w:unhideWhenUsed/>
    <w:rsid w:val="00417C27"/>
    <w:rPr>
      <w:color w:val="467886" w:themeColor="hyperlink"/>
      <w:u w:val="single"/>
    </w:rPr>
  </w:style>
  <w:style w:type="character" w:styleId="UnresolvedMention">
    <w:name w:val="Unresolved Mention"/>
    <w:basedOn w:val="DefaultParagraphFont"/>
    <w:uiPriority w:val="99"/>
    <w:semiHidden/>
    <w:unhideWhenUsed/>
    <w:rsid w:val="00417C27"/>
    <w:rPr>
      <w:color w:val="605E5C"/>
      <w:shd w:val="clear" w:color="auto" w:fill="E1DFDD"/>
    </w:rPr>
  </w:style>
  <w:style w:type="character" w:styleId="FollowedHyperlink">
    <w:name w:val="FollowedHyperlink"/>
    <w:basedOn w:val="DefaultParagraphFont"/>
    <w:uiPriority w:val="99"/>
    <w:semiHidden/>
    <w:unhideWhenUsed/>
    <w:rsid w:val="00417C27"/>
    <w:rPr>
      <w:color w:val="96607D" w:themeColor="followedHyperlink"/>
      <w:u w:val="single"/>
    </w:rPr>
  </w:style>
  <w:style w:type="paragraph" w:styleId="Header">
    <w:name w:val="header"/>
    <w:basedOn w:val="Normal"/>
    <w:link w:val="HeaderChar"/>
    <w:uiPriority w:val="99"/>
    <w:unhideWhenUsed/>
    <w:rsid w:val="00317B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BA7"/>
    <w:rPr>
      <w:rFonts w:ascii="Arial" w:hAnsi="Arial"/>
      <w:noProof/>
      <w:lang w:val="en-GB"/>
    </w:rPr>
  </w:style>
  <w:style w:type="paragraph" w:styleId="Footer">
    <w:name w:val="footer"/>
    <w:basedOn w:val="Normal"/>
    <w:link w:val="FooterChar"/>
    <w:uiPriority w:val="99"/>
    <w:unhideWhenUsed/>
    <w:rsid w:val="00317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BA7"/>
    <w:rPr>
      <w:rFonts w:ascii="Arial" w:hAnsi="Arial"/>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business-34324772" TargetMode="External" /><Relationship Id="rId3" Type="http://schemas.openxmlformats.org/officeDocument/2006/relationships/webSettings" Target="webSettings.xml" /><Relationship Id="rId7" Type="http://schemas.openxmlformats.org/officeDocument/2006/relationships/hyperlink" Target="https://www.eea.europa.eu/ims/co2-emission-new-passenger-cars" TargetMode="External" /><Relationship Id="rId12"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journals.sagepub.com/doi/10.1525/cmr.2011.54.1.64" TargetMode="External" /><Relationship Id="rId11" Type="http://schemas.openxmlformats.org/officeDocument/2006/relationships/fontTable" Target="fontTable.xml" /><Relationship Id="rId5" Type="http://schemas.openxmlformats.org/officeDocument/2006/relationships/endnotes" Target="endnotes.xml" /><Relationship Id="rId10" Type="http://schemas.openxmlformats.org/officeDocument/2006/relationships/hyperlink" Target="https://enveurope.springeropen.com/articles/10.1186/s12302-020-0300-3" TargetMode="External" /><Relationship Id="rId4" Type="http://schemas.openxmlformats.org/officeDocument/2006/relationships/footnotes" Target="footnotes.xml" /><Relationship Id="rId9" Type="http://schemas.openxmlformats.org/officeDocument/2006/relationships/hyperlink" Target="https://journals.sagepub.com/doi/10.1177/1086026615575332" TargetMode="Externa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731</Words>
  <Characters>4173</Characters>
  <Application>Microsoft Office Word</Application>
  <DocSecurity>0</DocSecurity>
  <Lines>34</Lines>
  <Paragraphs>9</Paragraphs>
  <ScaleCrop>false</ScaleCrop>
  <Company/>
  <LinksUpToDate>false</LinksUpToDate>
  <CharactersWithSpaces>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2025-11-14T17:46:00Z</dcterms:created>
  <dcterms:modified xsi:type="dcterms:W3CDTF">2025-11-14T17:46:00Z</dcterms:modified>
</cp:coreProperties>
</file>