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75B0A" w14:textId="77777777" w:rsidR="00067939" w:rsidRPr="00287ED4" w:rsidRDefault="00067939" w:rsidP="00067939">
      <w:pPr>
        <w:spacing w:line="259" w:lineRule="auto"/>
        <w:jc w:val="left"/>
        <w:rPr>
          <w:rFonts w:ascii="Arial" w:hAnsi="Arial" w:cs="Arial"/>
          <w:szCs w:val="24"/>
        </w:rPr>
      </w:pPr>
    </w:p>
    <w:sdt>
      <w:sdtPr>
        <w:rPr>
          <w:rFonts w:ascii="Arial" w:hAnsi="Arial" w:cs="Arial"/>
          <w:szCs w:val="24"/>
        </w:rPr>
        <w:id w:val="113728225"/>
        <w:docPartObj>
          <w:docPartGallery w:val="Table of Contents"/>
          <w:docPartUnique/>
        </w:docPartObj>
      </w:sdtPr>
      <w:sdtEndPr>
        <w:rPr>
          <w:b/>
          <w:bCs/>
          <w:noProof/>
        </w:rPr>
      </w:sdtEndPr>
      <w:sdtContent>
        <w:p w14:paraId="063C3A2C" w14:textId="77777777" w:rsidR="00067939" w:rsidRPr="001849F6" w:rsidRDefault="00067939" w:rsidP="00067939">
          <w:pPr>
            <w:rPr>
              <w:rFonts w:ascii="Arial" w:hAnsi="Arial" w:cs="Arial"/>
              <w:b/>
              <w:bCs/>
              <w:szCs w:val="24"/>
            </w:rPr>
          </w:pPr>
        </w:p>
        <w:p w14:paraId="4F904B8D" w14:textId="77777777" w:rsidR="00067939" w:rsidRPr="001849F6" w:rsidRDefault="00067939" w:rsidP="00067939">
          <w:pPr>
            <w:rPr>
              <w:rFonts w:ascii="Arial" w:hAnsi="Arial" w:cs="Arial"/>
              <w:b/>
              <w:bCs/>
              <w:szCs w:val="24"/>
            </w:rPr>
          </w:pPr>
          <w:r w:rsidRPr="001849F6">
            <w:rPr>
              <w:rFonts w:ascii="Arial" w:hAnsi="Arial" w:cs="Arial"/>
              <w:b/>
              <w:bCs/>
              <w:szCs w:val="24"/>
            </w:rPr>
            <w:t xml:space="preserve">                UNIVERSITY OF WALES TRINITY SAINT DAVID LONDON CAMPUS</w:t>
          </w:r>
        </w:p>
        <w:p w14:paraId="6DAF4872" w14:textId="77777777" w:rsidR="00067939" w:rsidRPr="001849F6" w:rsidRDefault="00067939" w:rsidP="00067939">
          <w:pPr>
            <w:rPr>
              <w:rFonts w:ascii="Arial" w:hAnsi="Arial" w:cs="Arial"/>
              <w:szCs w:val="24"/>
            </w:rPr>
          </w:pPr>
        </w:p>
        <w:p w14:paraId="787B30A7" w14:textId="70B7C23C" w:rsidR="00067939" w:rsidRPr="001849F6" w:rsidRDefault="00693F16" w:rsidP="00067939">
          <w:pPr>
            <w:rPr>
              <w:rFonts w:ascii="Arial" w:hAnsi="Arial" w:cs="Arial"/>
              <w:b/>
              <w:bCs/>
              <w:szCs w:val="24"/>
            </w:rPr>
          </w:pPr>
          <w:r w:rsidRPr="001849F6">
            <w:rPr>
              <w:rFonts w:ascii="Arial" w:hAnsi="Arial" w:cs="Arial"/>
              <w:szCs w:val="24"/>
            </w:rPr>
            <w:t xml:space="preserve">                                            </w:t>
          </w:r>
          <w:r w:rsidRPr="001849F6">
            <w:rPr>
              <w:rFonts w:ascii="Arial" w:hAnsi="Arial" w:cs="Arial"/>
              <w:b/>
              <w:bCs/>
              <w:szCs w:val="24"/>
            </w:rPr>
            <w:t>Assessment 2_LCBB4005</w:t>
          </w:r>
        </w:p>
        <w:p w14:paraId="7467C4A8" w14:textId="77777777" w:rsidR="00067939" w:rsidRPr="001849F6" w:rsidRDefault="00067939" w:rsidP="00067939">
          <w:pPr>
            <w:rPr>
              <w:rFonts w:ascii="Arial" w:hAnsi="Arial" w:cs="Arial"/>
              <w:b/>
              <w:bCs/>
              <w:szCs w:val="24"/>
            </w:rPr>
          </w:pPr>
        </w:p>
        <w:p w14:paraId="4BF06042" w14:textId="170E49CF" w:rsidR="00067939" w:rsidRPr="001849F6" w:rsidRDefault="00067939" w:rsidP="00067939">
          <w:pPr>
            <w:rPr>
              <w:rFonts w:ascii="Arial" w:hAnsi="Arial" w:cs="Arial"/>
              <w:b/>
              <w:bCs/>
              <w:szCs w:val="24"/>
            </w:rPr>
          </w:pPr>
          <w:r w:rsidRPr="001849F6">
            <w:rPr>
              <w:rFonts w:ascii="Arial" w:hAnsi="Arial" w:cs="Arial"/>
              <w:b/>
              <w:bCs/>
              <w:szCs w:val="24"/>
            </w:rPr>
            <w:t xml:space="preserve">                                    </w:t>
          </w:r>
          <w:r w:rsidRPr="001849F6">
            <w:rPr>
              <w:rFonts w:ascii="Arial" w:hAnsi="Arial" w:cs="Arial"/>
              <w:b/>
              <w:bCs/>
              <w:color w:val="000000"/>
              <w:szCs w:val="24"/>
            </w:rPr>
            <w:t>The Global Business Environment</w:t>
          </w:r>
          <w:r w:rsidRPr="001849F6">
            <w:rPr>
              <w:rFonts w:ascii="Arial" w:hAnsi="Arial" w:cs="Arial"/>
              <w:b/>
              <w:bCs/>
              <w:szCs w:val="24"/>
            </w:rPr>
            <w:t xml:space="preserve"> </w:t>
          </w:r>
        </w:p>
        <w:p w14:paraId="5FA9AE4C" w14:textId="6A1983BD" w:rsidR="00067939" w:rsidRPr="001849F6" w:rsidRDefault="00067939" w:rsidP="00067939">
          <w:pPr>
            <w:rPr>
              <w:rFonts w:ascii="Arial" w:hAnsi="Arial" w:cs="Arial"/>
              <w:b/>
              <w:bCs/>
              <w:szCs w:val="24"/>
            </w:rPr>
          </w:pPr>
        </w:p>
        <w:p w14:paraId="6FDFDFBF" w14:textId="7A97866A" w:rsidR="00693F16" w:rsidRPr="001849F6" w:rsidRDefault="00693F16" w:rsidP="00067939">
          <w:pPr>
            <w:rPr>
              <w:rFonts w:ascii="Arial" w:hAnsi="Arial" w:cs="Arial"/>
              <w:b/>
              <w:bCs/>
              <w:szCs w:val="24"/>
            </w:rPr>
          </w:pPr>
        </w:p>
        <w:p w14:paraId="220C7D3B" w14:textId="542D097D" w:rsidR="00693F16" w:rsidRPr="001849F6" w:rsidRDefault="00693F16" w:rsidP="00067939">
          <w:pPr>
            <w:rPr>
              <w:rFonts w:ascii="Arial" w:hAnsi="Arial" w:cs="Arial"/>
              <w:b/>
              <w:bCs/>
              <w:szCs w:val="24"/>
            </w:rPr>
          </w:pPr>
        </w:p>
        <w:p w14:paraId="5ED1DE12" w14:textId="34413454" w:rsidR="00693F16" w:rsidRPr="001849F6" w:rsidRDefault="00693F16" w:rsidP="00067939">
          <w:pPr>
            <w:rPr>
              <w:rFonts w:ascii="Arial" w:hAnsi="Arial" w:cs="Arial"/>
              <w:b/>
              <w:bCs/>
              <w:szCs w:val="24"/>
            </w:rPr>
          </w:pPr>
        </w:p>
        <w:p w14:paraId="4481418C" w14:textId="77777777" w:rsidR="00693F16" w:rsidRPr="001849F6" w:rsidRDefault="00693F16" w:rsidP="00067939">
          <w:pPr>
            <w:rPr>
              <w:rFonts w:ascii="Arial" w:hAnsi="Arial" w:cs="Arial"/>
              <w:b/>
              <w:bCs/>
              <w:szCs w:val="24"/>
            </w:rPr>
          </w:pPr>
        </w:p>
        <w:tbl>
          <w:tblPr>
            <w:tblStyle w:val="TableGrid"/>
            <w:tblW w:w="0" w:type="auto"/>
            <w:tblLook w:val="04A0" w:firstRow="1" w:lastRow="0" w:firstColumn="1" w:lastColumn="0" w:noHBand="0" w:noVBand="1"/>
          </w:tblPr>
          <w:tblGrid>
            <w:gridCol w:w="2689"/>
            <w:gridCol w:w="6661"/>
          </w:tblGrid>
          <w:tr w:rsidR="00067939" w:rsidRPr="001849F6" w14:paraId="6CA0854A" w14:textId="77777777" w:rsidTr="00FE0ADF">
            <w:tc>
              <w:tcPr>
                <w:tcW w:w="2689" w:type="dxa"/>
                <w:tcBorders>
                  <w:top w:val="single" w:sz="4" w:space="0" w:color="auto"/>
                  <w:left w:val="single" w:sz="4" w:space="0" w:color="auto"/>
                  <w:bottom w:val="single" w:sz="4" w:space="0" w:color="auto"/>
                  <w:right w:val="single" w:sz="4" w:space="0" w:color="auto"/>
                </w:tcBorders>
                <w:hideMark/>
              </w:tcPr>
              <w:p w14:paraId="0B909026"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43F6C2EB"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FLORENTINA JOITA</w:t>
                </w:r>
              </w:p>
            </w:tc>
          </w:tr>
          <w:tr w:rsidR="00067939" w:rsidRPr="001849F6" w14:paraId="230A4382" w14:textId="77777777" w:rsidTr="00FE0ADF">
            <w:tc>
              <w:tcPr>
                <w:tcW w:w="2689" w:type="dxa"/>
                <w:tcBorders>
                  <w:top w:val="single" w:sz="4" w:space="0" w:color="auto"/>
                  <w:left w:val="single" w:sz="4" w:space="0" w:color="auto"/>
                  <w:bottom w:val="single" w:sz="4" w:space="0" w:color="auto"/>
                  <w:right w:val="single" w:sz="4" w:space="0" w:color="auto"/>
                </w:tcBorders>
                <w:hideMark/>
              </w:tcPr>
              <w:p w14:paraId="65265281"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0A380AFD"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2124448</w:t>
                </w:r>
              </w:p>
            </w:tc>
          </w:tr>
          <w:tr w:rsidR="00067939" w:rsidRPr="001849F6" w14:paraId="1EE40BB0" w14:textId="77777777" w:rsidTr="00FE0ADF">
            <w:tc>
              <w:tcPr>
                <w:tcW w:w="2689" w:type="dxa"/>
                <w:tcBorders>
                  <w:top w:val="single" w:sz="4" w:space="0" w:color="auto"/>
                  <w:left w:val="single" w:sz="4" w:space="0" w:color="auto"/>
                  <w:bottom w:val="single" w:sz="4" w:space="0" w:color="auto"/>
                  <w:right w:val="single" w:sz="4" w:space="0" w:color="auto"/>
                </w:tcBorders>
                <w:hideMark/>
              </w:tcPr>
              <w:p w14:paraId="5BCCA386"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54AA2897"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ALFRED MENSAH</w:t>
                </w:r>
              </w:p>
            </w:tc>
          </w:tr>
          <w:tr w:rsidR="00067939" w:rsidRPr="001849F6" w14:paraId="2F37F169" w14:textId="77777777" w:rsidTr="00FE0ADF">
            <w:tc>
              <w:tcPr>
                <w:tcW w:w="2689" w:type="dxa"/>
                <w:tcBorders>
                  <w:top w:val="single" w:sz="4" w:space="0" w:color="auto"/>
                  <w:left w:val="single" w:sz="4" w:space="0" w:color="auto"/>
                  <w:bottom w:val="single" w:sz="4" w:space="0" w:color="auto"/>
                  <w:right w:val="single" w:sz="4" w:space="0" w:color="auto"/>
                </w:tcBorders>
              </w:tcPr>
              <w:p w14:paraId="2DA128D1"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WORD COUNT</w:t>
                </w:r>
              </w:p>
            </w:tc>
            <w:tc>
              <w:tcPr>
                <w:tcW w:w="6661" w:type="dxa"/>
                <w:tcBorders>
                  <w:top w:val="single" w:sz="4" w:space="0" w:color="auto"/>
                  <w:left w:val="single" w:sz="4" w:space="0" w:color="auto"/>
                  <w:bottom w:val="single" w:sz="4" w:space="0" w:color="auto"/>
                  <w:right w:val="single" w:sz="4" w:space="0" w:color="auto"/>
                </w:tcBorders>
              </w:tcPr>
              <w:p w14:paraId="1AA7B784"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1854</w:t>
                </w:r>
              </w:p>
            </w:tc>
          </w:tr>
        </w:tbl>
        <w:p w14:paraId="1035144D" w14:textId="77777777" w:rsidR="00067939" w:rsidRPr="001849F6" w:rsidRDefault="00067939" w:rsidP="00067939">
          <w:pPr>
            <w:rPr>
              <w:rFonts w:ascii="Arial" w:hAnsi="Arial" w:cs="Arial"/>
              <w:szCs w:val="24"/>
              <w:lang w:val="en-US"/>
            </w:rPr>
          </w:pPr>
        </w:p>
        <w:p w14:paraId="5F588891" w14:textId="77777777" w:rsidR="00067939" w:rsidRPr="001849F6" w:rsidRDefault="00067939" w:rsidP="00067939">
          <w:pPr>
            <w:pStyle w:val="TOCHeading"/>
            <w:rPr>
              <w:rFonts w:ascii="Arial" w:eastAsiaTheme="minorHAnsi" w:hAnsi="Arial" w:cs="Arial"/>
              <w:color w:val="auto"/>
              <w:sz w:val="24"/>
              <w:szCs w:val="24"/>
              <w:lang w:val="en-GB"/>
            </w:rPr>
          </w:pPr>
        </w:p>
        <w:p w14:paraId="627BFE29" w14:textId="77777777" w:rsidR="00067939" w:rsidRPr="001849F6" w:rsidRDefault="00067939" w:rsidP="00067939">
          <w:pPr>
            <w:rPr>
              <w:rFonts w:ascii="Arial" w:hAnsi="Arial" w:cs="Arial"/>
              <w:szCs w:val="24"/>
            </w:rPr>
          </w:pPr>
          <w:r w:rsidRPr="001849F6">
            <w:rPr>
              <w:rFonts w:ascii="Arial" w:hAnsi="Arial" w:cs="Arial"/>
              <w:szCs w:val="24"/>
            </w:rPr>
            <w:br w:type="page"/>
          </w:r>
        </w:p>
        <w:p w14:paraId="49D262C8" w14:textId="170297F9" w:rsidR="00067939" w:rsidRPr="001849F6" w:rsidRDefault="00067939" w:rsidP="00067939">
          <w:pPr>
            <w:pStyle w:val="TOCHeading"/>
            <w:rPr>
              <w:rFonts w:ascii="Arial" w:hAnsi="Arial" w:cs="Arial"/>
              <w:sz w:val="24"/>
              <w:szCs w:val="24"/>
            </w:rPr>
          </w:pPr>
          <w:r w:rsidRPr="001849F6">
            <w:rPr>
              <w:rFonts w:ascii="Arial" w:hAnsi="Arial" w:cs="Arial"/>
              <w:sz w:val="24"/>
              <w:szCs w:val="24"/>
            </w:rPr>
            <w:lastRenderedPageBreak/>
            <w:t>Contents</w:t>
          </w:r>
        </w:p>
        <w:p w14:paraId="598CD8F0" w14:textId="77777777" w:rsidR="00067939" w:rsidRPr="001849F6" w:rsidRDefault="00067939" w:rsidP="00067939">
          <w:pPr>
            <w:rPr>
              <w:rFonts w:ascii="Arial" w:hAnsi="Arial" w:cs="Arial"/>
              <w:szCs w:val="24"/>
              <w:lang w:val="en-US"/>
            </w:rPr>
          </w:pPr>
        </w:p>
        <w:p w14:paraId="27245E1C" w14:textId="3D56B3E7" w:rsidR="00067939" w:rsidRPr="001849F6" w:rsidRDefault="00067939" w:rsidP="00067939">
          <w:pPr>
            <w:pStyle w:val="TOC1"/>
            <w:tabs>
              <w:tab w:val="right" w:leader="dot" w:pos="9350"/>
            </w:tabs>
            <w:rPr>
              <w:rFonts w:ascii="Arial" w:eastAsiaTheme="minorEastAsia" w:hAnsi="Arial" w:cs="Arial"/>
              <w:noProof/>
              <w:szCs w:val="24"/>
              <w:lang w:val="en-US"/>
            </w:rPr>
          </w:pPr>
          <w:r w:rsidRPr="001849F6">
            <w:rPr>
              <w:rFonts w:ascii="Arial" w:hAnsi="Arial" w:cs="Arial"/>
              <w:szCs w:val="24"/>
            </w:rPr>
            <w:fldChar w:fldCharType="begin"/>
          </w:r>
          <w:r w:rsidRPr="001849F6">
            <w:rPr>
              <w:rFonts w:ascii="Arial" w:hAnsi="Arial" w:cs="Arial"/>
              <w:szCs w:val="24"/>
            </w:rPr>
            <w:instrText xml:space="preserve"> TOC \o "1-3" \h \z \u </w:instrText>
          </w:r>
          <w:r w:rsidRPr="001849F6">
            <w:rPr>
              <w:rFonts w:ascii="Arial" w:hAnsi="Arial" w:cs="Arial"/>
              <w:szCs w:val="24"/>
            </w:rPr>
            <w:fldChar w:fldCharType="separate"/>
          </w:r>
          <w:hyperlink w:anchor="_Toc102072775" w:history="1">
            <w:r w:rsidRPr="001849F6">
              <w:rPr>
                <w:rStyle w:val="Hyperlink"/>
                <w:rFonts w:ascii="Arial" w:hAnsi="Arial" w:cs="Arial"/>
                <w:noProof/>
                <w:szCs w:val="24"/>
              </w:rPr>
              <w:t>Introduction</w:t>
            </w:r>
            <w:r w:rsidRPr="001849F6">
              <w:rPr>
                <w:rFonts w:ascii="Arial" w:hAnsi="Arial" w:cs="Arial"/>
                <w:noProof/>
                <w:webHidden/>
                <w:szCs w:val="24"/>
              </w:rPr>
              <w:tab/>
            </w:r>
            <w:r w:rsidRPr="001849F6">
              <w:rPr>
                <w:rFonts w:ascii="Arial" w:hAnsi="Arial" w:cs="Arial"/>
                <w:noProof/>
                <w:webHidden/>
                <w:szCs w:val="24"/>
              </w:rPr>
              <w:fldChar w:fldCharType="begin"/>
            </w:r>
            <w:r w:rsidRPr="001849F6">
              <w:rPr>
                <w:rFonts w:ascii="Arial" w:hAnsi="Arial" w:cs="Arial"/>
                <w:noProof/>
                <w:webHidden/>
                <w:szCs w:val="24"/>
              </w:rPr>
              <w:instrText xml:space="preserve"> PAGEREF _Toc102072775 \h </w:instrText>
            </w:r>
            <w:r w:rsidRPr="001849F6">
              <w:rPr>
                <w:rFonts w:ascii="Arial" w:hAnsi="Arial" w:cs="Arial"/>
                <w:noProof/>
                <w:webHidden/>
                <w:szCs w:val="24"/>
              </w:rPr>
            </w:r>
            <w:r w:rsidRPr="001849F6">
              <w:rPr>
                <w:rFonts w:ascii="Arial" w:hAnsi="Arial" w:cs="Arial"/>
                <w:noProof/>
                <w:webHidden/>
                <w:szCs w:val="24"/>
              </w:rPr>
              <w:fldChar w:fldCharType="separate"/>
            </w:r>
            <w:r w:rsidR="001849F6">
              <w:rPr>
                <w:rFonts w:ascii="Arial" w:hAnsi="Arial" w:cs="Arial"/>
                <w:noProof/>
                <w:webHidden/>
                <w:szCs w:val="24"/>
              </w:rPr>
              <w:t>3</w:t>
            </w:r>
            <w:r w:rsidRPr="001849F6">
              <w:rPr>
                <w:rFonts w:ascii="Arial" w:hAnsi="Arial" w:cs="Arial"/>
                <w:noProof/>
                <w:webHidden/>
                <w:szCs w:val="24"/>
              </w:rPr>
              <w:fldChar w:fldCharType="end"/>
            </w:r>
          </w:hyperlink>
        </w:p>
        <w:p w14:paraId="393B2EA4" w14:textId="3F292BB3"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76" w:history="1">
            <w:r w:rsidR="00067939" w:rsidRPr="001849F6">
              <w:rPr>
                <w:rStyle w:val="Hyperlink"/>
                <w:rFonts w:ascii="Arial" w:hAnsi="Arial" w:cs="Arial"/>
                <w:noProof/>
                <w:szCs w:val="24"/>
              </w:rPr>
              <w:t>Covid-19's Impact</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_Toc102072776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3</w:t>
            </w:r>
            <w:r w:rsidR="00067939" w:rsidRPr="001849F6">
              <w:rPr>
                <w:rFonts w:ascii="Arial" w:hAnsi="Arial" w:cs="Arial"/>
                <w:noProof/>
                <w:webHidden/>
                <w:szCs w:val="24"/>
              </w:rPr>
              <w:fldChar w:fldCharType="end"/>
            </w:r>
          </w:hyperlink>
        </w:p>
        <w:p w14:paraId="2E791495" w14:textId="6EC982F4"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77" w:history="1">
            <w:r w:rsidR="00067939" w:rsidRPr="001849F6">
              <w:rPr>
                <w:rStyle w:val="Hyperlink"/>
                <w:rFonts w:ascii="Arial" w:hAnsi="Arial" w:cs="Arial"/>
                <w:noProof/>
                <w:szCs w:val="24"/>
              </w:rPr>
              <w:t>The Lotus car Company Ltd.'s survival and success</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_Toc102072777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4</w:t>
            </w:r>
            <w:r w:rsidR="00067939" w:rsidRPr="001849F6">
              <w:rPr>
                <w:rFonts w:ascii="Arial" w:hAnsi="Arial" w:cs="Arial"/>
                <w:noProof/>
                <w:webHidden/>
                <w:szCs w:val="24"/>
              </w:rPr>
              <w:fldChar w:fldCharType="end"/>
            </w:r>
          </w:hyperlink>
        </w:p>
        <w:p w14:paraId="76176B25" w14:textId="1538A3CF"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78" w:history="1">
            <w:r w:rsidR="00067939" w:rsidRPr="001849F6">
              <w:rPr>
                <w:rStyle w:val="Hyperlink"/>
                <w:rFonts w:ascii="Arial" w:hAnsi="Arial" w:cs="Arial"/>
                <w:noProof/>
                <w:szCs w:val="24"/>
              </w:rPr>
              <w:t>Taking Megatrends into consideration</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_Toc102072778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5</w:t>
            </w:r>
            <w:r w:rsidR="00067939" w:rsidRPr="001849F6">
              <w:rPr>
                <w:rFonts w:ascii="Arial" w:hAnsi="Arial" w:cs="Arial"/>
                <w:noProof/>
                <w:webHidden/>
                <w:szCs w:val="24"/>
              </w:rPr>
              <w:fldChar w:fldCharType="end"/>
            </w:r>
          </w:hyperlink>
        </w:p>
        <w:p w14:paraId="7B767488" w14:textId="0CE2C023"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79" w:history="1">
            <w:r w:rsidR="00067939" w:rsidRPr="001849F6">
              <w:rPr>
                <w:rStyle w:val="Hyperlink"/>
                <w:rFonts w:ascii="Arial" w:hAnsi="Arial" w:cs="Arial"/>
                <w:noProof/>
                <w:szCs w:val="24"/>
              </w:rPr>
              <w:t>Projection of Lotus car Company Ltd.'s Success in 2022</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_Toc102072779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7</w:t>
            </w:r>
            <w:r w:rsidR="00067939" w:rsidRPr="001849F6">
              <w:rPr>
                <w:rFonts w:ascii="Arial" w:hAnsi="Arial" w:cs="Arial"/>
                <w:noProof/>
                <w:webHidden/>
                <w:szCs w:val="24"/>
              </w:rPr>
              <w:fldChar w:fldCharType="end"/>
            </w:r>
          </w:hyperlink>
        </w:p>
        <w:p w14:paraId="0A617C9F" w14:textId="6108AB11"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80" w:history="1">
            <w:r w:rsidR="00067939" w:rsidRPr="001849F6">
              <w:rPr>
                <w:rStyle w:val="Hyperlink"/>
                <w:rFonts w:ascii="Arial" w:hAnsi="Arial" w:cs="Arial"/>
                <w:noProof/>
                <w:szCs w:val="24"/>
              </w:rPr>
              <w:t>Conclusion</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_Toc102072780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9</w:t>
            </w:r>
            <w:r w:rsidR="00067939" w:rsidRPr="001849F6">
              <w:rPr>
                <w:rFonts w:ascii="Arial" w:hAnsi="Arial" w:cs="Arial"/>
                <w:noProof/>
                <w:webHidden/>
                <w:szCs w:val="24"/>
              </w:rPr>
              <w:fldChar w:fldCharType="end"/>
            </w:r>
          </w:hyperlink>
        </w:p>
        <w:p w14:paraId="58F692F0" w14:textId="63E23B9B" w:rsidR="00067939" w:rsidRPr="001849F6" w:rsidRDefault="00307F81" w:rsidP="00067939">
          <w:pPr>
            <w:pStyle w:val="TOC1"/>
            <w:tabs>
              <w:tab w:val="right" w:leader="dot" w:pos="9350"/>
            </w:tabs>
            <w:rPr>
              <w:rFonts w:ascii="Arial" w:eastAsiaTheme="minorEastAsia" w:hAnsi="Arial" w:cs="Arial"/>
              <w:noProof/>
              <w:szCs w:val="24"/>
              <w:lang w:val="en-US"/>
            </w:rPr>
          </w:pPr>
          <w:hyperlink w:anchor="_Toc102072781" w:history="1">
            <w:r w:rsidR="00067939" w:rsidRPr="001849F6">
              <w:rPr>
                <w:rStyle w:val="Hyperlink"/>
                <w:rFonts w:ascii="Arial" w:hAnsi="Arial" w:cs="Arial"/>
                <w:noProof/>
                <w:szCs w:val="24"/>
              </w:rPr>
              <w:t>References</w:t>
            </w:r>
            <w:r w:rsidR="00067939" w:rsidRPr="001849F6">
              <w:rPr>
                <w:rFonts w:ascii="Arial" w:hAnsi="Arial" w:cs="Arial"/>
                <w:noProof/>
                <w:webHidden/>
                <w:szCs w:val="24"/>
              </w:rPr>
              <w:tab/>
            </w:r>
            <w:r w:rsidR="00067939" w:rsidRPr="001849F6">
              <w:rPr>
                <w:rFonts w:ascii="Arial" w:hAnsi="Arial" w:cs="Arial"/>
                <w:noProof/>
                <w:webHidden/>
                <w:szCs w:val="24"/>
              </w:rPr>
              <w:fldChar w:fldCharType="begin"/>
            </w:r>
            <w:r w:rsidR="00067939" w:rsidRPr="001849F6">
              <w:rPr>
                <w:rFonts w:ascii="Arial" w:hAnsi="Arial" w:cs="Arial"/>
                <w:noProof/>
                <w:webHidden/>
                <w:szCs w:val="24"/>
              </w:rPr>
              <w:instrText xml:space="preserve"> PAGEREF _Toc102072781 \h </w:instrText>
            </w:r>
            <w:r w:rsidR="00067939" w:rsidRPr="001849F6">
              <w:rPr>
                <w:rFonts w:ascii="Arial" w:hAnsi="Arial" w:cs="Arial"/>
                <w:noProof/>
                <w:webHidden/>
                <w:szCs w:val="24"/>
              </w:rPr>
            </w:r>
            <w:r w:rsidR="00067939" w:rsidRPr="001849F6">
              <w:rPr>
                <w:rFonts w:ascii="Arial" w:hAnsi="Arial" w:cs="Arial"/>
                <w:noProof/>
                <w:webHidden/>
                <w:szCs w:val="24"/>
              </w:rPr>
              <w:fldChar w:fldCharType="separate"/>
            </w:r>
            <w:r w:rsidR="001849F6">
              <w:rPr>
                <w:rFonts w:ascii="Arial" w:hAnsi="Arial" w:cs="Arial"/>
                <w:noProof/>
                <w:webHidden/>
                <w:szCs w:val="24"/>
              </w:rPr>
              <w:t>9</w:t>
            </w:r>
            <w:r w:rsidR="00067939" w:rsidRPr="001849F6">
              <w:rPr>
                <w:rFonts w:ascii="Arial" w:hAnsi="Arial" w:cs="Arial"/>
                <w:noProof/>
                <w:webHidden/>
                <w:szCs w:val="24"/>
              </w:rPr>
              <w:fldChar w:fldCharType="end"/>
            </w:r>
          </w:hyperlink>
        </w:p>
        <w:p w14:paraId="066FDD5A" w14:textId="77777777" w:rsidR="00067939" w:rsidRPr="001849F6" w:rsidRDefault="00067939" w:rsidP="00067939">
          <w:pPr>
            <w:rPr>
              <w:rFonts w:ascii="Arial" w:hAnsi="Arial" w:cs="Arial"/>
              <w:szCs w:val="24"/>
            </w:rPr>
          </w:pPr>
          <w:r w:rsidRPr="001849F6">
            <w:rPr>
              <w:rFonts w:ascii="Arial" w:hAnsi="Arial" w:cs="Arial"/>
              <w:b/>
              <w:bCs/>
              <w:noProof/>
              <w:szCs w:val="24"/>
            </w:rPr>
            <w:fldChar w:fldCharType="end"/>
          </w:r>
        </w:p>
      </w:sdtContent>
    </w:sdt>
    <w:p w14:paraId="0C8B8936" w14:textId="77777777" w:rsidR="00067939" w:rsidRPr="001849F6" w:rsidRDefault="00067939" w:rsidP="00067939">
      <w:pPr>
        <w:spacing w:line="259" w:lineRule="auto"/>
        <w:jc w:val="left"/>
        <w:rPr>
          <w:rFonts w:ascii="Arial" w:eastAsiaTheme="majorEastAsia" w:hAnsi="Arial" w:cs="Arial"/>
          <w:color w:val="2F5496" w:themeColor="accent1" w:themeShade="BF"/>
          <w:szCs w:val="24"/>
        </w:rPr>
      </w:pPr>
      <w:r w:rsidRPr="001849F6">
        <w:rPr>
          <w:rFonts w:ascii="Arial" w:hAnsi="Arial" w:cs="Arial"/>
          <w:szCs w:val="24"/>
        </w:rPr>
        <w:br w:type="page"/>
      </w:r>
    </w:p>
    <w:p w14:paraId="601B82FB" w14:textId="77777777" w:rsidR="00067939" w:rsidRPr="001849F6" w:rsidRDefault="00067939" w:rsidP="00067939">
      <w:pPr>
        <w:pStyle w:val="Heading1"/>
        <w:rPr>
          <w:rFonts w:ascii="Arial" w:hAnsi="Arial" w:cs="Arial"/>
          <w:sz w:val="24"/>
          <w:szCs w:val="24"/>
        </w:rPr>
      </w:pPr>
      <w:bookmarkStart w:id="0" w:name="_Toc102072775"/>
      <w:r w:rsidRPr="001849F6">
        <w:rPr>
          <w:rFonts w:ascii="Arial" w:hAnsi="Arial" w:cs="Arial"/>
          <w:sz w:val="24"/>
          <w:szCs w:val="24"/>
        </w:rPr>
        <w:lastRenderedPageBreak/>
        <w:t>Introduction</w:t>
      </w:r>
      <w:bookmarkEnd w:id="0"/>
    </w:p>
    <w:p w14:paraId="1A7CB106" w14:textId="77777777" w:rsidR="00067939" w:rsidRPr="001849F6" w:rsidRDefault="00067939" w:rsidP="00067939">
      <w:pPr>
        <w:rPr>
          <w:rFonts w:ascii="Arial" w:hAnsi="Arial" w:cs="Arial"/>
          <w:szCs w:val="24"/>
        </w:rPr>
      </w:pPr>
      <w:r w:rsidRPr="001849F6">
        <w:rPr>
          <w:rFonts w:ascii="Arial" w:hAnsi="Arial" w:cs="Arial"/>
          <w:szCs w:val="24"/>
        </w:rPr>
        <w:t>This task is based on the previous assignment. Internal and external elements of a car firm called Lotus car Company Ltd. were investigated for assignment 1 (the first of two). We're all fully aware of the pandemic issue at this point. The automobile industry has also experienced challenges as a result of the current economic climate. They are now attempting to recover from their losses, and they expect to achieve enormous success in the near future. The elements that influence survival and success, taking into account megatrends, will be examined in this section. This report will discuss the impact of covid 19 on Car Industry using related literature. It will also highlight survival chances of THE LOTUS CAR COMPANY LTD after considering mega trend of Automobile industry. Finally, this report will outline some factors what should be considered to make the company successful again</w:t>
      </w:r>
      <w:sdt>
        <w:sdtPr>
          <w:rPr>
            <w:rFonts w:ascii="Arial" w:hAnsi="Arial" w:cs="Arial"/>
            <w:szCs w:val="24"/>
          </w:rPr>
          <w:id w:val="-1283912"/>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Adl17 \l 1033 </w:instrText>
          </w:r>
          <w:r w:rsidRPr="001849F6">
            <w:rPr>
              <w:rFonts w:ascii="Arial" w:hAnsi="Arial" w:cs="Arial"/>
              <w:szCs w:val="24"/>
            </w:rPr>
            <w:fldChar w:fldCharType="separate"/>
          </w:r>
          <w:r w:rsidRPr="001849F6">
            <w:rPr>
              <w:rFonts w:ascii="Arial" w:hAnsi="Arial" w:cs="Arial"/>
              <w:noProof/>
              <w:szCs w:val="24"/>
              <w:lang w:val="en-US"/>
            </w:rPr>
            <w:t xml:space="preserve"> (Adler, 2017)</w:t>
          </w:r>
          <w:r w:rsidRPr="001849F6">
            <w:rPr>
              <w:rFonts w:ascii="Arial" w:hAnsi="Arial" w:cs="Arial"/>
              <w:szCs w:val="24"/>
            </w:rPr>
            <w:fldChar w:fldCharType="end"/>
          </w:r>
        </w:sdtContent>
      </w:sdt>
      <w:r w:rsidRPr="001849F6">
        <w:rPr>
          <w:rFonts w:ascii="Arial" w:hAnsi="Arial" w:cs="Arial"/>
          <w:szCs w:val="24"/>
        </w:rPr>
        <w:t xml:space="preserve">.  </w:t>
      </w:r>
    </w:p>
    <w:p w14:paraId="3CA004DA" w14:textId="77777777" w:rsidR="00067939" w:rsidRPr="001849F6" w:rsidRDefault="00067939" w:rsidP="00067939">
      <w:pPr>
        <w:pStyle w:val="Heading1"/>
        <w:rPr>
          <w:rFonts w:ascii="Arial" w:hAnsi="Arial" w:cs="Arial"/>
          <w:sz w:val="24"/>
          <w:szCs w:val="24"/>
        </w:rPr>
      </w:pPr>
      <w:bookmarkStart w:id="1" w:name="_Toc102072776"/>
      <w:r w:rsidRPr="001849F6">
        <w:rPr>
          <w:rFonts w:ascii="Arial" w:hAnsi="Arial" w:cs="Arial"/>
          <w:sz w:val="24"/>
          <w:szCs w:val="24"/>
        </w:rPr>
        <w:t>CoviD19's Impact</w:t>
      </w:r>
      <w:bookmarkEnd w:id="1"/>
      <w:r w:rsidRPr="001849F6">
        <w:rPr>
          <w:rFonts w:ascii="Arial" w:hAnsi="Arial" w:cs="Arial"/>
          <w:sz w:val="24"/>
          <w:szCs w:val="24"/>
        </w:rPr>
        <w:t xml:space="preserve"> </w:t>
      </w:r>
    </w:p>
    <w:p w14:paraId="61E6F895" w14:textId="6DE8CCB8" w:rsidR="00067939" w:rsidRPr="001849F6" w:rsidRDefault="00067939" w:rsidP="00067939">
      <w:pPr>
        <w:rPr>
          <w:rFonts w:ascii="Arial" w:hAnsi="Arial" w:cs="Arial"/>
          <w:szCs w:val="24"/>
        </w:rPr>
      </w:pPr>
      <w:r w:rsidRPr="001849F6">
        <w:rPr>
          <w:rFonts w:ascii="Arial" w:hAnsi="Arial" w:cs="Arial"/>
          <w:szCs w:val="24"/>
        </w:rPr>
        <w:t>In the wake of the COVID-19 pandemic, the global car industry has been severely affected</w:t>
      </w:r>
      <w:sdt>
        <w:sdtPr>
          <w:rPr>
            <w:rFonts w:ascii="Arial" w:hAnsi="Arial" w:cs="Arial"/>
            <w:szCs w:val="24"/>
          </w:rPr>
          <w:id w:val="1577086772"/>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Mar20 \l 1033 </w:instrText>
          </w:r>
          <w:r w:rsidRPr="001849F6">
            <w:rPr>
              <w:rFonts w:ascii="Arial" w:hAnsi="Arial" w:cs="Arial"/>
              <w:szCs w:val="24"/>
            </w:rPr>
            <w:fldChar w:fldCharType="separate"/>
          </w:r>
          <w:r w:rsidRPr="001849F6">
            <w:rPr>
              <w:rFonts w:ascii="Arial" w:hAnsi="Arial" w:cs="Arial"/>
              <w:noProof/>
              <w:szCs w:val="24"/>
              <w:lang w:val="en-US"/>
            </w:rPr>
            <w:t xml:space="preserve"> (Hensher, 2020)</w:t>
          </w:r>
          <w:r w:rsidRPr="001849F6">
            <w:rPr>
              <w:rFonts w:ascii="Arial" w:hAnsi="Arial" w:cs="Arial"/>
              <w:szCs w:val="24"/>
            </w:rPr>
            <w:fldChar w:fldCharType="end"/>
          </w:r>
        </w:sdtContent>
      </w:sdt>
      <w:r w:rsidRPr="001849F6">
        <w:rPr>
          <w:rFonts w:ascii="Arial" w:hAnsi="Arial" w:cs="Arial"/>
          <w:szCs w:val="24"/>
        </w:rPr>
        <w:t>. Chinese component imports have been suspended, European manufacturing has been disrupted, and UK assembly plants have been shut down as a result. Because of this, the industry is anticipated to see an increase in mergers and acquisitions as a result of a decline in global demand. British car production is expected to plummet by 29% in 2020, too little over 920,928 vehicles, according to the latest statistics issued today by (SMMT). Production in December declined basis points to 71,403, with certain businesses affected by border limitations and component supply issues. UK automakers had a dreadful year, worst since 1984, and the epidemic was a big factor. As a result of industrial shutdowns, social distancing measures, Brexit uncertainty, and sluggish market demand, manufacturing activities were considerably disrupted during 2020. This year's global output declined by 29.1 percent, while UK production fell by 30.4 percent to 171,890 units - a total of 749,038. The UK car industry continued to be driven by exports despite the global pandemic, with almost eight out of every 10 automobiles built going elsewhere. With a 53.5 percent share, the European Union remained the UK's top export market with 400,460 units, emphasising the importance of avoiding 'no-deal' tariffs</w:t>
      </w:r>
      <w:sdt>
        <w:sdtPr>
          <w:rPr>
            <w:rFonts w:ascii="Arial" w:hAnsi="Arial" w:cs="Arial"/>
            <w:szCs w:val="24"/>
          </w:rPr>
          <w:id w:val="-758604648"/>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Pet19 \l 1033 </w:instrText>
          </w:r>
          <w:r w:rsidRPr="001849F6">
            <w:rPr>
              <w:rFonts w:ascii="Arial" w:hAnsi="Arial" w:cs="Arial"/>
              <w:szCs w:val="24"/>
            </w:rPr>
            <w:fldChar w:fldCharType="separate"/>
          </w:r>
          <w:r w:rsidRPr="001849F6">
            <w:rPr>
              <w:rFonts w:ascii="Arial" w:hAnsi="Arial" w:cs="Arial"/>
              <w:noProof/>
              <w:szCs w:val="24"/>
              <w:lang w:val="en-US"/>
            </w:rPr>
            <w:t xml:space="preserve"> (Szabo, 2019)</w:t>
          </w:r>
          <w:r w:rsidRPr="001849F6">
            <w:rPr>
              <w:rFonts w:ascii="Arial" w:hAnsi="Arial" w:cs="Arial"/>
              <w:szCs w:val="24"/>
            </w:rPr>
            <w:fldChar w:fldCharType="end"/>
          </w:r>
        </w:sdtContent>
      </w:sdt>
      <w:r w:rsidRPr="001849F6">
        <w:rPr>
          <w:rFonts w:ascii="Arial" w:hAnsi="Arial" w:cs="Arial"/>
          <w:szCs w:val="24"/>
        </w:rPr>
        <w:t xml:space="preserve">. Customers at home and abroad </w:t>
      </w:r>
      <w:r w:rsidRPr="001849F6">
        <w:rPr>
          <w:rFonts w:ascii="Arial" w:hAnsi="Arial" w:cs="Arial"/>
          <w:szCs w:val="24"/>
        </w:rPr>
        <w:lastRenderedPageBreak/>
        <w:t>continue to buy battery electricity (BEV), plug-hybrid vehicles (PHEV), and hybrid automobiles from the UK, despite the gloom. BEVs accounted for 4.5% of total UK vehicle production, up from 3.4% last year, and accounted for 18.8% of the country's total, up from 14.8% the year before. As a whole, the UK produced 172,857 alternatively powered vehicles, with 79.6 percent of them going overseas, proving the country's existing competency in creating the vehicles necessary for a Net-Zero future. Independent estimates anticipate that by 2021, UK car production will have largely recovered to a million vehicles</w:t>
      </w:r>
      <w:sdt>
        <w:sdtPr>
          <w:rPr>
            <w:rFonts w:ascii="Arial" w:hAnsi="Arial" w:cs="Arial"/>
            <w:szCs w:val="24"/>
          </w:rPr>
          <w:id w:val="-1642489868"/>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Pet19 \l 1033 </w:instrText>
          </w:r>
          <w:r w:rsidRPr="001849F6">
            <w:rPr>
              <w:rFonts w:ascii="Arial" w:hAnsi="Arial" w:cs="Arial"/>
              <w:szCs w:val="24"/>
            </w:rPr>
            <w:fldChar w:fldCharType="separate"/>
          </w:r>
          <w:r w:rsidRPr="001849F6">
            <w:rPr>
              <w:rFonts w:ascii="Arial" w:hAnsi="Arial" w:cs="Arial"/>
              <w:noProof/>
              <w:szCs w:val="24"/>
              <w:lang w:val="en-US"/>
            </w:rPr>
            <w:t xml:space="preserve"> (Szabo, 2019)</w:t>
          </w:r>
          <w:r w:rsidRPr="001849F6">
            <w:rPr>
              <w:rFonts w:ascii="Arial" w:hAnsi="Arial" w:cs="Arial"/>
              <w:szCs w:val="24"/>
            </w:rPr>
            <w:fldChar w:fldCharType="end"/>
          </w:r>
        </w:sdtContent>
      </w:sdt>
      <w:r w:rsidRPr="001849F6">
        <w:rPr>
          <w:rFonts w:ascii="Arial" w:hAnsi="Arial" w:cs="Arial"/>
          <w:szCs w:val="24"/>
        </w:rPr>
        <w:t>. 2 However, the extent of Covid actions in the United States and elsewhere, as well as the speed with which showrooms may reopen, will have a significant impact. In addition, despite the fact that a "no deal" situation has been avoided, manufacturers are still adapting to new trading arrangements between the UK and the EU, which are far more challenging than previously</w:t>
      </w:r>
      <w:sdt>
        <w:sdtPr>
          <w:rPr>
            <w:rFonts w:ascii="Arial" w:hAnsi="Arial" w:cs="Arial"/>
            <w:szCs w:val="24"/>
          </w:rPr>
          <w:id w:val="1085729415"/>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Seb20 \l 1033 </w:instrText>
          </w:r>
          <w:r w:rsidRPr="001849F6">
            <w:rPr>
              <w:rFonts w:ascii="Arial" w:hAnsi="Arial" w:cs="Arial"/>
              <w:szCs w:val="24"/>
            </w:rPr>
            <w:fldChar w:fldCharType="separate"/>
          </w:r>
          <w:r w:rsidRPr="001849F6">
            <w:rPr>
              <w:rFonts w:ascii="Arial" w:hAnsi="Arial" w:cs="Arial"/>
              <w:noProof/>
              <w:szCs w:val="24"/>
              <w:lang w:val="en-US"/>
            </w:rPr>
            <w:t xml:space="preserve"> (Münchow, 2020)</w:t>
          </w:r>
          <w:r w:rsidRPr="001849F6">
            <w:rPr>
              <w:rFonts w:ascii="Arial" w:hAnsi="Arial" w:cs="Arial"/>
              <w:szCs w:val="24"/>
            </w:rPr>
            <w:fldChar w:fldCharType="end"/>
          </w:r>
        </w:sdtContent>
      </w:sdt>
      <w:r w:rsidRPr="001849F6">
        <w:rPr>
          <w:rFonts w:ascii="Arial" w:hAnsi="Arial" w:cs="Arial"/>
          <w:szCs w:val="24"/>
        </w:rPr>
        <w:t>.</w:t>
      </w:r>
    </w:p>
    <w:p w14:paraId="74DB60B7" w14:textId="77777777" w:rsidR="00067939" w:rsidRPr="001849F6" w:rsidRDefault="00067939" w:rsidP="00067939">
      <w:pPr>
        <w:rPr>
          <w:rFonts w:ascii="Arial" w:hAnsi="Arial" w:cs="Arial"/>
          <w:b/>
          <w:caps/>
          <w:szCs w:val="24"/>
        </w:rPr>
      </w:pPr>
      <w:r w:rsidRPr="001849F6">
        <w:rPr>
          <w:rFonts w:ascii="Arial" w:hAnsi="Arial" w:cs="Arial"/>
          <w:szCs w:val="24"/>
        </w:rPr>
        <w:t>The ability of the sector to attract long-term investment and expand volumes is predicated on maintaining its competitiveness in the face of more onerous customs procedures</w:t>
      </w:r>
      <w:sdt>
        <w:sdtPr>
          <w:rPr>
            <w:rFonts w:ascii="Arial" w:hAnsi="Arial" w:cs="Arial"/>
            <w:szCs w:val="24"/>
          </w:rPr>
          <w:id w:val="-1220129943"/>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Ana21 \l 1033 </w:instrText>
          </w:r>
          <w:r w:rsidRPr="001849F6">
            <w:rPr>
              <w:rFonts w:ascii="Arial" w:hAnsi="Arial" w:cs="Arial"/>
              <w:szCs w:val="24"/>
            </w:rPr>
            <w:fldChar w:fldCharType="separate"/>
          </w:r>
          <w:r w:rsidRPr="001849F6">
            <w:rPr>
              <w:rFonts w:ascii="Arial" w:hAnsi="Arial" w:cs="Arial"/>
              <w:noProof/>
              <w:szCs w:val="24"/>
              <w:lang w:val="en-US"/>
            </w:rPr>
            <w:t xml:space="preserve"> (Mandal, 2021)</w:t>
          </w:r>
          <w:r w:rsidRPr="001849F6">
            <w:rPr>
              <w:rFonts w:ascii="Arial" w:hAnsi="Arial" w:cs="Arial"/>
              <w:szCs w:val="24"/>
            </w:rPr>
            <w:fldChar w:fldCharType="end"/>
          </w:r>
        </w:sdtContent>
      </w:sdt>
      <w:r w:rsidRPr="001849F6">
        <w:rPr>
          <w:rFonts w:ascii="Arial" w:hAnsi="Arial" w:cs="Arial"/>
          <w:szCs w:val="24"/>
        </w:rPr>
        <w:t>. Over 80% of a planned £3.23 billion investment for the automotive industry by the UK in 2020 was made by one firm, which had agreed to build a battery facility. In order for this business, which is the country's largest exporter of goods and earns a yearly profit of £78.9 billion and employs over 180,000 people directly and many more indirectly, to remain viable, it will need to continue making such promises</w:t>
      </w:r>
      <w:sdt>
        <w:sdtPr>
          <w:rPr>
            <w:rFonts w:ascii="Arial" w:hAnsi="Arial" w:cs="Arial"/>
            <w:szCs w:val="24"/>
          </w:rPr>
          <w:id w:val="-1189059807"/>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Kei04 \l 1033 </w:instrText>
          </w:r>
          <w:r w:rsidRPr="001849F6">
            <w:rPr>
              <w:rFonts w:ascii="Arial" w:hAnsi="Arial" w:cs="Arial"/>
              <w:szCs w:val="24"/>
            </w:rPr>
            <w:fldChar w:fldCharType="separate"/>
          </w:r>
          <w:r w:rsidRPr="001849F6">
            <w:rPr>
              <w:rFonts w:ascii="Arial" w:hAnsi="Arial" w:cs="Arial"/>
              <w:noProof/>
              <w:szCs w:val="24"/>
              <w:lang w:val="en-US"/>
            </w:rPr>
            <w:t xml:space="preserve"> (Alexander, 2004)</w:t>
          </w:r>
          <w:r w:rsidRPr="001849F6">
            <w:rPr>
              <w:rFonts w:ascii="Arial" w:hAnsi="Arial" w:cs="Arial"/>
              <w:szCs w:val="24"/>
            </w:rPr>
            <w:fldChar w:fldCharType="end"/>
          </w:r>
        </w:sdtContent>
      </w:sdt>
      <w:r w:rsidRPr="001849F6">
        <w:rPr>
          <w:rFonts w:ascii="Arial" w:hAnsi="Arial" w:cs="Arial"/>
          <w:szCs w:val="24"/>
        </w:rPr>
        <w:t>.</w:t>
      </w:r>
    </w:p>
    <w:p w14:paraId="1F1A3E99" w14:textId="77777777" w:rsidR="00067939" w:rsidRPr="001849F6" w:rsidRDefault="00067939" w:rsidP="00067939">
      <w:pPr>
        <w:pStyle w:val="Heading1"/>
        <w:rPr>
          <w:rFonts w:ascii="Arial" w:hAnsi="Arial" w:cs="Arial"/>
          <w:sz w:val="24"/>
          <w:szCs w:val="24"/>
        </w:rPr>
      </w:pPr>
      <w:bookmarkStart w:id="2" w:name="_Hlk102433148"/>
      <w:bookmarkStart w:id="3" w:name="_Toc102072777"/>
      <w:r w:rsidRPr="001849F6">
        <w:rPr>
          <w:rFonts w:ascii="Arial" w:hAnsi="Arial" w:cs="Arial"/>
          <w:sz w:val="24"/>
          <w:szCs w:val="24"/>
        </w:rPr>
        <w:t>The Lotus car Company Ltd</w:t>
      </w:r>
      <w:bookmarkEnd w:id="2"/>
      <w:r w:rsidRPr="001849F6">
        <w:rPr>
          <w:rFonts w:ascii="Arial" w:hAnsi="Arial" w:cs="Arial"/>
          <w:sz w:val="24"/>
          <w:szCs w:val="24"/>
        </w:rPr>
        <w:t>.'s survival and success</w:t>
      </w:r>
      <w:bookmarkEnd w:id="3"/>
      <w:r w:rsidRPr="001849F6">
        <w:rPr>
          <w:rFonts w:ascii="Arial" w:hAnsi="Arial" w:cs="Arial"/>
          <w:sz w:val="24"/>
          <w:szCs w:val="24"/>
        </w:rPr>
        <w:t xml:space="preserve"> </w:t>
      </w:r>
    </w:p>
    <w:p w14:paraId="4CE03FA2" w14:textId="77777777" w:rsidR="00067939" w:rsidRPr="001849F6" w:rsidRDefault="00067939" w:rsidP="00067939">
      <w:pPr>
        <w:rPr>
          <w:rFonts w:ascii="Arial" w:hAnsi="Arial" w:cs="Arial"/>
          <w:szCs w:val="24"/>
        </w:rPr>
      </w:pPr>
      <w:r w:rsidRPr="001849F6">
        <w:rPr>
          <w:rFonts w:ascii="Arial" w:hAnsi="Arial" w:cs="Arial"/>
          <w:szCs w:val="24"/>
        </w:rPr>
        <w:t>It is difficult to overstate how spectacular the transformation and development of the automobile industry has been over the last several decades</w:t>
      </w:r>
      <w:sdt>
        <w:sdtPr>
          <w:rPr>
            <w:rFonts w:ascii="Arial" w:hAnsi="Arial" w:cs="Arial"/>
            <w:szCs w:val="24"/>
          </w:rPr>
          <w:id w:val="-1108970178"/>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Kym17 \l 1033 </w:instrText>
          </w:r>
          <w:r w:rsidRPr="001849F6">
            <w:rPr>
              <w:rFonts w:ascii="Arial" w:hAnsi="Arial" w:cs="Arial"/>
              <w:szCs w:val="24"/>
            </w:rPr>
            <w:fldChar w:fldCharType="separate"/>
          </w:r>
          <w:r w:rsidRPr="001849F6">
            <w:rPr>
              <w:rFonts w:ascii="Arial" w:hAnsi="Arial" w:cs="Arial"/>
              <w:noProof/>
              <w:szCs w:val="24"/>
              <w:lang w:val="en-US"/>
            </w:rPr>
            <w:t xml:space="preserve"> (Anderson, 2017)</w:t>
          </w:r>
          <w:r w:rsidRPr="001849F6">
            <w:rPr>
              <w:rFonts w:ascii="Arial" w:hAnsi="Arial" w:cs="Arial"/>
              <w:szCs w:val="24"/>
            </w:rPr>
            <w:fldChar w:fldCharType="end"/>
          </w:r>
        </w:sdtContent>
      </w:sdt>
      <w:r w:rsidRPr="001849F6">
        <w:rPr>
          <w:rFonts w:ascii="Arial" w:hAnsi="Arial" w:cs="Arial"/>
          <w:szCs w:val="24"/>
        </w:rPr>
        <w:t xml:space="preserve">. Consumption patterns have shifted, and technology advancements have all played a significant role in the development. Many major individuals within the organization are cognizant of the trends and would want to increase their participation in the automobile manufacturing business in the near future. As a result, the leading vehicle industry is expected to reach a more profitable phase after a hard year in 2019, during which EOMs encountered a number of roadblocks across the globe. In 2019, United States sector had only minor growth, while the Chinese market suffered its worst loss in more over two </w:t>
      </w:r>
      <w:r w:rsidRPr="001849F6">
        <w:rPr>
          <w:rFonts w:ascii="Arial" w:hAnsi="Arial" w:cs="Arial"/>
          <w:szCs w:val="24"/>
        </w:rPr>
        <w:lastRenderedPageBreak/>
        <w:t>decades. Alternatively, the Brexit agreement is likely to have repercussions throughout the world's financial markets and intensify the Sino-US trade battle. Because of this, it is projected that the condition would worsen until the beginning of 2022 at the earliest</w:t>
      </w:r>
      <w:sdt>
        <w:sdtPr>
          <w:rPr>
            <w:rFonts w:ascii="Arial" w:hAnsi="Arial" w:cs="Arial"/>
            <w:szCs w:val="24"/>
          </w:rPr>
          <w:id w:val="-932972767"/>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Kym17 \l 1033 </w:instrText>
          </w:r>
          <w:r w:rsidRPr="001849F6">
            <w:rPr>
              <w:rFonts w:ascii="Arial" w:hAnsi="Arial" w:cs="Arial"/>
              <w:szCs w:val="24"/>
            </w:rPr>
            <w:fldChar w:fldCharType="separate"/>
          </w:r>
          <w:r w:rsidRPr="001849F6">
            <w:rPr>
              <w:rFonts w:ascii="Arial" w:hAnsi="Arial" w:cs="Arial"/>
              <w:noProof/>
              <w:szCs w:val="24"/>
              <w:lang w:val="en-US"/>
            </w:rPr>
            <w:t xml:space="preserve"> (Anderson, 2017)</w:t>
          </w:r>
          <w:r w:rsidRPr="001849F6">
            <w:rPr>
              <w:rFonts w:ascii="Arial" w:hAnsi="Arial" w:cs="Arial"/>
              <w:szCs w:val="24"/>
            </w:rPr>
            <w:fldChar w:fldCharType="end"/>
          </w:r>
        </w:sdtContent>
      </w:sdt>
      <w:r w:rsidRPr="001849F6">
        <w:rPr>
          <w:rFonts w:ascii="Arial" w:hAnsi="Arial" w:cs="Arial"/>
          <w:szCs w:val="24"/>
        </w:rPr>
        <w:t>.</w:t>
      </w:r>
    </w:p>
    <w:p w14:paraId="51F611B4" w14:textId="77777777" w:rsidR="00067939" w:rsidRPr="001849F6" w:rsidRDefault="00067939" w:rsidP="00067939">
      <w:pPr>
        <w:pStyle w:val="Heading1"/>
        <w:rPr>
          <w:rFonts w:ascii="Arial" w:hAnsi="Arial" w:cs="Arial"/>
          <w:sz w:val="24"/>
          <w:szCs w:val="24"/>
        </w:rPr>
      </w:pPr>
      <w:bookmarkStart w:id="4" w:name="_Toc102072778"/>
      <w:r w:rsidRPr="001849F6">
        <w:rPr>
          <w:rFonts w:ascii="Arial" w:hAnsi="Arial" w:cs="Arial"/>
          <w:sz w:val="24"/>
          <w:szCs w:val="24"/>
        </w:rPr>
        <w:t>Taking Megatrends into consideration</w:t>
      </w:r>
      <w:bookmarkEnd w:id="4"/>
    </w:p>
    <w:p w14:paraId="6811F6C9" w14:textId="77777777" w:rsidR="00067939" w:rsidRPr="001849F6" w:rsidRDefault="00067939" w:rsidP="00067939">
      <w:pPr>
        <w:rPr>
          <w:rFonts w:ascii="Arial" w:hAnsi="Arial" w:cs="Arial"/>
          <w:szCs w:val="24"/>
        </w:rPr>
      </w:pPr>
      <w:r w:rsidRPr="001849F6">
        <w:rPr>
          <w:rFonts w:ascii="Arial" w:hAnsi="Arial" w:cs="Arial"/>
          <w:szCs w:val="24"/>
        </w:rPr>
        <w:t>Megatrends are global occurrences that occur all over the globe</w:t>
      </w:r>
      <w:sdt>
        <w:sdtPr>
          <w:rPr>
            <w:rFonts w:ascii="Arial" w:hAnsi="Arial" w:cs="Arial"/>
            <w:szCs w:val="24"/>
          </w:rPr>
          <w:id w:val="884138668"/>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Adj20 \l 1033 </w:instrText>
          </w:r>
          <w:r w:rsidRPr="001849F6">
            <w:rPr>
              <w:rFonts w:ascii="Arial" w:hAnsi="Arial" w:cs="Arial"/>
              <w:szCs w:val="24"/>
            </w:rPr>
            <w:fldChar w:fldCharType="separate"/>
          </w:r>
          <w:r w:rsidRPr="001849F6">
            <w:rPr>
              <w:rFonts w:ascii="Arial" w:hAnsi="Arial" w:cs="Arial"/>
              <w:noProof/>
              <w:szCs w:val="24"/>
              <w:lang w:val="en-US"/>
            </w:rPr>
            <w:t xml:space="preserve"> (Bakas, 2020)</w:t>
          </w:r>
          <w:r w:rsidRPr="001849F6">
            <w:rPr>
              <w:rFonts w:ascii="Arial" w:hAnsi="Arial" w:cs="Arial"/>
              <w:szCs w:val="24"/>
            </w:rPr>
            <w:fldChar w:fldCharType="end"/>
          </w:r>
        </w:sdtContent>
      </w:sdt>
      <w:r w:rsidRPr="001849F6">
        <w:rPr>
          <w:rFonts w:ascii="Arial" w:hAnsi="Arial" w:cs="Arial"/>
          <w:szCs w:val="24"/>
        </w:rPr>
        <w:t>. Several vehicle categories, such as passenger cars, commercial trucks, and electric vehicles, are included in the UK Automobile Manufacturers Outlook report, as well as data on the currency's size, share, firms, and advancements. According to an in-depth look at automotive industry trends for 2022, information-centric technologies will play a significant role. An unprecedented amount of new technology is being used by the industry. The internet (IoT) and cryptocurrencies, in addition to more well-established technologies like artificial intelligence (AI) and big data &amp; analytics, have several uses in autos</w:t>
      </w:r>
      <w:sdt>
        <w:sdtPr>
          <w:rPr>
            <w:rFonts w:ascii="Arial" w:hAnsi="Arial" w:cs="Arial"/>
            <w:szCs w:val="24"/>
          </w:rPr>
          <w:id w:val="-1019551061"/>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Adj20 \l 1033 </w:instrText>
          </w:r>
          <w:r w:rsidRPr="001849F6">
            <w:rPr>
              <w:rFonts w:ascii="Arial" w:hAnsi="Arial" w:cs="Arial"/>
              <w:szCs w:val="24"/>
            </w:rPr>
            <w:fldChar w:fldCharType="separate"/>
          </w:r>
          <w:r w:rsidRPr="001849F6">
            <w:rPr>
              <w:rFonts w:ascii="Arial" w:hAnsi="Arial" w:cs="Arial"/>
              <w:noProof/>
              <w:szCs w:val="24"/>
              <w:lang w:val="en-US"/>
            </w:rPr>
            <w:t xml:space="preserve"> (Bakas, 2020)</w:t>
          </w:r>
          <w:r w:rsidRPr="001849F6">
            <w:rPr>
              <w:rFonts w:ascii="Arial" w:hAnsi="Arial" w:cs="Arial"/>
              <w:szCs w:val="24"/>
            </w:rPr>
            <w:fldChar w:fldCharType="end"/>
          </w:r>
        </w:sdtContent>
      </w:sdt>
      <w:r w:rsidRPr="001849F6">
        <w:rPr>
          <w:rFonts w:ascii="Arial" w:hAnsi="Arial" w:cs="Arial"/>
          <w:szCs w:val="24"/>
        </w:rPr>
        <w:t>.</w:t>
      </w:r>
    </w:p>
    <w:p w14:paraId="14357967" w14:textId="77777777" w:rsidR="00067939" w:rsidRPr="001849F6" w:rsidRDefault="00067939" w:rsidP="00067939">
      <w:pPr>
        <w:rPr>
          <w:rFonts w:ascii="Arial" w:hAnsi="Arial" w:cs="Arial"/>
          <w:b/>
          <w:bCs/>
          <w:szCs w:val="24"/>
        </w:rPr>
      </w:pPr>
      <w:r w:rsidRPr="001849F6">
        <w:rPr>
          <w:rFonts w:ascii="Arial" w:hAnsi="Arial" w:cs="Arial"/>
          <w:b/>
          <w:bCs/>
          <w:szCs w:val="24"/>
        </w:rPr>
        <w:t>Mega Trends</w:t>
      </w:r>
    </w:p>
    <w:p w14:paraId="627F2BF9" w14:textId="77777777" w:rsidR="00067939" w:rsidRPr="001849F6" w:rsidRDefault="00067939" w:rsidP="00067939">
      <w:pPr>
        <w:rPr>
          <w:rFonts w:ascii="Arial" w:hAnsi="Arial" w:cs="Arial"/>
          <w:b/>
          <w:bCs/>
          <w:szCs w:val="24"/>
        </w:rPr>
      </w:pPr>
      <w:r w:rsidRPr="001849F6">
        <w:rPr>
          <w:rFonts w:ascii="Arial" w:hAnsi="Arial" w:cs="Arial"/>
          <w:b/>
          <w:bCs/>
          <w:szCs w:val="24"/>
        </w:rPr>
        <w:t xml:space="preserve"> </w:t>
      </w:r>
    </w:p>
    <w:tbl>
      <w:tblPr>
        <w:tblStyle w:val="TableGrid"/>
        <w:tblW w:w="0" w:type="auto"/>
        <w:tblLook w:val="04A0" w:firstRow="1" w:lastRow="0" w:firstColumn="1" w:lastColumn="0" w:noHBand="0" w:noVBand="1"/>
      </w:tblPr>
      <w:tblGrid>
        <w:gridCol w:w="1705"/>
        <w:gridCol w:w="1710"/>
        <w:gridCol w:w="5935"/>
      </w:tblGrid>
      <w:tr w:rsidR="00067939" w:rsidRPr="001849F6" w14:paraId="04356A8D" w14:textId="77777777" w:rsidTr="00FE0ADF">
        <w:tc>
          <w:tcPr>
            <w:tcW w:w="1705" w:type="dxa"/>
          </w:tcPr>
          <w:p w14:paraId="43C6DB34"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 xml:space="preserve">Authors </w:t>
            </w:r>
          </w:p>
        </w:tc>
        <w:tc>
          <w:tcPr>
            <w:tcW w:w="1710" w:type="dxa"/>
          </w:tcPr>
          <w:p w14:paraId="3ED43B5F"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 xml:space="preserve">Trends </w:t>
            </w:r>
          </w:p>
        </w:tc>
        <w:tc>
          <w:tcPr>
            <w:tcW w:w="5935" w:type="dxa"/>
          </w:tcPr>
          <w:p w14:paraId="6EF69169"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 xml:space="preserve">Details </w:t>
            </w:r>
          </w:p>
        </w:tc>
      </w:tr>
      <w:tr w:rsidR="00067939" w:rsidRPr="001849F6" w14:paraId="2A4BE577" w14:textId="77777777" w:rsidTr="00FE0ADF">
        <w:tc>
          <w:tcPr>
            <w:tcW w:w="1705" w:type="dxa"/>
          </w:tcPr>
          <w:p w14:paraId="10454B03" w14:textId="77777777" w:rsidR="00067939" w:rsidRPr="001849F6" w:rsidRDefault="00307F81" w:rsidP="00FE0ADF">
            <w:pPr>
              <w:rPr>
                <w:rFonts w:ascii="Arial" w:hAnsi="Arial" w:cs="Arial"/>
                <w:b/>
                <w:bCs/>
                <w:sz w:val="24"/>
                <w:szCs w:val="24"/>
              </w:rPr>
            </w:pPr>
            <w:sdt>
              <w:sdtPr>
                <w:rPr>
                  <w:rFonts w:ascii="Arial" w:hAnsi="Arial" w:cs="Arial"/>
                  <w:b/>
                  <w:bCs/>
                  <w:sz w:val="24"/>
                  <w:szCs w:val="24"/>
                </w:rPr>
                <w:id w:val="505327247"/>
                <w:citation/>
              </w:sdtPr>
              <w:sdtEndPr/>
              <w:sdtContent>
                <w:r w:rsidR="00067939" w:rsidRPr="001849F6">
                  <w:rPr>
                    <w:rFonts w:ascii="Arial" w:hAnsi="Arial" w:cs="Arial"/>
                    <w:b/>
                    <w:bCs/>
                    <w:sz w:val="24"/>
                    <w:szCs w:val="24"/>
                  </w:rPr>
                  <w:fldChar w:fldCharType="begin"/>
                </w:r>
                <w:r w:rsidR="00067939" w:rsidRPr="001849F6">
                  <w:rPr>
                    <w:rFonts w:ascii="Arial" w:hAnsi="Arial" w:cs="Arial"/>
                    <w:b/>
                    <w:bCs/>
                    <w:sz w:val="24"/>
                    <w:szCs w:val="24"/>
                  </w:rPr>
                  <w:instrText xml:space="preserve"> CITATION Adj20 \l 1033 </w:instrText>
                </w:r>
                <w:r w:rsidR="00067939" w:rsidRPr="001849F6">
                  <w:rPr>
                    <w:rFonts w:ascii="Arial" w:hAnsi="Arial" w:cs="Arial"/>
                    <w:b/>
                    <w:bCs/>
                    <w:sz w:val="24"/>
                    <w:szCs w:val="24"/>
                  </w:rPr>
                  <w:fldChar w:fldCharType="separate"/>
                </w:r>
                <w:r w:rsidR="00067939" w:rsidRPr="001849F6">
                  <w:rPr>
                    <w:rFonts w:ascii="Arial" w:hAnsi="Arial" w:cs="Arial"/>
                    <w:b/>
                    <w:bCs/>
                    <w:noProof/>
                    <w:sz w:val="24"/>
                    <w:szCs w:val="24"/>
                  </w:rPr>
                  <w:t>(Bakas, 2020)</w:t>
                </w:r>
                <w:r w:rsidR="00067939" w:rsidRPr="001849F6">
                  <w:rPr>
                    <w:rFonts w:ascii="Arial" w:hAnsi="Arial" w:cs="Arial"/>
                    <w:b/>
                    <w:bCs/>
                    <w:sz w:val="24"/>
                    <w:szCs w:val="24"/>
                  </w:rPr>
                  <w:fldChar w:fldCharType="end"/>
                </w:r>
              </w:sdtContent>
            </w:sdt>
          </w:p>
        </w:tc>
        <w:tc>
          <w:tcPr>
            <w:tcW w:w="1710" w:type="dxa"/>
          </w:tcPr>
          <w:p w14:paraId="4D5B76E0" w14:textId="77777777" w:rsidR="00067939" w:rsidRPr="001849F6" w:rsidRDefault="00067939" w:rsidP="00FE0ADF">
            <w:pPr>
              <w:rPr>
                <w:rFonts w:ascii="Arial" w:hAnsi="Arial" w:cs="Arial"/>
                <w:b/>
                <w:bCs/>
                <w:sz w:val="24"/>
                <w:szCs w:val="24"/>
              </w:rPr>
            </w:pPr>
            <w:r w:rsidRPr="001849F6">
              <w:rPr>
                <w:rFonts w:ascii="Arial" w:hAnsi="Arial" w:cs="Arial"/>
                <w:b/>
                <w:bCs/>
                <w:sz w:val="24"/>
                <w:szCs w:val="24"/>
              </w:rPr>
              <w:t>Connectivity</w:t>
            </w:r>
          </w:p>
        </w:tc>
        <w:tc>
          <w:tcPr>
            <w:tcW w:w="5935" w:type="dxa"/>
          </w:tcPr>
          <w:p w14:paraId="48EC3F79" w14:textId="77777777" w:rsidR="00067939" w:rsidRPr="001849F6" w:rsidRDefault="00067939" w:rsidP="00FE0ADF">
            <w:pPr>
              <w:rPr>
                <w:rFonts w:ascii="Arial" w:hAnsi="Arial" w:cs="Arial"/>
                <w:sz w:val="24"/>
                <w:szCs w:val="24"/>
              </w:rPr>
            </w:pPr>
            <w:r w:rsidRPr="001849F6">
              <w:rPr>
                <w:rFonts w:ascii="Arial" w:hAnsi="Arial" w:cs="Arial"/>
                <w:sz w:val="24"/>
                <w:szCs w:val="24"/>
              </w:rPr>
              <w:t xml:space="preserve">More automobiles and trucks are likely to be equipped with mobile internet connection in the next four years in order to fulfil regulators' and customers' demands for security, maintenance, and </w:t>
            </w:r>
            <w:proofErr w:type="spellStart"/>
            <w:r w:rsidRPr="001849F6">
              <w:rPr>
                <w:rFonts w:ascii="Arial" w:hAnsi="Arial" w:cs="Arial"/>
                <w:sz w:val="24"/>
                <w:szCs w:val="24"/>
              </w:rPr>
              <w:t>gps</w:t>
            </w:r>
            <w:proofErr w:type="spellEnd"/>
            <w:r w:rsidRPr="001849F6">
              <w:rPr>
                <w:rFonts w:ascii="Arial" w:hAnsi="Arial" w:cs="Arial"/>
                <w:sz w:val="24"/>
                <w:szCs w:val="24"/>
              </w:rPr>
              <w:t xml:space="preserve"> navigation and navigation services, according to the report. According to a 20 percent annual growth rate, the advanced innovation is anticipated to greatly enhance current technology, expanding from $16 billion US dollars to $1 trillion in 2018. In 2018, in-vehicle services like live traffic, call </w:t>
            </w:r>
            <w:proofErr w:type="spellStart"/>
            <w:r w:rsidRPr="001849F6">
              <w:rPr>
                <w:rFonts w:ascii="Arial" w:hAnsi="Arial" w:cs="Arial"/>
                <w:sz w:val="24"/>
                <w:szCs w:val="24"/>
              </w:rPr>
              <w:t>centre</w:t>
            </w:r>
            <w:proofErr w:type="spellEnd"/>
            <w:r w:rsidRPr="001849F6">
              <w:rPr>
                <w:rFonts w:ascii="Arial" w:hAnsi="Arial" w:cs="Arial"/>
                <w:sz w:val="24"/>
                <w:szCs w:val="24"/>
              </w:rPr>
              <w:t xml:space="preserve"> support, and browser amusement will generate $25 billion; telematics services like </w:t>
            </w:r>
            <w:r w:rsidRPr="001849F6">
              <w:rPr>
                <w:rFonts w:ascii="Arial" w:hAnsi="Arial" w:cs="Arial"/>
                <w:sz w:val="24"/>
                <w:szCs w:val="24"/>
              </w:rPr>
              <w:lastRenderedPageBreak/>
              <w:t>customer service will generate $5 billion; mobile data traffic connectivity/data services will generate $4 billion; and hardware sales like telematics control units will generate $7 billion.</w:t>
            </w:r>
          </w:p>
        </w:tc>
      </w:tr>
      <w:tr w:rsidR="00067939" w:rsidRPr="001849F6" w14:paraId="5C542715" w14:textId="77777777" w:rsidTr="00FE0ADF">
        <w:tc>
          <w:tcPr>
            <w:tcW w:w="1705" w:type="dxa"/>
          </w:tcPr>
          <w:p w14:paraId="3CAEDE46" w14:textId="77777777" w:rsidR="00067939" w:rsidRPr="001849F6" w:rsidRDefault="00307F81" w:rsidP="00FE0ADF">
            <w:pPr>
              <w:rPr>
                <w:rFonts w:ascii="Arial" w:hAnsi="Arial" w:cs="Arial"/>
                <w:b/>
                <w:bCs/>
                <w:sz w:val="24"/>
                <w:szCs w:val="24"/>
              </w:rPr>
            </w:pPr>
            <w:sdt>
              <w:sdtPr>
                <w:rPr>
                  <w:rFonts w:ascii="Arial" w:hAnsi="Arial" w:cs="Arial"/>
                  <w:b/>
                  <w:bCs/>
                  <w:sz w:val="24"/>
                  <w:szCs w:val="24"/>
                </w:rPr>
                <w:id w:val="-1728675779"/>
                <w:citation/>
              </w:sdtPr>
              <w:sdtEndPr/>
              <w:sdtContent>
                <w:r w:rsidR="00067939" w:rsidRPr="001849F6">
                  <w:rPr>
                    <w:rFonts w:ascii="Arial" w:hAnsi="Arial" w:cs="Arial"/>
                    <w:b/>
                    <w:bCs/>
                    <w:sz w:val="24"/>
                    <w:szCs w:val="24"/>
                  </w:rPr>
                  <w:fldChar w:fldCharType="begin"/>
                </w:r>
                <w:r w:rsidR="00067939" w:rsidRPr="001849F6">
                  <w:rPr>
                    <w:rFonts w:ascii="Arial" w:hAnsi="Arial" w:cs="Arial"/>
                    <w:b/>
                    <w:bCs/>
                    <w:sz w:val="24"/>
                    <w:szCs w:val="24"/>
                  </w:rPr>
                  <w:instrText xml:space="preserve"> CITATION Geo09 \l 1033 </w:instrText>
                </w:r>
                <w:r w:rsidR="00067939" w:rsidRPr="001849F6">
                  <w:rPr>
                    <w:rFonts w:ascii="Arial" w:hAnsi="Arial" w:cs="Arial"/>
                    <w:b/>
                    <w:bCs/>
                    <w:sz w:val="24"/>
                    <w:szCs w:val="24"/>
                  </w:rPr>
                  <w:fldChar w:fldCharType="separate"/>
                </w:r>
                <w:r w:rsidR="00067939" w:rsidRPr="001849F6">
                  <w:rPr>
                    <w:rFonts w:ascii="Arial" w:hAnsi="Arial" w:cs="Arial"/>
                    <w:b/>
                    <w:bCs/>
                    <w:noProof/>
                    <w:sz w:val="24"/>
                    <w:szCs w:val="24"/>
                  </w:rPr>
                  <w:t>(Baourakis, 2009)</w:t>
                </w:r>
                <w:r w:rsidR="00067939" w:rsidRPr="001849F6">
                  <w:rPr>
                    <w:rFonts w:ascii="Arial" w:hAnsi="Arial" w:cs="Arial"/>
                    <w:b/>
                    <w:bCs/>
                    <w:sz w:val="24"/>
                    <w:szCs w:val="24"/>
                  </w:rPr>
                  <w:fldChar w:fldCharType="end"/>
                </w:r>
              </w:sdtContent>
            </w:sdt>
          </w:p>
        </w:tc>
        <w:tc>
          <w:tcPr>
            <w:tcW w:w="1710" w:type="dxa"/>
          </w:tcPr>
          <w:p w14:paraId="1B91E751" w14:textId="77777777" w:rsidR="00067939" w:rsidRPr="001849F6" w:rsidRDefault="00067939" w:rsidP="00FE0ADF">
            <w:pPr>
              <w:rPr>
                <w:rFonts w:ascii="Arial" w:hAnsi="Arial" w:cs="Arial"/>
                <w:sz w:val="24"/>
                <w:szCs w:val="24"/>
              </w:rPr>
            </w:pPr>
            <w:r w:rsidRPr="001849F6">
              <w:rPr>
                <w:rStyle w:val="Strong"/>
                <w:rFonts w:ascii="Arial" w:hAnsi="Arial" w:cs="Arial"/>
                <w:color w:val="000000" w:themeColor="text1"/>
                <w:sz w:val="24"/>
                <w:szCs w:val="24"/>
                <w:shd w:val="clear" w:color="auto" w:fill="FFFFFF"/>
              </w:rPr>
              <w:t>Automation</w:t>
            </w:r>
          </w:p>
        </w:tc>
        <w:tc>
          <w:tcPr>
            <w:tcW w:w="5935" w:type="dxa"/>
          </w:tcPr>
          <w:p w14:paraId="4763D7A1" w14:textId="77777777" w:rsidR="00067939" w:rsidRPr="001849F6" w:rsidRDefault="00067939" w:rsidP="00FE0ADF">
            <w:pPr>
              <w:rPr>
                <w:rFonts w:ascii="Arial" w:hAnsi="Arial" w:cs="Arial"/>
                <w:sz w:val="24"/>
                <w:szCs w:val="24"/>
              </w:rPr>
            </w:pPr>
            <w:r w:rsidRPr="001849F6">
              <w:rPr>
                <w:rFonts w:ascii="Arial" w:hAnsi="Arial" w:cs="Arial"/>
                <w:sz w:val="24"/>
                <w:szCs w:val="24"/>
              </w:rPr>
              <w:t>Another advancement in car engineering is the use of automation. As predicted in a recent analysis, right hand and foot-free technologies are already in use in certain situations, according to the report. Driving will no longer need a driver's focus on the road by 2018, since the automobile will just be able to evaluate its environment and go independently by that time. After 2020, customers will be able to be transported to their destinations without having to do any work of their own. By 2025, the autonomous car market is expected to be worth $42 billion, according to a report by Boston Consulting Group.</w:t>
            </w:r>
          </w:p>
        </w:tc>
      </w:tr>
      <w:tr w:rsidR="00067939" w:rsidRPr="001849F6" w14:paraId="2CF5E6BB" w14:textId="77777777" w:rsidTr="00FE0ADF">
        <w:tc>
          <w:tcPr>
            <w:tcW w:w="1705" w:type="dxa"/>
          </w:tcPr>
          <w:p w14:paraId="236C4A8A" w14:textId="77777777" w:rsidR="00067939" w:rsidRPr="001849F6" w:rsidRDefault="00307F81" w:rsidP="00FE0ADF">
            <w:pPr>
              <w:rPr>
                <w:rFonts w:ascii="Arial" w:hAnsi="Arial" w:cs="Arial"/>
                <w:b/>
                <w:bCs/>
                <w:color w:val="000000" w:themeColor="text1"/>
                <w:sz w:val="24"/>
                <w:szCs w:val="24"/>
              </w:rPr>
            </w:pPr>
            <w:sdt>
              <w:sdtPr>
                <w:rPr>
                  <w:rFonts w:ascii="Arial" w:hAnsi="Arial" w:cs="Arial"/>
                  <w:b/>
                  <w:bCs/>
                  <w:color w:val="000000" w:themeColor="text1"/>
                  <w:sz w:val="24"/>
                  <w:szCs w:val="24"/>
                </w:rPr>
                <w:id w:val="-1008992331"/>
                <w:citation/>
              </w:sdtPr>
              <w:sdtEndPr/>
              <w:sdtContent>
                <w:r w:rsidR="00067939" w:rsidRPr="001849F6">
                  <w:rPr>
                    <w:rFonts w:ascii="Arial" w:hAnsi="Arial" w:cs="Arial"/>
                    <w:b/>
                    <w:bCs/>
                    <w:color w:val="000000" w:themeColor="text1"/>
                    <w:sz w:val="24"/>
                    <w:szCs w:val="24"/>
                  </w:rPr>
                  <w:fldChar w:fldCharType="begin"/>
                </w:r>
                <w:r w:rsidR="00067939" w:rsidRPr="001849F6">
                  <w:rPr>
                    <w:rFonts w:ascii="Arial" w:hAnsi="Arial" w:cs="Arial"/>
                    <w:b/>
                    <w:bCs/>
                    <w:color w:val="000000" w:themeColor="text1"/>
                    <w:sz w:val="24"/>
                    <w:szCs w:val="24"/>
                  </w:rPr>
                  <w:instrText xml:space="preserve"> CITATION Dib20 \l 1033 </w:instrText>
                </w:r>
                <w:r w:rsidR="00067939" w:rsidRPr="001849F6">
                  <w:rPr>
                    <w:rFonts w:ascii="Arial" w:hAnsi="Arial" w:cs="Arial"/>
                    <w:b/>
                    <w:bCs/>
                    <w:color w:val="000000" w:themeColor="text1"/>
                    <w:sz w:val="24"/>
                    <w:szCs w:val="24"/>
                  </w:rPr>
                  <w:fldChar w:fldCharType="separate"/>
                </w:r>
                <w:r w:rsidR="00067939" w:rsidRPr="001849F6">
                  <w:rPr>
                    <w:rFonts w:ascii="Arial" w:hAnsi="Arial" w:cs="Arial"/>
                    <w:b/>
                    <w:bCs/>
                    <w:noProof/>
                    <w:color w:val="000000" w:themeColor="text1"/>
                    <w:sz w:val="24"/>
                    <w:szCs w:val="24"/>
                  </w:rPr>
                  <w:t>(Maiti, 2020)</w:t>
                </w:r>
                <w:r w:rsidR="00067939" w:rsidRPr="001849F6">
                  <w:rPr>
                    <w:rFonts w:ascii="Arial" w:hAnsi="Arial" w:cs="Arial"/>
                    <w:b/>
                    <w:bCs/>
                    <w:color w:val="000000" w:themeColor="text1"/>
                    <w:sz w:val="24"/>
                    <w:szCs w:val="24"/>
                  </w:rPr>
                  <w:fldChar w:fldCharType="end"/>
                </w:r>
              </w:sdtContent>
            </w:sdt>
          </w:p>
        </w:tc>
        <w:tc>
          <w:tcPr>
            <w:tcW w:w="1710" w:type="dxa"/>
          </w:tcPr>
          <w:p w14:paraId="0C7457EB" w14:textId="77777777" w:rsidR="00067939" w:rsidRPr="001849F6" w:rsidRDefault="00067939" w:rsidP="00FE0ADF">
            <w:pPr>
              <w:rPr>
                <w:rFonts w:ascii="Arial" w:hAnsi="Arial" w:cs="Arial"/>
                <w:b/>
                <w:bCs/>
                <w:color w:val="000000" w:themeColor="text1"/>
                <w:sz w:val="24"/>
                <w:szCs w:val="24"/>
              </w:rPr>
            </w:pPr>
            <w:r w:rsidRPr="001849F6">
              <w:rPr>
                <w:rStyle w:val="Strong"/>
                <w:rFonts w:ascii="Arial" w:hAnsi="Arial" w:cs="Arial"/>
                <w:color w:val="000000" w:themeColor="text1"/>
                <w:sz w:val="24"/>
                <w:szCs w:val="24"/>
                <w:shd w:val="clear" w:color="auto" w:fill="FFFFFF"/>
              </w:rPr>
              <w:t>Car sharing</w:t>
            </w:r>
          </w:p>
        </w:tc>
        <w:tc>
          <w:tcPr>
            <w:tcW w:w="5935" w:type="dxa"/>
          </w:tcPr>
          <w:p w14:paraId="665D864B" w14:textId="77777777" w:rsidR="00067939" w:rsidRPr="001849F6" w:rsidRDefault="00067939" w:rsidP="00FE0ADF">
            <w:pPr>
              <w:rPr>
                <w:rFonts w:ascii="Arial" w:hAnsi="Arial" w:cs="Arial"/>
                <w:sz w:val="24"/>
                <w:szCs w:val="24"/>
              </w:rPr>
            </w:pPr>
            <w:r w:rsidRPr="001849F6">
              <w:rPr>
                <w:rFonts w:ascii="Arial" w:hAnsi="Arial" w:cs="Arial"/>
                <w:sz w:val="24"/>
                <w:szCs w:val="24"/>
              </w:rPr>
              <w:t xml:space="preserve">People who </w:t>
            </w:r>
            <w:proofErr w:type="spellStart"/>
            <w:r w:rsidRPr="001849F6">
              <w:rPr>
                <w:rFonts w:ascii="Arial" w:hAnsi="Arial" w:cs="Arial"/>
                <w:sz w:val="24"/>
                <w:szCs w:val="24"/>
              </w:rPr>
              <w:t>utilise</w:t>
            </w:r>
            <w:proofErr w:type="spellEnd"/>
            <w:r w:rsidRPr="001849F6">
              <w:rPr>
                <w:rFonts w:ascii="Arial" w:hAnsi="Arial" w:cs="Arial"/>
                <w:sz w:val="24"/>
                <w:szCs w:val="24"/>
              </w:rPr>
              <w:t xml:space="preserve"> car-sharing services have increased dramatically during the last several years. There had been 5 million users in 2014. With an expected increase of 26 million by 2020, that's a yearly increase of 32%. This is estimated to be worth €7.2 billion, according to Roland Berger. Since social media and online networks have made it simpler for individuals to communicate, more people have given up ownership and given themselves greater authority over their own lives as a result. More independent thinking and specialty services have resulted from this, along with more convenience and commodification.</w:t>
            </w:r>
          </w:p>
        </w:tc>
      </w:tr>
      <w:tr w:rsidR="00067939" w:rsidRPr="001849F6" w14:paraId="15258C28" w14:textId="77777777" w:rsidTr="00FE0ADF">
        <w:tc>
          <w:tcPr>
            <w:tcW w:w="1705" w:type="dxa"/>
          </w:tcPr>
          <w:p w14:paraId="70A15498" w14:textId="77777777" w:rsidR="00067939" w:rsidRPr="001849F6" w:rsidRDefault="00307F81" w:rsidP="00FE0ADF">
            <w:pPr>
              <w:rPr>
                <w:rFonts w:ascii="Arial" w:hAnsi="Arial" w:cs="Arial"/>
                <w:b/>
                <w:bCs/>
                <w:sz w:val="24"/>
                <w:szCs w:val="24"/>
              </w:rPr>
            </w:pPr>
            <w:sdt>
              <w:sdtPr>
                <w:rPr>
                  <w:rFonts w:ascii="Arial" w:hAnsi="Arial" w:cs="Arial"/>
                  <w:b/>
                  <w:bCs/>
                  <w:sz w:val="24"/>
                  <w:szCs w:val="24"/>
                </w:rPr>
                <w:id w:val="1411115909"/>
                <w:citation/>
              </w:sdtPr>
              <w:sdtEndPr/>
              <w:sdtContent>
                <w:r w:rsidR="00067939" w:rsidRPr="001849F6">
                  <w:rPr>
                    <w:rFonts w:ascii="Arial" w:hAnsi="Arial" w:cs="Arial"/>
                    <w:b/>
                    <w:bCs/>
                    <w:sz w:val="24"/>
                    <w:szCs w:val="24"/>
                  </w:rPr>
                  <w:fldChar w:fldCharType="begin"/>
                </w:r>
                <w:r w:rsidR="00067939" w:rsidRPr="001849F6">
                  <w:rPr>
                    <w:rFonts w:ascii="Arial" w:hAnsi="Arial" w:cs="Arial"/>
                    <w:b/>
                    <w:bCs/>
                    <w:sz w:val="24"/>
                    <w:szCs w:val="24"/>
                  </w:rPr>
                  <w:instrText xml:space="preserve"> CITATION Fra18 \l 1033 </w:instrText>
                </w:r>
                <w:r w:rsidR="00067939" w:rsidRPr="001849F6">
                  <w:rPr>
                    <w:rFonts w:ascii="Arial" w:hAnsi="Arial" w:cs="Arial"/>
                    <w:b/>
                    <w:bCs/>
                    <w:sz w:val="24"/>
                    <w:szCs w:val="24"/>
                  </w:rPr>
                  <w:fldChar w:fldCharType="separate"/>
                </w:r>
                <w:r w:rsidR="00067939" w:rsidRPr="001849F6">
                  <w:rPr>
                    <w:rFonts w:ascii="Arial" w:hAnsi="Arial" w:cs="Arial"/>
                    <w:b/>
                    <w:bCs/>
                    <w:noProof/>
                    <w:sz w:val="24"/>
                    <w:szCs w:val="24"/>
                  </w:rPr>
                  <w:t>(Ilmberger, 2018)</w:t>
                </w:r>
                <w:r w:rsidR="00067939" w:rsidRPr="001849F6">
                  <w:rPr>
                    <w:rFonts w:ascii="Arial" w:hAnsi="Arial" w:cs="Arial"/>
                    <w:b/>
                    <w:bCs/>
                    <w:sz w:val="24"/>
                    <w:szCs w:val="24"/>
                  </w:rPr>
                  <w:fldChar w:fldCharType="end"/>
                </w:r>
              </w:sdtContent>
            </w:sdt>
          </w:p>
        </w:tc>
        <w:tc>
          <w:tcPr>
            <w:tcW w:w="1710" w:type="dxa"/>
          </w:tcPr>
          <w:p w14:paraId="7837420D" w14:textId="77777777" w:rsidR="00067939" w:rsidRPr="001849F6" w:rsidRDefault="00067939" w:rsidP="00FE0ADF">
            <w:pPr>
              <w:rPr>
                <w:rFonts w:ascii="Arial" w:hAnsi="Arial" w:cs="Arial"/>
                <w:b/>
                <w:bCs/>
                <w:sz w:val="24"/>
                <w:szCs w:val="24"/>
              </w:rPr>
            </w:pPr>
            <w:r w:rsidRPr="001849F6">
              <w:rPr>
                <w:rStyle w:val="Strong"/>
                <w:rFonts w:ascii="Arial" w:hAnsi="Arial" w:cs="Arial"/>
                <w:color w:val="000000" w:themeColor="text1"/>
                <w:sz w:val="24"/>
                <w:szCs w:val="24"/>
                <w:shd w:val="clear" w:color="auto" w:fill="FFFFFF"/>
              </w:rPr>
              <w:t>Electric vehicles</w:t>
            </w:r>
          </w:p>
        </w:tc>
        <w:tc>
          <w:tcPr>
            <w:tcW w:w="5935" w:type="dxa"/>
          </w:tcPr>
          <w:p w14:paraId="7AEDF038" w14:textId="77777777" w:rsidR="00067939" w:rsidRPr="001849F6" w:rsidRDefault="00067939" w:rsidP="00FE0ADF">
            <w:pPr>
              <w:rPr>
                <w:rFonts w:ascii="Arial" w:hAnsi="Arial" w:cs="Arial"/>
                <w:sz w:val="24"/>
                <w:szCs w:val="24"/>
              </w:rPr>
            </w:pPr>
            <w:r w:rsidRPr="001849F6">
              <w:rPr>
                <w:rFonts w:ascii="Arial" w:hAnsi="Arial" w:cs="Arial"/>
                <w:sz w:val="24"/>
                <w:szCs w:val="24"/>
              </w:rPr>
              <w:t>As a consequence of government-backed initiatives, the number of automobiles is expected to climb significantly during the next decade. Although electric vehicle sales have risen rapidly, they still only make up 0.1% of the global automobile fleet and account for just 0.4% of global sales in 2014. However, in the last five years, the number of EV vehicles in important automotive markets has quadrupled to more than 50. Plugin hybrids, which increase the vehicle's digitalization while maintaining some of the performance and range benefits of an ICE, have recently gained in popularity with buyers. Also becoming popular are 'extend range hybrids', which incorporate a small amount of internal combustion engine (ICE) into an EV, in an effort to expand the vehicle's range and raise its market appeal. By 2025, the percentage of electricity sold is expected to expand rapidly as a result of technological advances. According to AlixPartners' research, there is both an optimistic and a cautious outlook for the future. Optimists expect that electric vehicles would make up almost 6% of worldwide cars sold by 2020, while current forecasts estimate a more modest increase of 31% to achieve 6% of worldwide vehicles sold by 2025. Only 3% of new automobile sales will be electric vehicles by 2025, according to conservative estimates.</w:t>
            </w:r>
          </w:p>
        </w:tc>
      </w:tr>
    </w:tbl>
    <w:p w14:paraId="5C7E9F17" w14:textId="77777777" w:rsidR="00067939" w:rsidRPr="001849F6" w:rsidRDefault="00067939" w:rsidP="00067939">
      <w:pPr>
        <w:rPr>
          <w:rFonts w:ascii="Arial" w:hAnsi="Arial" w:cs="Arial"/>
          <w:b/>
          <w:bCs/>
          <w:szCs w:val="24"/>
        </w:rPr>
      </w:pPr>
    </w:p>
    <w:p w14:paraId="00AA16EB" w14:textId="77777777" w:rsidR="00067939" w:rsidRPr="001849F6" w:rsidRDefault="00067939" w:rsidP="00067939">
      <w:pPr>
        <w:pStyle w:val="Heading1"/>
        <w:rPr>
          <w:rFonts w:ascii="Arial" w:hAnsi="Arial" w:cs="Arial"/>
          <w:sz w:val="24"/>
          <w:szCs w:val="24"/>
        </w:rPr>
      </w:pPr>
      <w:bookmarkStart w:id="5" w:name="_Toc102072779"/>
      <w:r w:rsidRPr="001849F6">
        <w:rPr>
          <w:rFonts w:ascii="Arial" w:hAnsi="Arial" w:cs="Arial"/>
          <w:sz w:val="24"/>
          <w:szCs w:val="24"/>
        </w:rPr>
        <w:t>Projection of Lotus car Company Ltd.'s Success in 2022</w:t>
      </w:r>
      <w:bookmarkEnd w:id="5"/>
    </w:p>
    <w:p w14:paraId="183DD585" w14:textId="77777777" w:rsidR="00067939" w:rsidRPr="001849F6" w:rsidRDefault="00067939" w:rsidP="00067939">
      <w:pPr>
        <w:rPr>
          <w:rFonts w:ascii="Arial" w:hAnsi="Arial" w:cs="Arial"/>
          <w:szCs w:val="24"/>
        </w:rPr>
      </w:pPr>
      <w:r w:rsidRPr="001849F6">
        <w:rPr>
          <w:rFonts w:ascii="Arial" w:hAnsi="Arial" w:cs="Arial"/>
          <w:szCs w:val="24"/>
        </w:rPr>
        <w:t>The Lotus Motor Company's performance and survival in the post-pandemic era are contingent upon many things</w:t>
      </w:r>
      <w:sdt>
        <w:sdtPr>
          <w:rPr>
            <w:rFonts w:ascii="Arial" w:hAnsi="Arial" w:cs="Arial"/>
            <w:szCs w:val="24"/>
          </w:rPr>
          <w:id w:val="-656142792"/>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Kar99 \l 1033 </w:instrText>
          </w:r>
          <w:r w:rsidRPr="001849F6">
            <w:rPr>
              <w:rFonts w:ascii="Arial" w:hAnsi="Arial" w:cs="Arial"/>
              <w:szCs w:val="24"/>
            </w:rPr>
            <w:fldChar w:fldCharType="separate"/>
          </w:r>
          <w:r w:rsidRPr="001849F6">
            <w:rPr>
              <w:rFonts w:ascii="Arial" w:hAnsi="Arial" w:cs="Arial"/>
              <w:noProof/>
              <w:szCs w:val="24"/>
              <w:lang w:val="en-US"/>
            </w:rPr>
            <w:t xml:space="preserve"> (Hamilton, 1999)</w:t>
          </w:r>
          <w:r w:rsidRPr="001849F6">
            <w:rPr>
              <w:rFonts w:ascii="Arial" w:hAnsi="Arial" w:cs="Arial"/>
              <w:szCs w:val="24"/>
            </w:rPr>
            <w:fldChar w:fldCharType="end"/>
          </w:r>
        </w:sdtContent>
      </w:sdt>
      <w:r w:rsidRPr="001849F6">
        <w:rPr>
          <w:rFonts w:ascii="Arial" w:hAnsi="Arial" w:cs="Arial"/>
          <w:szCs w:val="24"/>
        </w:rPr>
        <w:t>. The following factors are included:</w:t>
      </w:r>
    </w:p>
    <w:p w14:paraId="1734FFE0" w14:textId="77777777" w:rsidR="00067939" w:rsidRPr="001849F6" w:rsidRDefault="00067939" w:rsidP="00067939">
      <w:pPr>
        <w:pStyle w:val="ListParagraph"/>
        <w:numPr>
          <w:ilvl w:val="0"/>
          <w:numId w:val="1"/>
        </w:numPr>
        <w:rPr>
          <w:rFonts w:ascii="Arial" w:hAnsi="Arial" w:cs="Arial"/>
          <w:szCs w:val="24"/>
        </w:rPr>
      </w:pPr>
      <w:r w:rsidRPr="001849F6">
        <w:rPr>
          <w:rFonts w:ascii="Arial" w:hAnsi="Arial" w:cs="Arial"/>
          <w:szCs w:val="24"/>
        </w:rPr>
        <w:lastRenderedPageBreak/>
        <w:t>Marketing using the internet: Once it comes to discussing client requests, change is widely acknowledged within the internet marketing community</w:t>
      </w:r>
      <w:sdt>
        <w:sdtPr>
          <w:rPr>
            <w:rFonts w:ascii="Arial" w:hAnsi="Arial" w:cs="Arial"/>
            <w:szCs w:val="24"/>
          </w:rPr>
          <w:id w:val="-1689748999"/>
          <w:citation/>
        </w:sdtPr>
        <w:sdtEndPr/>
        <w:sdtContent>
          <w:r w:rsidRPr="001849F6">
            <w:rPr>
              <w:rFonts w:ascii="Arial" w:hAnsi="Arial" w:cs="Arial"/>
              <w:szCs w:val="24"/>
            </w:rPr>
            <w:fldChar w:fldCharType="begin"/>
          </w:r>
          <w:r w:rsidRPr="001849F6">
            <w:rPr>
              <w:rFonts w:ascii="Arial" w:hAnsi="Arial" w:cs="Arial"/>
              <w:szCs w:val="24"/>
            </w:rPr>
            <w:instrText xml:space="preserve"> CITATION Kar99 \l 1033 </w:instrText>
          </w:r>
          <w:r w:rsidRPr="001849F6">
            <w:rPr>
              <w:rFonts w:ascii="Arial" w:hAnsi="Arial" w:cs="Arial"/>
              <w:szCs w:val="24"/>
            </w:rPr>
            <w:fldChar w:fldCharType="separate"/>
          </w:r>
          <w:r w:rsidRPr="001849F6">
            <w:rPr>
              <w:rFonts w:ascii="Arial" w:hAnsi="Arial" w:cs="Arial"/>
              <w:noProof/>
              <w:szCs w:val="24"/>
            </w:rPr>
            <w:t xml:space="preserve"> (Hamilton, 1999)</w:t>
          </w:r>
          <w:r w:rsidRPr="001849F6">
            <w:rPr>
              <w:rFonts w:ascii="Arial" w:hAnsi="Arial" w:cs="Arial"/>
              <w:szCs w:val="24"/>
            </w:rPr>
            <w:fldChar w:fldCharType="end"/>
          </w:r>
        </w:sdtContent>
      </w:sdt>
      <w:r w:rsidRPr="001849F6">
        <w:rPr>
          <w:rFonts w:ascii="Arial" w:hAnsi="Arial" w:cs="Arial"/>
          <w:szCs w:val="24"/>
        </w:rPr>
        <w:t>. Additionally, the majority of purchasers are using online techniques for acquiring and receiving automotive recommendations. As a consequence, firms and consumers' online presences will have a substantial impact on the markets and car industries in 2022</w:t>
      </w:r>
      <w:sdt>
        <w:sdtPr>
          <w:rPr>
            <w:rFonts w:ascii="Arial" w:hAnsi="Arial" w:cs="Arial"/>
            <w:szCs w:val="24"/>
          </w:rPr>
          <w:id w:val="-1187601685"/>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Mar20 \l 1033 </w:instrText>
          </w:r>
          <w:r w:rsidRPr="001849F6">
            <w:rPr>
              <w:rFonts w:ascii="Arial" w:hAnsi="Arial" w:cs="Arial"/>
              <w:szCs w:val="24"/>
            </w:rPr>
            <w:fldChar w:fldCharType="separate"/>
          </w:r>
          <w:r w:rsidRPr="001849F6">
            <w:rPr>
              <w:rFonts w:ascii="Arial" w:hAnsi="Arial" w:cs="Arial"/>
              <w:noProof/>
              <w:szCs w:val="24"/>
              <w:lang w:val="en-US"/>
            </w:rPr>
            <w:t xml:space="preserve"> (Hensher, 2020)</w:t>
          </w:r>
          <w:r w:rsidRPr="001849F6">
            <w:rPr>
              <w:rFonts w:ascii="Arial" w:hAnsi="Arial" w:cs="Arial"/>
              <w:szCs w:val="24"/>
            </w:rPr>
            <w:fldChar w:fldCharType="end"/>
          </w:r>
        </w:sdtContent>
      </w:sdt>
      <w:r w:rsidRPr="001849F6">
        <w:rPr>
          <w:rFonts w:ascii="Arial" w:hAnsi="Arial" w:cs="Arial"/>
          <w:szCs w:val="24"/>
        </w:rPr>
        <w:t>.</w:t>
      </w:r>
    </w:p>
    <w:p w14:paraId="6748E7F6" w14:textId="118E87B4" w:rsidR="00067939" w:rsidRPr="001849F6" w:rsidRDefault="00067939" w:rsidP="00067939">
      <w:pPr>
        <w:pStyle w:val="ListParagraph"/>
        <w:numPr>
          <w:ilvl w:val="0"/>
          <w:numId w:val="1"/>
        </w:numPr>
        <w:rPr>
          <w:rFonts w:ascii="Arial" w:hAnsi="Arial" w:cs="Arial"/>
          <w:szCs w:val="24"/>
        </w:rPr>
      </w:pPr>
      <w:r w:rsidRPr="001849F6">
        <w:rPr>
          <w:rFonts w:ascii="Arial" w:hAnsi="Arial" w:cs="Arial"/>
          <w:szCs w:val="24"/>
        </w:rPr>
        <w:t>Effort spent on automotive purchases decreases: Automobile buyers now take little time to browse since they make decisions quickly. In comparison to 2017, purchasers spend an estimated forty-five days in the markets, a drop of 21 days. Indeed, the workload has been made manageable via the use of online tools and up-to-date knowledge</w:t>
      </w:r>
      <w:sdt>
        <w:sdtPr>
          <w:rPr>
            <w:rFonts w:ascii="Arial" w:hAnsi="Arial" w:cs="Arial"/>
            <w:szCs w:val="24"/>
          </w:rPr>
          <w:id w:val="712308789"/>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Mar20 \l 1033 </w:instrText>
          </w:r>
          <w:r w:rsidRPr="001849F6">
            <w:rPr>
              <w:rFonts w:ascii="Arial" w:hAnsi="Arial" w:cs="Arial"/>
              <w:szCs w:val="24"/>
            </w:rPr>
            <w:fldChar w:fldCharType="separate"/>
          </w:r>
          <w:r w:rsidRPr="001849F6">
            <w:rPr>
              <w:rFonts w:ascii="Arial" w:hAnsi="Arial" w:cs="Arial"/>
              <w:noProof/>
              <w:szCs w:val="24"/>
              <w:lang w:val="en-US"/>
            </w:rPr>
            <w:t xml:space="preserve"> (Hensher, 2020)</w:t>
          </w:r>
          <w:r w:rsidRPr="001849F6">
            <w:rPr>
              <w:rFonts w:ascii="Arial" w:hAnsi="Arial" w:cs="Arial"/>
              <w:szCs w:val="24"/>
            </w:rPr>
            <w:fldChar w:fldCharType="end"/>
          </w:r>
        </w:sdtContent>
      </w:sdt>
      <w:r w:rsidRPr="001849F6">
        <w:rPr>
          <w:rFonts w:ascii="Arial" w:hAnsi="Arial" w:cs="Arial"/>
          <w:szCs w:val="24"/>
        </w:rPr>
        <w:t>.</w:t>
      </w:r>
    </w:p>
    <w:p w14:paraId="72F7B7AC" w14:textId="77777777" w:rsidR="00067939" w:rsidRPr="001849F6" w:rsidRDefault="00067939" w:rsidP="00067939">
      <w:pPr>
        <w:pStyle w:val="ListParagraph"/>
        <w:numPr>
          <w:ilvl w:val="0"/>
          <w:numId w:val="1"/>
        </w:numPr>
        <w:rPr>
          <w:rFonts w:ascii="Arial" w:hAnsi="Arial" w:cs="Arial"/>
          <w:szCs w:val="24"/>
        </w:rPr>
      </w:pPr>
      <w:r w:rsidRPr="001849F6">
        <w:rPr>
          <w:rFonts w:ascii="Arial" w:hAnsi="Arial" w:cs="Arial"/>
          <w:szCs w:val="24"/>
        </w:rPr>
        <w:t>Why Consumers feel that owning a car is unreasonably expensive: Almost half of all buyers perceive procurement to be an expensive way of obtaining autos. This is because the percentage of autos costing more than $50,000 has climbed from 6% to 23% throughout 2012 and 2018. Additionally, the rise in prices was followed by an increase in interest rates</w:t>
      </w:r>
      <w:sdt>
        <w:sdtPr>
          <w:rPr>
            <w:rFonts w:ascii="Arial" w:hAnsi="Arial" w:cs="Arial"/>
            <w:szCs w:val="24"/>
          </w:rPr>
          <w:id w:val="-1532874160"/>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RHo85 \l 1033 </w:instrText>
          </w:r>
          <w:r w:rsidRPr="001849F6">
            <w:rPr>
              <w:rFonts w:ascii="Arial" w:hAnsi="Arial" w:cs="Arial"/>
              <w:szCs w:val="24"/>
            </w:rPr>
            <w:fldChar w:fldCharType="separate"/>
          </w:r>
          <w:r w:rsidRPr="001849F6">
            <w:rPr>
              <w:rFonts w:ascii="Arial" w:hAnsi="Arial" w:cs="Arial"/>
              <w:noProof/>
              <w:szCs w:val="24"/>
              <w:lang w:val="en-US"/>
            </w:rPr>
            <w:t xml:space="preserve"> (Hodges, 1985)</w:t>
          </w:r>
          <w:r w:rsidRPr="001849F6">
            <w:rPr>
              <w:rFonts w:ascii="Arial" w:hAnsi="Arial" w:cs="Arial"/>
              <w:szCs w:val="24"/>
            </w:rPr>
            <w:fldChar w:fldCharType="end"/>
          </w:r>
        </w:sdtContent>
      </w:sdt>
      <w:r w:rsidRPr="001849F6">
        <w:rPr>
          <w:rFonts w:ascii="Arial" w:hAnsi="Arial" w:cs="Arial"/>
          <w:szCs w:val="24"/>
        </w:rPr>
        <w:t>.</w:t>
      </w:r>
    </w:p>
    <w:p w14:paraId="244E27D7" w14:textId="77777777" w:rsidR="00067939" w:rsidRPr="001849F6" w:rsidRDefault="00067939" w:rsidP="00067939">
      <w:pPr>
        <w:pStyle w:val="ListParagraph"/>
        <w:numPr>
          <w:ilvl w:val="0"/>
          <w:numId w:val="1"/>
        </w:numPr>
        <w:rPr>
          <w:rFonts w:ascii="Arial" w:hAnsi="Arial" w:cs="Arial"/>
          <w:szCs w:val="24"/>
        </w:rPr>
      </w:pPr>
      <w:r w:rsidRPr="001849F6">
        <w:rPr>
          <w:rFonts w:ascii="Arial" w:hAnsi="Arial" w:cs="Arial"/>
          <w:szCs w:val="24"/>
        </w:rPr>
        <w:t xml:space="preserve">The majority of clients who contact us and are unable to get chosen models have the following options: When contacted, consumers do not offer merchants a choice, with around 80% expressing displeasure with the dealership. The most challenging aspect, however, is that around 72% of merchants do not solicit meetings, further complicating the problem. According to the </w:t>
      </w:r>
      <w:proofErr w:type="spellStart"/>
      <w:r w:rsidRPr="001849F6">
        <w:rPr>
          <w:rFonts w:ascii="Arial" w:hAnsi="Arial" w:cs="Arial"/>
          <w:szCs w:val="24"/>
        </w:rPr>
        <w:t>Dealix</w:t>
      </w:r>
      <w:proofErr w:type="spellEnd"/>
      <w:r w:rsidRPr="001849F6">
        <w:rPr>
          <w:rFonts w:ascii="Arial" w:hAnsi="Arial" w:cs="Arial"/>
          <w:szCs w:val="24"/>
        </w:rPr>
        <w:t xml:space="preserve"> research, 30% of sellers do not provide choices</w:t>
      </w:r>
      <w:sdt>
        <w:sdtPr>
          <w:rPr>
            <w:rFonts w:ascii="Arial" w:hAnsi="Arial" w:cs="Arial"/>
            <w:szCs w:val="24"/>
          </w:rPr>
          <w:id w:val="-1368370604"/>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MAR20 \l 1033 </w:instrText>
          </w:r>
          <w:r w:rsidRPr="001849F6">
            <w:rPr>
              <w:rFonts w:ascii="Arial" w:hAnsi="Arial" w:cs="Arial"/>
              <w:szCs w:val="24"/>
            </w:rPr>
            <w:fldChar w:fldCharType="separate"/>
          </w:r>
          <w:r w:rsidRPr="001849F6">
            <w:rPr>
              <w:rFonts w:ascii="Arial" w:hAnsi="Arial" w:cs="Arial"/>
              <w:noProof/>
              <w:szCs w:val="24"/>
              <w:lang w:val="en-US"/>
            </w:rPr>
            <w:t xml:space="preserve"> (JIMENEZ, 2020)</w:t>
          </w:r>
          <w:r w:rsidRPr="001849F6">
            <w:rPr>
              <w:rFonts w:ascii="Arial" w:hAnsi="Arial" w:cs="Arial"/>
              <w:szCs w:val="24"/>
            </w:rPr>
            <w:fldChar w:fldCharType="end"/>
          </w:r>
        </w:sdtContent>
      </w:sdt>
      <w:r w:rsidRPr="001849F6">
        <w:rPr>
          <w:rFonts w:ascii="Arial" w:hAnsi="Arial" w:cs="Arial"/>
          <w:szCs w:val="24"/>
        </w:rPr>
        <w:t>.</w:t>
      </w:r>
    </w:p>
    <w:p w14:paraId="655B1B60" w14:textId="690DA008" w:rsidR="00067939" w:rsidRPr="001849F6" w:rsidRDefault="00067939" w:rsidP="00067939">
      <w:pPr>
        <w:pStyle w:val="ListParagraph"/>
        <w:numPr>
          <w:ilvl w:val="0"/>
          <w:numId w:val="1"/>
        </w:numPr>
        <w:rPr>
          <w:rFonts w:ascii="Arial" w:hAnsi="Arial" w:cs="Arial"/>
          <w:szCs w:val="24"/>
        </w:rPr>
      </w:pPr>
      <w:r w:rsidRPr="001849F6">
        <w:rPr>
          <w:rFonts w:ascii="Arial" w:hAnsi="Arial" w:cs="Arial"/>
          <w:szCs w:val="24"/>
        </w:rPr>
        <w:t>Phone calls are important sources of information: Consumers who initiate international phone conversations convert 30% faster than those who do not. Marketing should conduct phone calls since they recognize that the most effective approach of converting leads is via phone calls</w:t>
      </w:r>
      <w:sdt>
        <w:sdtPr>
          <w:rPr>
            <w:rFonts w:ascii="Arial" w:hAnsi="Arial" w:cs="Arial"/>
            <w:szCs w:val="24"/>
          </w:rPr>
          <w:id w:val="-1330896192"/>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DUM09 \l 1033 </w:instrText>
          </w:r>
          <w:r w:rsidRPr="001849F6">
            <w:rPr>
              <w:rFonts w:ascii="Arial" w:hAnsi="Arial" w:cs="Arial"/>
              <w:szCs w:val="24"/>
            </w:rPr>
            <w:fldChar w:fldCharType="separate"/>
          </w:r>
          <w:r w:rsidRPr="001849F6">
            <w:rPr>
              <w:rFonts w:ascii="Arial" w:hAnsi="Arial" w:cs="Arial"/>
              <w:noProof/>
              <w:szCs w:val="24"/>
              <w:lang w:val="en-US"/>
            </w:rPr>
            <w:t xml:space="preserve"> (Luigi, 2009)</w:t>
          </w:r>
          <w:r w:rsidRPr="001849F6">
            <w:rPr>
              <w:rFonts w:ascii="Arial" w:hAnsi="Arial" w:cs="Arial"/>
              <w:szCs w:val="24"/>
            </w:rPr>
            <w:fldChar w:fldCharType="end"/>
          </w:r>
        </w:sdtContent>
      </w:sdt>
      <w:r w:rsidRPr="001849F6">
        <w:rPr>
          <w:rFonts w:ascii="Arial" w:hAnsi="Arial" w:cs="Arial"/>
          <w:szCs w:val="24"/>
        </w:rPr>
        <w:t xml:space="preserve">. </w:t>
      </w:r>
    </w:p>
    <w:p w14:paraId="4AC150A3" w14:textId="1F53B539" w:rsidR="00693F16" w:rsidRPr="001849F6" w:rsidRDefault="00693F16" w:rsidP="00693F16">
      <w:pPr>
        <w:pStyle w:val="ListParagraph"/>
        <w:rPr>
          <w:rFonts w:ascii="Arial" w:hAnsi="Arial" w:cs="Arial"/>
          <w:szCs w:val="24"/>
        </w:rPr>
      </w:pPr>
    </w:p>
    <w:p w14:paraId="695C1669" w14:textId="77777777" w:rsidR="00693F16" w:rsidRPr="001849F6" w:rsidRDefault="00693F16" w:rsidP="00693F16">
      <w:pPr>
        <w:pStyle w:val="ListParagraph"/>
        <w:rPr>
          <w:rFonts w:ascii="Arial" w:hAnsi="Arial" w:cs="Arial"/>
          <w:szCs w:val="24"/>
        </w:rPr>
      </w:pPr>
    </w:p>
    <w:p w14:paraId="73361B85" w14:textId="77777777" w:rsidR="00067939" w:rsidRPr="001849F6" w:rsidRDefault="00067939" w:rsidP="00067939">
      <w:pPr>
        <w:pStyle w:val="Heading1"/>
        <w:rPr>
          <w:rFonts w:ascii="Arial" w:hAnsi="Arial" w:cs="Arial"/>
          <w:sz w:val="24"/>
          <w:szCs w:val="24"/>
        </w:rPr>
      </w:pPr>
      <w:bookmarkStart w:id="6" w:name="_Toc102072780"/>
      <w:r w:rsidRPr="001849F6">
        <w:rPr>
          <w:rFonts w:ascii="Arial" w:hAnsi="Arial" w:cs="Arial"/>
          <w:sz w:val="24"/>
          <w:szCs w:val="24"/>
        </w:rPr>
        <w:lastRenderedPageBreak/>
        <w:t>Conclus</w:t>
      </w:r>
      <w:bookmarkEnd w:id="6"/>
      <w:r w:rsidRPr="001849F6">
        <w:rPr>
          <w:rFonts w:ascii="Arial" w:hAnsi="Arial" w:cs="Arial"/>
          <w:sz w:val="24"/>
          <w:szCs w:val="24"/>
        </w:rPr>
        <w:t xml:space="preserve">ion </w:t>
      </w:r>
    </w:p>
    <w:p w14:paraId="7DCAC1DC" w14:textId="516BFD7A" w:rsidR="00067939" w:rsidRPr="001849F6" w:rsidRDefault="00067939" w:rsidP="00067939">
      <w:pPr>
        <w:rPr>
          <w:rFonts w:ascii="Arial" w:hAnsi="Arial" w:cs="Arial"/>
          <w:szCs w:val="24"/>
        </w:rPr>
      </w:pPr>
      <w:r w:rsidRPr="001849F6">
        <w:rPr>
          <w:rFonts w:ascii="Arial" w:hAnsi="Arial" w:cs="Arial"/>
          <w:szCs w:val="24"/>
        </w:rPr>
        <w:t xml:space="preserve">There are numerous facets of life that are affected by globalization </w:t>
      </w:r>
      <w:sdt>
        <w:sdtPr>
          <w:rPr>
            <w:rFonts w:ascii="Arial" w:hAnsi="Arial" w:cs="Arial"/>
            <w:szCs w:val="24"/>
          </w:rPr>
          <w:id w:val="1606146522"/>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Ana21 \l 1033 </w:instrText>
          </w:r>
          <w:r w:rsidRPr="001849F6">
            <w:rPr>
              <w:rFonts w:ascii="Arial" w:hAnsi="Arial" w:cs="Arial"/>
              <w:szCs w:val="24"/>
            </w:rPr>
            <w:fldChar w:fldCharType="separate"/>
          </w:r>
          <w:r w:rsidRPr="001849F6">
            <w:rPr>
              <w:rFonts w:ascii="Arial" w:hAnsi="Arial" w:cs="Arial"/>
              <w:noProof/>
              <w:szCs w:val="24"/>
              <w:lang w:val="en-US"/>
            </w:rPr>
            <w:t>(Mandal, 2021)</w:t>
          </w:r>
          <w:r w:rsidRPr="001849F6">
            <w:rPr>
              <w:rFonts w:ascii="Arial" w:hAnsi="Arial" w:cs="Arial"/>
              <w:szCs w:val="24"/>
            </w:rPr>
            <w:fldChar w:fldCharType="end"/>
          </w:r>
        </w:sdtContent>
      </w:sdt>
      <w:r w:rsidRPr="001849F6">
        <w:rPr>
          <w:rFonts w:ascii="Arial" w:hAnsi="Arial" w:cs="Arial"/>
          <w:szCs w:val="24"/>
        </w:rPr>
        <w:t>.  Covid-19 has affected the automobile industry badly. Considering the Lotus car company, it has also been affected by the unprecedented circumstance of COVID-19 besides the megatrends in the automobile industry has created some challenges for the company. This report has highlighted survival chances of THE LOTUS CAR COMPANY LTD after Covid 19 economic downfall. This report has also outlined some factors to consider to make the company successful again. Finally, it is recommended that Lotus must consider the megatrends of its sector and according to that it must take initiative</w:t>
      </w:r>
      <w:sdt>
        <w:sdtPr>
          <w:rPr>
            <w:rFonts w:ascii="Arial" w:hAnsi="Arial" w:cs="Arial"/>
            <w:szCs w:val="24"/>
          </w:rPr>
          <w:id w:val="-811486005"/>
          <w:citation/>
        </w:sdtPr>
        <w:sdtEndPr/>
        <w:sdtContent>
          <w:r w:rsidRPr="001849F6">
            <w:rPr>
              <w:rFonts w:ascii="Arial" w:hAnsi="Arial" w:cs="Arial"/>
              <w:szCs w:val="24"/>
            </w:rPr>
            <w:fldChar w:fldCharType="begin"/>
          </w:r>
          <w:r w:rsidRPr="001849F6">
            <w:rPr>
              <w:rFonts w:ascii="Arial" w:hAnsi="Arial" w:cs="Arial"/>
              <w:szCs w:val="24"/>
              <w:lang w:val="en-US"/>
            </w:rPr>
            <w:instrText xml:space="preserve"> CITATION Ana21 \l 1033 </w:instrText>
          </w:r>
          <w:r w:rsidRPr="001849F6">
            <w:rPr>
              <w:rFonts w:ascii="Arial" w:hAnsi="Arial" w:cs="Arial"/>
              <w:szCs w:val="24"/>
            </w:rPr>
            <w:fldChar w:fldCharType="separate"/>
          </w:r>
          <w:r w:rsidRPr="001849F6">
            <w:rPr>
              <w:rFonts w:ascii="Arial" w:hAnsi="Arial" w:cs="Arial"/>
              <w:noProof/>
              <w:szCs w:val="24"/>
              <w:lang w:val="en-US"/>
            </w:rPr>
            <w:t xml:space="preserve"> (Mandal, 2021)</w:t>
          </w:r>
          <w:r w:rsidRPr="001849F6">
            <w:rPr>
              <w:rFonts w:ascii="Arial" w:hAnsi="Arial" w:cs="Arial"/>
              <w:szCs w:val="24"/>
            </w:rPr>
            <w:fldChar w:fldCharType="end"/>
          </w:r>
        </w:sdtContent>
      </w:sdt>
      <w:r w:rsidRPr="001849F6">
        <w:rPr>
          <w:rFonts w:ascii="Arial" w:hAnsi="Arial" w:cs="Arial"/>
          <w:szCs w:val="24"/>
        </w:rPr>
        <w:t xml:space="preserve">.   </w:t>
      </w:r>
    </w:p>
    <w:p w14:paraId="667C218F" w14:textId="77777777" w:rsidR="00067939" w:rsidRPr="001849F6" w:rsidRDefault="00067939" w:rsidP="00067939">
      <w:pPr>
        <w:rPr>
          <w:rFonts w:ascii="Arial" w:hAnsi="Arial" w:cs="Arial"/>
          <w:szCs w:val="24"/>
        </w:rPr>
      </w:pPr>
    </w:p>
    <w:sdt>
      <w:sdtPr>
        <w:rPr>
          <w:rFonts w:ascii="Arial" w:eastAsiaTheme="minorHAnsi" w:hAnsi="Arial" w:cs="Arial"/>
          <w:b w:val="0"/>
          <w:caps w:val="0"/>
          <w:sz w:val="24"/>
          <w:szCs w:val="24"/>
        </w:rPr>
        <w:id w:val="1825083516"/>
        <w:docPartObj>
          <w:docPartGallery w:val="Bibliographies"/>
          <w:docPartUnique/>
        </w:docPartObj>
      </w:sdtPr>
      <w:sdtEndPr/>
      <w:sdtContent>
        <w:p w14:paraId="432068E7" w14:textId="6F548D7A" w:rsidR="00067939" w:rsidRPr="001849F6" w:rsidRDefault="00067939" w:rsidP="00067939">
          <w:pPr>
            <w:pStyle w:val="Heading1"/>
            <w:rPr>
              <w:rFonts w:ascii="Arial" w:eastAsiaTheme="minorHAnsi" w:hAnsi="Arial" w:cs="Arial"/>
              <w:b w:val="0"/>
              <w:caps w:val="0"/>
              <w:sz w:val="24"/>
              <w:szCs w:val="24"/>
            </w:rPr>
          </w:pPr>
        </w:p>
        <w:p w14:paraId="19C475D6" w14:textId="77777777" w:rsidR="00067939" w:rsidRPr="001849F6" w:rsidRDefault="00067939" w:rsidP="00067939">
          <w:pPr>
            <w:rPr>
              <w:rFonts w:ascii="Arial" w:hAnsi="Arial" w:cs="Arial"/>
              <w:szCs w:val="24"/>
            </w:rPr>
          </w:pPr>
        </w:p>
        <w:p w14:paraId="4D654CB8" w14:textId="77777777" w:rsidR="00067939" w:rsidRPr="001849F6" w:rsidRDefault="00067939" w:rsidP="00067939">
          <w:pPr>
            <w:pStyle w:val="Heading1"/>
            <w:rPr>
              <w:rFonts w:ascii="Arial" w:hAnsi="Arial" w:cs="Arial"/>
              <w:sz w:val="24"/>
              <w:szCs w:val="24"/>
            </w:rPr>
          </w:pPr>
          <w:bookmarkStart w:id="7" w:name="_Toc102072781"/>
          <w:r w:rsidRPr="001849F6">
            <w:rPr>
              <w:rFonts w:ascii="Arial" w:hAnsi="Arial" w:cs="Arial"/>
              <w:sz w:val="24"/>
              <w:szCs w:val="24"/>
            </w:rPr>
            <w:t>References</w:t>
          </w:r>
          <w:bookmarkEnd w:id="7"/>
        </w:p>
        <w:sdt>
          <w:sdtPr>
            <w:rPr>
              <w:rFonts w:ascii="Arial" w:hAnsi="Arial" w:cs="Arial"/>
              <w:szCs w:val="24"/>
            </w:rPr>
            <w:id w:val="-573587230"/>
            <w:bibliography/>
          </w:sdtPr>
          <w:sdtEndPr/>
          <w:sdtContent>
            <w:p w14:paraId="423D10C6" w14:textId="77777777" w:rsidR="00067939" w:rsidRPr="001849F6" w:rsidRDefault="00067939" w:rsidP="00067939">
              <w:pPr>
                <w:pStyle w:val="Bibliography"/>
                <w:rPr>
                  <w:rFonts w:ascii="Arial" w:hAnsi="Arial" w:cs="Arial"/>
                  <w:noProof/>
                  <w:szCs w:val="24"/>
                </w:rPr>
              </w:pPr>
              <w:r w:rsidRPr="001849F6">
                <w:rPr>
                  <w:rFonts w:ascii="Arial" w:hAnsi="Arial" w:cs="Arial"/>
                  <w:szCs w:val="24"/>
                </w:rPr>
                <w:fldChar w:fldCharType="begin"/>
              </w:r>
              <w:r w:rsidRPr="001849F6">
                <w:rPr>
                  <w:rFonts w:ascii="Arial" w:hAnsi="Arial" w:cs="Arial"/>
                  <w:szCs w:val="24"/>
                </w:rPr>
                <w:instrText xml:space="preserve"> BIBLIOGRAPHY </w:instrText>
              </w:r>
              <w:r w:rsidRPr="001849F6">
                <w:rPr>
                  <w:rFonts w:ascii="Arial" w:hAnsi="Arial" w:cs="Arial"/>
                  <w:szCs w:val="24"/>
                </w:rPr>
                <w:fldChar w:fldCharType="separate"/>
              </w:r>
              <w:r w:rsidRPr="001849F6">
                <w:rPr>
                  <w:rFonts w:ascii="Arial" w:hAnsi="Arial" w:cs="Arial"/>
                  <w:noProof/>
                  <w:szCs w:val="24"/>
                </w:rPr>
                <w:t xml:space="preserve">Adler, F. M., 2017. </w:t>
              </w:r>
              <w:r w:rsidRPr="001849F6">
                <w:rPr>
                  <w:rFonts w:ascii="Arial" w:hAnsi="Arial" w:cs="Arial"/>
                  <w:i/>
                  <w:iCs/>
                  <w:noProof/>
                  <w:szCs w:val="24"/>
                </w:rPr>
                <w:t xml:space="preserve">The product life cycle and international trade. </w:t>
              </w:r>
              <w:r w:rsidRPr="001849F6">
                <w:rPr>
                  <w:rFonts w:ascii="Arial" w:hAnsi="Arial" w:cs="Arial"/>
                  <w:noProof/>
                  <w:szCs w:val="24"/>
                </w:rPr>
                <w:t>7 ed. Boston: s.n.</w:t>
              </w:r>
            </w:p>
            <w:p w14:paraId="3BB96548"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Alexander, K., 2004. </w:t>
              </w:r>
              <w:r w:rsidRPr="001849F6">
                <w:rPr>
                  <w:rFonts w:ascii="Arial" w:hAnsi="Arial" w:cs="Arial"/>
                  <w:i/>
                  <w:iCs/>
                  <w:noProof/>
                  <w:szCs w:val="24"/>
                </w:rPr>
                <w:t xml:space="preserve">Facilities management. </w:t>
              </w:r>
              <w:r w:rsidRPr="001849F6">
                <w:rPr>
                  <w:rFonts w:ascii="Arial" w:hAnsi="Arial" w:cs="Arial"/>
                  <w:noProof/>
                  <w:szCs w:val="24"/>
                </w:rPr>
                <w:t>1 ed. New York: Spon Press.</w:t>
              </w:r>
            </w:p>
            <w:p w14:paraId="526F3D78"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Anderson, K., 2017. </w:t>
              </w:r>
              <w:r w:rsidRPr="001849F6">
                <w:rPr>
                  <w:rFonts w:ascii="Arial" w:hAnsi="Arial" w:cs="Arial"/>
                  <w:i/>
                  <w:iCs/>
                  <w:noProof/>
                  <w:szCs w:val="24"/>
                </w:rPr>
                <w:t xml:space="preserve">The Global trading system. </w:t>
              </w:r>
              <w:r w:rsidRPr="001849F6">
                <w:rPr>
                  <w:rFonts w:ascii="Arial" w:hAnsi="Arial" w:cs="Arial"/>
                  <w:noProof/>
                  <w:szCs w:val="24"/>
                </w:rPr>
                <w:t>3 ed. London: I.B. Tauris.</w:t>
              </w:r>
            </w:p>
            <w:p w14:paraId="1095F4EC"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Bakas, A., 2020. </w:t>
              </w:r>
              <w:r w:rsidRPr="001849F6">
                <w:rPr>
                  <w:rFonts w:ascii="Arial" w:hAnsi="Arial" w:cs="Arial"/>
                  <w:i/>
                  <w:iCs/>
                  <w:noProof/>
                  <w:szCs w:val="24"/>
                </w:rPr>
                <w:t xml:space="preserve">Megatrends Europe. </w:t>
              </w:r>
              <w:r w:rsidRPr="001849F6">
                <w:rPr>
                  <w:rFonts w:ascii="Arial" w:hAnsi="Arial" w:cs="Arial"/>
                  <w:noProof/>
                  <w:szCs w:val="24"/>
                </w:rPr>
                <w:t>6 ed. Singapore: Marshall Cavendish Business.</w:t>
              </w:r>
            </w:p>
            <w:p w14:paraId="63E1AA6B"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Baourakis, G., 2009. Marketing Trends within the Global Trading System. </w:t>
              </w:r>
              <w:r w:rsidRPr="001849F6">
                <w:rPr>
                  <w:rFonts w:ascii="Arial" w:hAnsi="Arial" w:cs="Arial"/>
                  <w:i/>
                  <w:iCs/>
                  <w:noProof/>
                  <w:szCs w:val="24"/>
                </w:rPr>
                <w:t xml:space="preserve">Journal of Food Products Marketing, </w:t>
              </w:r>
              <w:r w:rsidRPr="001849F6">
                <w:rPr>
                  <w:rFonts w:ascii="Arial" w:hAnsi="Arial" w:cs="Arial"/>
                  <w:noProof/>
                  <w:szCs w:val="24"/>
                </w:rPr>
                <w:t>15(3), pp. 199-199.</w:t>
              </w:r>
            </w:p>
            <w:p w14:paraId="6353BCE9"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Hamilton, K. L., 1999. </w:t>
              </w:r>
              <w:r w:rsidRPr="001849F6">
                <w:rPr>
                  <w:rFonts w:ascii="Arial" w:hAnsi="Arial" w:cs="Arial"/>
                  <w:i/>
                  <w:iCs/>
                  <w:noProof/>
                  <w:szCs w:val="24"/>
                </w:rPr>
                <w:t xml:space="preserve">Personal insurance. </w:t>
              </w:r>
              <w:r w:rsidRPr="001849F6">
                <w:rPr>
                  <w:rFonts w:ascii="Arial" w:hAnsi="Arial" w:cs="Arial"/>
                  <w:noProof/>
                  <w:szCs w:val="24"/>
                </w:rPr>
                <w:t>1 ed. Malvern, Pa.: American Institute for CPCU.</w:t>
              </w:r>
            </w:p>
            <w:p w14:paraId="1E832205"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Hensher, M., 2020. Covid-19, unemployment, and health: time for deeper solutions?. </w:t>
              </w:r>
              <w:r w:rsidRPr="001849F6">
                <w:rPr>
                  <w:rFonts w:ascii="Arial" w:hAnsi="Arial" w:cs="Arial"/>
                  <w:i/>
                  <w:iCs/>
                  <w:noProof/>
                  <w:szCs w:val="24"/>
                </w:rPr>
                <w:t xml:space="preserve">BMJ, </w:t>
              </w:r>
              <w:r w:rsidRPr="001849F6">
                <w:rPr>
                  <w:rFonts w:ascii="Arial" w:hAnsi="Arial" w:cs="Arial"/>
                  <w:noProof/>
                  <w:szCs w:val="24"/>
                </w:rPr>
                <w:t>10(3), p. m3687.</w:t>
              </w:r>
            </w:p>
            <w:p w14:paraId="27BCD875"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Hodges, R., 1985. People, communication and organisation. </w:t>
              </w:r>
              <w:r w:rsidRPr="001849F6">
                <w:rPr>
                  <w:rFonts w:ascii="Arial" w:hAnsi="Arial" w:cs="Arial"/>
                  <w:i/>
                  <w:iCs/>
                  <w:noProof/>
                  <w:szCs w:val="24"/>
                </w:rPr>
                <w:t xml:space="preserve">International Journal of Hospitality Management, </w:t>
              </w:r>
              <w:r w:rsidRPr="001849F6">
                <w:rPr>
                  <w:rFonts w:ascii="Arial" w:hAnsi="Arial" w:cs="Arial"/>
                  <w:noProof/>
                  <w:szCs w:val="24"/>
                </w:rPr>
                <w:t>4(1), pp. 46-47.</w:t>
              </w:r>
            </w:p>
            <w:p w14:paraId="12C8D4A7" w14:textId="77777777" w:rsidR="00067939" w:rsidRPr="001849F6" w:rsidRDefault="00067939" w:rsidP="00067939">
              <w:pPr>
                <w:pStyle w:val="Bibliography"/>
                <w:rPr>
                  <w:rFonts w:ascii="Arial" w:hAnsi="Arial" w:cs="Arial"/>
                  <w:noProof/>
                  <w:szCs w:val="24"/>
                  <w:lang w:val="de-DE"/>
                </w:rPr>
              </w:pPr>
              <w:r w:rsidRPr="001849F6">
                <w:rPr>
                  <w:rFonts w:ascii="Arial" w:hAnsi="Arial" w:cs="Arial"/>
                  <w:noProof/>
                  <w:szCs w:val="24"/>
                  <w:lang w:val="de-DE"/>
                </w:rPr>
                <w:lastRenderedPageBreak/>
                <w:t xml:space="preserve">Ilmberger, F., 2018. </w:t>
              </w:r>
              <w:r w:rsidRPr="001849F6">
                <w:rPr>
                  <w:rFonts w:ascii="Arial" w:hAnsi="Arial" w:cs="Arial"/>
                  <w:i/>
                  <w:iCs/>
                  <w:noProof/>
                  <w:szCs w:val="24"/>
                  <w:lang w:val="de-DE"/>
                </w:rPr>
                <w:t xml:space="preserve">Globalisation. </w:t>
              </w:r>
              <w:r w:rsidRPr="001849F6">
                <w:rPr>
                  <w:rFonts w:ascii="Arial" w:hAnsi="Arial" w:cs="Arial"/>
                  <w:noProof/>
                  <w:szCs w:val="24"/>
                  <w:lang w:val="de-DE"/>
                </w:rPr>
                <w:t>6 ed. Tübingen: Narr.</w:t>
              </w:r>
            </w:p>
            <w:p w14:paraId="3D92BD78"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JIMENEZ, M. M., 2020. </w:t>
              </w:r>
              <w:r w:rsidRPr="001849F6">
                <w:rPr>
                  <w:rFonts w:ascii="Arial" w:hAnsi="Arial" w:cs="Arial"/>
                  <w:i/>
                  <w:iCs/>
                  <w:noProof/>
                  <w:szCs w:val="24"/>
                </w:rPr>
                <w:t xml:space="preserve">MARKETING DIGITAL. </w:t>
              </w:r>
              <w:r w:rsidRPr="001849F6">
                <w:rPr>
                  <w:rFonts w:ascii="Arial" w:hAnsi="Arial" w:cs="Arial"/>
                  <w:noProof/>
                  <w:szCs w:val="24"/>
                </w:rPr>
                <w:t>2 ed. [S.l.]: MARCOMBO.</w:t>
              </w:r>
            </w:p>
            <w:p w14:paraId="417B8447"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Luigi, D., 2009. Value Chain and Customer Relationship Cycle:Two Concepts of Relationship Marketing. </w:t>
              </w:r>
              <w:r w:rsidRPr="001849F6">
                <w:rPr>
                  <w:rFonts w:ascii="Arial" w:hAnsi="Arial" w:cs="Arial"/>
                  <w:i/>
                  <w:iCs/>
                  <w:noProof/>
                  <w:szCs w:val="24"/>
                </w:rPr>
                <w:t xml:space="preserve">International Journal of Trade, Economics and Finance, </w:t>
              </w:r>
              <w:r w:rsidRPr="001849F6">
                <w:rPr>
                  <w:rFonts w:ascii="Arial" w:hAnsi="Arial" w:cs="Arial"/>
                  <w:noProof/>
                  <w:szCs w:val="24"/>
                </w:rPr>
                <w:t>pp. 103-108.</w:t>
              </w:r>
            </w:p>
            <w:p w14:paraId="3A8E6FE9"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Maiti, D., 2020. </w:t>
              </w:r>
              <w:r w:rsidRPr="001849F6">
                <w:rPr>
                  <w:rFonts w:ascii="Arial" w:hAnsi="Arial" w:cs="Arial"/>
                  <w:i/>
                  <w:iCs/>
                  <w:noProof/>
                  <w:szCs w:val="24"/>
                </w:rPr>
                <w:t xml:space="preserve">Digitalisation and development. </w:t>
              </w:r>
              <w:r w:rsidRPr="001849F6">
                <w:rPr>
                  <w:rFonts w:ascii="Arial" w:hAnsi="Arial" w:cs="Arial"/>
                  <w:noProof/>
                  <w:szCs w:val="24"/>
                </w:rPr>
                <w:t>1 ed. Singapore: Springer.</w:t>
              </w:r>
            </w:p>
            <w:p w14:paraId="05680880"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Mandal, A., 2021. The covid-19 - impacts on the economy and the automobile sector. </w:t>
              </w:r>
              <w:r w:rsidRPr="001849F6">
                <w:rPr>
                  <w:rFonts w:ascii="Arial" w:hAnsi="Arial" w:cs="Arial"/>
                  <w:i/>
                  <w:iCs/>
                  <w:noProof/>
                  <w:szCs w:val="24"/>
                </w:rPr>
                <w:t xml:space="preserve">Journal of Contemporary Issues in Business and Government, </w:t>
              </w:r>
              <w:r w:rsidRPr="001849F6">
                <w:rPr>
                  <w:rFonts w:ascii="Arial" w:hAnsi="Arial" w:cs="Arial"/>
                  <w:noProof/>
                  <w:szCs w:val="24"/>
                </w:rPr>
                <w:t>27(3), pp. 32-40.</w:t>
              </w:r>
            </w:p>
            <w:p w14:paraId="031ADB97"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Münchow, S. v., 2020. The Security Impacts of the COVID-19 Pandemic. </w:t>
              </w:r>
              <w:r w:rsidRPr="001849F6">
                <w:rPr>
                  <w:rFonts w:ascii="Arial" w:hAnsi="Arial" w:cs="Arial"/>
                  <w:i/>
                  <w:iCs/>
                  <w:noProof/>
                  <w:szCs w:val="24"/>
                </w:rPr>
                <w:t xml:space="preserve">Connections: The Quarterly Journal, </w:t>
              </w:r>
              <w:r w:rsidRPr="001849F6">
                <w:rPr>
                  <w:rFonts w:ascii="Arial" w:hAnsi="Arial" w:cs="Arial"/>
                  <w:noProof/>
                  <w:szCs w:val="24"/>
                </w:rPr>
                <w:t>19(2), pp. 5-9.</w:t>
              </w:r>
            </w:p>
            <w:p w14:paraId="3866CF1A" w14:textId="77777777" w:rsidR="00067939" w:rsidRPr="001849F6" w:rsidRDefault="00067939" w:rsidP="00067939">
              <w:pPr>
                <w:pStyle w:val="Bibliography"/>
                <w:rPr>
                  <w:rFonts w:ascii="Arial" w:hAnsi="Arial" w:cs="Arial"/>
                  <w:noProof/>
                  <w:szCs w:val="24"/>
                </w:rPr>
              </w:pPr>
              <w:r w:rsidRPr="001849F6">
                <w:rPr>
                  <w:rFonts w:ascii="Arial" w:hAnsi="Arial" w:cs="Arial"/>
                  <w:noProof/>
                  <w:szCs w:val="24"/>
                </w:rPr>
                <w:t xml:space="preserve">Szabo, P. W., 2019. </w:t>
              </w:r>
              <w:r w:rsidRPr="001849F6">
                <w:rPr>
                  <w:rFonts w:ascii="Arial" w:hAnsi="Arial" w:cs="Arial"/>
                  <w:i/>
                  <w:iCs/>
                  <w:noProof/>
                  <w:szCs w:val="24"/>
                </w:rPr>
                <w:t xml:space="preserve">User experience mapping. </w:t>
              </w:r>
              <w:r w:rsidRPr="001849F6">
                <w:rPr>
                  <w:rFonts w:ascii="Arial" w:hAnsi="Arial" w:cs="Arial"/>
                  <w:noProof/>
                  <w:szCs w:val="24"/>
                </w:rPr>
                <w:t>5 ed. Oxford: Oxford University Press.</w:t>
              </w:r>
            </w:p>
            <w:p w14:paraId="5B23E878" w14:textId="77777777" w:rsidR="00067939" w:rsidRPr="001849F6" w:rsidRDefault="00067939" w:rsidP="00067939">
              <w:pPr>
                <w:rPr>
                  <w:rFonts w:ascii="Arial" w:hAnsi="Arial" w:cs="Arial"/>
                  <w:szCs w:val="24"/>
                </w:rPr>
              </w:pPr>
              <w:r w:rsidRPr="001849F6">
                <w:rPr>
                  <w:rFonts w:ascii="Arial" w:hAnsi="Arial" w:cs="Arial"/>
                  <w:b/>
                  <w:bCs/>
                  <w:noProof/>
                  <w:szCs w:val="24"/>
                </w:rPr>
                <w:fldChar w:fldCharType="end"/>
              </w:r>
            </w:p>
          </w:sdtContent>
        </w:sdt>
      </w:sdtContent>
    </w:sdt>
    <w:p w14:paraId="0B9A3424" w14:textId="77777777" w:rsidR="00067939" w:rsidRPr="001849F6" w:rsidRDefault="00067939" w:rsidP="00067939">
      <w:pPr>
        <w:rPr>
          <w:rFonts w:ascii="Arial" w:hAnsi="Arial" w:cs="Arial"/>
          <w:szCs w:val="24"/>
        </w:rPr>
      </w:pPr>
    </w:p>
    <w:p w14:paraId="35CEF5D0" w14:textId="77777777" w:rsidR="00067939" w:rsidRPr="001849F6" w:rsidRDefault="00067939" w:rsidP="00067939">
      <w:pPr>
        <w:rPr>
          <w:rFonts w:ascii="Arial" w:hAnsi="Arial" w:cs="Arial"/>
          <w:szCs w:val="24"/>
        </w:rPr>
      </w:pPr>
    </w:p>
    <w:p w14:paraId="5FB8F0E5" w14:textId="77777777" w:rsidR="00067939" w:rsidRPr="001849F6" w:rsidRDefault="00067939" w:rsidP="00067939">
      <w:pPr>
        <w:rPr>
          <w:rFonts w:ascii="Arial" w:hAnsi="Arial" w:cs="Arial"/>
          <w:szCs w:val="24"/>
        </w:rPr>
      </w:pPr>
    </w:p>
    <w:p w14:paraId="54FE7435" w14:textId="77777777" w:rsidR="00067939" w:rsidRPr="001849F6" w:rsidRDefault="00067939" w:rsidP="00067939">
      <w:pPr>
        <w:rPr>
          <w:rFonts w:ascii="Arial" w:hAnsi="Arial" w:cs="Arial"/>
          <w:szCs w:val="24"/>
        </w:rPr>
      </w:pPr>
    </w:p>
    <w:p w14:paraId="40BCE820" w14:textId="77777777" w:rsidR="00067939" w:rsidRPr="001849F6" w:rsidRDefault="00067939" w:rsidP="00067939">
      <w:pPr>
        <w:rPr>
          <w:rFonts w:ascii="Arial" w:hAnsi="Arial" w:cs="Arial"/>
          <w:szCs w:val="24"/>
        </w:rPr>
      </w:pPr>
    </w:p>
    <w:p w14:paraId="3FCA5AC5" w14:textId="77777777" w:rsidR="001D04FD" w:rsidRPr="001849F6" w:rsidRDefault="001D04FD">
      <w:pPr>
        <w:rPr>
          <w:rFonts w:ascii="Arial" w:hAnsi="Arial" w:cs="Arial"/>
          <w:szCs w:val="24"/>
        </w:rPr>
      </w:pPr>
    </w:p>
    <w:sectPr w:rsidR="001D04FD" w:rsidRPr="001849F6">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98E01" w14:textId="77777777" w:rsidR="00307F81" w:rsidRDefault="00307F81">
      <w:pPr>
        <w:spacing w:after="0" w:line="240" w:lineRule="auto"/>
      </w:pPr>
      <w:r>
        <w:separator/>
      </w:r>
    </w:p>
  </w:endnote>
  <w:endnote w:type="continuationSeparator" w:id="0">
    <w:p w14:paraId="520B6452" w14:textId="77777777" w:rsidR="00307F81" w:rsidRDefault="00307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1E96B" w14:textId="77777777" w:rsidR="00574664" w:rsidRDefault="00067939" w:rsidP="00551F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20486E2" w14:textId="77777777" w:rsidR="00574664" w:rsidRDefault="00307F81" w:rsidP="005746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103833"/>
      <w:docPartObj>
        <w:docPartGallery w:val="Page Numbers (Bottom of Page)"/>
        <w:docPartUnique/>
      </w:docPartObj>
    </w:sdtPr>
    <w:sdtEndPr>
      <w:rPr>
        <w:rStyle w:val="PageNumber"/>
      </w:rPr>
    </w:sdtEndPr>
    <w:sdtContent>
      <w:p w14:paraId="4557EC0D" w14:textId="77777777" w:rsidR="00574664" w:rsidRDefault="00067939" w:rsidP="00551F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077FCB" w14:textId="77777777" w:rsidR="00574664" w:rsidRDefault="00307F81" w:rsidP="005746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5375E" w14:textId="77777777" w:rsidR="00307F81" w:rsidRDefault="00307F81">
      <w:pPr>
        <w:spacing w:after="0" w:line="240" w:lineRule="auto"/>
      </w:pPr>
      <w:r>
        <w:separator/>
      </w:r>
    </w:p>
  </w:footnote>
  <w:footnote w:type="continuationSeparator" w:id="0">
    <w:p w14:paraId="2E3CB12B" w14:textId="77777777" w:rsidR="00307F81" w:rsidRDefault="00307F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20216"/>
    <w:multiLevelType w:val="hybridMultilevel"/>
    <w:tmpl w:val="5C464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3210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939"/>
    <w:rsid w:val="00067939"/>
    <w:rsid w:val="001849F6"/>
    <w:rsid w:val="001D04FD"/>
    <w:rsid w:val="00307F81"/>
    <w:rsid w:val="003D3F63"/>
    <w:rsid w:val="00693F16"/>
    <w:rsid w:val="006D4476"/>
    <w:rsid w:val="00E50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D6957C"/>
  <w15:chartTrackingRefBased/>
  <w15:docId w15:val="{B612CC50-FCB7-864A-BD45-8C9139EF0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939"/>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067939"/>
    <w:pPr>
      <w:keepNext/>
      <w:keepLines/>
      <w:spacing w:before="400" w:after="40"/>
      <w:outlineLvl w:val="0"/>
    </w:pPr>
    <w:rPr>
      <w:rFonts w:eastAsiaTheme="majorEastAsia" w:cstheme="majorBidi"/>
      <w:b/>
      <w:cap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939"/>
    <w:rPr>
      <w:rFonts w:ascii="Times New Roman" w:eastAsiaTheme="majorEastAsia" w:hAnsi="Times New Roman" w:cstheme="majorBidi"/>
      <w:b/>
      <w:caps/>
      <w:sz w:val="28"/>
      <w:szCs w:val="36"/>
    </w:rPr>
  </w:style>
  <w:style w:type="paragraph" w:styleId="ListParagraph">
    <w:name w:val="List Paragraph"/>
    <w:basedOn w:val="Normal"/>
    <w:uiPriority w:val="34"/>
    <w:qFormat/>
    <w:rsid w:val="00067939"/>
    <w:pPr>
      <w:ind w:left="720"/>
      <w:contextualSpacing/>
    </w:pPr>
  </w:style>
  <w:style w:type="paragraph" w:styleId="Bibliography">
    <w:name w:val="Bibliography"/>
    <w:basedOn w:val="Normal"/>
    <w:next w:val="Normal"/>
    <w:uiPriority w:val="37"/>
    <w:unhideWhenUsed/>
    <w:rsid w:val="00067939"/>
  </w:style>
  <w:style w:type="paragraph" w:styleId="TOCHeading">
    <w:name w:val="TOC Heading"/>
    <w:basedOn w:val="Heading1"/>
    <w:next w:val="Normal"/>
    <w:uiPriority w:val="39"/>
    <w:unhideWhenUsed/>
    <w:qFormat/>
    <w:rsid w:val="00067939"/>
    <w:pPr>
      <w:spacing w:before="240" w:after="0" w:line="259" w:lineRule="auto"/>
      <w:jc w:val="left"/>
      <w:outlineLvl w:val="9"/>
    </w:pPr>
    <w:rPr>
      <w:rFonts w:asciiTheme="majorHAnsi" w:hAnsiTheme="majorHAnsi"/>
      <w:b w:val="0"/>
      <w:caps w:val="0"/>
      <w:color w:val="2F5496" w:themeColor="accent1" w:themeShade="BF"/>
      <w:sz w:val="32"/>
      <w:szCs w:val="32"/>
      <w:lang w:val="en-US"/>
    </w:rPr>
  </w:style>
  <w:style w:type="paragraph" w:styleId="TOC1">
    <w:name w:val="toc 1"/>
    <w:basedOn w:val="Normal"/>
    <w:next w:val="Normal"/>
    <w:autoRedefine/>
    <w:uiPriority w:val="39"/>
    <w:unhideWhenUsed/>
    <w:rsid w:val="00067939"/>
    <w:pPr>
      <w:spacing w:after="100"/>
    </w:pPr>
  </w:style>
  <w:style w:type="character" w:styleId="Hyperlink">
    <w:name w:val="Hyperlink"/>
    <w:basedOn w:val="DefaultParagraphFont"/>
    <w:uiPriority w:val="99"/>
    <w:unhideWhenUsed/>
    <w:rsid w:val="00067939"/>
    <w:rPr>
      <w:color w:val="0563C1" w:themeColor="hyperlink"/>
      <w:u w:val="single"/>
    </w:rPr>
  </w:style>
  <w:style w:type="paragraph" w:styleId="Footer">
    <w:name w:val="footer"/>
    <w:basedOn w:val="Normal"/>
    <w:link w:val="FooterChar"/>
    <w:uiPriority w:val="99"/>
    <w:unhideWhenUsed/>
    <w:rsid w:val="00067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939"/>
    <w:rPr>
      <w:rFonts w:ascii="Times New Roman" w:hAnsi="Times New Roman"/>
      <w:szCs w:val="22"/>
    </w:rPr>
  </w:style>
  <w:style w:type="character" w:styleId="PageNumber">
    <w:name w:val="page number"/>
    <w:basedOn w:val="DefaultParagraphFont"/>
    <w:uiPriority w:val="99"/>
    <w:semiHidden/>
    <w:unhideWhenUsed/>
    <w:rsid w:val="00067939"/>
  </w:style>
  <w:style w:type="table" w:styleId="TableGrid">
    <w:name w:val="Table Grid"/>
    <w:basedOn w:val="TableNormal"/>
    <w:uiPriority w:val="59"/>
    <w:rsid w:val="00067939"/>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679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Adl17</b:Tag>
    <b:SourceType>Book</b:SourceType>
    <b:Guid>{898EF0BE-E972-4C91-A4E4-297111888AA3}</b:Guid>
    <b:Author>
      <b:Author>
        <b:NameList>
          <b:Person>
            <b:Last>Adler</b:Last>
            <b:First>F.</b:First>
            <b:Middle>Michael</b:Middle>
          </b:Person>
        </b:NameList>
      </b:Author>
    </b:Author>
    <b:Title>The product life cycle and international trade</b:Title>
    <b:Year>2017</b:Year>
    <b:City>Boston</b:City>
    <b:Edition>7</b:Edition>
    <b:RefOrder>1</b:RefOrder>
  </b:Source>
  <b:Source>
    <b:Tag>Mar20</b:Tag>
    <b:SourceType>JournalArticle</b:SourceType>
    <b:Guid>{6E748BF6-018D-4F68-898E-6672FDEE5D54}</b:Guid>
    <b:Title>Covid-19, unemployment, and health: time for deeper solutions?</b:Title>
    <b:Year>2020</b:Year>
    <b:Author>
      <b:Author>
        <b:NameList>
          <b:Person>
            <b:Last>Hensher</b:Last>
            <b:First>Martin</b:First>
          </b:Person>
        </b:NameList>
      </b:Author>
    </b:Author>
    <b:JournalName>BMJ</b:JournalName>
    <b:Pages>m3687</b:Pages>
    <b:Volume>10</b:Volume>
    <b:Issue>3</b:Issue>
    <b:RefOrder>2</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3</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4</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5</b:RefOrder>
  </b:Source>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6</b:RefOrder>
  </b:Source>
  <b:Source>
    <b:Tag>Kym17</b:Tag>
    <b:SourceType>Book</b:SourceType>
    <b:Guid>{B327E09E-4657-4C95-ACFD-8255D2639C18}</b:Guid>
    <b:Author>
      <b:Author>
        <b:NameList>
          <b:Person>
            <b:Last>Anderson</b:Last>
            <b:First>Kym</b:First>
          </b:Person>
        </b:NameList>
      </b:Author>
    </b:Author>
    <b:Title>The Global trading system</b:Title>
    <b:Year>2017</b:Year>
    <b:City>London</b:City>
    <b:Publisher>I.B. Tauris</b:Publisher>
    <b:Edition>3</b:Edition>
    <b:RefOrder>7</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8</b:RefOrder>
  </b:Source>
  <b:Source>
    <b:Tag>Geo09</b:Tag>
    <b:SourceType>JournalArticle</b:SourceType>
    <b:Guid>{38744C3A-62B4-47F1-A114-4C69071DE036}</b:Guid>
    <b:Author>
      <b:Author>
        <b:NameList>
          <b:Person>
            <b:Last>Baourakis</b:Last>
            <b:First>George</b:First>
          </b:Person>
        </b:NameList>
      </b:Author>
    </b:Author>
    <b:Title>Marketing Trends within the Global Trading System</b:Title>
    <b:JournalName>Journal of Food Products Marketing</b:JournalName>
    <b:Year>2009</b:Year>
    <b:Pages>199-199</b:Pages>
    <b:Volume>15</b:Volume>
    <b:Issue>3</b:Issue>
    <b:RefOrder>9</b:RefOrder>
  </b:Source>
  <b:Source>
    <b:Tag>Dib20</b:Tag>
    <b:SourceType>Book</b:SourceType>
    <b:Guid>{EBA95560-8E86-4FF1-955F-B465CA1D4803}</b:Guid>
    <b:Author>
      <b:Author>
        <b:NameList>
          <b:Person>
            <b:Last>Maiti</b:Last>
            <b:First>Dibyendu</b:First>
          </b:Person>
        </b:NameList>
      </b:Author>
    </b:Author>
    <b:Title>Digitalisation and development</b:Title>
    <b:Year>2020</b:Year>
    <b:City>Singapore</b:City>
    <b:Publisher>Springer</b:Publisher>
    <b:Edition>1</b:Edition>
    <b:RefOrder>10</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11</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12</b:RefOrder>
  </b:Source>
  <b:Source>
    <b:Tag>RHo85</b:Tag>
    <b:SourceType>JournalArticle</b:SourceType>
    <b:Guid>{380ABEC3-BCC6-414F-94C9-1D2D21DAB828}</b:Guid>
    <b:Title>People, communication and organisation</b:Title>
    <b:Year>1985</b:Year>
    <b:Pages>46-47</b:Pages>
    <b:Author>
      <b:Author>
        <b:NameList>
          <b:Person>
            <b:Last>Hodges</b:Last>
            <b:First>R.</b:First>
          </b:Person>
        </b:NameList>
      </b:Author>
    </b:Author>
    <b:JournalName>International Journal of Hospitality Management</b:JournalName>
    <b:Volume>4</b:Volume>
    <b:Issue>1</b:Issue>
    <b:RefOrder>13</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14</b:RefOrder>
  </b:Source>
  <b:Source>
    <b:Tag>DUM09</b:Tag>
    <b:SourceType>JournalArticle</b:SourceType>
    <b:Guid>{63212770-B3AB-4F55-ABF4-EEE29EAAAB50}</b:Guid>
    <b:Title>Value Chain and Customer Relationship Cycle:Two Concepts of Relationship Marketing</b:Title>
    <b:Year>2009</b:Year>
    <b:Author>
      <b:Author>
        <b:NameList>
          <b:Person>
            <b:Last>Luigi</b:Last>
            <b:First>DUMITRESCU</b:First>
          </b:Person>
        </b:NameList>
      </b:Author>
    </b:Author>
    <b:JournalName>International Journal of Trade, Economics and Finance</b:JournalName>
    <b:Pages>103-108</b:Pages>
    <b:RefOrder>15</b:RefOrder>
  </b:Source>
</b:Sources>
</file>

<file path=customXml/itemProps1.xml><?xml version="1.0" encoding="utf-8"?>
<ds:datastoreItem xmlns:ds="http://schemas.openxmlformats.org/officeDocument/2006/customXml" ds:itemID="{6DF441F9-7802-9D4D-8CA1-ED05DA775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2160</Words>
  <Characters>11923</Characters>
  <Application>Microsoft Office Word</Application>
  <DocSecurity>0</DocSecurity>
  <Lines>264</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6</cp:revision>
  <cp:lastPrinted>2022-05-10T17:15:00Z</cp:lastPrinted>
  <dcterms:created xsi:type="dcterms:W3CDTF">2022-05-10T16:33:00Z</dcterms:created>
  <dcterms:modified xsi:type="dcterms:W3CDTF">2022-05-10T17:49:00Z</dcterms:modified>
  <cp:category/>
</cp:coreProperties>
</file>