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drawingml.chart+xml" PartName="/word/charts/chart1.xml"/>
  <Override ContentType="application/vnd.openxmlformats-officedocument.drawingml.chart+xml" PartName="/word/charts/chart2.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20" w:before="120" w:line="360" w:lineRule="auto"/>
        <w:jc w:val="center"/>
        <w:rPr>
          <w:b w:val="1"/>
          <w:sz w:val="40"/>
          <w:szCs w:val="40"/>
        </w:rPr>
      </w:pPr>
      <w:r w:rsidDel="00000000" w:rsidR="00000000" w:rsidRPr="00000000">
        <w:rPr>
          <w:b w:val="1"/>
          <w:sz w:val="40"/>
          <w:szCs w:val="40"/>
          <w:rtl w:val="0"/>
        </w:rPr>
        <w:t xml:space="preserve">Assignment Title:</w:t>
      </w:r>
    </w:p>
    <w:p w:rsidR="00000000" w:rsidDel="00000000" w:rsidP="00000000" w:rsidRDefault="00000000" w:rsidRPr="00000000" w14:paraId="00000002">
      <w:pPr>
        <w:spacing w:after="120" w:before="120" w:line="360" w:lineRule="auto"/>
        <w:jc w:val="center"/>
        <w:rPr>
          <w:sz w:val="40"/>
          <w:szCs w:val="40"/>
        </w:rPr>
      </w:pPr>
      <w:r w:rsidDel="00000000" w:rsidR="00000000" w:rsidRPr="00000000">
        <w:rPr>
          <w:sz w:val="40"/>
          <w:szCs w:val="40"/>
          <w:rtl w:val="0"/>
        </w:rPr>
        <w:t xml:space="preserve">Report Case Study: The Seaview Resort</w:t>
      </w:r>
    </w:p>
    <w:p w:rsidR="00000000" w:rsidDel="00000000" w:rsidP="00000000" w:rsidRDefault="00000000" w:rsidRPr="00000000" w14:paraId="00000003">
      <w:pPr>
        <w:spacing w:after="120" w:before="120" w:line="360" w:lineRule="auto"/>
        <w:jc w:val="center"/>
        <w:rPr>
          <w:b w:val="1"/>
          <w:sz w:val="40"/>
          <w:szCs w:val="40"/>
        </w:rPr>
      </w:pPr>
      <w:r w:rsidDel="00000000" w:rsidR="00000000" w:rsidRPr="00000000">
        <w:rPr>
          <w:b w:val="1"/>
          <w:sz w:val="40"/>
          <w:szCs w:val="40"/>
          <w:rtl w:val="0"/>
        </w:rPr>
        <w:t xml:space="preserve">Student Name:</w:t>
      </w:r>
    </w:p>
    <w:p w:rsidR="00000000" w:rsidDel="00000000" w:rsidP="00000000" w:rsidRDefault="00000000" w:rsidRPr="00000000" w14:paraId="00000004">
      <w:pPr>
        <w:spacing w:after="120" w:before="120" w:line="360" w:lineRule="auto"/>
        <w:jc w:val="center"/>
        <w:rPr>
          <w:sz w:val="40"/>
          <w:szCs w:val="40"/>
        </w:rPr>
      </w:pPr>
      <w:r w:rsidDel="00000000" w:rsidR="00000000" w:rsidRPr="00000000">
        <w:rPr>
          <w:sz w:val="40"/>
          <w:szCs w:val="40"/>
          <w:rtl w:val="0"/>
        </w:rPr>
        <w:t xml:space="preserve">Huzaira Shafqat</w:t>
      </w:r>
    </w:p>
    <w:p w:rsidR="00000000" w:rsidDel="00000000" w:rsidP="00000000" w:rsidRDefault="00000000" w:rsidRPr="00000000" w14:paraId="00000005">
      <w:pPr>
        <w:spacing w:after="120" w:before="120" w:line="360" w:lineRule="auto"/>
        <w:jc w:val="center"/>
        <w:rPr>
          <w:b w:val="1"/>
          <w:sz w:val="40"/>
          <w:szCs w:val="40"/>
        </w:rPr>
      </w:pPr>
      <w:r w:rsidDel="00000000" w:rsidR="00000000" w:rsidRPr="00000000">
        <w:rPr>
          <w:b w:val="1"/>
          <w:sz w:val="40"/>
          <w:szCs w:val="40"/>
          <w:rtl w:val="0"/>
        </w:rPr>
        <w:t xml:space="preserve">Student ID Number:</w:t>
      </w:r>
    </w:p>
    <w:p w:rsidR="00000000" w:rsidDel="00000000" w:rsidP="00000000" w:rsidRDefault="00000000" w:rsidRPr="00000000" w14:paraId="00000006">
      <w:pPr>
        <w:spacing w:after="120" w:before="120" w:line="360" w:lineRule="auto"/>
        <w:jc w:val="center"/>
        <w:rPr>
          <w:sz w:val="40"/>
          <w:szCs w:val="40"/>
        </w:rPr>
      </w:pPr>
      <w:r w:rsidDel="00000000" w:rsidR="00000000" w:rsidRPr="00000000">
        <w:rPr>
          <w:sz w:val="40"/>
          <w:szCs w:val="40"/>
          <w:rtl w:val="0"/>
        </w:rPr>
        <w:t xml:space="preserve">2128180</w:t>
      </w:r>
    </w:p>
    <w:p w:rsidR="00000000" w:rsidDel="00000000" w:rsidP="00000000" w:rsidRDefault="00000000" w:rsidRPr="00000000" w14:paraId="00000007">
      <w:pPr>
        <w:spacing w:after="120" w:before="120" w:line="360" w:lineRule="auto"/>
        <w:jc w:val="center"/>
        <w:rPr>
          <w:b w:val="1"/>
          <w:sz w:val="40"/>
          <w:szCs w:val="40"/>
        </w:rPr>
      </w:pPr>
      <w:r w:rsidDel="00000000" w:rsidR="00000000" w:rsidRPr="00000000">
        <w:rPr>
          <w:b w:val="1"/>
          <w:sz w:val="40"/>
          <w:szCs w:val="40"/>
          <w:rtl w:val="0"/>
        </w:rPr>
        <w:t xml:space="preserve">Module title:</w:t>
      </w:r>
    </w:p>
    <w:p w:rsidR="00000000" w:rsidDel="00000000" w:rsidP="00000000" w:rsidRDefault="00000000" w:rsidRPr="00000000" w14:paraId="00000008">
      <w:pPr>
        <w:spacing w:after="120" w:before="120" w:line="360" w:lineRule="auto"/>
        <w:jc w:val="center"/>
        <w:rPr>
          <w:sz w:val="40"/>
          <w:szCs w:val="40"/>
        </w:rPr>
      </w:pPr>
      <w:r w:rsidDel="00000000" w:rsidR="00000000" w:rsidRPr="00000000">
        <w:rPr>
          <w:sz w:val="40"/>
          <w:szCs w:val="40"/>
          <w:rtl w:val="0"/>
        </w:rPr>
        <w:t xml:space="preserve">Financial Management for the Hotel Industry</w:t>
      </w:r>
    </w:p>
    <w:p w:rsidR="00000000" w:rsidDel="00000000" w:rsidP="00000000" w:rsidRDefault="00000000" w:rsidRPr="00000000" w14:paraId="00000009">
      <w:pPr>
        <w:spacing w:after="120" w:before="120" w:line="360" w:lineRule="auto"/>
        <w:jc w:val="center"/>
        <w:rPr>
          <w:b w:val="1"/>
          <w:sz w:val="40"/>
          <w:szCs w:val="40"/>
        </w:rPr>
      </w:pPr>
      <w:r w:rsidDel="00000000" w:rsidR="00000000" w:rsidRPr="00000000">
        <w:rPr>
          <w:b w:val="1"/>
          <w:sz w:val="40"/>
          <w:szCs w:val="40"/>
          <w:rtl w:val="0"/>
        </w:rPr>
        <w:t xml:space="preserve">Module Code: </w:t>
      </w:r>
    </w:p>
    <w:p w:rsidR="00000000" w:rsidDel="00000000" w:rsidP="00000000" w:rsidRDefault="00000000" w:rsidRPr="00000000" w14:paraId="0000000A">
      <w:pPr>
        <w:spacing w:after="120" w:before="120" w:line="360" w:lineRule="auto"/>
        <w:jc w:val="center"/>
        <w:rPr>
          <w:sz w:val="40"/>
          <w:szCs w:val="40"/>
        </w:rPr>
      </w:pPr>
      <w:r w:rsidDel="00000000" w:rsidR="00000000" w:rsidRPr="00000000">
        <w:rPr>
          <w:sz w:val="40"/>
          <w:szCs w:val="40"/>
          <w:rtl w:val="0"/>
        </w:rPr>
        <w:t xml:space="preserve">BMIH5007</w:t>
      </w:r>
    </w:p>
    <w:p w:rsidR="00000000" w:rsidDel="00000000" w:rsidP="00000000" w:rsidRDefault="00000000" w:rsidRPr="00000000" w14:paraId="0000000B">
      <w:pPr>
        <w:spacing w:after="120" w:before="120" w:line="360" w:lineRule="auto"/>
        <w:jc w:val="center"/>
        <w:rPr>
          <w:b w:val="1"/>
          <w:sz w:val="40"/>
          <w:szCs w:val="40"/>
        </w:rPr>
      </w:pPr>
      <w:r w:rsidDel="00000000" w:rsidR="00000000" w:rsidRPr="00000000">
        <w:rPr>
          <w:b w:val="1"/>
          <w:sz w:val="40"/>
          <w:szCs w:val="40"/>
          <w:rtl w:val="0"/>
        </w:rPr>
        <w:t xml:space="preserve">Lecturer’s Name:</w:t>
      </w:r>
    </w:p>
    <w:p w:rsidR="00000000" w:rsidDel="00000000" w:rsidP="00000000" w:rsidRDefault="00000000" w:rsidRPr="00000000" w14:paraId="0000000C">
      <w:pPr>
        <w:spacing w:after="120" w:before="120" w:line="360" w:lineRule="auto"/>
        <w:jc w:val="center"/>
        <w:rPr>
          <w:sz w:val="40"/>
          <w:szCs w:val="40"/>
        </w:rPr>
      </w:pPr>
      <w:r w:rsidDel="00000000" w:rsidR="00000000" w:rsidRPr="00000000">
        <w:rPr>
          <w:sz w:val="40"/>
          <w:szCs w:val="40"/>
          <w:rtl w:val="0"/>
        </w:rPr>
        <w:t xml:space="preserve">Tristan Hawkins</w:t>
      </w:r>
    </w:p>
    <w:p w:rsidR="00000000" w:rsidDel="00000000" w:rsidP="00000000" w:rsidRDefault="00000000" w:rsidRPr="00000000" w14:paraId="0000000D">
      <w:pPr>
        <w:spacing w:after="120" w:before="120" w:line="360" w:lineRule="auto"/>
        <w:jc w:val="center"/>
        <w:rPr>
          <w:b w:val="1"/>
          <w:sz w:val="40"/>
          <w:szCs w:val="40"/>
        </w:rPr>
      </w:pPr>
      <w:r w:rsidDel="00000000" w:rsidR="00000000" w:rsidRPr="00000000">
        <w:rPr>
          <w:b w:val="1"/>
          <w:sz w:val="40"/>
          <w:szCs w:val="40"/>
          <w:rtl w:val="0"/>
        </w:rPr>
        <w:t xml:space="preserve">Words Count:</w:t>
      </w:r>
    </w:p>
    <w:p w:rsidR="00000000" w:rsidDel="00000000" w:rsidP="00000000" w:rsidRDefault="00000000" w:rsidRPr="00000000" w14:paraId="0000000E">
      <w:pPr>
        <w:spacing w:after="120" w:before="120" w:line="360" w:lineRule="auto"/>
        <w:jc w:val="center"/>
        <w:rPr>
          <w:sz w:val="40"/>
          <w:szCs w:val="40"/>
        </w:rPr>
      </w:pPr>
      <w:r w:rsidDel="00000000" w:rsidR="00000000" w:rsidRPr="00000000">
        <w:rPr>
          <w:sz w:val="40"/>
          <w:szCs w:val="40"/>
          <w:rtl w:val="0"/>
        </w:rPr>
        <w:t xml:space="preserve">2000</w:t>
      </w:r>
    </w:p>
    <w:p w:rsidR="00000000" w:rsidDel="00000000" w:rsidP="00000000" w:rsidRDefault="00000000" w:rsidRPr="00000000" w14:paraId="0000000F">
      <w:pPr>
        <w:spacing w:after="120" w:before="120" w:line="360" w:lineRule="auto"/>
        <w:jc w:val="center"/>
        <w:rPr>
          <w:b w:val="1"/>
          <w:sz w:val="40"/>
          <w:szCs w:val="40"/>
        </w:rPr>
      </w:pPr>
      <w:r w:rsidDel="00000000" w:rsidR="00000000" w:rsidRPr="00000000">
        <w:rPr>
          <w:b w:val="1"/>
          <w:sz w:val="40"/>
          <w:szCs w:val="40"/>
          <w:rtl w:val="0"/>
        </w:rPr>
        <w:t xml:space="preserve">Deadline:</w:t>
      </w:r>
    </w:p>
    <w:p w:rsidR="00000000" w:rsidDel="00000000" w:rsidP="00000000" w:rsidRDefault="00000000" w:rsidRPr="00000000" w14:paraId="00000010">
      <w:pPr>
        <w:spacing w:after="120" w:before="120" w:line="360" w:lineRule="auto"/>
        <w:jc w:val="center"/>
        <w:rPr>
          <w:sz w:val="40"/>
          <w:szCs w:val="40"/>
        </w:rPr>
      </w:pPr>
      <w:r w:rsidDel="00000000" w:rsidR="00000000" w:rsidRPr="00000000">
        <w:rPr>
          <w:sz w:val="40"/>
          <w:szCs w:val="40"/>
          <w:rtl w:val="0"/>
        </w:rPr>
        <w:t xml:space="preserve">16/11/2023</w:t>
      </w:r>
    </w:p>
    <w:p w:rsidR="00000000" w:rsidDel="00000000" w:rsidP="00000000" w:rsidRDefault="00000000" w:rsidRPr="00000000" w14:paraId="00000011">
      <w:pPr>
        <w:spacing w:after="120" w:before="120" w:line="360" w:lineRule="auto"/>
        <w:jc w:val="center"/>
        <w:rPr>
          <w:sz w:val="40"/>
          <w:szCs w:val="40"/>
        </w:rPr>
      </w:pPr>
      <w:r w:rsidDel="00000000" w:rsidR="00000000" w:rsidRPr="00000000">
        <w:rPr>
          <w:rtl w:val="0"/>
        </w:rPr>
      </w:r>
    </w:p>
    <w:p w:rsidR="00000000" w:rsidDel="00000000" w:rsidP="00000000" w:rsidRDefault="00000000" w:rsidRPr="00000000" w14:paraId="00000012">
      <w:pPr>
        <w:spacing w:after="120" w:before="120" w:line="360" w:lineRule="auto"/>
        <w:jc w:val="center"/>
        <w:rPr>
          <w:sz w:val="40"/>
          <w:szCs w:val="40"/>
        </w:rPr>
      </w:pPr>
      <w:r w:rsidDel="00000000" w:rsidR="00000000" w:rsidRPr="00000000">
        <w:rPr>
          <w:rtl w:val="0"/>
        </w:rPr>
      </w:r>
    </w:p>
    <w:p w:rsidR="00000000" w:rsidDel="00000000" w:rsidP="00000000" w:rsidRDefault="00000000" w:rsidRPr="00000000" w14:paraId="00000013">
      <w:pPr>
        <w:spacing w:after="120" w:before="120" w:line="360" w:lineRule="auto"/>
        <w:jc w:val="center"/>
        <w:rPr>
          <w:sz w:val="40"/>
          <w:szCs w:val="40"/>
        </w:rPr>
      </w:pPr>
      <w:r w:rsidDel="00000000" w:rsidR="00000000" w:rsidRPr="00000000">
        <w:rPr>
          <w:rtl w:val="0"/>
        </w:rPr>
      </w:r>
    </w:p>
    <w:p w:rsidR="00000000" w:rsidDel="00000000" w:rsidP="00000000" w:rsidRDefault="00000000" w:rsidRPr="00000000" w14:paraId="00000014">
      <w:pPr>
        <w:pStyle w:val="Heading1"/>
        <w:spacing w:after="120" w:before="120" w:line="360" w:lineRule="auto"/>
        <w:rPr>
          <w:rFonts w:ascii="Arial" w:cs="Arial" w:eastAsia="Arial" w:hAnsi="Arial"/>
          <w:b w:val="1"/>
          <w:sz w:val="24"/>
          <w:szCs w:val="24"/>
        </w:rPr>
      </w:pPr>
      <w:bookmarkStart w:colFirst="0" w:colLast="0" w:name="_heading=h.gjdgxs" w:id="0"/>
      <w:bookmarkEnd w:id="0"/>
      <w:r w:rsidDel="00000000" w:rsidR="00000000" w:rsidRPr="00000000">
        <w:rPr>
          <w:rFonts w:ascii="Arial" w:cs="Arial" w:eastAsia="Arial" w:hAnsi="Arial"/>
          <w:b w:val="1"/>
          <w:sz w:val="24"/>
          <w:szCs w:val="24"/>
          <w:rtl w:val="0"/>
        </w:rPr>
        <w:t xml:space="preserve">Executive Summary:</w:t>
      </w:r>
    </w:p>
    <w:p w:rsidR="00000000" w:rsidDel="00000000" w:rsidP="00000000" w:rsidRDefault="00000000" w:rsidRPr="00000000" w14:paraId="0000001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Once a top holiday spot, The Seaview Resort is experiencing financial difficulties and a loss in its market share. A troubling pattern of diminishing income, profitability, and customer happiness is shown by the thorough study. The turnaround plan that has been suggested includes remodeling, green initiatives, raising the standard of services, and aggressive marketing. According to financial estimates, by 2024, there should be positive cash flow, increased net profit margins, and revenue growth. Plans for mitigating risks take stakeholder opposition, market competitiveness, and execution concerns into account. The strategic proposals stress how urgently and assiduously they must be implemented. In addition to addressing the short-term financial crisis, this all-encompassing strategy seeks to establish The Seaview Resort as a chic, sought-after travel destination in the cutthroat hospitality market, guaranteeing long-term success.</w:t>
      </w:r>
    </w:p>
    <w:p w:rsidR="00000000" w:rsidDel="00000000" w:rsidP="00000000" w:rsidRDefault="00000000" w:rsidRPr="00000000" w14:paraId="00000016">
      <w:pPr>
        <w:spacing w:line="360" w:lineRule="auto"/>
        <w:jc w:val="both"/>
        <w:rPr>
          <w:sz w:val="24"/>
          <w:szCs w:val="24"/>
        </w:rPr>
      </w:pPr>
      <w:r w:rsidDel="00000000" w:rsidR="00000000" w:rsidRPr="00000000">
        <w:rPr>
          <w:rtl w:val="0"/>
        </w:rPr>
      </w:r>
    </w:p>
    <w:p w:rsidR="00000000" w:rsidDel="00000000" w:rsidP="00000000" w:rsidRDefault="00000000" w:rsidRPr="00000000" w14:paraId="00000017">
      <w:pPr>
        <w:spacing w:line="360" w:lineRule="auto"/>
        <w:jc w:val="both"/>
        <w:rPr>
          <w:sz w:val="24"/>
          <w:szCs w:val="24"/>
        </w:rPr>
      </w:pPr>
      <w:r w:rsidDel="00000000" w:rsidR="00000000" w:rsidRPr="00000000">
        <w:rPr>
          <w:rtl w:val="0"/>
        </w:rPr>
      </w:r>
    </w:p>
    <w:p w:rsidR="00000000" w:rsidDel="00000000" w:rsidP="00000000" w:rsidRDefault="00000000" w:rsidRPr="00000000" w14:paraId="00000018">
      <w:pPr>
        <w:spacing w:line="360" w:lineRule="auto"/>
        <w:jc w:val="both"/>
        <w:rPr>
          <w:sz w:val="24"/>
          <w:szCs w:val="24"/>
        </w:rPr>
      </w:pPr>
      <w:r w:rsidDel="00000000" w:rsidR="00000000" w:rsidRPr="00000000">
        <w:rPr>
          <w:rtl w:val="0"/>
        </w:rPr>
      </w:r>
    </w:p>
    <w:p w:rsidR="00000000" w:rsidDel="00000000" w:rsidP="00000000" w:rsidRDefault="00000000" w:rsidRPr="00000000" w14:paraId="00000019">
      <w:pPr>
        <w:spacing w:line="360" w:lineRule="auto"/>
        <w:jc w:val="both"/>
        <w:rPr>
          <w:sz w:val="24"/>
          <w:szCs w:val="24"/>
        </w:rPr>
      </w:pPr>
      <w:r w:rsidDel="00000000" w:rsidR="00000000" w:rsidRPr="00000000">
        <w:rPr>
          <w:rtl w:val="0"/>
        </w:rPr>
      </w:r>
    </w:p>
    <w:p w:rsidR="00000000" w:rsidDel="00000000" w:rsidP="00000000" w:rsidRDefault="00000000" w:rsidRPr="00000000" w14:paraId="0000001A">
      <w:pPr>
        <w:spacing w:line="360" w:lineRule="auto"/>
        <w:jc w:val="both"/>
        <w:rPr>
          <w:sz w:val="24"/>
          <w:szCs w:val="24"/>
        </w:rPr>
      </w:pPr>
      <w:r w:rsidDel="00000000" w:rsidR="00000000" w:rsidRPr="00000000">
        <w:rPr>
          <w:rtl w:val="0"/>
        </w:rPr>
      </w:r>
    </w:p>
    <w:p w:rsidR="00000000" w:rsidDel="00000000" w:rsidP="00000000" w:rsidRDefault="00000000" w:rsidRPr="00000000" w14:paraId="0000001B">
      <w:pPr>
        <w:spacing w:line="360" w:lineRule="auto"/>
        <w:jc w:val="both"/>
        <w:rPr>
          <w:sz w:val="24"/>
          <w:szCs w:val="24"/>
        </w:rPr>
      </w:pPr>
      <w:r w:rsidDel="00000000" w:rsidR="00000000" w:rsidRPr="00000000">
        <w:rPr>
          <w:rtl w:val="0"/>
        </w:rPr>
      </w:r>
    </w:p>
    <w:p w:rsidR="00000000" w:rsidDel="00000000" w:rsidP="00000000" w:rsidRDefault="00000000" w:rsidRPr="00000000" w14:paraId="0000001C">
      <w:pPr>
        <w:spacing w:line="360" w:lineRule="auto"/>
        <w:jc w:val="both"/>
        <w:rPr>
          <w:sz w:val="24"/>
          <w:szCs w:val="24"/>
        </w:rPr>
      </w:pPr>
      <w:r w:rsidDel="00000000" w:rsidR="00000000" w:rsidRPr="00000000">
        <w:rPr>
          <w:rtl w:val="0"/>
        </w:rPr>
      </w:r>
    </w:p>
    <w:p w:rsidR="00000000" w:rsidDel="00000000" w:rsidP="00000000" w:rsidRDefault="00000000" w:rsidRPr="00000000" w14:paraId="0000001D">
      <w:pPr>
        <w:spacing w:line="360" w:lineRule="auto"/>
        <w:jc w:val="both"/>
        <w:rPr>
          <w:sz w:val="24"/>
          <w:szCs w:val="24"/>
        </w:rPr>
      </w:pPr>
      <w:r w:rsidDel="00000000" w:rsidR="00000000" w:rsidRPr="00000000">
        <w:rPr>
          <w:rtl w:val="0"/>
        </w:rPr>
      </w:r>
    </w:p>
    <w:p w:rsidR="00000000" w:rsidDel="00000000" w:rsidP="00000000" w:rsidRDefault="00000000" w:rsidRPr="00000000" w14:paraId="0000001E">
      <w:pPr>
        <w:spacing w:line="360" w:lineRule="auto"/>
        <w:jc w:val="both"/>
        <w:rPr>
          <w:sz w:val="24"/>
          <w:szCs w:val="24"/>
        </w:rPr>
      </w:pPr>
      <w:r w:rsidDel="00000000" w:rsidR="00000000" w:rsidRPr="00000000">
        <w:rPr>
          <w:rtl w:val="0"/>
        </w:rPr>
      </w:r>
    </w:p>
    <w:p w:rsidR="00000000" w:rsidDel="00000000" w:rsidP="00000000" w:rsidRDefault="00000000" w:rsidRPr="00000000" w14:paraId="0000001F">
      <w:pPr>
        <w:spacing w:line="360" w:lineRule="auto"/>
        <w:jc w:val="both"/>
        <w:rPr>
          <w:sz w:val="24"/>
          <w:szCs w:val="24"/>
        </w:rPr>
      </w:pPr>
      <w:r w:rsidDel="00000000" w:rsidR="00000000" w:rsidRPr="00000000">
        <w:rPr>
          <w:rtl w:val="0"/>
        </w:rPr>
      </w:r>
    </w:p>
    <w:p w:rsidR="00000000" w:rsidDel="00000000" w:rsidP="00000000" w:rsidRDefault="00000000" w:rsidRPr="00000000" w14:paraId="00000020">
      <w:pPr>
        <w:spacing w:line="360" w:lineRule="auto"/>
        <w:jc w:val="both"/>
        <w:rPr>
          <w:sz w:val="24"/>
          <w:szCs w:val="24"/>
        </w:rPr>
      </w:pPr>
      <w:r w:rsidDel="00000000" w:rsidR="00000000" w:rsidRPr="00000000">
        <w:rPr>
          <w:rtl w:val="0"/>
        </w:rPr>
      </w:r>
    </w:p>
    <w:p w:rsidR="00000000" w:rsidDel="00000000" w:rsidP="00000000" w:rsidRDefault="00000000" w:rsidRPr="00000000" w14:paraId="00000021">
      <w:pPr>
        <w:spacing w:line="360" w:lineRule="auto"/>
        <w:jc w:val="both"/>
        <w:rPr>
          <w:sz w:val="24"/>
          <w:szCs w:val="24"/>
        </w:rPr>
      </w:pPr>
      <w:r w:rsidDel="00000000" w:rsidR="00000000" w:rsidRPr="00000000">
        <w:rPr>
          <w:rtl w:val="0"/>
        </w:rPr>
      </w:r>
    </w:p>
    <w:p w:rsidR="00000000" w:rsidDel="00000000" w:rsidP="00000000" w:rsidRDefault="00000000" w:rsidRPr="00000000" w14:paraId="00000022">
      <w:pPr>
        <w:spacing w:line="360" w:lineRule="auto"/>
        <w:jc w:val="both"/>
        <w:rPr>
          <w:sz w:val="24"/>
          <w:szCs w:val="24"/>
        </w:rPr>
      </w:pPr>
      <w:r w:rsidDel="00000000" w:rsidR="00000000" w:rsidRPr="00000000">
        <w:rPr>
          <w:rtl w:val="0"/>
        </w:rPr>
      </w:r>
    </w:p>
    <w:p w:rsidR="00000000" w:rsidDel="00000000" w:rsidP="00000000" w:rsidRDefault="00000000" w:rsidRPr="00000000" w14:paraId="00000023">
      <w:pPr>
        <w:spacing w:line="360" w:lineRule="auto"/>
        <w:jc w:val="both"/>
        <w:rPr>
          <w:sz w:val="24"/>
          <w:szCs w:val="24"/>
        </w:rPr>
      </w:pPr>
      <w:r w:rsidDel="00000000" w:rsidR="00000000" w:rsidRPr="00000000">
        <w:rPr>
          <w:rtl w:val="0"/>
        </w:rPr>
      </w:r>
    </w:p>
    <w:p w:rsidR="00000000" w:rsidDel="00000000" w:rsidP="00000000" w:rsidRDefault="00000000" w:rsidRPr="00000000" w14:paraId="00000024">
      <w:pPr>
        <w:spacing w:line="360" w:lineRule="auto"/>
        <w:jc w:val="both"/>
        <w:rPr>
          <w:sz w:val="24"/>
          <w:szCs w:val="24"/>
        </w:rPr>
      </w:pPr>
      <w:r w:rsidDel="00000000" w:rsidR="00000000" w:rsidRPr="00000000">
        <w:rPr>
          <w:rtl w:val="0"/>
        </w:rPr>
      </w:r>
    </w:p>
    <w:p w:rsidR="00000000" w:rsidDel="00000000" w:rsidP="00000000" w:rsidRDefault="00000000" w:rsidRPr="00000000" w14:paraId="0000002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24"/>
          <w:szCs w:val="24"/>
          <w:u w:val="none"/>
          <w:shd w:fill="auto" w:val="clear"/>
          <w:vertAlign w:val="baseline"/>
        </w:rPr>
      </w:pPr>
      <w:r w:rsidDel="00000000" w:rsidR="00000000" w:rsidRPr="00000000">
        <w:rPr>
          <w:rFonts w:ascii="Calibri" w:cs="Calibri" w:eastAsia="Calibri" w:hAnsi="Calibri"/>
          <w:b w:val="0"/>
          <w:i w:val="0"/>
          <w:smallCaps w:val="0"/>
          <w:strike w:val="0"/>
          <w:color w:val="2e75b5"/>
          <w:sz w:val="24"/>
          <w:szCs w:val="24"/>
          <w:u w:val="none"/>
          <w:shd w:fill="auto" w:val="clear"/>
          <w:vertAlign w:val="baseline"/>
          <w:rtl w:val="0"/>
        </w:rPr>
        <w:t xml:space="preserve">Table of Contents</w:t>
      </w:r>
    </w:p>
    <w:p w:rsidR="00000000" w:rsidDel="00000000" w:rsidP="00000000" w:rsidRDefault="00000000" w:rsidRPr="00000000" w14:paraId="00000026">
      <w:pPr>
        <w:rPr>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Executive Summary:</w:t>
            </w:r>
          </w:hyperlink>
          <w:hyperlink w:anchor="_heading=h.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Introduction:</w:t>
            </w:r>
          </w:hyperlink>
          <w:hyperlink w:anchor="_heading=h.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Scope and Objectives:</w:t>
            </w:r>
          </w:hyperlink>
          <w:hyperlink w:anchor="_heading=h.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Financial Analysis:</w:t>
            </w:r>
          </w:hyperlink>
          <w:hyperlink w:anchor="_heading=h.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SWOT Analysis:</w:t>
            </w:r>
          </w:hyperlink>
          <w:hyperlink w:anchor="_heading=h.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Market Analysis: Navigating Dynamic Tides in the Hospitality Horizon</w:t>
            </w:r>
          </w:hyperlink>
          <w:hyperlink w:anchor="_heading=h.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Turnaround Strategy:</w:t>
            </w:r>
          </w:hyperlink>
          <w:hyperlink w:anchor="_heading=h.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Financial Projections:</w:t>
            </w:r>
          </w:hyperlink>
          <w:hyperlink w:anchor="_heading=h.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Risk Assessment:</w:t>
            </w:r>
          </w:hyperlink>
          <w:hyperlink w:anchor="_heading=h.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Conclusion:</w:t>
            </w:r>
          </w:hyperlink>
          <w:hyperlink w:anchor="_heading=h.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Recommendations:</w:t>
            </w:r>
          </w:hyperlink>
          <w:hyperlink w:anchor="_heading=h.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pPr>
          <w:hyperlink w:anchor="_heading=h.26in1rg">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References</w:t>
            </w:r>
          </w:hyperlink>
          <w:hyperlink w:anchor="_heading=h.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pPr>
          <w:r w:rsidDel="00000000" w:rsidR="00000000" w:rsidRPr="00000000">
            <w:rPr>
              <w:b w:val="1"/>
              <w:rtl w:val="0"/>
            </w:rPr>
            <w:t xml:space="preserve">Appendices</w:t>
          </w:r>
          <w:r w:rsidDel="00000000" w:rsidR="00000000" w:rsidRPr="00000000">
            <w:rPr>
              <w:rtl w:val="0"/>
            </w:rPr>
            <w:t xml:space="preserve">……………………………………………………………………………………………12</w:t>
          </w:r>
        </w:p>
        <w:p w:rsidR="00000000" w:rsidDel="00000000" w:rsidP="00000000" w:rsidRDefault="00000000" w:rsidRPr="00000000" w14:paraId="00000034">
          <w:pPr>
            <w:rPr>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5">
      <w:pPr>
        <w:pStyle w:val="Heading1"/>
        <w:spacing w:after="120" w:before="120" w:line="360" w:lineRule="auto"/>
        <w:rPr>
          <w:b w:val="1"/>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pStyle w:val="Heading1"/>
        <w:spacing w:after="120" w:before="120" w:line="360" w:lineRule="auto"/>
        <w:rPr>
          <w:color w:val="000000"/>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pStyle w:val="Heading1"/>
        <w:spacing w:after="120" w:before="120" w:line="360" w:lineRule="auto"/>
        <w:rPr>
          <w:rFonts w:ascii="Arial" w:cs="Arial" w:eastAsia="Arial" w:hAnsi="Arial"/>
          <w:b w:val="1"/>
          <w:sz w:val="24"/>
          <w:szCs w:val="24"/>
        </w:rPr>
      </w:pPr>
      <w:bookmarkStart w:colFirst="0" w:colLast="0" w:name="_heading=h.30j0zll" w:id="1"/>
      <w:bookmarkEnd w:id="1"/>
      <w:r w:rsidDel="00000000" w:rsidR="00000000" w:rsidRPr="00000000">
        <w:rPr>
          <w:rFonts w:ascii="Arial" w:cs="Arial" w:eastAsia="Arial" w:hAnsi="Arial"/>
          <w:b w:val="1"/>
          <w:sz w:val="24"/>
          <w:szCs w:val="24"/>
          <w:rtl w:val="0"/>
        </w:rPr>
        <w:t xml:space="preserve">Introduction:</w:t>
      </w:r>
    </w:p>
    <w:p w:rsidR="00000000" w:rsidDel="00000000" w:rsidP="00000000" w:rsidRDefault="00000000" w:rsidRPr="00000000" w14:paraId="0000004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Nestled against the serene backdrop of a scenic coastline sits The Seaview Resort, which used to be a premier destination for travelers looking for luxury and relaxation. Its former glory has been clouded, though, by a worrying drop in revenue, occupancy rates, and customer satisfaction in recent years. The owner, Mr. James Henderson, has the urgent task of ensuring the resort's continued profitability. Seeking a glimmer of hope, he has enlisted our assistance in assessing the circumstances and developing an innovative turnaround plan (</w:t>
      </w:r>
      <w:r w:rsidDel="00000000" w:rsidR="00000000" w:rsidRPr="00000000">
        <w:rPr>
          <w:rFonts w:ascii="Arial" w:cs="Arial" w:eastAsia="Arial" w:hAnsi="Arial"/>
          <w:color w:val="222222"/>
          <w:sz w:val="24"/>
          <w:szCs w:val="24"/>
          <w:highlight w:val="white"/>
          <w:rtl w:val="0"/>
        </w:rPr>
        <w:t xml:space="preserve">Hasanaj, 2019)</w:t>
      </w:r>
      <w:r w:rsidDel="00000000" w:rsidR="00000000" w:rsidRPr="00000000">
        <w:rPr>
          <w:rFonts w:ascii="Arial" w:cs="Arial" w:eastAsia="Arial" w:hAnsi="Arial"/>
          <w:sz w:val="24"/>
          <w:szCs w:val="24"/>
          <w:rtl w:val="0"/>
        </w:rPr>
        <w:t xml:space="preserve">. The present evaluation conducts a thorough examination of the resort's financial position, closely examining cash flows, balance sheets, and income statements. The first steps in the process involve assessing the resort's current situation, figuring out what caused its decline, and finally making a plan for a strategic comeback that will secure the resort's financial stability and restore its reputation as a top retreat for relaxation and rejuvenation (</w:t>
      </w:r>
      <w:r w:rsidDel="00000000" w:rsidR="00000000" w:rsidRPr="00000000">
        <w:rPr>
          <w:rFonts w:ascii="Arial" w:cs="Arial" w:eastAsia="Arial" w:hAnsi="Arial"/>
          <w:color w:val="222222"/>
          <w:sz w:val="24"/>
          <w:szCs w:val="24"/>
          <w:highlight w:val="white"/>
          <w:rtl w:val="0"/>
        </w:rPr>
        <w:t xml:space="preserve">Pavone, 2023).</w:t>
      </w:r>
      <w:r w:rsidDel="00000000" w:rsidR="00000000" w:rsidRPr="00000000">
        <w:rPr>
          <w:rtl w:val="0"/>
        </w:rPr>
      </w:r>
    </w:p>
    <w:p w:rsidR="00000000" w:rsidDel="00000000" w:rsidP="00000000" w:rsidRDefault="00000000" w:rsidRPr="00000000" w14:paraId="00000044">
      <w:pPr>
        <w:pStyle w:val="Heading1"/>
        <w:spacing w:after="120" w:before="120" w:line="360" w:lineRule="auto"/>
        <w:rPr>
          <w:rFonts w:ascii="Arial" w:cs="Arial" w:eastAsia="Arial" w:hAnsi="Arial"/>
          <w:b w:val="1"/>
          <w:sz w:val="24"/>
          <w:szCs w:val="24"/>
        </w:rPr>
      </w:pPr>
      <w:bookmarkStart w:colFirst="0" w:colLast="0" w:name="_heading=h.1fob9te" w:id="2"/>
      <w:bookmarkEnd w:id="2"/>
      <w:r w:rsidDel="00000000" w:rsidR="00000000" w:rsidRPr="00000000">
        <w:rPr>
          <w:rFonts w:ascii="Arial" w:cs="Arial" w:eastAsia="Arial" w:hAnsi="Arial"/>
          <w:b w:val="1"/>
          <w:sz w:val="24"/>
          <w:szCs w:val="24"/>
          <w:rtl w:val="0"/>
        </w:rPr>
        <w:t xml:space="preserve">Scope and Objectives:</w:t>
        <w:tab/>
      </w:r>
    </w:p>
    <w:p w:rsidR="00000000" w:rsidDel="00000000" w:rsidP="00000000" w:rsidRDefault="00000000" w:rsidRPr="00000000" w14:paraId="0000004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scope of our analysis includes a detailed investigation of The Seaview Resort's financial performance throughout the previous three years, revealing the complexities of its declining revenue and profitability issues. Our main goals are to pinpoint the main causes of the resort's decline so that a thorough turnaround plan may be implemented. By means of a thorough examination of income statements, balance sheets, and cash flows, our objective is to generate practical insights that will address the existing financial difficulties and establish The Seaview Resort as a prosperous and desirable location within the competitive hospitality industry.</w:t>
      </w:r>
    </w:p>
    <w:p w:rsidR="00000000" w:rsidDel="00000000" w:rsidP="00000000" w:rsidRDefault="00000000" w:rsidRPr="00000000" w14:paraId="00000046">
      <w:pPr>
        <w:pStyle w:val="Heading1"/>
        <w:spacing w:after="120" w:before="120" w:line="360" w:lineRule="auto"/>
        <w:rPr>
          <w:rFonts w:ascii="Arial" w:cs="Arial" w:eastAsia="Arial" w:hAnsi="Arial"/>
          <w:b w:val="1"/>
          <w:sz w:val="24"/>
          <w:szCs w:val="24"/>
        </w:rPr>
      </w:pPr>
      <w:bookmarkStart w:colFirst="0" w:colLast="0" w:name="_heading=h.3znysh7" w:id="3"/>
      <w:bookmarkEnd w:id="3"/>
      <w:r w:rsidDel="00000000" w:rsidR="00000000" w:rsidRPr="00000000">
        <w:rPr>
          <w:rFonts w:ascii="Arial" w:cs="Arial" w:eastAsia="Arial" w:hAnsi="Arial"/>
          <w:b w:val="1"/>
          <w:sz w:val="24"/>
          <w:szCs w:val="24"/>
          <w:rtl w:val="0"/>
        </w:rPr>
        <w:t xml:space="preserve">Financial Analysis:</w:t>
        <w:tab/>
      </w:r>
    </w:p>
    <w:p w:rsidR="00000000" w:rsidDel="00000000" w:rsidP="00000000" w:rsidRDefault="00000000" w:rsidRPr="00000000" w14:paraId="0000004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Examining The Seaview Resort's finances in detail using the Income Statement, Balance Sheet, Cash Flow, and important Financial Ratios reveals the complex possibilities and problems affecting its financial situation.</w:t>
      </w:r>
    </w:p>
    <w:p w:rsidR="00000000" w:rsidDel="00000000" w:rsidP="00000000" w:rsidRDefault="00000000" w:rsidRPr="00000000" w14:paraId="00000048">
      <w:pPr>
        <w:spacing w:line="360" w:lineRule="auto"/>
        <w:jc w:val="both"/>
        <w:rPr>
          <w:rFonts w:ascii="Arial" w:cs="Arial" w:eastAsia="Arial" w:hAnsi="Arial"/>
          <w:color w:val="222222"/>
          <w:sz w:val="24"/>
          <w:szCs w:val="24"/>
          <w:highlight w:val="white"/>
        </w:rPr>
      </w:pPr>
      <w:r w:rsidDel="00000000" w:rsidR="00000000" w:rsidRPr="00000000">
        <w:rPr>
          <w:rFonts w:ascii="Arial" w:cs="Arial" w:eastAsia="Arial" w:hAnsi="Arial"/>
          <w:sz w:val="24"/>
          <w:szCs w:val="24"/>
          <w:rtl w:val="0"/>
        </w:rPr>
        <w:t xml:space="preserve">To determine how stable a company's finances are, financial analysis is crucial. It entails scrutinizing income statements to measure revenue patterns, balance sheets to evaluate assets, liabilities, and equity, and cash flow statements to comprehend liquidity (</w:t>
      </w:r>
      <w:r w:rsidDel="00000000" w:rsidR="00000000" w:rsidRPr="00000000">
        <w:rPr>
          <w:rFonts w:ascii="Arial" w:cs="Arial" w:eastAsia="Arial" w:hAnsi="Arial"/>
          <w:color w:val="222222"/>
          <w:sz w:val="24"/>
          <w:szCs w:val="24"/>
          <w:highlight w:val="white"/>
          <w:rtl w:val="0"/>
        </w:rPr>
        <w:t xml:space="preserve">Lee, 2023</w:t>
      </w:r>
      <w:r w:rsidDel="00000000" w:rsidR="00000000" w:rsidRPr="00000000">
        <w:rPr>
          <w:rFonts w:ascii="Arial" w:cs="Arial" w:eastAsia="Arial" w:hAnsi="Arial"/>
          <w:color w:val="222222"/>
          <w:sz w:val="20"/>
          <w:szCs w:val="20"/>
          <w:highlight w:val="white"/>
          <w:rtl w:val="0"/>
        </w:rPr>
        <w:t xml:space="preserve">)</w:t>
      </w:r>
      <w:r w:rsidDel="00000000" w:rsidR="00000000" w:rsidRPr="00000000">
        <w:rPr>
          <w:rFonts w:ascii="Arial" w:cs="Arial" w:eastAsia="Arial" w:hAnsi="Arial"/>
          <w:sz w:val="24"/>
          <w:szCs w:val="24"/>
          <w:rtl w:val="0"/>
        </w:rPr>
        <w:t xml:space="preserve">. Solvency, profitability, and efficiency may all be gauged with the use of key financial parameters. In order to improve overall financial performance, this in-depth research helps identify strengths, shortcomings, and development opportunities (</w:t>
      </w:r>
      <w:r w:rsidDel="00000000" w:rsidR="00000000" w:rsidRPr="00000000">
        <w:rPr>
          <w:rFonts w:ascii="Arial" w:cs="Arial" w:eastAsia="Arial" w:hAnsi="Arial"/>
          <w:color w:val="222222"/>
          <w:sz w:val="24"/>
          <w:szCs w:val="24"/>
          <w:highlight w:val="white"/>
          <w:rtl w:val="0"/>
        </w:rPr>
        <w:t xml:space="preserve">Hasanaj, 2019).</w:t>
      </w:r>
    </w:p>
    <w:p w:rsidR="00000000" w:rsidDel="00000000" w:rsidP="00000000" w:rsidRDefault="00000000" w:rsidRPr="00000000" w14:paraId="00000049">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Income Statement Analysis:</w:t>
      </w:r>
    </w:p>
    <w:p w:rsidR="00000000" w:rsidDel="00000000" w:rsidP="00000000" w:rsidRDefault="00000000" w:rsidRPr="00000000" w14:paraId="0000004A">
      <w:pPr>
        <w:keepNext w:val="1"/>
        <w:spacing w:line="360" w:lineRule="auto"/>
        <w:jc w:val="center"/>
        <w:rPr>
          <w:sz w:val="24"/>
          <w:szCs w:val="24"/>
        </w:rPr>
      </w:pPr>
      <w:r w:rsidDel="00000000" w:rsidR="00000000" w:rsidRPr="00000000">
        <w:rPr>
          <w:sz w:val="24"/>
          <w:szCs w:val="24"/>
        </w:rPr>
        <w:drawing>
          <wp:inline distB="0" distT="0" distL="0" distR="0">
            <wp:extent cx="5378450" cy="2743200"/>
            <wp:docPr id="4" name=""/>
            <a:graphic>
              <a:graphicData uri="http://schemas.openxmlformats.org/drawingml/2006/chart">
                <c:chart r:id="rId7"/>
              </a:graphicData>
            </a:graphic>
          </wp:inline>
        </w:drawing>
      </w: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Calibri" w:cs="Calibri" w:eastAsia="Calibri" w:hAnsi="Calibri"/>
          <w:b w:val="1"/>
          <w:i w:val="1"/>
          <w:smallCaps w:val="0"/>
          <w:strike w:val="0"/>
          <w:color w:val="44546a"/>
          <w:sz w:val="24"/>
          <w:szCs w:val="24"/>
          <w:u w:val="none"/>
          <w:shd w:fill="auto" w:val="clear"/>
          <w:vertAlign w:val="baseline"/>
        </w:rPr>
      </w:pPr>
      <w:r w:rsidDel="00000000" w:rsidR="00000000" w:rsidRPr="00000000">
        <w:rPr>
          <w:rFonts w:ascii="Calibri" w:cs="Calibri" w:eastAsia="Calibri" w:hAnsi="Calibri"/>
          <w:b w:val="0"/>
          <w:i w:val="1"/>
          <w:smallCaps w:val="0"/>
          <w:strike w:val="0"/>
          <w:color w:val="44546a"/>
          <w:sz w:val="24"/>
          <w:szCs w:val="24"/>
          <w:u w:val="none"/>
          <w:shd w:fill="auto" w:val="clear"/>
          <w:vertAlign w:val="baseline"/>
          <w:rtl w:val="0"/>
        </w:rPr>
        <w:t xml:space="preserve">Figure 1 Income Statement Analysis</w:t>
      </w:r>
      <w:r w:rsidDel="00000000" w:rsidR="00000000" w:rsidRPr="00000000">
        <w:rPr>
          <w:rtl w:val="0"/>
        </w:rPr>
      </w:r>
    </w:p>
    <w:p w:rsidR="00000000" w:rsidDel="00000000" w:rsidP="00000000" w:rsidRDefault="00000000" w:rsidRPr="00000000" w14:paraId="0000004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three-year trend that shows a troubling decline occurs between 2020 and 2022. The whole income decreased from $520,000 to $430,000, indicating a difficult environment for generating money. Concurrently, operational costs increased from $390,000 to $450,000, resulting in a risky decline in gross profit from $130,000 to $20,000. A clear sign of a company's financial health, the net profit margin, fell sharply from 15% in 2020 to a worrisome -11% in 2022. This recession highlights the urgent need for action, with calculated steps being necessary to address the disparity between income and outlays (</w:t>
      </w:r>
      <w:r w:rsidDel="00000000" w:rsidR="00000000" w:rsidRPr="00000000">
        <w:rPr>
          <w:rFonts w:ascii="Arial" w:cs="Arial" w:eastAsia="Arial" w:hAnsi="Arial"/>
          <w:color w:val="222222"/>
          <w:sz w:val="24"/>
          <w:szCs w:val="24"/>
          <w:highlight w:val="white"/>
          <w:rtl w:val="0"/>
        </w:rPr>
        <w:t xml:space="preserve">Fridson, 2022).</w:t>
      </w:r>
      <w:r w:rsidDel="00000000" w:rsidR="00000000" w:rsidRPr="00000000">
        <w:rPr>
          <w:rtl w:val="0"/>
        </w:rPr>
      </w:r>
    </w:p>
    <w:p w:rsidR="00000000" w:rsidDel="00000000" w:rsidP="00000000" w:rsidRDefault="00000000" w:rsidRPr="00000000" w14:paraId="0000004D">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Balance Sheet Analysis: </w:t>
      </w:r>
    </w:p>
    <w:p w:rsidR="00000000" w:rsidDel="00000000" w:rsidP="00000000" w:rsidRDefault="00000000" w:rsidRPr="00000000" w14:paraId="0000004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Seaview Resort's financial structure as of the end of 2022 reflects a precarious equilibrium. The entire amount of assets is $1,200,000, of which $250,000 is current assets, $800,000 is property and equipment, and $150,000 is other assets. The matching amounts for equity and liabilities are $450,000 and $750,000, respectively. The resort's considerable asset base is highlighted on the balance sheet; yet, given the higher liabilities and relatively tiny equity position, prudent management is required to guarantee continuous financial health.</w:t>
      </w:r>
    </w:p>
    <w:p w:rsidR="00000000" w:rsidDel="00000000" w:rsidP="00000000" w:rsidRDefault="00000000" w:rsidRPr="00000000" w14:paraId="0000004F">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Cash Flow Analysis: </w:t>
      </w:r>
    </w:p>
    <w:p w:rsidR="00000000" w:rsidDel="00000000" w:rsidP="00000000" w:rsidRDefault="00000000" w:rsidRPr="00000000" w14:paraId="0000005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Cash flow analysis for 2022 indicates possible issues with liquidity. When capital expenses of $30,000 are added to a net cash flow from operations of -$80,000, the net cash flow is negative, totaling -$110,000. This unstable balance highlights possible liquidity issues and highlights the urgent need for operational improvements in order to attain a positive cash flow balance.</w:t>
      </w:r>
    </w:p>
    <w:p w:rsidR="00000000" w:rsidDel="00000000" w:rsidP="00000000" w:rsidRDefault="00000000" w:rsidRPr="00000000" w14:paraId="00000051">
      <w:pPr>
        <w:spacing w:line="360" w:lineRule="auto"/>
        <w:jc w:val="both"/>
        <w:rPr>
          <w:b w:val="1"/>
          <w:sz w:val="24"/>
          <w:szCs w:val="24"/>
        </w:rPr>
      </w:pPr>
      <w:r w:rsidDel="00000000" w:rsidR="00000000" w:rsidRPr="00000000">
        <w:rPr>
          <w:b w:val="1"/>
          <w:sz w:val="24"/>
          <w:szCs w:val="24"/>
          <w:rtl w:val="0"/>
        </w:rPr>
        <w:t xml:space="preserve">Key Financial Ratios: </w:t>
      </w:r>
    </w:p>
    <w:p w:rsidR="00000000" w:rsidDel="00000000" w:rsidP="00000000" w:rsidRDefault="00000000" w:rsidRPr="00000000" w14:paraId="00000052">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Calibri" w:cs="Calibri" w:eastAsia="Calibri" w:hAnsi="Calibri"/>
          <w:b w:val="0"/>
          <w:i w:val="1"/>
          <w:smallCaps w:val="0"/>
          <w:strike w:val="0"/>
          <w:color w:val="44546a"/>
          <w:sz w:val="24"/>
          <w:szCs w:val="24"/>
          <w:u w:val="none"/>
          <w:shd w:fill="auto" w:val="clear"/>
          <w:vertAlign w:val="baseline"/>
        </w:rPr>
      </w:pPr>
      <w:r w:rsidDel="00000000" w:rsidR="00000000" w:rsidRPr="00000000">
        <w:rPr>
          <w:rFonts w:ascii="Calibri" w:cs="Calibri" w:eastAsia="Calibri" w:hAnsi="Calibri"/>
          <w:b w:val="0"/>
          <w:i w:val="1"/>
          <w:smallCaps w:val="0"/>
          <w:strike w:val="0"/>
          <w:color w:val="44546a"/>
          <w:sz w:val="24"/>
          <w:szCs w:val="24"/>
          <w:u w:val="none"/>
          <w:shd w:fill="auto" w:val="clear"/>
          <w:vertAlign w:val="baseline"/>
          <w:rtl w:val="0"/>
        </w:rPr>
        <w:t xml:space="preserve">Table 1 Financial Ratios (End of 2022)</w:t>
      </w:r>
    </w:p>
    <w:tbl>
      <w:tblPr>
        <w:tblStyle w:val="Table1"/>
        <w:tblW w:w="8296.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94"/>
        <w:gridCol w:w="2702"/>
        <w:tblGridChange w:id="0">
          <w:tblGrid>
            <w:gridCol w:w="5594"/>
            <w:gridCol w:w="2702"/>
          </w:tblGrid>
        </w:tblGridChange>
      </w:tblGrid>
      <w:tr>
        <w:trPr>
          <w:cantSplit w:val="0"/>
          <w:trHeight w:val="571" w:hRule="atLeast"/>
          <w:tblHeader w:val="0"/>
        </w:trPr>
        <w:tc>
          <w:tcPr/>
          <w:p w:rsidR="00000000" w:rsidDel="00000000" w:rsidP="00000000" w:rsidRDefault="00000000" w:rsidRPr="00000000" w14:paraId="00000053">
            <w:pPr>
              <w:rPr>
                <w:sz w:val="24"/>
                <w:szCs w:val="24"/>
              </w:rPr>
            </w:pPr>
            <w:r w:rsidDel="00000000" w:rsidR="00000000" w:rsidRPr="00000000">
              <w:rPr>
                <w:sz w:val="24"/>
                <w:szCs w:val="24"/>
                <w:rtl w:val="0"/>
              </w:rPr>
              <w:t xml:space="preserve">Current Ratio</w:t>
            </w:r>
          </w:p>
        </w:tc>
        <w:tc>
          <w:tcPr/>
          <w:p w:rsidR="00000000" w:rsidDel="00000000" w:rsidP="00000000" w:rsidRDefault="00000000" w:rsidRPr="00000000" w14:paraId="00000054">
            <w:pPr>
              <w:rPr>
                <w:sz w:val="24"/>
                <w:szCs w:val="24"/>
              </w:rPr>
            </w:pPr>
            <w:r w:rsidDel="00000000" w:rsidR="00000000" w:rsidRPr="00000000">
              <w:rPr>
                <w:sz w:val="24"/>
                <w:szCs w:val="24"/>
                <w:rtl w:val="0"/>
              </w:rPr>
              <w:t xml:space="preserve">1.39</w:t>
            </w:r>
          </w:p>
        </w:tc>
      </w:tr>
      <w:tr>
        <w:trPr>
          <w:cantSplit w:val="0"/>
          <w:trHeight w:val="120" w:hRule="atLeast"/>
          <w:tblHeader w:val="0"/>
        </w:trPr>
        <w:tc>
          <w:tcPr/>
          <w:p w:rsidR="00000000" w:rsidDel="00000000" w:rsidP="00000000" w:rsidRDefault="00000000" w:rsidRPr="00000000" w14:paraId="00000055">
            <w:pPr>
              <w:rPr>
                <w:sz w:val="24"/>
                <w:szCs w:val="24"/>
              </w:rPr>
            </w:pPr>
            <w:r w:rsidDel="00000000" w:rsidR="00000000" w:rsidRPr="00000000">
              <w:rPr>
                <w:sz w:val="24"/>
                <w:szCs w:val="24"/>
                <w:rtl w:val="0"/>
              </w:rPr>
              <w:t xml:space="preserve">Quick Ratio</w:t>
            </w:r>
          </w:p>
        </w:tc>
        <w:tc>
          <w:tcPr/>
          <w:p w:rsidR="00000000" w:rsidDel="00000000" w:rsidP="00000000" w:rsidRDefault="00000000" w:rsidRPr="00000000" w14:paraId="00000056">
            <w:pPr>
              <w:rPr>
                <w:sz w:val="24"/>
                <w:szCs w:val="24"/>
              </w:rPr>
            </w:pPr>
            <w:r w:rsidDel="00000000" w:rsidR="00000000" w:rsidRPr="00000000">
              <w:rPr>
                <w:sz w:val="24"/>
                <w:szCs w:val="24"/>
                <w:rtl w:val="0"/>
              </w:rPr>
              <w:t xml:space="preserve">0.89</w:t>
            </w:r>
          </w:p>
        </w:tc>
      </w:tr>
      <w:tr>
        <w:trPr>
          <w:cantSplit w:val="0"/>
          <w:trHeight w:val="305" w:hRule="atLeast"/>
          <w:tblHeader w:val="0"/>
        </w:trPr>
        <w:tc>
          <w:tcPr/>
          <w:p w:rsidR="00000000" w:rsidDel="00000000" w:rsidP="00000000" w:rsidRDefault="00000000" w:rsidRPr="00000000" w14:paraId="00000057">
            <w:pPr>
              <w:rPr>
                <w:sz w:val="24"/>
                <w:szCs w:val="24"/>
              </w:rPr>
            </w:pPr>
            <w:r w:rsidDel="00000000" w:rsidR="00000000" w:rsidRPr="00000000">
              <w:rPr>
                <w:sz w:val="24"/>
                <w:szCs w:val="24"/>
                <w:rtl w:val="0"/>
              </w:rPr>
              <w:t xml:space="preserve">Debt-to-Equity Ratio</w:t>
            </w:r>
          </w:p>
        </w:tc>
        <w:tc>
          <w:tcPr/>
          <w:p w:rsidR="00000000" w:rsidDel="00000000" w:rsidP="00000000" w:rsidRDefault="00000000" w:rsidRPr="00000000" w14:paraId="00000058">
            <w:pPr>
              <w:rPr>
                <w:sz w:val="24"/>
                <w:szCs w:val="24"/>
              </w:rPr>
            </w:pPr>
            <w:r w:rsidDel="00000000" w:rsidR="00000000" w:rsidRPr="00000000">
              <w:rPr>
                <w:sz w:val="24"/>
                <w:szCs w:val="24"/>
                <w:rtl w:val="0"/>
              </w:rPr>
              <w:t xml:space="preserve">                                         1.11</w:t>
            </w:r>
          </w:p>
        </w:tc>
      </w:tr>
      <w:tr>
        <w:trPr>
          <w:cantSplit w:val="0"/>
          <w:trHeight w:val="233" w:hRule="atLeast"/>
          <w:tblHeader w:val="0"/>
        </w:trPr>
        <w:tc>
          <w:tcPr/>
          <w:p w:rsidR="00000000" w:rsidDel="00000000" w:rsidP="00000000" w:rsidRDefault="00000000" w:rsidRPr="00000000" w14:paraId="00000059">
            <w:pPr>
              <w:rPr>
                <w:sz w:val="24"/>
                <w:szCs w:val="24"/>
              </w:rPr>
            </w:pPr>
            <w:r w:rsidDel="00000000" w:rsidR="00000000" w:rsidRPr="00000000">
              <w:rPr>
                <w:sz w:val="24"/>
                <w:szCs w:val="24"/>
                <w:rtl w:val="0"/>
              </w:rPr>
              <w:t xml:space="preserve">Return on Assets</w:t>
            </w:r>
          </w:p>
        </w:tc>
        <w:tc>
          <w:tcPr/>
          <w:p w:rsidR="00000000" w:rsidDel="00000000" w:rsidP="00000000" w:rsidRDefault="00000000" w:rsidRPr="00000000" w14:paraId="0000005A">
            <w:pPr>
              <w:rPr>
                <w:sz w:val="24"/>
                <w:szCs w:val="24"/>
              </w:rPr>
            </w:pPr>
            <w:r w:rsidDel="00000000" w:rsidR="00000000" w:rsidRPr="00000000">
              <w:rPr>
                <w:sz w:val="24"/>
                <w:szCs w:val="24"/>
                <w:rtl w:val="0"/>
              </w:rPr>
              <w:t xml:space="preserve">-0.03958</w:t>
            </w:r>
          </w:p>
        </w:tc>
      </w:tr>
      <w:tr>
        <w:trPr>
          <w:cantSplit w:val="0"/>
          <w:trHeight w:val="233" w:hRule="atLeast"/>
          <w:tblHeader w:val="0"/>
        </w:trPr>
        <w:tc>
          <w:tcPr/>
          <w:p w:rsidR="00000000" w:rsidDel="00000000" w:rsidP="00000000" w:rsidRDefault="00000000" w:rsidRPr="00000000" w14:paraId="0000005B">
            <w:pPr>
              <w:rPr>
                <w:sz w:val="24"/>
                <w:szCs w:val="24"/>
              </w:rPr>
            </w:pPr>
            <w:r w:rsidDel="00000000" w:rsidR="00000000" w:rsidRPr="00000000">
              <w:rPr>
                <w:sz w:val="24"/>
                <w:szCs w:val="24"/>
                <w:rtl w:val="0"/>
              </w:rPr>
              <w:t xml:space="preserve">Return on Equity</w:t>
            </w:r>
          </w:p>
        </w:tc>
        <w:tc>
          <w:tcPr/>
          <w:p w:rsidR="00000000" w:rsidDel="00000000" w:rsidP="00000000" w:rsidRDefault="00000000" w:rsidRPr="00000000" w14:paraId="0000005C">
            <w:pPr>
              <w:rPr>
                <w:sz w:val="24"/>
                <w:szCs w:val="24"/>
              </w:rPr>
            </w:pPr>
            <w:r w:rsidDel="00000000" w:rsidR="00000000" w:rsidRPr="00000000">
              <w:rPr>
                <w:sz w:val="24"/>
                <w:szCs w:val="24"/>
                <w:rtl w:val="0"/>
              </w:rPr>
              <w:t xml:space="preserve">-0.10556</w:t>
            </w:r>
          </w:p>
        </w:tc>
      </w:tr>
    </w:tbl>
    <w:p w:rsidR="00000000" w:rsidDel="00000000" w:rsidP="00000000" w:rsidRDefault="00000000" w:rsidRPr="00000000" w14:paraId="0000005D">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Analyzing important financial parameters offers complex perspectives on the resort's financial situation. A robust 1.39 for the current ratio, a gauge of short-term solvency, indicates that there is sufficient cash on hand to meet short-term obligations. On the other hand, the quick ratio of 0.89 indicates possible problems with liquidity and calls for a more thorough analysis of current assets. With a debt-to-equity ratio of 1.11, the company is heavily dependent on debt, which highlights the importance of careful debt management. The low numbers of Return on Equity (ROE) and Return on Assets (ROA) highlight the need for a thorough financial reorganization in order to increase shareholder value and profitability.</w:t>
      </w:r>
    </w:p>
    <w:p w:rsidR="00000000" w:rsidDel="00000000" w:rsidP="00000000" w:rsidRDefault="00000000" w:rsidRPr="00000000" w14:paraId="0000005F">
      <w:pPr>
        <w:spacing w:line="360" w:lineRule="auto"/>
        <w:jc w:val="both"/>
        <w:rPr>
          <w:rFonts w:ascii="Arial" w:cs="Arial" w:eastAsia="Arial" w:hAnsi="Arial"/>
          <w:sz w:val="24"/>
          <w:szCs w:val="24"/>
        </w:rPr>
      </w:pPr>
      <w:bookmarkStart w:colFirst="0" w:colLast="0" w:name="_heading=h.2et92p0" w:id="4"/>
      <w:bookmarkEnd w:id="4"/>
      <w:r w:rsidDel="00000000" w:rsidR="00000000" w:rsidRPr="00000000">
        <w:rPr>
          <w:rFonts w:ascii="Arial" w:cs="Arial" w:eastAsia="Arial" w:hAnsi="Arial"/>
          <w:sz w:val="24"/>
          <w:szCs w:val="24"/>
          <w:rtl w:val="0"/>
        </w:rPr>
        <w:t xml:space="preserve">The Seaview Resort's operational performance may be better understood with the help of the extra financial data consisting of Average Room Rate (ARR) and Occupancy Rate. A probable difficulty in retaining hotel income is shown by the dropping trend in Average hotel Rate, which is projected to fall from $250 in 2020 to $210 in 2022. While this is happening, the occupancy rate is falling as well, from 70% in 2020 to 60% in 2022. This combination shows a deterioration in both the pricing power and the capacity to fill available rooms, reducing total revenue production. A thorough turnaround strategy to improve the resort's financial health must address these issues (</w:t>
      </w:r>
      <w:r w:rsidDel="00000000" w:rsidR="00000000" w:rsidRPr="00000000">
        <w:rPr>
          <w:rFonts w:ascii="Arial" w:cs="Arial" w:eastAsia="Arial" w:hAnsi="Arial"/>
          <w:color w:val="222222"/>
          <w:sz w:val="24"/>
          <w:szCs w:val="24"/>
          <w:highlight w:val="white"/>
          <w:rtl w:val="0"/>
        </w:rPr>
        <w:t xml:space="preserve">Crespí, 2021).</w:t>
      </w:r>
      <w:r w:rsidDel="00000000" w:rsidR="00000000" w:rsidRPr="00000000">
        <w:rPr>
          <w:rtl w:val="0"/>
        </w:rPr>
      </w:r>
    </w:p>
    <w:p w:rsidR="00000000" w:rsidDel="00000000" w:rsidP="00000000" w:rsidRDefault="00000000" w:rsidRPr="00000000" w14:paraId="00000060">
      <w:pPr>
        <w:pStyle w:val="Heading1"/>
        <w:spacing w:after="120" w:before="120" w:line="360" w:lineRule="auto"/>
        <w:rPr>
          <w:rFonts w:ascii="Arial" w:cs="Arial" w:eastAsia="Arial" w:hAnsi="Arial"/>
          <w:b w:val="1"/>
          <w:sz w:val="24"/>
          <w:szCs w:val="24"/>
        </w:rPr>
      </w:pPr>
      <w:bookmarkStart w:colFirst="0" w:colLast="0" w:name="_heading=h.tyjcwt" w:id="5"/>
      <w:bookmarkEnd w:id="5"/>
      <w:r w:rsidDel="00000000" w:rsidR="00000000" w:rsidRPr="00000000">
        <w:rPr>
          <w:rFonts w:ascii="Arial" w:cs="Arial" w:eastAsia="Arial" w:hAnsi="Arial"/>
          <w:b w:val="1"/>
          <w:sz w:val="24"/>
          <w:szCs w:val="24"/>
          <w:rtl w:val="0"/>
        </w:rPr>
        <w:t xml:space="preserve">SWOT Analysis:</w:t>
      </w:r>
    </w:p>
    <w:p w:rsidR="00000000" w:rsidDel="00000000" w:rsidP="00000000" w:rsidRDefault="00000000" w:rsidRPr="00000000" w14:paraId="00000061">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Strengths: </w:t>
      </w:r>
    </w:p>
    <w:p w:rsidR="00000000" w:rsidDel="00000000" w:rsidP="00000000" w:rsidRDefault="00000000" w:rsidRPr="00000000" w14:paraId="0000006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Seaview Resort offers visitors a getaway into unspoiled nature and benefits greatly from its picturesque seaside position. Its well-known brand has long drawn luxury and peace-seeking travelers, laying the groundwork for a robust market presence.</w:t>
      </w:r>
    </w:p>
    <w:p w:rsidR="00000000" w:rsidDel="00000000" w:rsidP="00000000" w:rsidRDefault="00000000" w:rsidRPr="00000000" w14:paraId="00000063">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Weaknesses: </w:t>
      </w:r>
    </w:p>
    <w:p w:rsidR="00000000" w:rsidDel="00000000" w:rsidP="00000000" w:rsidRDefault="00000000" w:rsidRPr="00000000" w14:paraId="0000006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Notwithstanding its positive aspects, the resort has problems including antiquated features and a discernible drop in service caliber. These flaws have led to a drop in client satisfaction, which has damaged the company's brand and necessitates quick response.</w:t>
      </w:r>
    </w:p>
    <w:p w:rsidR="00000000" w:rsidDel="00000000" w:rsidP="00000000" w:rsidRDefault="00000000" w:rsidRPr="00000000" w14:paraId="00000065">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Opportunities: </w:t>
      </w:r>
    </w:p>
    <w:p w:rsidR="00000000" w:rsidDel="00000000" w:rsidP="00000000" w:rsidRDefault="00000000" w:rsidRPr="00000000" w14:paraId="0000006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Seaview Resort has a fantastic potential to pursue rebranding efforts. The resort may reinvent itself as a cutting-edge, eco-friendly travel destination by coordinating with new developments in experiential and eco-friendly travel (</w:t>
      </w:r>
      <w:r w:rsidDel="00000000" w:rsidR="00000000" w:rsidRPr="00000000">
        <w:rPr>
          <w:rFonts w:ascii="Arial" w:cs="Arial" w:eastAsia="Arial" w:hAnsi="Arial"/>
          <w:color w:val="222222"/>
          <w:sz w:val="24"/>
          <w:szCs w:val="24"/>
          <w:highlight w:val="white"/>
          <w:rtl w:val="0"/>
        </w:rPr>
        <w:t xml:space="preserve">GOLOVETSKY 2019)</w:t>
      </w:r>
      <w:r w:rsidDel="00000000" w:rsidR="00000000" w:rsidRPr="00000000">
        <w:rPr>
          <w:rFonts w:ascii="Arial" w:cs="Arial" w:eastAsia="Arial" w:hAnsi="Arial"/>
          <w:sz w:val="24"/>
          <w:szCs w:val="24"/>
          <w:rtl w:val="0"/>
        </w:rPr>
        <w:t xml:space="preserve">. This calculated change in strategy might bring in a fresh group of eco-aware tourists and revitalize the clientele.</w:t>
      </w:r>
    </w:p>
    <w:p w:rsidR="00000000" w:rsidDel="00000000" w:rsidP="00000000" w:rsidRDefault="00000000" w:rsidRPr="00000000" w14:paraId="00000067">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Threats: </w:t>
      </w:r>
    </w:p>
    <w:p w:rsidR="00000000" w:rsidDel="00000000" w:rsidP="00000000" w:rsidRDefault="00000000" w:rsidRPr="00000000" w14:paraId="0000006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is intense competition among the more recent and contemporary enterprises in the beach resort industry. Furthermore, the conventional approach of The Seaview Resort is under danger from the changing tastes of customers, who are placing an emphasis on eco-friendly and experience components (</w:t>
      </w:r>
      <w:r w:rsidDel="00000000" w:rsidR="00000000" w:rsidRPr="00000000">
        <w:rPr>
          <w:rFonts w:ascii="Arial" w:cs="Arial" w:eastAsia="Arial" w:hAnsi="Arial"/>
          <w:color w:val="222222"/>
          <w:sz w:val="24"/>
          <w:szCs w:val="24"/>
          <w:highlight w:val="white"/>
          <w:rtl w:val="0"/>
        </w:rPr>
        <w:t xml:space="preserve">Teoli, 2019)</w:t>
      </w:r>
      <w:r w:rsidDel="00000000" w:rsidR="00000000" w:rsidRPr="00000000">
        <w:rPr>
          <w:rFonts w:ascii="Arial" w:cs="Arial" w:eastAsia="Arial" w:hAnsi="Arial"/>
          <w:sz w:val="24"/>
          <w:szCs w:val="24"/>
          <w:rtl w:val="0"/>
        </w:rPr>
        <w:t xml:space="preserve">. Strategic adjustments are needed to overcome these obstacles in order to keep the resort relevant and secure its place in the fast-paced hospitality sector.</w:t>
      </w:r>
    </w:p>
    <w:p w:rsidR="00000000" w:rsidDel="00000000" w:rsidP="00000000" w:rsidRDefault="00000000" w:rsidRPr="00000000" w14:paraId="00000069">
      <w:pPr>
        <w:pStyle w:val="Heading1"/>
        <w:spacing w:after="120" w:before="120" w:line="360" w:lineRule="auto"/>
        <w:rPr>
          <w:rFonts w:ascii="Arial" w:cs="Arial" w:eastAsia="Arial" w:hAnsi="Arial"/>
          <w:b w:val="1"/>
          <w:sz w:val="24"/>
          <w:szCs w:val="24"/>
        </w:rPr>
      </w:pPr>
      <w:bookmarkStart w:colFirst="0" w:colLast="0" w:name="_heading=h.3dy6vkm" w:id="6"/>
      <w:bookmarkEnd w:id="6"/>
      <w:r w:rsidDel="00000000" w:rsidR="00000000" w:rsidRPr="00000000">
        <w:rPr>
          <w:rFonts w:ascii="Arial" w:cs="Arial" w:eastAsia="Arial" w:hAnsi="Arial"/>
          <w:b w:val="1"/>
          <w:sz w:val="24"/>
          <w:szCs w:val="24"/>
          <w:rtl w:val="0"/>
        </w:rPr>
        <w:t xml:space="preserve">Market Analysis: Navigating Dynamic Tides in the Hospitality Horizon</w:t>
      </w:r>
    </w:p>
    <w:p w:rsidR="00000000" w:rsidDel="00000000" w:rsidP="00000000" w:rsidRDefault="00000000" w:rsidRPr="00000000" w14:paraId="0000006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Seaview Resort is negotiating a difficult environment in a changing coastal market characterized by fierce competition and shifting customer tastes. A thorough examination explores the nuances of the market and the competition, providing a road map for possible development directions and strategic positioning (</w:t>
      </w:r>
      <w:r w:rsidDel="00000000" w:rsidR="00000000" w:rsidRPr="00000000">
        <w:rPr>
          <w:rFonts w:ascii="Arial" w:cs="Arial" w:eastAsia="Arial" w:hAnsi="Arial"/>
          <w:color w:val="222222"/>
          <w:sz w:val="24"/>
          <w:szCs w:val="24"/>
          <w:highlight w:val="white"/>
          <w:rtl w:val="0"/>
        </w:rPr>
        <w:t xml:space="preserve">Lin, 2020).</w:t>
      </w:r>
      <w:r w:rsidDel="00000000" w:rsidR="00000000" w:rsidRPr="00000000">
        <w:rPr>
          <w:rtl w:val="0"/>
        </w:rPr>
      </w:r>
    </w:p>
    <w:p w:rsidR="00000000" w:rsidDel="00000000" w:rsidP="00000000" w:rsidRDefault="00000000" w:rsidRPr="00000000" w14:paraId="0000006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Seaview Resort's surrounding seaside resort market is distinguished by the strong presence of more recent, modern facilities. The traveler of today is clearly showing signs of change, favoring immersive and environmentally conscious travel. The resort's assets are its well-known brand and picturesque coastline setting, which have long drawn guests looking for an opulent and natural escape (</w:t>
      </w:r>
      <w:r w:rsidDel="00000000" w:rsidR="00000000" w:rsidRPr="00000000">
        <w:rPr>
          <w:rFonts w:ascii="Arial" w:cs="Arial" w:eastAsia="Arial" w:hAnsi="Arial"/>
          <w:color w:val="222222"/>
          <w:sz w:val="24"/>
          <w:szCs w:val="24"/>
          <w:highlight w:val="white"/>
          <w:rtl w:val="0"/>
        </w:rPr>
        <w:t xml:space="preserve">Liu, 2020)</w:t>
      </w:r>
      <w:r w:rsidDel="00000000" w:rsidR="00000000" w:rsidRPr="00000000">
        <w:rPr>
          <w:rFonts w:ascii="Arial" w:cs="Arial" w:eastAsia="Arial" w:hAnsi="Arial"/>
          <w:sz w:val="24"/>
          <w:szCs w:val="24"/>
          <w:rtl w:val="0"/>
        </w:rPr>
        <w:t xml:space="preserve">. But the resort's acknowledged flaws, such antiquated amenities and a drop in service quality, have made guests less satisfied, which raises questions about the resort's competitive position.</w:t>
      </w:r>
    </w:p>
    <w:p w:rsidR="00000000" w:rsidDel="00000000" w:rsidP="00000000" w:rsidRDefault="00000000" w:rsidRPr="00000000" w14:paraId="0000006C">
      <w:pPr>
        <w:tabs>
          <w:tab w:val="left" w:leader="none" w:pos="3870"/>
        </w:tabs>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Target Customer Segments: </w:t>
        <w:tab/>
      </w:r>
    </w:p>
    <w:p w:rsidR="00000000" w:rsidDel="00000000" w:rsidP="00000000" w:rsidRDefault="00000000" w:rsidRPr="00000000" w14:paraId="0000006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Target client categories must be identified and catered to by The Seaview Resort in order to revitalize its market position. Putting an emphasis on eco-aware tourists looking for sustainable luxury fits nicely with current trends. Maintaining a harmony between modern conveniences and natural tranquility may draw both traditional and modern tourists, increasing the clientele (</w:t>
      </w:r>
      <w:r w:rsidDel="00000000" w:rsidR="00000000" w:rsidRPr="00000000">
        <w:rPr>
          <w:rFonts w:ascii="Arial" w:cs="Arial" w:eastAsia="Arial" w:hAnsi="Arial"/>
          <w:color w:val="222222"/>
          <w:sz w:val="24"/>
          <w:szCs w:val="24"/>
          <w:highlight w:val="white"/>
          <w:rtl w:val="0"/>
        </w:rPr>
        <w:t xml:space="preserve">Ernawati, 2021).</w:t>
      </w:r>
      <w:r w:rsidDel="00000000" w:rsidR="00000000" w:rsidRPr="00000000">
        <w:rPr>
          <w:rtl w:val="0"/>
        </w:rPr>
      </w:r>
    </w:p>
    <w:p w:rsidR="00000000" w:rsidDel="00000000" w:rsidP="00000000" w:rsidRDefault="00000000" w:rsidRPr="00000000" w14:paraId="0000006E">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Potential Growth Opportunities: </w:t>
      </w:r>
    </w:p>
    <w:p w:rsidR="00000000" w:rsidDel="00000000" w:rsidP="00000000" w:rsidRDefault="00000000" w:rsidRPr="00000000" w14:paraId="0000006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Keeping up with market developments presents strategic growth chances. Rebranding campaigns that include sustainability and modernity provide a great chance to draw in a new generation of environmentally concerned tourists. Enhancing the resort's attractiveness might involve developing immersive packages and collaborating with local eco-friendly projects. Furthermore, marketing campaigns aimed at certain markets, like health retreats or environmentally aware events, might lead to new sources of income (</w:t>
      </w:r>
      <w:r w:rsidDel="00000000" w:rsidR="00000000" w:rsidRPr="00000000">
        <w:rPr>
          <w:rFonts w:ascii="Arial" w:cs="Arial" w:eastAsia="Arial" w:hAnsi="Arial"/>
          <w:color w:val="222222"/>
          <w:sz w:val="24"/>
          <w:szCs w:val="24"/>
          <w:highlight w:val="white"/>
          <w:rtl w:val="0"/>
        </w:rPr>
        <w:t xml:space="preserve">Seyitoğlu, 2020).</w:t>
      </w:r>
      <w:r w:rsidDel="00000000" w:rsidR="00000000" w:rsidRPr="00000000">
        <w:rPr>
          <w:rtl w:val="0"/>
        </w:rPr>
      </w:r>
    </w:p>
    <w:p w:rsidR="00000000" w:rsidDel="00000000" w:rsidP="00000000" w:rsidRDefault="00000000" w:rsidRPr="00000000" w14:paraId="0000007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It takes initiative to adjust to the cutthroat coastal market. The Seaview Resort may take use of its well-known brand and picturesque setting while fixing its noted flaws. In addition to defending the resort's market position, a comprehensive grasp of market dynamics combined with focused initiatives will open the door for further expansion in a sector that depends heavily on innovation and adaptability to changing customer expectations (</w:t>
      </w:r>
      <w:r w:rsidDel="00000000" w:rsidR="00000000" w:rsidRPr="00000000">
        <w:rPr>
          <w:rFonts w:ascii="Arial" w:cs="Arial" w:eastAsia="Arial" w:hAnsi="Arial"/>
          <w:color w:val="222222"/>
          <w:sz w:val="24"/>
          <w:szCs w:val="24"/>
          <w:highlight w:val="white"/>
          <w:rtl w:val="0"/>
        </w:rPr>
        <w:t xml:space="preserve">Hakim, 2021).</w:t>
      </w:r>
      <w:r w:rsidDel="00000000" w:rsidR="00000000" w:rsidRPr="00000000">
        <w:rPr>
          <w:rtl w:val="0"/>
        </w:rPr>
      </w:r>
    </w:p>
    <w:p w:rsidR="00000000" w:rsidDel="00000000" w:rsidP="00000000" w:rsidRDefault="00000000" w:rsidRPr="00000000" w14:paraId="00000071">
      <w:pPr>
        <w:pStyle w:val="Heading1"/>
        <w:spacing w:after="120" w:before="120" w:line="360" w:lineRule="auto"/>
        <w:rPr>
          <w:rFonts w:ascii="Arial" w:cs="Arial" w:eastAsia="Arial" w:hAnsi="Arial"/>
          <w:b w:val="1"/>
          <w:sz w:val="24"/>
          <w:szCs w:val="24"/>
        </w:rPr>
      </w:pPr>
      <w:bookmarkStart w:colFirst="0" w:colLast="0" w:name="_heading=h.1t3h5sf" w:id="7"/>
      <w:bookmarkEnd w:id="7"/>
      <w:r w:rsidDel="00000000" w:rsidR="00000000" w:rsidRPr="00000000">
        <w:rPr>
          <w:rFonts w:ascii="Arial" w:cs="Arial" w:eastAsia="Arial" w:hAnsi="Arial"/>
          <w:b w:val="1"/>
          <w:sz w:val="24"/>
          <w:szCs w:val="24"/>
          <w:rtl w:val="0"/>
        </w:rPr>
        <w:t xml:space="preserve">Turnaround Strategy:</w:t>
      </w:r>
    </w:p>
    <w:p w:rsidR="00000000" w:rsidDel="00000000" w:rsidP="00000000" w:rsidRDefault="00000000" w:rsidRPr="00000000" w14:paraId="00000072">
      <w:pPr>
        <w:spacing w:line="360" w:lineRule="auto"/>
        <w:jc w:val="both"/>
        <w:rPr>
          <w:sz w:val="24"/>
          <w:szCs w:val="24"/>
        </w:rPr>
      </w:pPr>
      <w:r w:rsidDel="00000000" w:rsidR="00000000" w:rsidRPr="00000000">
        <w:rPr>
          <w:rFonts w:ascii="Arial" w:cs="Arial" w:eastAsia="Arial" w:hAnsi="Arial"/>
          <w:sz w:val="24"/>
          <w:szCs w:val="24"/>
          <w:rtl w:val="0"/>
        </w:rPr>
        <w:t xml:space="preserve">The turnaround plan of The Seaview Resort is centered on a diversified approach, as determined by the thorough study. Above all, a modernization and refurbishment project will update antiquated facilities and improve the overall visitor experience. At the same time, putting eco-friendly principles into practice fits in with market trends and attracts visitors who care about the environment (</w:t>
      </w:r>
      <w:r w:rsidDel="00000000" w:rsidR="00000000" w:rsidRPr="00000000">
        <w:rPr>
          <w:rFonts w:ascii="Arial" w:cs="Arial" w:eastAsia="Arial" w:hAnsi="Arial"/>
          <w:color w:val="222222"/>
          <w:sz w:val="24"/>
          <w:szCs w:val="24"/>
          <w:highlight w:val="white"/>
          <w:rtl w:val="0"/>
        </w:rPr>
        <w:t xml:space="preserve">Shahri, 2020)</w:t>
      </w:r>
      <w:r w:rsidDel="00000000" w:rsidR="00000000" w:rsidRPr="00000000">
        <w:rPr>
          <w:rFonts w:ascii="Arial" w:cs="Arial" w:eastAsia="Arial" w:hAnsi="Arial"/>
          <w:sz w:val="24"/>
          <w:szCs w:val="24"/>
          <w:rtl w:val="0"/>
        </w:rPr>
        <w:t xml:space="preserve">. Customer satisfaction issues will be addressed by staff training initiatives that improve service quality. Using aggressive marketing techniques, the resort will highlight its updated services and take a new place in the competitive market. In addition to restoring financial stability, this all-encompassing approach seeks to establish The Seaview Resort as a chic and in-demand travel destination that successfully caters to the changing tastes of the target market.</w:t>
      </w:r>
      <w:r w:rsidDel="00000000" w:rsidR="00000000" w:rsidRPr="00000000">
        <w:rPr>
          <w:sz w:val="24"/>
          <w:szCs w:val="24"/>
          <w:rtl w:val="0"/>
        </w:rPr>
        <w:tab/>
      </w:r>
    </w:p>
    <w:p w:rsidR="00000000" w:rsidDel="00000000" w:rsidP="00000000" w:rsidRDefault="00000000" w:rsidRPr="00000000" w14:paraId="00000073">
      <w:pPr>
        <w:pStyle w:val="Heading1"/>
        <w:spacing w:after="120" w:before="120" w:line="360" w:lineRule="auto"/>
        <w:rPr>
          <w:rFonts w:ascii="Arial" w:cs="Arial" w:eastAsia="Arial" w:hAnsi="Arial"/>
          <w:b w:val="1"/>
          <w:sz w:val="24"/>
          <w:szCs w:val="24"/>
        </w:rPr>
      </w:pPr>
      <w:bookmarkStart w:colFirst="0" w:colLast="0" w:name="_heading=h.4d34og8" w:id="8"/>
      <w:bookmarkEnd w:id="8"/>
      <w:r w:rsidDel="00000000" w:rsidR="00000000" w:rsidRPr="00000000">
        <w:rPr>
          <w:rFonts w:ascii="Arial" w:cs="Arial" w:eastAsia="Arial" w:hAnsi="Arial"/>
          <w:b w:val="1"/>
          <w:sz w:val="24"/>
          <w:szCs w:val="24"/>
          <w:rtl w:val="0"/>
        </w:rPr>
        <w:t xml:space="preserve">Financial Projections:</w:t>
      </w:r>
    </w:p>
    <w:p w:rsidR="00000000" w:rsidDel="00000000" w:rsidP="00000000" w:rsidRDefault="00000000" w:rsidRPr="00000000" w14:paraId="0000007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Revenue Growth:</w:t>
      </w:r>
    </w:p>
    <w:p w:rsidR="00000000" w:rsidDel="00000000" w:rsidP="00000000" w:rsidRDefault="00000000" w:rsidRPr="00000000" w14:paraId="0000007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Seaview Resort's financial forecasts call for a strategic recovery and revenue increase over the next four years. The resort's goal is to achieve or exceed its 2020 revenue levels through the implementation of the turnaround strategy. The actual growth % will rely on the efficiency of the plan in recruiting new clients, maintaining existing ones, and capitalizing on rising market trends.</w:t>
      </w:r>
    </w:p>
    <w:p w:rsidR="00000000" w:rsidDel="00000000" w:rsidP="00000000" w:rsidRDefault="00000000" w:rsidRPr="00000000" w14:paraId="0000007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Net Profit Margin Target:</w:t>
      </w:r>
    </w:p>
    <w:p w:rsidR="00000000" w:rsidDel="00000000" w:rsidP="00000000" w:rsidRDefault="00000000" w:rsidRPr="00000000" w14:paraId="0000007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Over the forecast period, the net profit margin is anticipated to increase significantly. The aim is to attain a positive net profit margin, demonstrating a return to profitability. The key to maintaining this upward trend is achieving optimum levels of cost control, operational efficiency, and financial output (</w:t>
      </w:r>
      <w:r w:rsidDel="00000000" w:rsidR="00000000" w:rsidRPr="00000000">
        <w:rPr>
          <w:rFonts w:ascii="Arial" w:cs="Arial" w:eastAsia="Arial" w:hAnsi="Arial"/>
          <w:color w:val="222222"/>
          <w:sz w:val="24"/>
          <w:szCs w:val="24"/>
          <w:highlight w:val="white"/>
          <w:rtl w:val="0"/>
        </w:rPr>
        <w:t xml:space="preserve">Majumdar, 2019).</w:t>
      </w:r>
      <w:r w:rsidDel="00000000" w:rsidR="00000000" w:rsidRPr="00000000">
        <w:rPr>
          <w:rtl w:val="0"/>
        </w:rPr>
      </w:r>
    </w:p>
    <w:p w:rsidR="00000000" w:rsidDel="00000000" w:rsidP="00000000" w:rsidRDefault="00000000" w:rsidRPr="00000000" w14:paraId="0000007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Cash Flow Break-even:</w:t>
      </w:r>
    </w:p>
    <w:p w:rsidR="00000000" w:rsidDel="00000000" w:rsidP="00000000" w:rsidRDefault="00000000" w:rsidRPr="00000000" w14:paraId="0000007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After adopting the turnaround approach, the resort hopes to be profitable again within two years. Reaching this landmark is crucial for long-term fiscal health. Increased income, cost reduction strategies, and operational improvements are all necessary to reach break-even. It's a crucial gauge of how well the approach is working to revive The Seaview Resort's finances and replenish its cash reserves.</w:t>
      </w:r>
    </w:p>
    <w:p w:rsidR="00000000" w:rsidDel="00000000" w:rsidP="00000000" w:rsidRDefault="00000000" w:rsidRPr="00000000" w14:paraId="0000007A">
      <w:pPr>
        <w:pStyle w:val="Heading1"/>
        <w:spacing w:after="120" w:before="120" w:line="360" w:lineRule="auto"/>
        <w:rPr>
          <w:rFonts w:ascii="Arial" w:cs="Arial" w:eastAsia="Arial" w:hAnsi="Arial"/>
          <w:b w:val="1"/>
          <w:sz w:val="24"/>
          <w:szCs w:val="24"/>
        </w:rPr>
      </w:pPr>
      <w:bookmarkStart w:colFirst="0" w:colLast="0" w:name="_heading=h.2s8eyo1" w:id="9"/>
      <w:bookmarkEnd w:id="9"/>
      <w:r w:rsidDel="00000000" w:rsidR="00000000" w:rsidRPr="00000000">
        <w:rPr>
          <w:rFonts w:ascii="Arial" w:cs="Arial" w:eastAsia="Arial" w:hAnsi="Arial"/>
          <w:b w:val="1"/>
          <w:sz w:val="24"/>
          <w:szCs w:val="24"/>
          <w:rtl w:val="0"/>
        </w:rPr>
        <w:t xml:space="preserve">Risk Assessment:</w:t>
      </w:r>
    </w:p>
    <w:p w:rsidR="00000000" w:rsidDel="00000000" w:rsidP="00000000" w:rsidRDefault="00000000" w:rsidRPr="00000000" w14:paraId="0000007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turnaround plan offers The Seaview Resort a bright future, but there are hazards and obstacles that need to be recognized and taken care of. There is still a lot of market rivalry, and there are constant risks due to changing consumer tastes. Continuous market analysis is essential to reducing these and enabling the resort to quickly adjust to shifting dynamics. Stakeholders may oppose or be skeptical of the financial restructuring; in order to win their support, open dialogue and stakeholder involvement are crucial (</w:t>
      </w:r>
      <w:r w:rsidDel="00000000" w:rsidR="00000000" w:rsidRPr="00000000">
        <w:rPr>
          <w:rFonts w:ascii="Arial" w:cs="Arial" w:eastAsia="Arial" w:hAnsi="Arial"/>
          <w:color w:val="222222"/>
          <w:sz w:val="24"/>
          <w:szCs w:val="24"/>
          <w:highlight w:val="white"/>
          <w:rtl w:val="0"/>
        </w:rPr>
        <w:t xml:space="preserve">Xie, 2020)</w:t>
      </w:r>
      <w:r w:rsidDel="00000000" w:rsidR="00000000" w:rsidRPr="00000000">
        <w:rPr>
          <w:rFonts w:ascii="Arial" w:cs="Arial" w:eastAsia="Arial" w:hAnsi="Arial"/>
          <w:sz w:val="24"/>
          <w:szCs w:val="24"/>
          <w:rtl w:val="0"/>
        </w:rPr>
        <w:t xml:space="preserve">. Furthermore, there are inherent execution risks associated with implementing eco-friendly projects and upgrades. To guarantee a flawless implementation, strict project management and quality control procedures will be implemented (</w:t>
      </w:r>
      <w:r w:rsidDel="00000000" w:rsidR="00000000" w:rsidRPr="00000000">
        <w:rPr>
          <w:rFonts w:ascii="Arial" w:cs="Arial" w:eastAsia="Arial" w:hAnsi="Arial"/>
          <w:color w:val="222222"/>
          <w:sz w:val="24"/>
          <w:szCs w:val="24"/>
          <w:highlight w:val="white"/>
          <w:rtl w:val="0"/>
        </w:rPr>
        <w:t xml:space="preserve">Melián 2020)</w:t>
      </w:r>
      <w:r w:rsidDel="00000000" w:rsidR="00000000" w:rsidRPr="00000000">
        <w:rPr>
          <w:rFonts w:ascii="Arial" w:cs="Arial" w:eastAsia="Arial" w:hAnsi="Arial"/>
          <w:sz w:val="24"/>
          <w:szCs w:val="24"/>
          <w:rtl w:val="0"/>
        </w:rPr>
        <w:t xml:space="preserve">. All things considered, a proactive and flexible attitude to possible risks, together with efficient communication and execution tactics, will strengthen the resort against obstacles and promote the successful execution of the turnaround plan.</w:t>
      </w:r>
    </w:p>
    <w:p w:rsidR="00000000" w:rsidDel="00000000" w:rsidP="00000000" w:rsidRDefault="00000000" w:rsidRPr="00000000" w14:paraId="0000007C">
      <w:pPr>
        <w:pStyle w:val="Heading1"/>
        <w:spacing w:after="120" w:before="120" w:line="360" w:lineRule="auto"/>
        <w:rPr>
          <w:rFonts w:ascii="Arial" w:cs="Arial" w:eastAsia="Arial" w:hAnsi="Arial"/>
          <w:b w:val="1"/>
          <w:sz w:val="24"/>
          <w:szCs w:val="24"/>
        </w:rPr>
      </w:pPr>
      <w:bookmarkStart w:colFirst="0" w:colLast="0" w:name="_heading=h.17dp8vu" w:id="10"/>
      <w:bookmarkEnd w:id="10"/>
      <w:r w:rsidDel="00000000" w:rsidR="00000000" w:rsidRPr="00000000">
        <w:rPr>
          <w:rFonts w:ascii="Arial" w:cs="Arial" w:eastAsia="Arial" w:hAnsi="Arial"/>
          <w:b w:val="1"/>
          <w:sz w:val="24"/>
          <w:szCs w:val="24"/>
          <w:rtl w:val="0"/>
        </w:rPr>
        <w:t xml:space="preserve">Conclusion:</w:t>
      </w:r>
    </w:p>
    <w:p w:rsidR="00000000" w:rsidDel="00000000" w:rsidP="00000000" w:rsidRDefault="00000000" w:rsidRPr="00000000" w14:paraId="0000007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evaluation of The Seaview Resort concludes by highlighting how urgent a strategy change is. The suggested strategy, which addresses budgetary limitations, service standards, and market positioning, is essential to the resort's comeback. Positive financial consequences and regaining market significance are expected by updating amenities, adopting eco-friendly methods, and improving consumer experiences (</w:t>
      </w:r>
      <w:r w:rsidDel="00000000" w:rsidR="00000000" w:rsidRPr="00000000">
        <w:rPr>
          <w:rFonts w:ascii="Arial" w:cs="Arial" w:eastAsia="Arial" w:hAnsi="Arial"/>
          <w:color w:val="222222"/>
          <w:sz w:val="24"/>
          <w:szCs w:val="24"/>
          <w:highlight w:val="white"/>
          <w:rtl w:val="0"/>
        </w:rPr>
        <w:t xml:space="preserve">Míguez, 2023)</w:t>
      </w:r>
      <w:r w:rsidDel="00000000" w:rsidR="00000000" w:rsidRPr="00000000">
        <w:rPr>
          <w:rFonts w:ascii="Arial" w:cs="Arial" w:eastAsia="Arial" w:hAnsi="Arial"/>
          <w:sz w:val="24"/>
          <w:szCs w:val="24"/>
          <w:rtl w:val="0"/>
        </w:rPr>
        <w:t xml:space="preserve">. It is imperative that this be done quickly in order to guarantee the resort's financial recovery as well as its restoration to its former position as a top destination in the cutthroat hotel industry.</w:t>
      </w:r>
    </w:p>
    <w:p w:rsidR="00000000" w:rsidDel="00000000" w:rsidP="00000000" w:rsidRDefault="00000000" w:rsidRPr="00000000" w14:paraId="0000007E">
      <w:pPr>
        <w:pStyle w:val="Heading1"/>
        <w:spacing w:after="120" w:before="120" w:line="360" w:lineRule="auto"/>
        <w:rPr>
          <w:rFonts w:ascii="Arial" w:cs="Arial" w:eastAsia="Arial" w:hAnsi="Arial"/>
          <w:b w:val="1"/>
          <w:sz w:val="24"/>
          <w:szCs w:val="24"/>
        </w:rPr>
      </w:pPr>
      <w:bookmarkStart w:colFirst="0" w:colLast="0" w:name="_heading=h.3rdcrjn" w:id="11"/>
      <w:bookmarkEnd w:id="11"/>
      <w:r w:rsidDel="00000000" w:rsidR="00000000" w:rsidRPr="00000000">
        <w:rPr>
          <w:rFonts w:ascii="Arial" w:cs="Arial" w:eastAsia="Arial" w:hAnsi="Arial"/>
          <w:b w:val="1"/>
          <w:sz w:val="24"/>
          <w:szCs w:val="24"/>
          <w:rtl w:val="0"/>
        </w:rPr>
        <w:t xml:space="preserve">Recommendations:</w:t>
      </w:r>
    </w:p>
    <w:p w:rsidR="00000000" w:rsidDel="00000000" w:rsidP="00000000" w:rsidRDefault="00000000" w:rsidRPr="00000000" w14:paraId="0000007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order to effectively execute the turnaround plan, The Seaview Resort has to give top priority to: Quicken modernization and refurbishment projects in order to improve visitor experiences.</w:t>
      </w:r>
    </w:p>
    <w:p w:rsidR="00000000" w:rsidDel="00000000" w:rsidP="00000000" w:rsidRDefault="00000000" w:rsidRPr="00000000" w14:paraId="0000008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Communicate sustainability initiatives and incorporate eco-friendly practices.</w:t>
      </w:r>
    </w:p>
    <w:p w:rsidR="00000000" w:rsidDel="00000000" w:rsidP="00000000" w:rsidRDefault="00000000" w:rsidRPr="00000000" w14:paraId="0000008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Implement staff training initiatives as soon as possible to improve service quality.</w:t>
      </w:r>
    </w:p>
    <w:p w:rsidR="00000000" w:rsidDel="00000000" w:rsidP="00000000" w:rsidRDefault="00000000" w:rsidRPr="00000000" w14:paraId="0000008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Initiate assertive promotional initiatives to realign the resort's standing within the industry.</w:t>
      </w:r>
    </w:p>
    <w:p w:rsidR="00000000" w:rsidDel="00000000" w:rsidP="00000000" w:rsidRDefault="00000000" w:rsidRPr="00000000" w14:paraId="0000008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Create a comprehensive monitoring system to measure the strategy's success and make quick modifications. The resort's recovery will be accelerated by the prompt and committed execution of these suggestions, guaranteeing continued financial stability and increased competitiveness.</w:t>
      </w:r>
    </w:p>
    <w:p w:rsidR="00000000" w:rsidDel="00000000" w:rsidP="00000000" w:rsidRDefault="00000000" w:rsidRPr="00000000" w14:paraId="00000084">
      <w:pPr>
        <w:tabs>
          <w:tab w:val="left" w:leader="none" w:pos="3150"/>
        </w:tabs>
        <w:spacing w:line="360" w:lineRule="auto"/>
        <w:jc w:val="both"/>
        <w:rPr>
          <w:sz w:val="24"/>
          <w:szCs w:val="24"/>
        </w:rPr>
      </w:pPr>
      <w:r w:rsidDel="00000000" w:rsidR="00000000" w:rsidRPr="00000000">
        <w:rPr>
          <w:sz w:val="24"/>
          <w:szCs w:val="24"/>
          <w:rtl w:val="0"/>
        </w:rPr>
        <w:tab/>
      </w:r>
    </w:p>
    <w:p w:rsidR="00000000" w:rsidDel="00000000" w:rsidP="00000000" w:rsidRDefault="00000000" w:rsidRPr="00000000" w14:paraId="00000085">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86">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87">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88">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89">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8A">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8B">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8C">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8D">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8E">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8F">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90">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91">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92">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93">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94">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95">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96">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97">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98">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99">
      <w:pPr>
        <w:tabs>
          <w:tab w:val="left" w:leader="none" w:pos="3150"/>
        </w:tabs>
        <w:spacing w:line="360" w:lineRule="auto"/>
        <w:jc w:val="both"/>
        <w:rPr>
          <w:sz w:val="24"/>
          <w:szCs w:val="24"/>
        </w:rPr>
      </w:pPr>
      <w:r w:rsidDel="00000000" w:rsidR="00000000" w:rsidRPr="00000000">
        <w:rPr>
          <w:rtl w:val="0"/>
        </w:rPr>
      </w:r>
    </w:p>
    <w:p w:rsidR="00000000" w:rsidDel="00000000" w:rsidP="00000000" w:rsidRDefault="00000000" w:rsidRPr="00000000" w14:paraId="0000009A">
      <w:pPr>
        <w:pStyle w:val="Heading1"/>
        <w:rPr>
          <w:b w:val="1"/>
          <w:sz w:val="24"/>
          <w:szCs w:val="24"/>
        </w:rPr>
      </w:pPr>
      <w:bookmarkStart w:colFirst="0" w:colLast="0" w:name="_heading=h.26in1rg" w:id="12"/>
      <w:bookmarkEnd w:id="12"/>
      <w:r w:rsidDel="00000000" w:rsidR="00000000" w:rsidRPr="00000000">
        <w:rPr>
          <w:b w:val="1"/>
          <w:sz w:val="24"/>
          <w:szCs w:val="24"/>
          <w:rtl w:val="0"/>
        </w:rPr>
        <w:t xml:space="preserve">References</w:t>
      </w:r>
    </w:p>
    <w:p w:rsidR="00000000" w:rsidDel="00000000" w:rsidP="00000000" w:rsidRDefault="00000000" w:rsidRPr="00000000" w14:paraId="0000009B">
      <w:pPr>
        <w:rPr>
          <w:sz w:val="24"/>
          <w:szCs w:val="24"/>
        </w:rPr>
      </w:pPr>
      <w:r w:rsidDel="00000000" w:rsidR="00000000" w:rsidRPr="00000000">
        <w:rPr>
          <w:rtl w:val="0"/>
        </w:rPr>
      </w:r>
    </w:p>
    <w:p w:rsidR="00000000" w:rsidDel="00000000" w:rsidP="00000000" w:rsidRDefault="00000000" w:rsidRPr="00000000" w14:paraId="0000009C">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Batchenko, L., Honchar, L., Poplavska, A., Rusavska, V., Holubets, I. and Kovalenko, V., 2023. Formation of a Business Idea for the Development of Hospitality Industry Enterprises in Crisis Conditions. </w:t>
      </w:r>
      <w:r w:rsidDel="00000000" w:rsidR="00000000" w:rsidRPr="00000000">
        <w:rPr>
          <w:i w:val="1"/>
          <w:color w:val="222222"/>
          <w:sz w:val="24"/>
          <w:szCs w:val="24"/>
          <w:highlight w:val="white"/>
          <w:rtl w:val="0"/>
        </w:rPr>
        <w:t xml:space="preserve">International Journal of Professional Business Review</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8</w:t>
      </w:r>
      <w:r w:rsidDel="00000000" w:rsidR="00000000" w:rsidRPr="00000000">
        <w:rPr>
          <w:color w:val="222222"/>
          <w:sz w:val="24"/>
          <w:szCs w:val="24"/>
          <w:highlight w:val="white"/>
          <w:rtl w:val="0"/>
        </w:rPr>
        <w:t xml:space="preserve">(2), pp.e1141-e1141.</w:t>
      </w:r>
    </w:p>
    <w:p w:rsidR="00000000" w:rsidDel="00000000" w:rsidP="00000000" w:rsidRDefault="00000000" w:rsidRPr="00000000" w14:paraId="0000009D">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Crespí-Cladera, R., Martín-Oliver, A. and Pascual-Fuster, B., 2021. Financial distress in the hospitality industry during the Covid-19 disaster. </w:t>
      </w:r>
      <w:r w:rsidDel="00000000" w:rsidR="00000000" w:rsidRPr="00000000">
        <w:rPr>
          <w:i w:val="1"/>
          <w:color w:val="222222"/>
          <w:sz w:val="24"/>
          <w:szCs w:val="24"/>
          <w:highlight w:val="white"/>
          <w:rtl w:val="0"/>
        </w:rPr>
        <w:t xml:space="preserve">Tourism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85</w:t>
      </w:r>
      <w:r w:rsidDel="00000000" w:rsidR="00000000" w:rsidRPr="00000000">
        <w:rPr>
          <w:color w:val="222222"/>
          <w:sz w:val="24"/>
          <w:szCs w:val="24"/>
          <w:highlight w:val="white"/>
          <w:rtl w:val="0"/>
        </w:rPr>
        <w:t xml:space="preserve">, p.104301.</w:t>
      </w:r>
    </w:p>
    <w:p w:rsidR="00000000" w:rsidDel="00000000" w:rsidP="00000000" w:rsidRDefault="00000000" w:rsidRPr="00000000" w14:paraId="0000009E">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Ernawati, E., Baharin, S.S.K. and Kasmin, F., 2021, April. A review of data mining methods in RFM-based customer segmentation. In </w:t>
      </w:r>
      <w:r w:rsidDel="00000000" w:rsidR="00000000" w:rsidRPr="00000000">
        <w:rPr>
          <w:i w:val="1"/>
          <w:color w:val="222222"/>
          <w:sz w:val="24"/>
          <w:szCs w:val="24"/>
          <w:highlight w:val="white"/>
          <w:rtl w:val="0"/>
        </w:rPr>
        <w:t xml:space="preserve">Journal of Physics: Conference Series</w:t>
      </w:r>
      <w:r w:rsidDel="00000000" w:rsidR="00000000" w:rsidRPr="00000000">
        <w:rPr>
          <w:color w:val="222222"/>
          <w:sz w:val="24"/>
          <w:szCs w:val="24"/>
          <w:highlight w:val="white"/>
          <w:rtl w:val="0"/>
        </w:rPr>
        <w:t xml:space="preserve"> (Vol. 1869, No. 1, p. 012085). IOP Publishing.</w:t>
      </w:r>
    </w:p>
    <w:p w:rsidR="00000000" w:rsidDel="00000000" w:rsidP="00000000" w:rsidRDefault="00000000" w:rsidRPr="00000000" w14:paraId="0000009F">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Fridson, M.S. and Alvarez, F., 2022. </w:t>
      </w:r>
      <w:r w:rsidDel="00000000" w:rsidR="00000000" w:rsidRPr="00000000">
        <w:rPr>
          <w:i w:val="1"/>
          <w:color w:val="222222"/>
          <w:sz w:val="24"/>
          <w:szCs w:val="24"/>
          <w:highlight w:val="white"/>
          <w:rtl w:val="0"/>
        </w:rPr>
        <w:t xml:space="preserve">Financial statement analysis: a practitioner's guide</w:t>
      </w:r>
      <w:r w:rsidDel="00000000" w:rsidR="00000000" w:rsidRPr="00000000">
        <w:rPr>
          <w:color w:val="222222"/>
          <w:sz w:val="24"/>
          <w:szCs w:val="24"/>
          <w:highlight w:val="white"/>
          <w:rtl w:val="0"/>
        </w:rPr>
        <w:t xml:space="preserve">. John Wiley &amp; Sons.</w:t>
      </w:r>
    </w:p>
    <w:p w:rsidR="00000000" w:rsidDel="00000000" w:rsidP="00000000" w:rsidRDefault="00000000" w:rsidRPr="00000000" w14:paraId="000000A0">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GOLOVETSKY, N.Y., IVANOVA, E.V., GALIY, E.A., VYPRYAZHKINA, I.B. and LEBEDEVA, O.Y., 2019. Improvement of methodological approaches to financial analysis of fixed assets of the enterprise. </w:t>
      </w:r>
      <w:r w:rsidDel="00000000" w:rsidR="00000000" w:rsidRPr="00000000">
        <w:rPr>
          <w:i w:val="1"/>
          <w:color w:val="222222"/>
          <w:sz w:val="24"/>
          <w:szCs w:val="24"/>
          <w:highlight w:val="white"/>
          <w:rtl w:val="0"/>
        </w:rPr>
        <w:t xml:space="preserve">Revista Espacios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40</w:t>
      </w:r>
      <w:r w:rsidDel="00000000" w:rsidR="00000000" w:rsidRPr="00000000">
        <w:rPr>
          <w:color w:val="222222"/>
          <w:sz w:val="24"/>
          <w:szCs w:val="24"/>
          <w:highlight w:val="white"/>
          <w:rtl w:val="0"/>
        </w:rPr>
        <w:t xml:space="preserve">(34).</w:t>
      </w:r>
    </w:p>
    <w:p w:rsidR="00000000" w:rsidDel="00000000" w:rsidP="00000000" w:rsidRDefault="00000000" w:rsidRPr="00000000" w14:paraId="000000A1">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Gotteiner, S., Mas-Machuca, M. and Marimon, F., 2019. Turnaround types, stages, strategies, and tactics: Putting things in order. </w:t>
      </w:r>
      <w:r w:rsidDel="00000000" w:rsidR="00000000" w:rsidRPr="00000000">
        <w:rPr>
          <w:i w:val="1"/>
          <w:color w:val="222222"/>
          <w:sz w:val="24"/>
          <w:szCs w:val="24"/>
          <w:highlight w:val="white"/>
          <w:rtl w:val="0"/>
        </w:rPr>
        <w:t xml:space="preserve">European Accounting and Management Review</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5</w:t>
      </w:r>
      <w:r w:rsidDel="00000000" w:rsidR="00000000" w:rsidRPr="00000000">
        <w:rPr>
          <w:color w:val="222222"/>
          <w:sz w:val="24"/>
          <w:szCs w:val="24"/>
          <w:highlight w:val="white"/>
          <w:rtl w:val="0"/>
        </w:rPr>
        <w:t xml:space="preserve">(2), pp.12-37.</w:t>
      </w:r>
    </w:p>
    <w:p w:rsidR="00000000" w:rsidDel="00000000" w:rsidP="00000000" w:rsidRDefault="00000000" w:rsidRPr="00000000" w14:paraId="000000A2">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Hosseinzadeh Shahri, M. and Nematollahi Sarvestani, M., 2020. Business model innovation as a turnaround strategy. </w:t>
      </w:r>
      <w:r w:rsidDel="00000000" w:rsidR="00000000" w:rsidRPr="00000000">
        <w:rPr>
          <w:i w:val="1"/>
          <w:color w:val="222222"/>
          <w:sz w:val="24"/>
          <w:szCs w:val="24"/>
          <w:highlight w:val="white"/>
          <w:rtl w:val="0"/>
        </w:rPr>
        <w:t xml:space="preserve">Journal of Strategy and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13</w:t>
      </w:r>
      <w:r w:rsidDel="00000000" w:rsidR="00000000" w:rsidRPr="00000000">
        <w:rPr>
          <w:color w:val="222222"/>
          <w:sz w:val="24"/>
          <w:szCs w:val="24"/>
          <w:highlight w:val="white"/>
          <w:rtl w:val="0"/>
        </w:rPr>
        <w:t xml:space="preserve">(2), pp.241-253.</w:t>
      </w:r>
    </w:p>
    <w:p w:rsidR="00000000" w:rsidDel="00000000" w:rsidP="00000000" w:rsidRDefault="00000000" w:rsidRPr="00000000" w14:paraId="000000A3">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Hakim, M.A.A., Suryantoro, A. and Rahardjo, M., 2021. Analysis of the Influence of Tourism Growth on Economic Growth and Human Development Index in West Java Province 2012-2018. </w:t>
      </w:r>
      <w:r w:rsidDel="00000000" w:rsidR="00000000" w:rsidRPr="00000000">
        <w:rPr>
          <w:i w:val="1"/>
          <w:color w:val="222222"/>
          <w:sz w:val="24"/>
          <w:szCs w:val="24"/>
          <w:highlight w:val="white"/>
          <w:rtl w:val="0"/>
        </w:rPr>
        <w:t xml:space="preserve">Budapest International Research and Critics Institute-Journal (BIRCI-Journal) Vol</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4</w:t>
      </w:r>
      <w:r w:rsidDel="00000000" w:rsidR="00000000" w:rsidRPr="00000000">
        <w:rPr>
          <w:color w:val="222222"/>
          <w:sz w:val="24"/>
          <w:szCs w:val="24"/>
          <w:highlight w:val="white"/>
          <w:rtl w:val="0"/>
        </w:rPr>
        <w:t xml:space="preserve">(1), pp.160-169.</w:t>
      </w:r>
    </w:p>
    <w:p w:rsidR="00000000" w:rsidDel="00000000" w:rsidP="00000000" w:rsidRDefault="00000000" w:rsidRPr="00000000" w14:paraId="000000A4">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Hasanaj, P. and Kuqi, B., 2019. Analysis of financial statements. </w:t>
      </w:r>
      <w:r w:rsidDel="00000000" w:rsidR="00000000" w:rsidRPr="00000000">
        <w:rPr>
          <w:i w:val="1"/>
          <w:color w:val="222222"/>
          <w:sz w:val="24"/>
          <w:szCs w:val="24"/>
          <w:highlight w:val="white"/>
          <w:rtl w:val="0"/>
        </w:rPr>
        <w:t xml:space="preserve">Humanities and Social Science Research</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w:t>
      </w:r>
      <w:r w:rsidDel="00000000" w:rsidR="00000000" w:rsidRPr="00000000">
        <w:rPr>
          <w:color w:val="222222"/>
          <w:sz w:val="24"/>
          <w:szCs w:val="24"/>
          <w:highlight w:val="white"/>
          <w:rtl w:val="0"/>
        </w:rPr>
        <w:t xml:space="preserve">(2), pp.p17-p17.</w:t>
      </w:r>
    </w:p>
    <w:p w:rsidR="00000000" w:rsidDel="00000000" w:rsidP="00000000" w:rsidRDefault="00000000" w:rsidRPr="00000000" w14:paraId="000000A5">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Liu, Y., Yang, Q. and Yuan, J., 2021, July. An empirical study on marketing strategy of Shenzhen coastal tourism resort based on SWOT and ROST CM6 text analysis. In </w:t>
      </w:r>
      <w:r w:rsidDel="00000000" w:rsidR="00000000" w:rsidRPr="00000000">
        <w:rPr>
          <w:i w:val="1"/>
          <w:color w:val="222222"/>
          <w:sz w:val="24"/>
          <w:szCs w:val="24"/>
          <w:highlight w:val="white"/>
          <w:rtl w:val="0"/>
        </w:rPr>
        <w:t xml:space="preserve">2021 International Conference on Education, Information Management and Service Science (EIMSS)</w:t>
      </w:r>
      <w:r w:rsidDel="00000000" w:rsidR="00000000" w:rsidRPr="00000000">
        <w:rPr>
          <w:color w:val="222222"/>
          <w:sz w:val="24"/>
          <w:szCs w:val="24"/>
          <w:highlight w:val="white"/>
          <w:rtl w:val="0"/>
        </w:rPr>
        <w:t xml:space="preserve"> (pp. 483-489). IEEE.</w:t>
      </w:r>
    </w:p>
    <w:p w:rsidR="00000000" w:rsidDel="00000000" w:rsidP="00000000" w:rsidRDefault="00000000" w:rsidRPr="00000000" w14:paraId="000000A6">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Lin, H.C., Han, X., Lyu, T., Ho, W.H., Xu, Y., Hsieh, T.C., Zhu, L. and Zhang, L., 2020. Task-technology fit analysis of social media use for marketing in the tourism and hospitality industry: a systematic literature review. </w:t>
      </w:r>
      <w:r w:rsidDel="00000000" w:rsidR="00000000" w:rsidRPr="00000000">
        <w:rPr>
          <w:i w:val="1"/>
          <w:color w:val="222222"/>
          <w:sz w:val="24"/>
          <w:szCs w:val="24"/>
          <w:highlight w:val="white"/>
          <w:rtl w:val="0"/>
        </w:rPr>
        <w:t xml:space="preserve">International Journal of Contemporary Hospitality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32</w:t>
      </w:r>
      <w:r w:rsidDel="00000000" w:rsidR="00000000" w:rsidRPr="00000000">
        <w:rPr>
          <w:color w:val="222222"/>
          <w:sz w:val="24"/>
          <w:szCs w:val="24"/>
          <w:highlight w:val="white"/>
          <w:rtl w:val="0"/>
        </w:rPr>
        <w:t xml:space="preserve">(8), pp.2677-2715.</w:t>
      </w:r>
    </w:p>
    <w:p w:rsidR="00000000" w:rsidDel="00000000" w:rsidP="00000000" w:rsidRDefault="00000000" w:rsidRPr="00000000" w14:paraId="000000A7">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Lee, J., Chang, J.R., Kao, L.J. and Lee, C.F., 2023. Financial Analysis, Planning, and Forecasting. In </w:t>
      </w:r>
      <w:r w:rsidDel="00000000" w:rsidR="00000000" w:rsidRPr="00000000">
        <w:rPr>
          <w:i w:val="1"/>
          <w:color w:val="222222"/>
          <w:sz w:val="24"/>
          <w:szCs w:val="24"/>
          <w:highlight w:val="white"/>
          <w:rtl w:val="0"/>
        </w:rPr>
        <w:t xml:space="preserve">Essentials of Excel VBA, Python, and R: Volume II: Financial Derivatives, Risk Management and Machine Learning</w:t>
      </w:r>
      <w:r w:rsidDel="00000000" w:rsidR="00000000" w:rsidRPr="00000000">
        <w:rPr>
          <w:color w:val="222222"/>
          <w:sz w:val="24"/>
          <w:szCs w:val="24"/>
          <w:highlight w:val="white"/>
          <w:rtl w:val="0"/>
        </w:rPr>
        <w:t xml:space="preserve"> (pp. 433-455). Cham: Springer International Publishing.</w:t>
      </w:r>
    </w:p>
    <w:p w:rsidR="00000000" w:rsidDel="00000000" w:rsidP="00000000" w:rsidRDefault="00000000" w:rsidRPr="00000000" w14:paraId="000000A8">
      <w:pPr>
        <w:spacing w:after="0" w:line="360" w:lineRule="auto"/>
        <w:ind w:left="720" w:hanging="720"/>
        <w:rPr>
          <w:color w:val="222222"/>
          <w:sz w:val="24"/>
          <w:szCs w:val="24"/>
          <w:highlight w:val="white"/>
        </w:rPr>
      </w:pPr>
      <w:r w:rsidDel="00000000" w:rsidR="00000000" w:rsidRPr="00000000">
        <w:rPr>
          <w:rFonts w:ascii="Arial" w:cs="Arial" w:eastAsia="Arial" w:hAnsi="Arial"/>
          <w:color w:val="222222"/>
          <w:sz w:val="20"/>
          <w:szCs w:val="20"/>
          <w:highlight w:val="white"/>
          <w:rtl w:val="0"/>
        </w:rPr>
        <w:t xml:space="preserve">Míguez, J.L., Rivo-López, E., Porteiro, J. and Pérez-Orozco, R., 2023. Selection of non-financial sustainability indicators as key elements for multi-criteria analysis of hotel chains. </w:t>
      </w:r>
      <w:r w:rsidDel="00000000" w:rsidR="00000000" w:rsidRPr="00000000">
        <w:rPr>
          <w:rFonts w:ascii="Arial" w:cs="Arial" w:eastAsia="Arial" w:hAnsi="Arial"/>
          <w:i w:val="1"/>
          <w:color w:val="222222"/>
          <w:sz w:val="20"/>
          <w:szCs w:val="20"/>
          <w:highlight w:val="white"/>
          <w:rtl w:val="0"/>
        </w:rPr>
        <w:t xml:space="preserve">Sustainable Production and Consumption</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35</w:t>
      </w:r>
      <w:r w:rsidDel="00000000" w:rsidR="00000000" w:rsidRPr="00000000">
        <w:rPr>
          <w:rFonts w:ascii="Arial" w:cs="Arial" w:eastAsia="Arial" w:hAnsi="Arial"/>
          <w:color w:val="222222"/>
          <w:sz w:val="20"/>
          <w:szCs w:val="20"/>
          <w:highlight w:val="white"/>
          <w:rtl w:val="0"/>
        </w:rPr>
        <w:t xml:space="preserve">, pp.495-508.</w:t>
      </w:r>
      <w:r w:rsidDel="00000000" w:rsidR="00000000" w:rsidRPr="00000000">
        <w:rPr>
          <w:rtl w:val="0"/>
        </w:rPr>
      </w:r>
    </w:p>
    <w:p w:rsidR="00000000" w:rsidDel="00000000" w:rsidP="00000000" w:rsidRDefault="00000000" w:rsidRPr="00000000" w14:paraId="000000A9">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Myshachenko, V.O. and Startseva, N.M., STRATEGIC PLANNING IN THE HOSPITALITY INDUSTRY. </w:t>
      </w:r>
      <w:r w:rsidDel="00000000" w:rsidR="00000000" w:rsidRPr="00000000">
        <w:rPr>
          <w:i w:val="1"/>
          <w:color w:val="222222"/>
          <w:sz w:val="24"/>
          <w:szCs w:val="24"/>
          <w:highlight w:val="white"/>
          <w:rtl w:val="0"/>
        </w:rPr>
        <w:t xml:space="preserve">ІНОЗЕМНІ МОВИ У СВІТОВОМУ ЕКОНОМІКО-ПРАВОВОМУ ПРОСТОРІ</w:t>
      </w:r>
      <w:r w:rsidDel="00000000" w:rsidR="00000000" w:rsidRPr="00000000">
        <w:rPr>
          <w:color w:val="222222"/>
          <w:sz w:val="24"/>
          <w:szCs w:val="24"/>
          <w:highlight w:val="white"/>
          <w:rtl w:val="0"/>
        </w:rPr>
        <w:t xml:space="preserve">, p.491.</w:t>
      </w:r>
    </w:p>
    <w:p w:rsidR="00000000" w:rsidDel="00000000" w:rsidP="00000000" w:rsidRDefault="00000000" w:rsidRPr="00000000" w14:paraId="000000AA">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Majumdar, R., 2019. Valuation of hotel property: issues and challenges. </w:t>
      </w:r>
      <w:r w:rsidDel="00000000" w:rsidR="00000000" w:rsidRPr="00000000">
        <w:rPr>
          <w:i w:val="1"/>
          <w:color w:val="222222"/>
          <w:sz w:val="24"/>
          <w:szCs w:val="24"/>
          <w:highlight w:val="white"/>
          <w:rtl w:val="0"/>
        </w:rPr>
        <w:t xml:space="preserve">Worldwide Hospitality and Tourism Themes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11</w:t>
      </w:r>
      <w:r w:rsidDel="00000000" w:rsidR="00000000" w:rsidRPr="00000000">
        <w:rPr>
          <w:color w:val="222222"/>
          <w:sz w:val="24"/>
          <w:szCs w:val="24"/>
          <w:highlight w:val="white"/>
          <w:rtl w:val="0"/>
        </w:rPr>
        <w:t xml:space="preserve">(4), pp.418-428.</w:t>
      </w:r>
    </w:p>
    <w:p w:rsidR="00000000" w:rsidDel="00000000" w:rsidP="00000000" w:rsidRDefault="00000000" w:rsidRPr="00000000" w14:paraId="000000AB">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Melián-Alzola, L., Fernández-Monroy, M. and Hidalgo-Peñate, M., 2020. Hotels in contexts of uncertainty: Measuring organisational resilience. </w:t>
      </w:r>
      <w:r w:rsidDel="00000000" w:rsidR="00000000" w:rsidRPr="00000000">
        <w:rPr>
          <w:i w:val="1"/>
          <w:color w:val="222222"/>
          <w:sz w:val="24"/>
          <w:szCs w:val="24"/>
          <w:highlight w:val="white"/>
          <w:rtl w:val="0"/>
        </w:rPr>
        <w:t xml:space="preserve">Tourism management perspectives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36</w:t>
      </w:r>
      <w:r w:rsidDel="00000000" w:rsidR="00000000" w:rsidRPr="00000000">
        <w:rPr>
          <w:color w:val="222222"/>
          <w:sz w:val="24"/>
          <w:szCs w:val="24"/>
          <w:highlight w:val="white"/>
          <w:rtl w:val="0"/>
        </w:rPr>
        <w:t xml:space="preserve">, p.100747.</w:t>
      </w:r>
    </w:p>
    <w:p w:rsidR="00000000" w:rsidDel="00000000" w:rsidP="00000000" w:rsidRDefault="00000000" w:rsidRPr="00000000" w14:paraId="000000AC">
      <w:pPr>
        <w:spacing w:after="0" w:line="360" w:lineRule="auto"/>
        <w:ind w:left="720" w:hanging="720"/>
        <w:rPr>
          <w:color w:val="222222"/>
          <w:sz w:val="24"/>
          <w:szCs w:val="24"/>
          <w:highlight w:val="white"/>
        </w:rPr>
      </w:pPr>
      <w:r w:rsidDel="00000000" w:rsidR="00000000" w:rsidRPr="00000000">
        <w:rPr>
          <w:rFonts w:ascii="Arial" w:cs="Arial" w:eastAsia="Arial" w:hAnsi="Arial"/>
          <w:color w:val="222222"/>
          <w:sz w:val="20"/>
          <w:szCs w:val="20"/>
          <w:highlight w:val="white"/>
          <w:rtl w:val="0"/>
        </w:rPr>
        <w:t xml:space="preserve">Pavone, P., Migliaccio, G. and Simonetti, B., 2023. Investigating financial statements in hospitality: a quantitative approach. </w:t>
      </w:r>
      <w:r w:rsidDel="00000000" w:rsidR="00000000" w:rsidRPr="00000000">
        <w:rPr>
          <w:rFonts w:ascii="Arial" w:cs="Arial" w:eastAsia="Arial" w:hAnsi="Arial"/>
          <w:i w:val="1"/>
          <w:color w:val="222222"/>
          <w:sz w:val="20"/>
          <w:szCs w:val="20"/>
          <w:highlight w:val="white"/>
          <w:rtl w:val="0"/>
        </w:rPr>
        <w:t xml:space="preserve">Quality &amp; Quantity</w:t>
      </w:r>
      <w:r w:rsidDel="00000000" w:rsidR="00000000" w:rsidRPr="00000000">
        <w:rPr>
          <w:rFonts w:ascii="Arial" w:cs="Arial" w:eastAsia="Arial" w:hAnsi="Arial"/>
          <w:color w:val="222222"/>
          <w:sz w:val="20"/>
          <w:szCs w:val="20"/>
          <w:highlight w:val="white"/>
          <w:rtl w:val="0"/>
        </w:rPr>
        <w:t xml:space="preserve">, </w:t>
      </w:r>
      <w:r w:rsidDel="00000000" w:rsidR="00000000" w:rsidRPr="00000000">
        <w:rPr>
          <w:rFonts w:ascii="Arial" w:cs="Arial" w:eastAsia="Arial" w:hAnsi="Arial"/>
          <w:i w:val="1"/>
          <w:color w:val="222222"/>
          <w:sz w:val="20"/>
          <w:szCs w:val="20"/>
          <w:highlight w:val="white"/>
          <w:rtl w:val="0"/>
        </w:rPr>
        <w:t xml:space="preserve">57</w:t>
      </w:r>
      <w:r w:rsidDel="00000000" w:rsidR="00000000" w:rsidRPr="00000000">
        <w:rPr>
          <w:rFonts w:ascii="Arial" w:cs="Arial" w:eastAsia="Arial" w:hAnsi="Arial"/>
          <w:color w:val="222222"/>
          <w:sz w:val="20"/>
          <w:szCs w:val="20"/>
          <w:highlight w:val="white"/>
          <w:rtl w:val="0"/>
        </w:rPr>
        <w:t xml:space="preserve">(Suppl 3), pp.383-407.</w:t>
      </w:r>
      <w:r w:rsidDel="00000000" w:rsidR="00000000" w:rsidRPr="00000000">
        <w:rPr>
          <w:rtl w:val="0"/>
        </w:rPr>
      </w:r>
    </w:p>
    <w:p w:rsidR="00000000" w:rsidDel="00000000" w:rsidP="00000000" w:rsidRDefault="00000000" w:rsidRPr="00000000" w14:paraId="000000AD">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Seyitoğlu, F. and Ivanov, S., 2020. A conceptual framework of the service delivery system design for hospitality firms in the (post-) viral world: The role of service robots. </w:t>
      </w:r>
      <w:r w:rsidDel="00000000" w:rsidR="00000000" w:rsidRPr="00000000">
        <w:rPr>
          <w:i w:val="1"/>
          <w:color w:val="222222"/>
          <w:sz w:val="24"/>
          <w:szCs w:val="24"/>
          <w:highlight w:val="white"/>
          <w:rtl w:val="0"/>
        </w:rPr>
        <w:t xml:space="preserve">International Journal of Hospitality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91</w:t>
      </w:r>
      <w:r w:rsidDel="00000000" w:rsidR="00000000" w:rsidRPr="00000000">
        <w:rPr>
          <w:color w:val="222222"/>
          <w:sz w:val="24"/>
          <w:szCs w:val="24"/>
          <w:highlight w:val="white"/>
          <w:rtl w:val="0"/>
        </w:rPr>
        <w:t xml:space="preserve">, p.102661.</w:t>
      </w:r>
    </w:p>
    <w:p w:rsidR="00000000" w:rsidDel="00000000" w:rsidP="00000000" w:rsidRDefault="00000000" w:rsidRPr="00000000" w14:paraId="000000AE">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Teoli, D., Sanvictores, T. and An, J., 2019. SWOT analysis.</w:t>
      </w:r>
    </w:p>
    <w:p w:rsidR="00000000" w:rsidDel="00000000" w:rsidP="00000000" w:rsidRDefault="00000000" w:rsidRPr="00000000" w14:paraId="000000AF">
      <w:pPr>
        <w:spacing w:after="0"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Xie, C., Zhang, J., Chen, Y., Morrison, A.M. and Lin, Z., 2020. Measuring hotel employee perceived job risk: dimensions and scale development. </w:t>
      </w:r>
      <w:r w:rsidDel="00000000" w:rsidR="00000000" w:rsidRPr="00000000">
        <w:rPr>
          <w:i w:val="1"/>
          <w:color w:val="222222"/>
          <w:sz w:val="24"/>
          <w:szCs w:val="24"/>
          <w:highlight w:val="white"/>
          <w:rtl w:val="0"/>
        </w:rPr>
        <w:t xml:space="preserve">International Journal of Contemporary Hospitality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32</w:t>
      </w:r>
      <w:r w:rsidDel="00000000" w:rsidR="00000000" w:rsidRPr="00000000">
        <w:rPr>
          <w:color w:val="222222"/>
          <w:sz w:val="24"/>
          <w:szCs w:val="24"/>
          <w:highlight w:val="white"/>
          <w:rtl w:val="0"/>
        </w:rPr>
        <w:t xml:space="preserve">(2), pp.730-748.</w:t>
      </w:r>
    </w:p>
    <w:p w:rsidR="00000000" w:rsidDel="00000000" w:rsidP="00000000" w:rsidRDefault="00000000" w:rsidRPr="00000000" w14:paraId="000000B0">
      <w:pPr>
        <w:spacing w:line="36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B1">
      <w:pPr>
        <w:spacing w:line="36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B2">
      <w:pPr>
        <w:spacing w:line="36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B3">
      <w:pPr>
        <w:spacing w:line="360" w:lineRule="auto"/>
        <w:jc w:val="both"/>
        <w:rPr>
          <w:color w:val="222222"/>
          <w:sz w:val="24"/>
          <w:szCs w:val="24"/>
          <w:highlight w:val="white"/>
        </w:rPr>
      </w:pPr>
      <w:r w:rsidDel="00000000" w:rsidR="00000000" w:rsidRPr="00000000">
        <w:rPr>
          <w:rtl w:val="0"/>
        </w:rPr>
      </w:r>
    </w:p>
    <w:p w:rsidR="00000000" w:rsidDel="00000000" w:rsidP="00000000" w:rsidRDefault="00000000" w:rsidRPr="00000000" w14:paraId="000000B4">
      <w:pPr>
        <w:spacing w:line="360" w:lineRule="auto"/>
        <w:jc w:val="both"/>
        <w:rPr>
          <w:sz w:val="24"/>
          <w:szCs w:val="24"/>
        </w:rPr>
      </w:pPr>
      <w:r w:rsidDel="00000000" w:rsidR="00000000" w:rsidRPr="00000000">
        <w:rPr>
          <w:rtl w:val="0"/>
        </w:rPr>
      </w:r>
    </w:p>
    <w:p w:rsidR="00000000" w:rsidDel="00000000" w:rsidP="00000000" w:rsidRDefault="00000000" w:rsidRPr="00000000" w14:paraId="000000B5">
      <w:pPr>
        <w:spacing w:line="360" w:lineRule="auto"/>
        <w:jc w:val="both"/>
        <w:rPr>
          <w:b w:val="1"/>
          <w:sz w:val="24"/>
          <w:szCs w:val="24"/>
        </w:rPr>
      </w:pPr>
      <w:r w:rsidDel="00000000" w:rsidR="00000000" w:rsidRPr="00000000">
        <w:rPr>
          <w:b w:val="1"/>
          <w:sz w:val="24"/>
          <w:szCs w:val="24"/>
          <w:rtl w:val="0"/>
        </w:rPr>
        <w:t xml:space="preserve">Appendices:</w:t>
      </w:r>
    </w:p>
    <w:p w:rsidR="00000000" w:rsidDel="00000000" w:rsidP="00000000" w:rsidRDefault="00000000" w:rsidRPr="00000000" w14:paraId="000000B6">
      <w:pPr>
        <w:spacing w:line="360" w:lineRule="auto"/>
        <w:jc w:val="both"/>
        <w:rPr>
          <w:sz w:val="24"/>
          <w:szCs w:val="24"/>
        </w:rPr>
      </w:pPr>
      <w:r w:rsidDel="00000000" w:rsidR="00000000" w:rsidRPr="00000000">
        <w:rPr>
          <w:sz w:val="24"/>
          <w:szCs w:val="24"/>
        </w:rPr>
        <w:drawing>
          <wp:inline distB="0" distT="0" distL="0" distR="0">
            <wp:extent cx="5378450" cy="2743200"/>
            <wp:docPr id="5" name=""/>
            <a:graphic>
              <a:graphicData uri="http://schemas.openxmlformats.org/drawingml/2006/chart">
                <c:chart r:id="rId8"/>
              </a:graphicData>
            </a:graphic>
          </wp:inline>
        </w:drawing>
      </w:r>
      <w:r w:rsidDel="00000000" w:rsidR="00000000" w:rsidRPr="00000000">
        <w:rPr>
          <w:rtl w:val="0"/>
        </w:rPr>
      </w:r>
    </w:p>
    <w:p w:rsidR="00000000" w:rsidDel="00000000" w:rsidP="00000000" w:rsidRDefault="00000000" w:rsidRPr="00000000" w14:paraId="000000B7">
      <w:pPr>
        <w:spacing w:line="360" w:lineRule="auto"/>
        <w:jc w:val="both"/>
        <w:rPr>
          <w:sz w:val="24"/>
          <w:szCs w:val="24"/>
        </w:rPr>
      </w:pPr>
      <w:r w:rsidDel="00000000" w:rsidR="00000000" w:rsidRPr="00000000">
        <w:rPr>
          <w:rtl w:val="0"/>
        </w:rPr>
      </w:r>
    </w:p>
    <w:p w:rsidR="00000000" w:rsidDel="00000000" w:rsidP="00000000" w:rsidRDefault="00000000" w:rsidRPr="00000000" w14:paraId="000000B8">
      <w:pPr>
        <w:spacing w:line="360" w:lineRule="auto"/>
        <w:jc w:val="both"/>
        <w:rPr>
          <w:sz w:val="24"/>
          <w:szCs w:val="24"/>
        </w:rPr>
      </w:pPr>
      <w:r w:rsidDel="00000000" w:rsidR="00000000" w:rsidRPr="00000000">
        <w:rPr>
          <w:sz w:val="24"/>
          <w:szCs w:val="24"/>
          <w:rtl w:val="0"/>
        </w:rPr>
        <w:t xml:space="preserve">Financial Statements:</w:t>
      </w:r>
    </w:p>
    <w:p w:rsidR="00000000" w:rsidDel="00000000" w:rsidP="00000000" w:rsidRDefault="00000000" w:rsidRPr="00000000" w14:paraId="000000B9">
      <w:pPr>
        <w:spacing w:line="360" w:lineRule="auto"/>
        <w:jc w:val="both"/>
        <w:rPr>
          <w:sz w:val="24"/>
          <w:szCs w:val="24"/>
        </w:rPr>
      </w:pPr>
      <w:r w:rsidDel="00000000" w:rsidR="00000000" w:rsidRPr="00000000">
        <w:rPr/>
        <w:drawing>
          <wp:inline distB="0" distT="0" distL="0" distR="0">
            <wp:extent cx="5731510" cy="5445125"/>
            <wp:effectExtent b="0" l="0" r="0" t="0"/>
            <wp:docPr id="6"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731510" cy="5445125"/>
                    </a:xfrm>
                    <a:prstGeom prst="rect"/>
                    <a:ln/>
                  </pic:spPr>
                </pic:pic>
              </a:graphicData>
            </a:graphic>
          </wp:inline>
        </w:drawing>
      </w:r>
      <w:r w:rsidDel="00000000" w:rsidR="00000000" w:rsidRPr="00000000">
        <w:rPr>
          <w:rtl w:val="0"/>
        </w:rPr>
      </w:r>
    </w:p>
    <w:p w:rsidR="00000000" w:rsidDel="00000000" w:rsidP="00000000" w:rsidRDefault="00000000" w:rsidRPr="00000000" w14:paraId="000000BA">
      <w:pPr>
        <w:spacing w:line="360" w:lineRule="auto"/>
        <w:jc w:val="both"/>
        <w:rPr>
          <w:sz w:val="24"/>
          <w:szCs w:val="24"/>
        </w:rPr>
      </w:pPr>
      <w:r w:rsidDel="00000000" w:rsidR="00000000" w:rsidRPr="00000000">
        <w:rPr>
          <w:sz w:val="24"/>
          <w:szCs w:val="24"/>
          <w:rtl w:val="0"/>
        </w:rPr>
        <w:t xml:space="preserve">Ratios:</w:t>
      </w:r>
    </w:p>
    <w:tbl>
      <w:tblPr>
        <w:tblStyle w:val="Table2"/>
        <w:tblW w:w="8296.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94"/>
        <w:gridCol w:w="2702"/>
        <w:tblGridChange w:id="0">
          <w:tblGrid>
            <w:gridCol w:w="5594"/>
            <w:gridCol w:w="2702"/>
          </w:tblGrid>
        </w:tblGridChange>
      </w:tblGrid>
      <w:tr>
        <w:trPr>
          <w:cantSplit w:val="0"/>
          <w:trHeight w:val="571" w:hRule="atLeast"/>
          <w:tblHeader w:val="0"/>
        </w:trPr>
        <w:tc>
          <w:tcPr/>
          <w:p w:rsidR="00000000" w:rsidDel="00000000" w:rsidP="00000000" w:rsidRDefault="00000000" w:rsidRPr="00000000" w14:paraId="000000BB">
            <w:pPr>
              <w:rPr>
                <w:sz w:val="24"/>
                <w:szCs w:val="24"/>
              </w:rPr>
            </w:pPr>
            <w:r w:rsidDel="00000000" w:rsidR="00000000" w:rsidRPr="00000000">
              <w:rPr>
                <w:sz w:val="24"/>
                <w:szCs w:val="24"/>
                <w:rtl w:val="0"/>
              </w:rPr>
              <w:t xml:space="preserve">Current Ratio</w:t>
            </w:r>
          </w:p>
        </w:tc>
        <w:tc>
          <w:tcPr/>
          <w:p w:rsidR="00000000" w:rsidDel="00000000" w:rsidP="00000000" w:rsidRDefault="00000000" w:rsidRPr="00000000" w14:paraId="000000BC">
            <w:pPr>
              <w:rPr>
                <w:sz w:val="24"/>
                <w:szCs w:val="24"/>
              </w:rPr>
            </w:pPr>
            <w:r w:rsidDel="00000000" w:rsidR="00000000" w:rsidRPr="00000000">
              <w:rPr>
                <w:sz w:val="24"/>
                <w:szCs w:val="24"/>
                <w:rtl w:val="0"/>
              </w:rPr>
              <w:t xml:space="preserve">1.39</w:t>
            </w:r>
          </w:p>
        </w:tc>
      </w:tr>
      <w:tr>
        <w:trPr>
          <w:cantSplit w:val="0"/>
          <w:trHeight w:val="120" w:hRule="atLeast"/>
          <w:tblHeader w:val="0"/>
        </w:trPr>
        <w:tc>
          <w:tcPr/>
          <w:p w:rsidR="00000000" w:rsidDel="00000000" w:rsidP="00000000" w:rsidRDefault="00000000" w:rsidRPr="00000000" w14:paraId="000000BD">
            <w:pPr>
              <w:rPr>
                <w:sz w:val="24"/>
                <w:szCs w:val="24"/>
              </w:rPr>
            </w:pPr>
            <w:r w:rsidDel="00000000" w:rsidR="00000000" w:rsidRPr="00000000">
              <w:rPr>
                <w:sz w:val="24"/>
                <w:szCs w:val="24"/>
                <w:rtl w:val="0"/>
              </w:rPr>
              <w:t xml:space="preserve">Quick Ratio</w:t>
            </w:r>
          </w:p>
        </w:tc>
        <w:tc>
          <w:tcPr/>
          <w:p w:rsidR="00000000" w:rsidDel="00000000" w:rsidP="00000000" w:rsidRDefault="00000000" w:rsidRPr="00000000" w14:paraId="000000BE">
            <w:pPr>
              <w:rPr>
                <w:sz w:val="24"/>
                <w:szCs w:val="24"/>
              </w:rPr>
            </w:pPr>
            <w:r w:rsidDel="00000000" w:rsidR="00000000" w:rsidRPr="00000000">
              <w:rPr>
                <w:sz w:val="24"/>
                <w:szCs w:val="24"/>
                <w:rtl w:val="0"/>
              </w:rPr>
              <w:t xml:space="preserve">0.89</w:t>
            </w:r>
          </w:p>
        </w:tc>
      </w:tr>
      <w:tr>
        <w:trPr>
          <w:cantSplit w:val="0"/>
          <w:trHeight w:val="305" w:hRule="atLeast"/>
          <w:tblHeader w:val="0"/>
        </w:trPr>
        <w:tc>
          <w:tcPr/>
          <w:p w:rsidR="00000000" w:rsidDel="00000000" w:rsidP="00000000" w:rsidRDefault="00000000" w:rsidRPr="00000000" w14:paraId="000000BF">
            <w:pPr>
              <w:rPr>
                <w:sz w:val="24"/>
                <w:szCs w:val="24"/>
              </w:rPr>
            </w:pPr>
            <w:r w:rsidDel="00000000" w:rsidR="00000000" w:rsidRPr="00000000">
              <w:rPr>
                <w:sz w:val="24"/>
                <w:szCs w:val="24"/>
                <w:rtl w:val="0"/>
              </w:rPr>
              <w:t xml:space="preserve">Debt-to-Equity Ratio</w:t>
            </w:r>
          </w:p>
        </w:tc>
        <w:tc>
          <w:tcPr/>
          <w:p w:rsidR="00000000" w:rsidDel="00000000" w:rsidP="00000000" w:rsidRDefault="00000000" w:rsidRPr="00000000" w14:paraId="000000C0">
            <w:pPr>
              <w:rPr>
                <w:sz w:val="24"/>
                <w:szCs w:val="24"/>
              </w:rPr>
            </w:pPr>
            <w:r w:rsidDel="00000000" w:rsidR="00000000" w:rsidRPr="00000000">
              <w:rPr>
                <w:sz w:val="24"/>
                <w:szCs w:val="24"/>
                <w:rtl w:val="0"/>
              </w:rPr>
              <w:t xml:space="preserve">                                         1.11</w:t>
            </w:r>
          </w:p>
        </w:tc>
      </w:tr>
      <w:tr>
        <w:trPr>
          <w:cantSplit w:val="0"/>
          <w:trHeight w:val="233" w:hRule="atLeast"/>
          <w:tblHeader w:val="0"/>
        </w:trPr>
        <w:tc>
          <w:tcPr/>
          <w:p w:rsidR="00000000" w:rsidDel="00000000" w:rsidP="00000000" w:rsidRDefault="00000000" w:rsidRPr="00000000" w14:paraId="000000C1">
            <w:pPr>
              <w:rPr>
                <w:sz w:val="24"/>
                <w:szCs w:val="24"/>
              </w:rPr>
            </w:pPr>
            <w:r w:rsidDel="00000000" w:rsidR="00000000" w:rsidRPr="00000000">
              <w:rPr>
                <w:sz w:val="24"/>
                <w:szCs w:val="24"/>
                <w:rtl w:val="0"/>
              </w:rPr>
              <w:t xml:space="preserve">Return on Assets</w:t>
            </w:r>
          </w:p>
        </w:tc>
        <w:tc>
          <w:tcPr/>
          <w:p w:rsidR="00000000" w:rsidDel="00000000" w:rsidP="00000000" w:rsidRDefault="00000000" w:rsidRPr="00000000" w14:paraId="000000C2">
            <w:pPr>
              <w:rPr>
                <w:sz w:val="24"/>
                <w:szCs w:val="24"/>
              </w:rPr>
            </w:pPr>
            <w:r w:rsidDel="00000000" w:rsidR="00000000" w:rsidRPr="00000000">
              <w:rPr>
                <w:sz w:val="24"/>
                <w:szCs w:val="24"/>
                <w:rtl w:val="0"/>
              </w:rPr>
              <w:t xml:space="preserve">-0.03958</w:t>
            </w:r>
          </w:p>
        </w:tc>
      </w:tr>
      <w:tr>
        <w:trPr>
          <w:cantSplit w:val="0"/>
          <w:trHeight w:val="233" w:hRule="atLeast"/>
          <w:tblHeader w:val="0"/>
        </w:trPr>
        <w:tc>
          <w:tcPr/>
          <w:p w:rsidR="00000000" w:rsidDel="00000000" w:rsidP="00000000" w:rsidRDefault="00000000" w:rsidRPr="00000000" w14:paraId="000000C3">
            <w:pPr>
              <w:rPr>
                <w:sz w:val="24"/>
                <w:szCs w:val="24"/>
              </w:rPr>
            </w:pPr>
            <w:r w:rsidDel="00000000" w:rsidR="00000000" w:rsidRPr="00000000">
              <w:rPr>
                <w:sz w:val="24"/>
                <w:szCs w:val="24"/>
                <w:rtl w:val="0"/>
              </w:rPr>
              <w:t xml:space="preserve">Return on Equity</w:t>
            </w:r>
          </w:p>
        </w:tc>
        <w:tc>
          <w:tcPr/>
          <w:p w:rsidR="00000000" w:rsidDel="00000000" w:rsidP="00000000" w:rsidRDefault="00000000" w:rsidRPr="00000000" w14:paraId="000000C4">
            <w:pPr>
              <w:rPr>
                <w:sz w:val="24"/>
                <w:szCs w:val="24"/>
              </w:rPr>
            </w:pPr>
            <w:r w:rsidDel="00000000" w:rsidR="00000000" w:rsidRPr="00000000">
              <w:rPr>
                <w:sz w:val="24"/>
                <w:szCs w:val="24"/>
                <w:rtl w:val="0"/>
              </w:rPr>
              <w:t xml:space="preserve">-0.10556</w:t>
            </w:r>
          </w:p>
        </w:tc>
      </w:tr>
    </w:tbl>
    <w:p w:rsidR="00000000" w:rsidDel="00000000" w:rsidP="00000000" w:rsidRDefault="00000000" w:rsidRPr="00000000" w14:paraId="000000C5">
      <w:pPr>
        <w:spacing w:line="360" w:lineRule="auto"/>
        <w:jc w:val="both"/>
        <w:rPr>
          <w:sz w:val="24"/>
          <w:szCs w:val="24"/>
        </w:rPr>
      </w:pPr>
      <w:r w:rsidDel="00000000" w:rsidR="00000000" w:rsidRPr="00000000">
        <w:rPr>
          <w:rtl w:val="0"/>
        </w:rPr>
      </w:r>
    </w:p>
    <w:p w:rsidR="00000000" w:rsidDel="00000000" w:rsidP="00000000" w:rsidRDefault="00000000" w:rsidRPr="00000000" w14:paraId="000000C6">
      <w:pPr>
        <w:spacing w:line="360" w:lineRule="auto"/>
        <w:jc w:val="both"/>
        <w:rPr>
          <w:sz w:val="24"/>
          <w:szCs w:val="24"/>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A94244"/>
    <w:rPr>
      <w:lang w:val="en-US"/>
    </w:rPr>
  </w:style>
  <w:style w:type="paragraph" w:styleId="Heading1">
    <w:name w:val="heading 1"/>
    <w:basedOn w:val="Normal"/>
    <w:next w:val="Normal"/>
    <w:link w:val="Heading1Char"/>
    <w:uiPriority w:val="9"/>
    <w:qFormat w:val="1"/>
    <w:rsid w:val="0040481B"/>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semiHidden w:val="1"/>
    <w:unhideWhenUsed w:val="1"/>
    <w:rsid w:val="008826FC"/>
    <w:pPr>
      <w:spacing w:after="100" w:afterAutospacing="1" w:before="100" w:beforeAutospacing="1" w:line="240" w:lineRule="auto"/>
    </w:pPr>
    <w:rPr>
      <w:rFonts w:ascii="Times New Roman" w:cs="Times New Roman" w:eastAsia="Times New Roman" w:hAnsi="Times New Roman"/>
      <w:sz w:val="24"/>
      <w:szCs w:val="24"/>
      <w:lang w:eastAsia="en-GB" w:val="en-GB"/>
    </w:rPr>
  </w:style>
  <w:style w:type="character" w:styleId="Strong">
    <w:name w:val="Strong"/>
    <w:basedOn w:val="DefaultParagraphFont"/>
    <w:uiPriority w:val="22"/>
    <w:qFormat w:val="1"/>
    <w:rsid w:val="008826FC"/>
    <w:rPr>
      <w:b w:val="1"/>
      <w:bCs w:val="1"/>
    </w:rPr>
  </w:style>
  <w:style w:type="character" w:styleId="Emphasis">
    <w:name w:val="Emphasis"/>
    <w:basedOn w:val="DefaultParagraphFont"/>
    <w:uiPriority w:val="20"/>
    <w:qFormat w:val="1"/>
    <w:rsid w:val="008826FC"/>
    <w:rPr>
      <w:i w:val="1"/>
      <w:iCs w:val="1"/>
    </w:rPr>
  </w:style>
  <w:style w:type="character" w:styleId="Heading1Char" w:customStyle="1">
    <w:name w:val="Heading 1 Char"/>
    <w:basedOn w:val="DefaultParagraphFont"/>
    <w:link w:val="Heading1"/>
    <w:uiPriority w:val="9"/>
    <w:rsid w:val="0040481B"/>
    <w:rPr>
      <w:rFonts w:asciiTheme="majorHAnsi" w:cstheme="majorBidi" w:eastAsiaTheme="majorEastAsia" w:hAnsiTheme="majorHAnsi"/>
      <w:color w:val="2e74b5" w:themeColor="accent1" w:themeShade="0000BF"/>
      <w:sz w:val="32"/>
      <w:szCs w:val="32"/>
      <w:lang w:val="en-US"/>
    </w:rPr>
  </w:style>
  <w:style w:type="paragraph" w:styleId="TOCHeading">
    <w:name w:val="TOC Heading"/>
    <w:basedOn w:val="Heading1"/>
    <w:next w:val="Normal"/>
    <w:uiPriority w:val="39"/>
    <w:unhideWhenUsed w:val="1"/>
    <w:qFormat w:val="1"/>
    <w:rsid w:val="0040481B"/>
    <w:pPr>
      <w:outlineLvl w:val="9"/>
    </w:pPr>
  </w:style>
  <w:style w:type="paragraph" w:styleId="TOC1">
    <w:name w:val="toc 1"/>
    <w:basedOn w:val="Normal"/>
    <w:next w:val="Normal"/>
    <w:autoRedefine w:val="1"/>
    <w:uiPriority w:val="39"/>
    <w:unhideWhenUsed w:val="1"/>
    <w:rsid w:val="0040481B"/>
    <w:pPr>
      <w:spacing w:after="100"/>
    </w:pPr>
  </w:style>
  <w:style w:type="character" w:styleId="Hyperlink">
    <w:name w:val="Hyperlink"/>
    <w:basedOn w:val="DefaultParagraphFont"/>
    <w:uiPriority w:val="99"/>
    <w:unhideWhenUsed w:val="1"/>
    <w:rsid w:val="0040481B"/>
    <w:rPr>
      <w:color w:val="0563c1" w:themeColor="hyperlink"/>
      <w:u w:val="single"/>
    </w:rPr>
  </w:style>
  <w:style w:type="table" w:styleId="TableGrid">
    <w:name w:val="Table Grid"/>
    <w:basedOn w:val="TableNormal"/>
    <w:uiPriority w:val="39"/>
    <w:rsid w:val="005A35FF"/>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Caption">
    <w:name w:val="caption"/>
    <w:basedOn w:val="Normal"/>
    <w:next w:val="Normal"/>
    <w:uiPriority w:val="35"/>
    <w:unhideWhenUsed w:val="1"/>
    <w:qFormat w:val="1"/>
    <w:rsid w:val="005A35FF"/>
    <w:pPr>
      <w:spacing w:after="200" w:line="240" w:lineRule="auto"/>
    </w:pPr>
    <w:rPr>
      <w:i w:val="1"/>
      <w:iCs w:val="1"/>
      <w:color w:val="44546a" w:themeColor="text2"/>
      <w:sz w:val="18"/>
      <w:szCs w:val="18"/>
    </w:rPr>
  </w:style>
  <w:style w:type="paragraph" w:styleId="BalloonText">
    <w:name w:val="Balloon Text"/>
    <w:basedOn w:val="Normal"/>
    <w:link w:val="BalloonTextChar"/>
    <w:uiPriority w:val="99"/>
    <w:semiHidden w:val="1"/>
    <w:unhideWhenUsed w:val="1"/>
    <w:rsid w:val="00A87BC8"/>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A87BC8"/>
    <w:rPr>
      <w:rFonts w:ascii="Tahoma" w:cs="Tahoma" w:hAnsi="Tahoma"/>
      <w:sz w:val="16"/>
      <w:szCs w:val="16"/>
      <w:lang w:val="en-US"/>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chart" Target="charts/chart1.xml"/><Relationship Id="rId8"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Income Statement Analysis</a:t>
            </a:r>
            <a:endParaRPr lang="en-GB"/>
          </a:p>
        </c:rich>
      </c:tx>
      <c:overlay val="0"/>
      <c:spPr>
        <a:noFill/>
        <a:ln>
          <a:noFill/>
        </a:ln>
        <a:effectLst/>
      </c:spPr>
    </c:title>
    <c:autoTitleDeleted val="0"/>
    <c:plotArea>
      <c:layout/>
      <c:barChart>
        <c:barDir val="col"/>
        <c:grouping val="clustered"/>
        <c:varyColors val="0"/>
        <c:ser>
          <c:idx val="0"/>
          <c:order val="0"/>
          <c:tx>
            <c:strRef>
              <c:f>Sheet1!$A$2</c:f>
              <c:strCache>
                <c:ptCount val="1"/>
                <c:pt idx="0">
                  <c:v>Total Revenue</c:v>
                </c:pt>
              </c:strCache>
            </c:strRef>
          </c:tx>
          <c:spPr>
            <a:solidFill>
              <a:schemeClr val="accent1"/>
            </a:solidFill>
            <a:ln>
              <a:noFill/>
            </a:ln>
            <a:effectLst/>
          </c:spPr>
          <c:invertIfNegative val="0"/>
          <c:cat>
            <c:numRef>
              <c:f>Sheet1!$B$1:$D$1</c:f>
              <c:numCache>
                <c:formatCode>General</c:formatCode>
                <c:ptCount val="3"/>
                <c:pt idx="0">
                  <c:v>2020</c:v>
                </c:pt>
                <c:pt idx="1">
                  <c:v>2021</c:v>
                </c:pt>
                <c:pt idx="2">
                  <c:v>2022</c:v>
                </c:pt>
              </c:numCache>
            </c:numRef>
          </c:cat>
          <c:val>
            <c:numRef>
              <c:f>Sheet1!$B$2:$D$2</c:f>
              <c:numCache>
                <c:formatCode>#,##0</c:formatCode>
                <c:ptCount val="3"/>
                <c:pt idx="0">
                  <c:v>520000</c:v>
                </c:pt>
                <c:pt idx="1">
                  <c:v>480000</c:v>
                </c:pt>
                <c:pt idx="2">
                  <c:v>430000</c:v>
                </c:pt>
              </c:numCache>
            </c:numRef>
          </c:val>
          <c:extLst>
            <c:ext xmlns:c16="http://schemas.microsoft.com/office/drawing/2014/chart" uri="{C3380CC4-5D6E-409C-BE32-E72D297353CC}">
              <c16:uniqueId val="{00000000-A7DD-4D97-9876-663F7044F125}"/>
            </c:ext>
          </c:extLst>
        </c:ser>
        <c:ser>
          <c:idx val="1"/>
          <c:order val="1"/>
          <c:tx>
            <c:strRef>
              <c:f>Sheet1!$A$3</c:f>
              <c:strCache>
                <c:ptCount val="1"/>
                <c:pt idx="0">
                  <c:v>Operating Expenses</c:v>
                </c:pt>
              </c:strCache>
            </c:strRef>
          </c:tx>
          <c:spPr>
            <a:solidFill>
              <a:schemeClr val="accent2"/>
            </a:solidFill>
            <a:ln>
              <a:noFill/>
            </a:ln>
            <a:effectLst/>
          </c:spPr>
          <c:invertIfNegative val="0"/>
          <c:cat>
            <c:numRef>
              <c:f>Sheet1!$B$1:$D$1</c:f>
              <c:numCache>
                <c:formatCode>General</c:formatCode>
                <c:ptCount val="3"/>
                <c:pt idx="0">
                  <c:v>2020</c:v>
                </c:pt>
                <c:pt idx="1">
                  <c:v>2021</c:v>
                </c:pt>
                <c:pt idx="2">
                  <c:v>2022</c:v>
                </c:pt>
              </c:numCache>
            </c:numRef>
          </c:cat>
          <c:val>
            <c:numRef>
              <c:f>Sheet1!$B$3:$D$3</c:f>
              <c:numCache>
                <c:formatCode>#,##0</c:formatCode>
                <c:ptCount val="3"/>
                <c:pt idx="0">
                  <c:v>390000</c:v>
                </c:pt>
                <c:pt idx="1">
                  <c:v>400000</c:v>
                </c:pt>
                <c:pt idx="2">
                  <c:v>450000</c:v>
                </c:pt>
              </c:numCache>
            </c:numRef>
          </c:val>
          <c:extLst>
            <c:ext xmlns:c16="http://schemas.microsoft.com/office/drawing/2014/chart" uri="{C3380CC4-5D6E-409C-BE32-E72D297353CC}">
              <c16:uniqueId val="{00000001-A7DD-4D97-9876-663F7044F125}"/>
            </c:ext>
          </c:extLst>
        </c:ser>
        <c:ser>
          <c:idx val="2"/>
          <c:order val="2"/>
          <c:tx>
            <c:strRef>
              <c:f>Sheet1!$A$4</c:f>
              <c:strCache>
                <c:ptCount val="1"/>
                <c:pt idx="0">
                  <c:v>Gross Profit</c:v>
                </c:pt>
              </c:strCache>
            </c:strRef>
          </c:tx>
          <c:spPr>
            <a:solidFill>
              <a:schemeClr val="accent3"/>
            </a:solidFill>
            <a:ln>
              <a:noFill/>
            </a:ln>
            <a:effectLst/>
          </c:spPr>
          <c:invertIfNegative val="0"/>
          <c:cat>
            <c:numRef>
              <c:f>Sheet1!$B$1:$D$1</c:f>
              <c:numCache>
                <c:formatCode>General</c:formatCode>
                <c:ptCount val="3"/>
                <c:pt idx="0">
                  <c:v>2020</c:v>
                </c:pt>
                <c:pt idx="1">
                  <c:v>2021</c:v>
                </c:pt>
                <c:pt idx="2">
                  <c:v>2022</c:v>
                </c:pt>
              </c:numCache>
            </c:numRef>
          </c:cat>
          <c:val>
            <c:numRef>
              <c:f>Sheet1!$B$4:$D$4</c:f>
              <c:numCache>
                <c:formatCode>#,##0</c:formatCode>
                <c:ptCount val="3"/>
                <c:pt idx="0">
                  <c:v>130000</c:v>
                </c:pt>
                <c:pt idx="1">
                  <c:v>80000</c:v>
                </c:pt>
                <c:pt idx="2">
                  <c:v>-20000</c:v>
                </c:pt>
              </c:numCache>
            </c:numRef>
          </c:val>
          <c:extLst>
            <c:ext xmlns:c16="http://schemas.microsoft.com/office/drawing/2014/chart" uri="{C3380CC4-5D6E-409C-BE32-E72D297353CC}">
              <c16:uniqueId val="{00000002-A7DD-4D97-9876-663F7044F125}"/>
            </c:ext>
          </c:extLst>
        </c:ser>
        <c:ser>
          <c:idx val="3"/>
          <c:order val="3"/>
          <c:tx>
            <c:strRef>
              <c:f>Sheet1!$A$5</c:f>
              <c:strCache>
                <c:ptCount val="1"/>
                <c:pt idx="0">
                  <c:v>Net Profit (Loss)</c:v>
                </c:pt>
              </c:strCache>
            </c:strRef>
          </c:tx>
          <c:spPr>
            <a:solidFill>
              <a:schemeClr val="accent4"/>
            </a:solidFill>
            <a:ln>
              <a:noFill/>
            </a:ln>
            <a:effectLst/>
          </c:spPr>
          <c:invertIfNegative val="0"/>
          <c:cat>
            <c:numRef>
              <c:f>Sheet1!$B$1:$D$1</c:f>
              <c:numCache>
                <c:formatCode>General</c:formatCode>
                <c:ptCount val="3"/>
                <c:pt idx="0">
                  <c:v>2020</c:v>
                </c:pt>
                <c:pt idx="1">
                  <c:v>2021</c:v>
                </c:pt>
                <c:pt idx="2">
                  <c:v>2022</c:v>
                </c:pt>
              </c:numCache>
            </c:numRef>
          </c:cat>
          <c:val>
            <c:numRef>
              <c:f>Sheet1!$B$5:$D$5</c:f>
              <c:numCache>
                <c:formatCode>#,##0</c:formatCode>
                <c:ptCount val="3"/>
                <c:pt idx="0">
                  <c:v>78000</c:v>
                </c:pt>
                <c:pt idx="1">
                  <c:v>40000</c:v>
                </c:pt>
                <c:pt idx="2">
                  <c:v>-47500</c:v>
                </c:pt>
              </c:numCache>
            </c:numRef>
          </c:val>
          <c:extLst>
            <c:ext xmlns:c16="http://schemas.microsoft.com/office/drawing/2014/chart" uri="{C3380CC4-5D6E-409C-BE32-E72D297353CC}">
              <c16:uniqueId val="{00000003-A7DD-4D97-9876-663F7044F125}"/>
            </c:ext>
          </c:extLst>
        </c:ser>
        <c:dLbls>
          <c:showLegendKey val="0"/>
          <c:showVal val="0"/>
          <c:showCatName val="0"/>
          <c:showSerName val="0"/>
          <c:showPercent val="0"/>
          <c:showBubbleSize val="0"/>
        </c:dLbls>
        <c:gapWidth val="219"/>
        <c:overlap val="-27"/>
        <c:axId val="54600448"/>
        <c:axId val="54601984"/>
      </c:barChart>
      <c:lineChart>
        <c:grouping val="standard"/>
        <c:varyColors val="0"/>
        <c:ser>
          <c:idx val="4"/>
          <c:order val="4"/>
          <c:tx>
            <c:strRef>
              <c:f>Sheet1!$A$6</c:f>
              <c:strCache>
                <c:ptCount val="1"/>
                <c:pt idx="0">
                  <c:v>Net Profit Margin</c:v>
                </c:pt>
              </c:strCache>
            </c:strRef>
          </c:tx>
          <c:spPr>
            <a:ln w="28575" cap="rnd">
              <a:solidFill>
                <a:schemeClr val="accent5"/>
              </a:solidFill>
              <a:round/>
            </a:ln>
            <a:effectLst/>
          </c:spPr>
          <c:marker>
            <c:symbol val="none"/>
          </c:marker>
          <c:cat>
            <c:numRef>
              <c:f>Sheet1!$B$1:$D$1</c:f>
              <c:numCache>
                <c:formatCode>General</c:formatCode>
                <c:ptCount val="3"/>
                <c:pt idx="0">
                  <c:v>2020</c:v>
                </c:pt>
                <c:pt idx="1">
                  <c:v>2021</c:v>
                </c:pt>
                <c:pt idx="2">
                  <c:v>2022</c:v>
                </c:pt>
              </c:numCache>
            </c:numRef>
          </c:cat>
          <c:val>
            <c:numRef>
              <c:f>Sheet1!$B$6:$D$6</c:f>
              <c:numCache>
                <c:formatCode>0%</c:formatCode>
                <c:ptCount val="3"/>
                <c:pt idx="0">
                  <c:v>0.15</c:v>
                </c:pt>
                <c:pt idx="1">
                  <c:v>0.08</c:v>
                </c:pt>
                <c:pt idx="2">
                  <c:v>-0.11</c:v>
                </c:pt>
              </c:numCache>
            </c:numRef>
          </c:val>
          <c:smooth val="0"/>
          <c:extLst>
            <c:ext xmlns:c16="http://schemas.microsoft.com/office/drawing/2014/chart" uri="{C3380CC4-5D6E-409C-BE32-E72D297353CC}">
              <c16:uniqueId val="{00000004-A7DD-4D97-9876-663F7044F125}"/>
            </c:ext>
          </c:extLst>
        </c:ser>
        <c:dLbls>
          <c:showLegendKey val="0"/>
          <c:showVal val="0"/>
          <c:showCatName val="0"/>
          <c:showSerName val="0"/>
          <c:showPercent val="0"/>
          <c:showBubbleSize val="0"/>
        </c:dLbls>
        <c:marker val="1"/>
        <c:smooth val="0"/>
        <c:axId val="138139136"/>
        <c:axId val="138137600"/>
      </c:lineChart>
      <c:catAx>
        <c:axId val="54600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01984"/>
        <c:crosses val="autoZero"/>
        <c:auto val="1"/>
        <c:lblAlgn val="ctr"/>
        <c:lblOffset val="100"/>
        <c:noMultiLvlLbl val="0"/>
      </c:catAx>
      <c:valAx>
        <c:axId val="5460198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00448"/>
        <c:crosses val="autoZero"/>
        <c:crossBetween val="between"/>
      </c:valAx>
      <c:valAx>
        <c:axId val="138137600"/>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139136"/>
        <c:crosses val="max"/>
        <c:crossBetween val="between"/>
      </c:valAx>
      <c:catAx>
        <c:axId val="138139136"/>
        <c:scaling>
          <c:orientation val="minMax"/>
        </c:scaling>
        <c:delete val="1"/>
        <c:axPos val="b"/>
        <c:numFmt formatCode="General" sourceLinked="1"/>
        <c:majorTickMark val="none"/>
        <c:minorTickMark val="none"/>
        <c:tickLblPos val="nextTo"/>
        <c:crossAx val="138137600"/>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Income Statement Analysis</a:t>
            </a:r>
            <a:endParaRPr lang="en-GB"/>
          </a:p>
        </c:rich>
      </c:tx>
      <c:overlay val="0"/>
      <c:spPr>
        <a:noFill/>
        <a:ln>
          <a:noFill/>
        </a:ln>
        <a:effectLst/>
      </c:spPr>
    </c:title>
    <c:autoTitleDeleted val="0"/>
    <c:plotArea>
      <c:layout/>
      <c:barChart>
        <c:barDir val="col"/>
        <c:grouping val="clustered"/>
        <c:varyColors val="0"/>
        <c:ser>
          <c:idx val="0"/>
          <c:order val="0"/>
          <c:tx>
            <c:strRef>
              <c:f>Sheet1!$A$2</c:f>
              <c:strCache>
                <c:ptCount val="1"/>
                <c:pt idx="0">
                  <c:v>Total Revenue</c:v>
                </c:pt>
              </c:strCache>
            </c:strRef>
          </c:tx>
          <c:spPr>
            <a:solidFill>
              <a:schemeClr val="accent1"/>
            </a:solidFill>
            <a:ln>
              <a:noFill/>
            </a:ln>
            <a:effectLst/>
          </c:spPr>
          <c:invertIfNegative val="0"/>
          <c:cat>
            <c:numRef>
              <c:f>Sheet1!$B$1:$D$1</c:f>
              <c:numCache>
                <c:formatCode>General</c:formatCode>
                <c:ptCount val="3"/>
                <c:pt idx="0">
                  <c:v>2020</c:v>
                </c:pt>
                <c:pt idx="1">
                  <c:v>2021</c:v>
                </c:pt>
                <c:pt idx="2">
                  <c:v>2022</c:v>
                </c:pt>
              </c:numCache>
            </c:numRef>
          </c:cat>
          <c:val>
            <c:numRef>
              <c:f>Sheet1!$B$2:$D$2</c:f>
              <c:numCache>
                <c:formatCode>#,##0</c:formatCode>
                <c:ptCount val="3"/>
                <c:pt idx="0">
                  <c:v>520000</c:v>
                </c:pt>
                <c:pt idx="1">
                  <c:v>480000</c:v>
                </c:pt>
                <c:pt idx="2">
                  <c:v>430000</c:v>
                </c:pt>
              </c:numCache>
            </c:numRef>
          </c:val>
          <c:extLst>
            <c:ext xmlns:c16="http://schemas.microsoft.com/office/drawing/2014/chart" uri="{C3380CC4-5D6E-409C-BE32-E72D297353CC}">
              <c16:uniqueId val="{00000000-1BAF-4FA2-87F7-27B988F93BFA}"/>
            </c:ext>
          </c:extLst>
        </c:ser>
        <c:ser>
          <c:idx val="1"/>
          <c:order val="1"/>
          <c:tx>
            <c:strRef>
              <c:f>Sheet1!$A$3</c:f>
              <c:strCache>
                <c:ptCount val="1"/>
                <c:pt idx="0">
                  <c:v>Operating Expenses</c:v>
                </c:pt>
              </c:strCache>
            </c:strRef>
          </c:tx>
          <c:spPr>
            <a:solidFill>
              <a:schemeClr val="accent2"/>
            </a:solidFill>
            <a:ln>
              <a:noFill/>
            </a:ln>
            <a:effectLst/>
          </c:spPr>
          <c:invertIfNegative val="0"/>
          <c:cat>
            <c:numRef>
              <c:f>Sheet1!$B$1:$D$1</c:f>
              <c:numCache>
                <c:formatCode>General</c:formatCode>
                <c:ptCount val="3"/>
                <c:pt idx="0">
                  <c:v>2020</c:v>
                </c:pt>
                <c:pt idx="1">
                  <c:v>2021</c:v>
                </c:pt>
                <c:pt idx="2">
                  <c:v>2022</c:v>
                </c:pt>
              </c:numCache>
            </c:numRef>
          </c:cat>
          <c:val>
            <c:numRef>
              <c:f>Sheet1!$B$3:$D$3</c:f>
              <c:numCache>
                <c:formatCode>#,##0</c:formatCode>
                <c:ptCount val="3"/>
                <c:pt idx="0">
                  <c:v>390000</c:v>
                </c:pt>
                <c:pt idx="1">
                  <c:v>400000</c:v>
                </c:pt>
                <c:pt idx="2">
                  <c:v>450000</c:v>
                </c:pt>
              </c:numCache>
            </c:numRef>
          </c:val>
          <c:extLst>
            <c:ext xmlns:c16="http://schemas.microsoft.com/office/drawing/2014/chart" uri="{C3380CC4-5D6E-409C-BE32-E72D297353CC}">
              <c16:uniqueId val="{00000001-1BAF-4FA2-87F7-27B988F93BFA}"/>
            </c:ext>
          </c:extLst>
        </c:ser>
        <c:ser>
          <c:idx val="2"/>
          <c:order val="2"/>
          <c:tx>
            <c:strRef>
              <c:f>Sheet1!$A$4</c:f>
              <c:strCache>
                <c:ptCount val="1"/>
                <c:pt idx="0">
                  <c:v>Gross Profit</c:v>
                </c:pt>
              </c:strCache>
            </c:strRef>
          </c:tx>
          <c:spPr>
            <a:solidFill>
              <a:schemeClr val="accent3"/>
            </a:solidFill>
            <a:ln>
              <a:noFill/>
            </a:ln>
            <a:effectLst/>
          </c:spPr>
          <c:invertIfNegative val="0"/>
          <c:cat>
            <c:numRef>
              <c:f>Sheet1!$B$1:$D$1</c:f>
              <c:numCache>
                <c:formatCode>General</c:formatCode>
                <c:ptCount val="3"/>
                <c:pt idx="0">
                  <c:v>2020</c:v>
                </c:pt>
                <c:pt idx="1">
                  <c:v>2021</c:v>
                </c:pt>
                <c:pt idx="2">
                  <c:v>2022</c:v>
                </c:pt>
              </c:numCache>
            </c:numRef>
          </c:cat>
          <c:val>
            <c:numRef>
              <c:f>Sheet1!$B$4:$D$4</c:f>
              <c:numCache>
                <c:formatCode>#,##0</c:formatCode>
                <c:ptCount val="3"/>
                <c:pt idx="0">
                  <c:v>130000</c:v>
                </c:pt>
                <c:pt idx="1">
                  <c:v>80000</c:v>
                </c:pt>
                <c:pt idx="2">
                  <c:v>-20000</c:v>
                </c:pt>
              </c:numCache>
            </c:numRef>
          </c:val>
          <c:extLst>
            <c:ext xmlns:c16="http://schemas.microsoft.com/office/drawing/2014/chart" uri="{C3380CC4-5D6E-409C-BE32-E72D297353CC}">
              <c16:uniqueId val="{00000002-1BAF-4FA2-87F7-27B988F93BFA}"/>
            </c:ext>
          </c:extLst>
        </c:ser>
        <c:ser>
          <c:idx val="3"/>
          <c:order val="3"/>
          <c:tx>
            <c:strRef>
              <c:f>Sheet1!$A$5</c:f>
              <c:strCache>
                <c:ptCount val="1"/>
                <c:pt idx="0">
                  <c:v>Net Profit (Loss)</c:v>
                </c:pt>
              </c:strCache>
            </c:strRef>
          </c:tx>
          <c:spPr>
            <a:solidFill>
              <a:schemeClr val="accent4"/>
            </a:solidFill>
            <a:ln>
              <a:noFill/>
            </a:ln>
            <a:effectLst/>
          </c:spPr>
          <c:invertIfNegative val="0"/>
          <c:cat>
            <c:numRef>
              <c:f>Sheet1!$B$1:$D$1</c:f>
              <c:numCache>
                <c:formatCode>General</c:formatCode>
                <c:ptCount val="3"/>
                <c:pt idx="0">
                  <c:v>2020</c:v>
                </c:pt>
                <c:pt idx="1">
                  <c:v>2021</c:v>
                </c:pt>
                <c:pt idx="2">
                  <c:v>2022</c:v>
                </c:pt>
              </c:numCache>
            </c:numRef>
          </c:cat>
          <c:val>
            <c:numRef>
              <c:f>Sheet1!$B$5:$D$5</c:f>
              <c:numCache>
                <c:formatCode>#,##0</c:formatCode>
                <c:ptCount val="3"/>
                <c:pt idx="0">
                  <c:v>78000</c:v>
                </c:pt>
                <c:pt idx="1">
                  <c:v>40000</c:v>
                </c:pt>
                <c:pt idx="2">
                  <c:v>-47500</c:v>
                </c:pt>
              </c:numCache>
            </c:numRef>
          </c:val>
          <c:extLst>
            <c:ext xmlns:c16="http://schemas.microsoft.com/office/drawing/2014/chart" uri="{C3380CC4-5D6E-409C-BE32-E72D297353CC}">
              <c16:uniqueId val="{00000003-1BAF-4FA2-87F7-27B988F93BFA}"/>
            </c:ext>
          </c:extLst>
        </c:ser>
        <c:dLbls>
          <c:showLegendKey val="0"/>
          <c:showVal val="0"/>
          <c:showCatName val="0"/>
          <c:showSerName val="0"/>
          <c:showPercent val="0"/>
          <c:showBubbleSize val="0"/>
        </c:dLbls>
        <c:gapWidth val="219"/>
        <c:overlap val="-27"/>
        <c:axId val="159704960"/>
        <c:axId val="159706496"/>
      </c:barChart>
      <c:lineChart>
        <c:grouping val="standard"/>
        <c:varyColors val="0"/>
        <c:ser>
          <c:idx val="4"/>
          <c:order val="4"/>
          <c:tx>
            <c:strRef>
              <c:f>Sheet1!$A$6</c:f>
              <c:strCache>
                <c:ptCount val="1"/>
                <c:pt idx="0">
                  <c:v>Net Profit Margin</c:v>
                </c:pt>
              </c:strCache>
            </c:strRef>
          </c:tx>
          <c:spPr>
            <a:ln w="28575" cap="rnd">
              <a:solidFill>
                <a:schemeClr val="accent5"/>
              </a:solidFill>
              <a:round/>
            </a:ln>
            <a:effectLst/>
          </c:spPr>
          <c:marker>
            <c:symbol val="none"/>
          </c:marker>
          <c:cat>
            <c:numRef>
              <c:f>Sheet1!$B$1:$D$1</c:f>
              <c:numCache>
                <c:formatCode>General</c:formatCode>
                <c:ptCount val="3"/>
                <c:pt idx="0">
                  <c:v>2020</c:v>
                </c:pt>
                <c:pt idx="1">
                  <c:v>2021</c:v>
                </c:pt>
                <c:pt idx="2">
                  <c:v>2022</c:v>
                </c:pt>
              </c:numCache>
            </c:numRef>
          </c:cat>
          <c:val>
            <c:numRef>
              <c:f>Sheet1!$B$6:$D$6</c:f>
              <c:numCache>
                <c:formatCode>0%</c:formatCode>
                <c:ptCount val="3"/>
                <c:pt idx="0">
                  <c:v>0.15</c:v>
                </c:pt>
                <c:pt idx="1">
                  <c:v>0.08</c:v>
                </c:pt>
                <c:pt idx="2">
                  <c:v>-0.11</c:v>
                </c:pt>
              </c:numCache>
            </c:numRef>
          </c:val>
          <c:smooth val="0"/>
          <c:extLst>
            <c:ext xmlns:c16="http://schemas.microsoft.com/office/drawing/2014/chart" uri="{C3380CC4-5D6E-409C-BE32-E72D297353CC}">
              <c16:uniqueId val="{00000004-1BAF-4FA2-87F7-27B988F93BFA}"/>
            </c:ext>
          </c:extLst>
        </c:ser>
        <c:dLbls>
          <c:showLegendKey val="0"/>
          <c:showVal val="0"/>
          <c:showCatName val="0"/>
          <c:showSerName val="0"/>
          <c:showPercent val="0"/>
          <c:showBubbleSize val="0"/>
        </c:dLbls>
        <c:marker val="1"/>
        <c:smooth val="0"/>
        <c:axId val="160500352"/>
        <c:axId val="160498816"/>
      </c:lineChart>
      <c:catAx>
        <c:axId val="159704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706496"/>
        <c:crosses val="autoZero"/>
        <c:auto val="1"/>
        <c:lblAlgn val="ctr"/>
        <c:lblOffset val="100"/>
        <c:noMultiLvlLbl val="0"/>
      </c:catAx>
      <c:valAx>
        <c:axId val="1597064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704960"/>
        <c:crosses val="autoZero"/>
        <c:crossBetween val="between"/>
      </c:valAx>
      <c:valAx>
        <c:axId val="160498816"/>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500352"/>
        <c:crosses val="max"/>
        <c:crossBetween val="between"/>
      </c:valAx>
      <c:catAx>
        <c:axId val="160500352"/>
        <c:scaling>
          <c:orientation val="minMax"/>
        </c:scaling>
        <c:delete val="1"/>
        <c:axPos val="b"/>
        <c:numFmt formatCode="General" sourceLinked="1"/>
        <c:majorTickMark val="none"/>
        <c:minorTickMark val="none"/>
        <c:tickLblPos val="nextTo"/>
        <c:crossAx val="160498816"/>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ak62fVsq+npbp5e7+7lerS+cmA==">CgMxLjAyCGguZ2pkZ3hzMgloLjMwajB6bGwyCWguMWZvYjl0ZTIJaC4zem55c2g3MgloLjJldDkycDAyCGgudHlqY3d0MgloLjNkeTZ2a20yCWguMXQzaDVzZjIJaC40ZDM0b2c4MgloLjJzOGV5bzEyCWguMTdkcDh2dTIJaC4zcmRjcmpuMgloLjI2aW4xcmc4AHIhMTIyRlg1YUItMjY1dm9DcktOai1VNDgwQldoNFlYcHdR</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2023-11-15T04:41:00Z</dcterms:created>
  <dc:creator>Huzaira Shafqat</dc:creator>
</cp:coreProperties>
</file>