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50051" w14:textId="01BEB8BC" w:rsidR="002956F1" w:rsidRDefault="002956F1" w:rsidP="00500BE2">
      <w:pPr>
        <w:spacing w:line="360" w:lineRule="auto"/>
        <w:jc w:val="both"/>
        <w:rPr>
          <w:rFonts w:asciiTheme="minorBidi" w:hAnsiTheme="minorBidi"/>
          <w:b/>
          <w:noProof/>
          <w:sz w:val="32"/>
          <w:szCs w:val="32"/>
          <w:lang w:val="en-US"/>
        </w:rPr>
      </w:pPr>
      <w:r>
        <w:rPr>
          <w:rFonts w:asciiTheme="minorBidi" w:hAnsiTheme="minorBidi"/>
          <w:b/>
          <w:noProof/>
          <w:sz w:val="32"/>
          <w:szCs w:val="32"/>
          <w:lang w:val="en-US"/>
        </w:rPr>
        <w:t xml:space="preserve">                                  </w:t>
      </w:r>
      <w:r w:rsidRPr="00BB38B9">
        <w:rPr>
          <w:rFonts w:asciiTheme="minorBidi" w:hAnsiTheme="minorBidi"/>
          <w:b/>
          <w:noProof/>
          <w:sz w:val="32"/>
          <w:szCs w:val="32"/>
          <w:lang w:val="en-US"/>
        </w:rPr>
        <w:drawing>
          <wp:inline distT="114300" distB="114300" distL="114300" distR="114300" wp14:anchorId="32931C0F" wp14:editId="50A83F5E">
            <wp:extent cx="2590800" cy="85725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8"/>
                    <a:stretch>
                      <a:fillRect/>
                    </a:stretch>
                  </pic:blipFill>
                  <pic:spPr>
                    <a:xfrm>
                      <a:off x="0" y="0"/>
                      <a:ext cx="2590800" cy="857250"/>
                    </a:xfrm>
                    <a:prstGeom prst="rect">
                      <a:avLst/>
                    </a:prstGeom>
                  </pic:spPr>
                </pic:pic>
              </a:graphicData>
            </a:graphic>
          </wp:inline>
        </w:drawing>
      </w:r>
    </w:p>
    <w:p w14:paraId="63E65F3B" w14:textId="77777777" w:rsidR="00132817" w:rsidRPr="00C57C00" w:rsidRDefault="00132817" w:rsidP="00132817">
      <w:pPr>
        <w:jc w:val="center"/>
        <w:rPr>
          <w:rFonts w:asciiTheme="minorBidi" w:hAnsiTheme="minorBidi"/>
          <w:bCs/>
          <w:sz w:val="40"/>
          <w:szCs w:val="40"/>
          <w:lang w:val="en-GB"/>
        </w:rPr>
      </w:pPr>
      <w:r w:rsidRPr="00C57C00">
        <w:rPr>
          <w:rFonts w:asciiTheme="minorBidi" w:hAnsiTheme="minorBidi"/>
          <w:bCs/>
          <w:sz w:val="40"/>
          <w:szCs w:val="40"/>
          <w:lang w:val="en-GB"/>
        </w:rPr>
        <w:t>Programme: Master of Business Administration</w:t>
      </w:r>
    </w:p>
    <w:p w14:paraId="5A20D55B" w14:textId="52DBFD13" w:rsidR="001B11E1" w:rsidRPr="00C57C00" w:rsidRDefault="00132817" w:rsidP="001B11E1">
      <w:pPr>
        <w:spacing w:line="360" w:lineRule="auto"/>
        <w:jc w:val="center"/>
        <w:rPr>
          <w:rFonts w:asciiTheme="minorBidi" w:hAnsiTheme="minorBidi"/>
          <w:bCs/>
          <w:sz w:val="40"/>
          <w:szCs w:val="40"/>
          <w:lang w:val="en-GB"/>
        </w:rPr>
      </w:pPr>
      <w:r w:rsidRPr="00C57C00">
        <w:rPr>
          <w:rFonts w:asciiTheme="minorBidi" w:hAnsiTheme="minorBidi"/>
          <w:bCs/>
          <w:sz w:val="40"/>
          <w:szCs w:val="40"/>
          <w:lang w:val="en-GB"/>
        </w:rPr>
        <w:t>Module:</w:t>
      </w:r>
      <w:r w:rsidR="001B11E1" w:rsidRPr="00C57C00">
        <w:rPr>
          <w:rFonts w:ascii="Segoe UI" w:eastAsia="Times New Roman" w:hAnsi="Segoe UI" w:cs="Segoe UI"/>
          <w:bCs/>
          <w:color w:val="FFFFFF"/>
          <w:kern w:val="36"/>
          <w:sz w:val="48"/>
          <w:szCs w:val="48"/>
          <w:lang w:eastAsia="en-IN"/>
          <w14:ligatures w14:val="none"/>
        </w:rPr>
        <w:t xml:space="preserve"> </w:t>
      </w:r>
      <w:r w:rsidR="001B11E1" w:rsidRPr="00C57C00">
        <w:rPr>
          <w:rFonts w:asciiTheme="minorBidi" w:hAnsiTheme="minorBidi"/>
          <w:bCs/>
          <w:sz w:val="40"/>
          <w:szCs w:val="40"/>
          <w:lang w:val="en-GB"/>
        </w:rPr>
        <w:t>Dissertation</w:t>
      </w:r>
    </w:p>
    <w:p w14:paraId="31715569" w14:textId="27080414" w:rsidR="00132817" w:rsidRPr="00C57C00" w:rsidRDefault="00D44DAC" w:rsidP="0050661F">
      <w:pPr>
        <w:spacing w:line="360" w:lineRule="auto"/>
        <w:jc w:val="center"/>
        <w:rPr>
          <w:rFonts w:asciiTheme="minorBidi" w:hAnsiTheme="minorBidi"/>
          <w:bCs/>
          <w:sz w:val="40"/>
          <w:szCs w:val="40"/>
          <w:lang w:val="en-GB"/>
        </w:rPr>
      </w:pPr>
      <w:r w:rsidRPr="00C57C00">
        <w:rPr>
          <w:rFonts w:asciiTheme="minorBidi" w:hAnsiTheme="minorBidi"/>
          <w:bCs/>
          <w:sz w:val="40"/>
          <w:szCs w:val="40"/>
          <w:lang w:val="en-GB"/>
        </w:rPr>
        <w:t>Module code</w:t>
      </w:r>
      <w:r w:rsidRPr="00C57C00">
        <w:rPr>
          <w:rFonts w:asciiTheme="minorBidi" w:hAnsiTheme="minorBidi"/>
          <w:bCs/>
          <w:sz w:val="40"/>
          <w:szCs w:val="40"/>
          <w:lang w:val="en-GB"/>
        </w:rPr>
        <w:t>:</w:t>
      </w:r>
      <w:r w:rsidR="0050661F" w:rsidRPr="00C57C00">
        <w:rPr>
          <w:rFonts w:ascii="Segoe UI" w:eastAsia="Times New Roman" w:hAnsi="Segoe UI" w:cs="Segoe UI"/>
          <w:bCs/>
          <w:color w:val="FFFFFF"/>
          <w:kern w:val="36"/>
          <w:sz w:val="48"/>
          <w:szCs w:val="48"/>
          <w:lang w:eastAsia="en-IN"/>
          <w14:ligatures w14:val="none"/>
        </w:rPr>
        <w:t xml:space="preserve"> </w:t>
      </w:r>
      <w:r w:rsidR="0050661F" w:rsidRPr="00C57C00">
        <w:rPr>
          <w:rFonts w:asciiTheme="minorBidi" w:hAnsiTheme="minorBidi"/>
          <w:bCs/>
          <w:sz w:val="40"/>
          <w:szCs w:val="40"/>
          <w:lang w:val="en-GB"/>
        </w:rPr>
        <w:t>LCMB7035</w:t>
      </w:r>
    </w:p>
    <w:p w14:paraId="52EF3D05" w14:textId="14AD1B52" w:rsidR="0050661F" w:rsidRPr="0050661F" w:rsidRDefault="00073AB1" w:rsidP="00C57C00">
      <w:pPr>
        <w:spacing w:line="360" w:lineRule="auto"/>
        <w:jc w:val="center"/>
        <w:rPr>
          <w:rFonts w:asciiTheme="minorBidi" w:hAnsiTheme="minorBidi"/>
          <w:b/>
          <w:bCs/>
        </w:rPr>
      </w:pPr>
      <w:r>
        <w:rPr>
          <w:rFonts w:asciiTheme="minorBidi" w:hAnsiTheme="minorBidi"/>
          <w:b/>
          <w:sz w:val="40"/>
          <w:szCs w:val="40"/>
          <w:lang w:val="en-GB"/>
        </w:rPr>
        <w:t>PROPOSAL</w:t>
      </w:r>
    </w:p>
    <w:p w14:paraId="6260D235" w14:textId="1AD3FD7F" w:rsidR="003856AA" w:rsidRPr="00595BE4" w:rsidRDefault="003856AA" w:rsidP="002956F1">
      <w:pPr>
        <w:spacing w:line="360" w:lineRule="auto"/>
        <w:jc w:val="center"/>
        <w:rPr>
          <w:rFonts w:ascii="Times New Roman" w:hAnsi="Times New Roman" w:cs="Times New Roman"/>
          <w:sz w:val="40"/>
          <w:szCs w:val="40"/>
        </w:rPr>
      </w:pPr>
      <w:r w:rsidRPr="00595BE4">
        <w:rPr>
          <w:rFonts w:ascii="Times New Roman" w:hAnsi="Times New Roman" w:cs="Times New Roman"/>
          <w:sz w:val="40"/>
          <w:szCs w:val="40"/>
        </w:rPr>
        <w:t xml:space="preserve">Name: </w:t>
      </w:r>
      <w:r w:rsidR="00A6066C">
        <w:rPr>
          <w:rFonts w:ascii="Times New Roman" w:hAnsi="Times New Roman" w:cs="Times New Roman"/>
          <w:sz w:val="40"/>
          <w:szCs w:val="40"/>
        </w:rPr>
        <w:t xml:space="preserve">Niranjan </w:t>
      </w:r>
      <w:r w:rsidR="00B96630">
        <w:rPr>
          <w:rFonts w:ascii="Times New Roman" w:hAnsi="Times New Roman" w:cs="Times New Roman"/>
          <w:sz w:val="40"/>
          <w:szCs w:val="40"/>
        </w:rPr>
        <w:t>L</w:t>
      </w:r>
      <w:r w:rsidR="00A6066C">
        <w:rPr>
          <w:rFonts w:ascii="Times New Roman" w:hAnsi="Times New Roman" w:cs="Times New Roman"/>
          <w:sz w:val="40"/>
          <w:szCs w:val="40"/>
        </w:rPr>
        <w:t>oganathan</w:t>
      </w:r>
    </w:p>
    <w:p w14:paraId="6D896876" w14:textId="19081FBE" w:rsidR="003856AA" w:rsidRPr="00595BE4" w:rsidRDefault="003856AA" w:rsidP="002956F1">
      <w:pPr>
        <w:spacing w:line="360" w:lineRule="auto"/>
        <w:jc w:val="center"/>
        <w:rPr>
          <w:rFonts w:ascii="Times New Roman" w:hAnsi="Times New Roman" w:cs="Times New Roman"/>
          <w:sz w:val="40"/>
          <w:szCs w:val="40"/>
        </w:rPr>
      </w:pPr>
      <w:r w:rsidRPr="00595BE4">
        <w:rPr>
          <w:rFonts w:ascii="Times New Roman" w:hAnsi="Times New Roman" w:cs="Times New Roman"/>
          <w:sz w:val="40"/>
          <w:szCs w:val="40"/>
        </w:rPr>
        <w:t xml:space="preserve">Student ID: </w:t>
      </w:r>
      <w:r w:rsidR="00A6066C">
        <w:rPr>
          <w:rFonts w:ascii="Times New Roman" w:hAnsi="Times New Roman" w:cs="Times New Roman"/>
          <w:sz w:val="40"/>
          <w:szCs w:val="40"/>
        </w:rPr>
        <w:t>2424023</w:t>
      </w:r>
    </w:p>
    <w:p w14:paraId="282A9E4D" w14:textId="2BC7FCAD" w:rsidR="003856AA" w:rsidRPr="00595BE4" w:rsidRDefault="003856AA" w:rsidP="002956F1">
      <w:pPr>
        <w:spacing w:line="360" w:lineRule="auto"/>
        <w:jc w:val="center"/>
        <w:rPr>
          <w:rFonts w:ascii="Times New Roman" w:hAnsi="Times New Roman" w:cs="Times New Roman"/>
          <w:sz w:val="40"/>
          <w:szCs w:val="40"/>
        </w:rPr>
      </w:pPr>
      <w:r w:rsidRPr="00595BE4">
        <w:rPr>
          <w:rFonts w:ascii="Times New Roman" w:hAnsi="Times New Roman" w:cs="Times New Roman"/>
          <w:sz w:val="40"/>
          <w:szCs w:val="40"/>
        </w:rPr>
        <w:t>Supervisor:</w:t>
      </w:r>
      <w:r w:rsidR="00A6066C">
        <w:rPr>
          <w:rFonts w:ascii="Times New Roman" w:hAnsi="Times New Roman" w:cs="Times New Roman"/>
          <w:sz w:val="40"/>
          <w:szCs w:val="40"/>
        </w:rPr>
        <w:t xml:space="preserve"> John Harris</w:t>
      </w:r>
    </w:p>
    <w:p w14:paraId="3A3FFF64" w14:textId="766DECB2" w:rsidR="003856AA" w:rsidRPr="00595BE4" w:rsidRDefault="003856AA" w:rsidP="002956F1">
      <w:pPr>
        <w:spacing w:line="360" w:lineRule="auto"/>
        <w:jc w:val="center"/>
        <w:rPr>
          <w:rFonts w:ascii="Times New Roman" w:hAnsi="Times New Roman" w:cs="Times New Roman"/>
          <w:sz w:val="40"/>
          <w:szCs w:val="40"/>
        </w:rPr>
      </w:pPr>
      <w:r w:rsidRPr="00595BE4">
        <w:rPr>
          <w:rFonts w:ascii="Times New Roman" w:hAnsi="Times New Roman" w:cs="Times New Roman"/>
          <w:sz w:val="40"/>
          <w:szCs w:val="40"/>
        </w:rPr>
        <w:t>Title:</w:t>
      </w:r>
    </w:p>
    <w:p w14:paraId="74DEC50F" w14:textId="77777777" w:rsidR="003856AA" w:rsidRPr="00595BE4" w:rsidRDefault="003856AA" w:rsidP="002956F1">
      <w:pPr>
        <w:spacing w:line="360" w:lineRule="auto"/>
        <w:jc w:val="center"/>
        <w:rPr>
          <w:rFonts w:ascii="Times New Roman" w:hAnsi="Times New Roman" w:cs="Times New Roman"/>
          <w:b/>
          <w:bCs/>
          <w:color w:val="215E99" w:themeColor="text2" w:themeTint="BF"/>
          <w:sz w:val="40"/>
          <w:szCs w:val="40"/>
        </w:rPr>
      </w:pPr>
      <w:r w:rsidRPr="00595BE4">
        <w:rPr>
          <w:rFonts w:ascii="Times New Roman" w:hAnsi="Times New Roman" w:cs="Times New Roman"/>
          <w:b/>
          <w:bCs/>
          <w:color w:val="215E99" w:themeColor="text2" w:themeTint="BF"/>
          <w:sz w:val="40"/>
          <w:szCs w:val="40"/>
        </w:rPr>
        <w:t>Exchange Rate Volatility, Geopolitical Shocks, and Digital Services Exports: A Systematic Literature Review with an India IT Case (2010–2024)</w:t>
      </w:r>
    </w:p>
    <w:p w14:paraId="1342630E" w14:textId="77777777" w:rsidR="003856AA" w:rsidRPr="00595BE4" w:rsidRDefault="003856AA" w:rsidP="00500BE2">
      <w:pPr>
        <w:spacing w:line="360" w:lineRule="auto"/>
        <w:jc w:val="both"/>
        <w:rPr>
          <w:rFonts w:ascii="Times New Roman" w:hAnsi="Times New Roman" w:cs="Times New Roman"/>
          <w:sz w:val="40"/>
          <w:szCs w:val="40"/>
        </w:rPr>
      </w:pPr>
    </w:p>
    <w:p w14:paraId="052ADF2E" w14:textId="77777777" w:rsidR="00CC5176" w:rsidRPr="00595BE4" w:rsidRDefault="00CC5176" w:rsidP="00500BE2">
      <w:pPr>
        <w:spacing w:line="360" w:lineRule="auto"/>
        <w:jc w:val="both"/>
        <w:rPr>
          <w:rFonts w:ascii="Times New Roman" w:hAnsi="Times New Roman" w:cs="Times New Roman"/>
          <w:sz w:val="40"/>
          <w:szCs w:val="40"/>
        </w:rPr>
      </w:pPr>
    </w:p>
    <w:p w14:paraId="6F565A62" w14:textId="77777777" w:rsidR="00CC5176" w:rsidRPr="00595BE4" w:rsidRDefault="00CC5176" w:rsidP="00500BE2">
      <w:pPr>
        <w:spacing w:line="360" w:lineRule="auto"/>
        <w:jc w:val="both"/>
        <w:rPr>
          <w:rFonts w:ascii="Times New Roman" w:hAnsi="Times New Roman" w:cs="Times New Roman"/>
          <w:sz w:val="40"/>
          <w:szCs w:val="40"/>
        </w:rPr>
      </w:pPr>
    </w:p>
    <w:p w14:paraId="60A9B6A2" w14:textId="77777777" w:rsidR="00CC5176" w:rsidRPr="00595BE4" w:rsidRDefault="00CC5176" w:rsidP="00500BE2">
      <w:pPr>
        <w:spacing w:line="360" w:lineRule="auto"/>
        <w:jc w:val="both"/>
        <w:rPr>
          <w:rFonts w:ascii="Times New Roman" w:hAnsi="Times New Roman" w:cs="Times New Roman"/>
          <w:color w:val="215E99" w:themeColor="text2" w:themeTint="BF"/>
          <w:sz w:val="40"/>
          <w:szCs w:val="40"/>
        </w:rPr>
      </w:pPr>
    </w:p>
    <w:p w14:paraId="78F89051" w14:textId="77777777" w:rsidR="00CC5176" w:rsidRPr="00595BE4" w:rsidRDefault="00CC5176" w:rsidP="00500BE2">
      <w:pPr>
        <w:spacing w:line="360" w:lineRule="auto"/>
        <w:jc w:val="both"/>
        <w:rPr>
          <w:rFonts w:ascii="Times New Roman" w:hAnsi="Times New Roman" w:cs="Times New Roman"/>
          <w:color w:val="215E99" w:themeColor="text2" w:themeTint="BF"/>
          <w:sz w:val="40"/>
          <w:szCs w:val="40"/>
        </w:rPr>
      </w:pPr>
    </w:p>
    <w:p w14:paraId="1C5654C9" w14:textId="77777777" w:rsidR="00CC5176" w:rsidRPr="00595BE4" w:rsidRDefault="00CC5176" w:rsidP="00500BE2">
      <w:pPr>
        <w:spacing w:line="360" w:lineRule="auto"/>
        <w:jc w:val="both"/>
        <w:rPr>
          <w:rFonts w:ascii="Times New Roman" w:hAnsi="Times New Roman" w:cs="Times New Roman"/>
          <w:color w:val="215E99" w:themeColor="text2" w:themeTint="BF"/>
          <w:sz w:val="40"/>
          <w:szCs w:val="40"/>
        </w:rPr>
      </w:pPr>
    </w:p>
    <w:p w14:paraId="000FF07F" w14:textId="77777777" w:rsidR="00CC5176" w:rsidRPr="00595BE4" w:rsidRDefault="00CC5176" w:rsidP="00500BE2">
      <w:pPr>
        <w:spacing w:line="360" w:lineRule="auto"/>
        <w:jc w:val="both"/>
        <w:rPr>
          <w:rFonts w:ascii="Times New Roman" w:hAnsi="Times New Roman" w:cs="Times New Roman"/>
          <w:color w:val="215E99" w:themeColor="text2" w:themeTint="BF"/>
          <w:sz w:val="40"/>
          <w:szCs w:val="40"/>
        </w:rPr>
      </w:pPr>
    </w:p>
    <w:p w14:paraId="0E0961BA" w14:textId="77777777" w:rsidR="00CC5176" w:rsidRPr="00595BE4" w:rsidRDefault="00CC5176" w:rsidP="00500BE2">
      <w:pPr>
        <w:spacing w:line="360" w:lineRule="auto"/>
        <w:jc w:val="both"/>
        <w:rPr>
          <w:rFonts w:ascii="Times New Roman" w:hAnsi="Times New Roman" w:cs="Times New Roman"/>
          <w:color w:val="215E99" w:themeColor="text2" w:themeTint="BF"/>
          <w:sz w:val="40"/>
          <w:szCs w:val="40"/>
        </w:rPr>
      </w:pPr>
    </w:p>
    <w:p w14:paraId="5016A857" w14:textId="77777777" w:rsidR="00CC5176" w:rsidRPr="00595BE4" w:rsidRDefault="00CC5176" w:rsidP="00500BE2">
      <w:pPr>
        <w:spacing w:line="360" w:lineRule="auto"/>
        <w:jc w:val="both"/>
        <w:rPr>
          <w:rFonts w:ascii="Times New Roman" w:hAnsi="Times New Roman" w:cs="Times New Roman"/>
          <w:color w:val="215E99" w:themeColor="text2" w:themeTint="BF"/>
          <w:sz w:val="40"/>
          <w:szCs w:val="40"/>
        </w:rPr>
      </w:pPr>
    </w:p>
    <w:sdt>
      <w:sdtPr>
        <w:rPr>
          <w:rFonts w:ascii="Times New Roman" w:eastAsiaTheme="minorHAnsi" w:hAnsi="Times New Roman" w:cs="Times New Roman"/>
          <w:color w:val="auto"/>
          <w:kern w:val="2"/>
          <w:sz w:val="24"/>
          <w:szCs w:val="24"/>
          <w:lang w:val="en-IN"/>
          <w14:ligatures w14:val="standardContextual"/>
        </w:rPr>
        <w:id w:val="-493104828"/>
        <w:docPartObj>
          <w:docPartGallery w:val="Table of Contents"/>
          <w:docPartUnique/>
        </w:docPartObj>
      </w:sdtPr>
      <w:sdtEndPr>
        <w:rPr>
          <w:b/>
          <w:bCs/>
          <w:noProof/>
        </w:rPr>
      </w:sdtEndPr>
      <w:sdtContent>
        <w:p w14:paraId="057D4557" w14:textId="0329759D" w:rsidR="000610B7" w:rsidRPr="00595BE4" w:rsidRDefault="000610B7" w:rsidP="00500BE2">
          <w:pPr>
            <w:pStyle w:val="TOCHeading"/>
            <w:spacing w:line="360" w:lineRule="auto"/>
            <w:rPr>
              <w:rFonts w:ascii="Times New Roman" w:hAnsi="Times New Roman" w:cs="Times New Roman"/>
            </w:rPr>
          </w:pPr>
          <w:r w:rsidRPr="00595BE4">
            <w:rPr>
              <w:rFonts w:ascii="Times New Roman" w:hAnsi="Times New Roman" w:cs="Times New Roman"/>
            </w:rPr>
            <w:t>Contents</w:t>
          </w:r>
        </w:p>
        <w:p w14:paraId="509D0557" w14:textId="71B5C1DA" w:rsidR="00283044" w:rsidRDefault="000610B7">
          <w:pPr>
            <w:pStyle w:val="TOC1"/>
            <w:tabs>
              <w:tab w:val="right" w:leader="dot" w:pos="9016"/>
            </w:tabs>
            <w:rPr>
              <w:rFonts w:eastAsiaTheme="minorEastAsia"/>
              <w:noProof/>
              <w:lang w:eastAsia="en-IN"/>
            </w:rPr>
          </w:pPr>
          <w:r w:rsidRPr="00595BE4">
            <w:rPr>
              <w:rFonts w:ascii="Times New Roman" w:hAnsi="Times New Roman" w:cs="Times New Roman"/>
            </w:rPr>
            <w:fldChar w:fldCharType="begin"/>
          </w:r>
          <w:r w:rsidRPr="00595BE4">
            <w:rPr>
              <w:rFonts w:ascii="Times New Roman" w:hAnsi="Times New Roman" w:cs="Times New Roman"/>
            </w:rPr>
            <w:instrText xml:space="preserve"> TOC \o "1-3" \h \z \u </w:instrText>
          </w:r>
          <w:r w:rsidRPr="00595BE4">
            <w:rPr>
              <w:rFonts w:ascii="Times New Roman" w:hAnsi="Times New Roman" w:cs="Times New Roman"/>
            </w:rPr>
            <w:fldChar w:fldCharType="separate"/>
          </w:r>
          <w:hyperlink w:anchor="_Toc210606352" w:history="1">
            <w:r w:rsidR="00283044" w:rsidRPr="00F757D3">
              <w:rPr>
                <w:rStyle w:val="Hyperlink"/>
                <w:rFonts w:ascii="Times New Roman" w:hAnsi="Times New Roman" w:cs="Times New Roman"/>
                <w:noProof/>
              </w:rPr>
              <w:t>Introduction</w:t>
            </w:r>
            <w:r w:rsidR="00283044">
              <w:rPr>
                <w:noProof/>
                <w:webHidden/>
              </w:rPr>
              <w:tab/>
            </w:r>
            <w:r w:rsidR="00283044">
              <w:rPr>
                <w:noProof/>
                <w:webHidden/>
              </w:rPr>
              <w:fldChar w:fldCharType="begin"/>
            </w:r>
            <w:r w:rsidR="00283044">
              <w:rPr>
                <w:noProof/>
                <w:webHidden/>
              </w:rPr>
              <w:instrText xml:space="preserve"> PAGEREF _Toc210606352 \h </w:instrText>
            </w:r>
            <w:r w:rsidR="00283044">
              <w:rPr>
                <w:noProof/>
                <w:webHidden/>
              </w:rPr>
            </w:r>
            <w:r w:rsidR="00283044">
              <w:rPr>
                <w:noProof/>
                <w:webHidden/>
              </w:rPr>
              <w:fldChar w:fldCharType="separate"/>
            </w:r>
            <w:r w:rsidR="00283044">
              <w:rPr>
                <w:noProof/>
                <w:webHidden/>
              </w:rPr>
              <w:t>3</w:t>
            </w:r>
            <w:r w:rsidR="00283044">
              <w:rPr>
                <w:noProof/>
                <w:webHidden/>
              </w:rPr>
              <w:fldChar w:fldCharType="end"/>
            </w:r>
          </w:hyperlink>
        </w:p>
        <w:p w14:paraId="32E2C6CE" w14:textId="382A0418" w:rsidR="00283044" w:rsidRDefault="00283044">
          <w:pPr>
            <w:pStyle w:val="TOC1"/>
            <w:tabs>
              <w:tab w:val="right" w:leader="dot" w:pos="9016"/>
            </w:tabs>
            <w:rPr>
              <w:rFonts w:eastAsiaTheme="minorEastAsia"/>
              <w:noProof/>
              <w:lang w:eastAsia="en-IN"/>
            </w:rPr>
          </w:pPr>
          <w:hyperlink w:anchor="_Toc210606353" w:history="1">
            <w:r w:rsidRPr="00F757D3">
              <w:rPr>
                <w:rStyle w:val="Hyperlink"/>
                <w:rFonts w:ascii="Times New Roman" w:hAnsi="Times New Roman" w:cs="Times New Roman"/>
                <w:noProof/>
              </w:rPr>
              <w:t>Research Aim, Objectives, and Questions</w:t>
            </w:r>
            <w:r>
              <w:rPr>
                <w:noProof/>
                <w:webHidden/>
              </w:rPr>
              <w:tab/>
            </w:r>
            <w:r>
              <w:rPr>
                <w:noProof/>
                <w:webHidden/>
              </w:rPr>
              <w:fldChar w:fldCharType="begin"/>
            </w:r>
            <w:r>
              <w:rPr>
                <w:noProof/>
                <w:webHidden/>
              </w:rPr>
              <w:instrText xml:space="preserve"> PAGEREF _Toc210606353 \h </w:instrText>
            </w:r>
            <w:r>
              <w:rPr>
                <w:noProof/>
                <w:webHidden/>
              </w:rPr>
            </w:r>
            <w:r>
              <w:rPr>
                <w:noProof/>
                <w:webHidden/>
              </w:rPr>
              <w:fldChar w:fldCharType="separate"/>
            </w:r>
            <w:r>
              <w:rPr>
                <w:noProof/>
                <w:webHidden/>
              </w:rPr>
              <w:t>4</w:t>
            </w:r>
            <w:r>
              <w:rPr>
                <w:noProof/>
                <w:webHidden/>
              </w:rPr>
              <w:fldChar w:fldCharType="end"/>
            </w:r>
          </w:hyperlink>
        </w:p>
        <w:p w14:paraId="40F18B67" w14:textId="7C601D74" w:rsidR="00283044" w:rsidRDefault="00283044">
          <w:pPr>
            <w:pStyle w:val="TOC2"/>
            <w:tabs>
              <w:tab w:val="right" w:leader="dot" w:pos="9016"/>
            </w:tabs>
            <w:rPr>
              <w:rFonts w:eastAsiaTheme="minorEastAsia"/>
              <w:noProof/>
              <w:lang w:eastAsia="en-IN"/>
            </w:rPr>
          </w:pPr>
          <w:hyperlink w:anchor="_Toc210606354" w:history="1">
            <w:r w:rsidRPr="00F757D3">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_Toc210606354 \h </w:instrText>
            </w:r>
            <w:r>
              <w:rPr>
                <w:noProof/>
                <w:webHidden/>
              </w:rPr>
            </w:r>
            <w:r>
              <w:rPr>
                <w:noProof/>
                <w:webHidden/>
              </w:rPr>
              <w:fldChar w:fldCharType="separate"/>
            </w:r>
            <w:r>
              <w:rPr>
                <w:noProof/>
                <w:webHidden/>
              </w:rPr>
              <w:t>4</w:t>
            </w:r>
            <w:r>
              <w:rPr>
                <w:noProof/>
                <w:webHidden/>
              </w:rPr>
              <w:fldChar w:fldCharType="end"/>
            </w:r>
          </w:hyperlink>
        </w:p>
        <w:p w14:paraId="0D7DBB99" w14:textId="35089DE4" w:rsidR="00283044" w:rsidRDefault="00283044">
          <w:pPr>
            <w:pStyle w:val="TOC2"/>
            <w:tabs>
              <w:tab w:val="right" w:leader="dot" w:pos="9016"/>
            </w:tabs>
            <w:rPr>
              <w:rFonts w:eastAsiaTheme="minorEastAsia"/>
              <w:noProof/>
              <w:lang w:eastAsia="en-IN"/>
            </w:rPr>
          </w:pPr>
          <w:hyperlink w:anchor="_Toc210606355" w:history="1">
            <w:r w:rsidRPr="00F757D3">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_Toc210606355 \h </w:instrText>
            </w:r>
            <w:r>
              <w:rPr>
                <w:noProof/>
                <w:webHidden/>
              </w:rPr>
            </w:r>
            <w:r>
              <w:rPr>
                <w:noProof/>
                <w:webHidden/>
              </w:rPr>
              <w:fldChar w:fldCharType="separate"/>
            </w:r>
            <w:r>
              <w:rPr>
                <w:noProof/>
                <w:webHidden/>
              </w:rPr>
              <w:t>4</w:t>
            </w:r>
            <w:r>
              <w:rPr>
                <w:noProof/>
                <w:webHidden/>
              </w:rPr>
              <w:fldChar w:fldCharType="end"/>
            </w:r>
          </w:hyperlink>
        </w:p>
        <w:p w14:paraId="2B929382" w14:textId="15BEEA7B" w:rsidR="00283044" w:rsidRDefault="00283044">
          <w:pPr>
            <w:pStyle w:val="TOC2"/>
            <w:tabs>
              <w:tab w:val="right" w:leader="dot" w:pos="9016"/>
            </w:tabs>
            <w:rPr>
              <w:rFonts w:eastAsiaTheme="minorEastAsia"/>
              <w:noProof/>
              <w:lang w:eastAsia="en-IN"/>
            </w:rPr>
          </w:pPr>
          <w:hyperlink w:anchor="_Toc210606356" w:history="1">
            <w:r w:rsidRPr="00F757D3">
              <w:rPr>
                <w:rStyle w:val="Hyperlink"/>
                <w:rFonts w:ascii="Times New Roman" w:hAnsi="Times New Roman" w:cs="Times New Roman"/>
                <w:noProof/>
              </w:rPr>
              <w:t>Research Questions</w:t>
            </w:r>
            <w:r>
              <w:rPr>
                <w:noProof/>
                <w:webHidden/>
              </w:rPr>
              <w:tab/>
            </w:r>
            <w:r>
              <w:rPr>
                <w:noProof/>
                <w:webHidden/>
              </w:rPr>
              <w:fldChar w:fldCharType="begin"/>
            </w:r>
            <w:r>
              <w:rPr>
                <w:noProof/>
                <w:webHidden/>
              </w:rPr>
              <w:instrText xml:space="preserve"> PAGEREF _Toc210606356 \h </w:instrText>
            </w:r>
            <w:r>
              <w:rPr>
                <w:noProof/>
                <w:webHidden/>
              </w:rPr>
            </w:r>
            <w:r>
              <w:rPr>
                <w:noProof/>
                <w:webHidden/>
              </w:rPr>
              <w:fldChar w:fldCharType="separate"/>
            </w:r>
            <w:r>
              <w:rPr>
                <w:noProof/>
                <w:webHidden/>
              </w:rPr>
              <w:t>4</w:t>
            </w:r>
            <w:r>
              <w:rPr>
                <w:noProof/>
                <w:webHidden/>
              </w:rPr>
              <w:fldChar w:fldCharType="end"/>
            </w:r>
          </w:hyperlink>
        </w:p>
        <w:p w14:paraId="31319B2C" w14:textId="31D95643" w:rsidR="00283044" w:rsidRDefault="00283044">
          <w:pPr>
            <w:pStyle w:val="TOC1"/>
            <w:tabs>
              <w:tab w:val="right" w:leader="dot" w:pos="9016"/>
            </w:tabs>
            <w:rPr>
              <w:rFonts w:eastAsiaTheme="minorEastAsia"/>
              <w:noProof/>
              <w:lang w:eastAsia="en-IN"/>
            </w:rPr>
          </w:pPr>
          <w:hyperlink w:anchor="_Toc210606357" w:history="1">
            <w:r w:rsidRPr="00F757D3">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_Toc210606357 \h </w:instrText>
            </w:r>
            <w:r>
              <w:rPr>
                <w:noProof/>
                <w:webHidden/>
              </w:rPr>
            </w:r>
            <w:r>
              <w:rPr>
                <w:noProof/>
                <w:webHidden/>
              </w:rPr>
              <w:fldChar w:fldCharType="separate"/>
            </w:r>
            <w:r>
              <w:rPr>
                <w:noProof/>
                <w:webHidden/>
              </w:rPr>
              <w:t>4</w:t>
            </w:r>
            <w:r>
              <w:rPr>
                <w:noProof/>
                <w:webHidden/>
              </w:rPr>
              <w:fldChar w:fldCharType="end"/>
            </w:r>
          </w:hyperlink>
        </w:p>
        <w:p w14:paraId="571AC29F" w14:textId="1B14283D" w:rsidR="00283044" w:rsidRDefault="00283044">
          <w:pPr>
            <w:pStyle w:val="TOC2"/>
            <w:tabs>
              <w:tab w:val="right" w:leader="dot" w:pos="9016"/>
            </w:tabs>
            <w:rPr>
              <w:rFonts w:eastAsiaTheme="minorEastAsia"/>
              <w:noProof/>
              <w:lang w:eastAsia="en-IN"/>
            </w:rPr>
          </w:pPr>
          <w:hyperlink w:anchor="_Toc210606358" w:history="1">
            <w:r w:rsidRPr="00F757D3">
              <w:rPr>
                <w:rStyle w:val="Hyperlink"/>
                <w:rFonts w:ascii="Times New Roman" w:hAnsi="Times New Roman" w:cs="Times New Roman"/>
                <w:noProof/>
              </w:rPr>
              <w:t>Exchange Rate Volatility and Trade in Services</w:t>
            </w:r>
            <w:r>
              <w:rPr>
                <w:noProof/>
                <w:webHidden/>
              </w:rPr>
              <w:tab/>
            </w:r>
            <w:r>
              <w:rPr>
                <w:noProof/>
                <w:webHidden/>
              </w:rPr>
              <w:fldChar w:fldCharType="begin"/>
            </w:r>
            <w:r>
              <w:rPr>
                <w:noProof/>
                <w:webHidden/>
              </w:rPr>
              <w:instrText xml:space="preserve"> PAGEREF _Toc210606358 \h </w:instrText>
            </w:r>
            <w:r>
              <w:rPr>
                <w:noProof/>
                <w:webHidden/>
              </w:rPr>
            </w:r>
            <w:r>
              <w:rPr>
                <w:noProof/>
                <w:webHidden/>
              </w:rPr>
              <w:fldChar w:fldCharType="separate"/>
            </w:r>
            <w:r>
              <w:rPr>
                <w:noProof/>
                <w:webHidden/>
              </w:rPr>
              <w:t>5</w:t>
            </w:r>
            <w:r>
              <w:rPr>
                <w:noProof/>
                <w:webHidden/>
              </w:rPr>
              <w:fldChar w:fldCharType="end"/>
            </w:r>
          </w:hyperlink>
        </w:p>
        <w:p w14:paraId="38A92D39" w14:textId="2DA17325" w:rsidR="00283044" w:rsidRDefault="00283044">
          <w:pPr>
            <w:pStyle w:val="TOC2"/>
            <w:tabs>
              <w:tab w:val="right" w:leader="dot" w:pos="9016"/>
            </w:tabs>
            <w:rPr>
              <w:rFonts w:eastAsiaTheme="minorEastAsia"/>
              <w:noProof/>
              <w:lang w:eastAsia="en-IN"/>
            </w:rPr>
          </w:pPr>
          <w:hyperlink w:anchor="_Toc210606359" w:history="1">
            <w:r w:rsidRPr="00F757D3">
              <w:rPr>
                <w:rStyle w:val="Hyperlink"/>
                <w:rFonts w:ascii="Times New Roman" w:hAnsi="Times New Roman" w:cs="Times New Roman"/>
                <w:noProof/>
              </w:rPr>
              <w:t>Geopolitical Shocks and Systemic Risks</w:t>
            </w:r>
            <w:r>
              <w:rPr>
                <w:noProof/>
                <w:webHidden/>
              </w:rPr>
              <w:tab/>
            </w:r>
            <w:r>
              <w:rPr>
                <w:noProof/>
                <w:webHidden/>
              </w:rPr>
              <w:fldChar w:fldCharType="begin"/>
            </w:r>
            <w:r>
              <w:rPr>
                <w:noProof/>
                <w:webHidden/>
              </w:rPr>
              <w:instrText xml:space="preserve"> PAGEREF _Toc210606359 \h </w:instrText>
            </w:r>
            <w:r>
              <w:rPr>
                <w:noProof/>
                <w:webHidden/>
              </w:rPr>
            </w:r>
            <w:r>
              <w:rPr>
                <w:noProof/>
                <w:webHidden/>
              </w:rPr>
              <w:fldChar w:fldCharType="separate"/>
            </w:r>
            <w:r>
              <w:rPr>
                <w:noProof/>
                <w:webHidden/>
              </w:rPr>
              <w:t>5</w:t>
            </w:r>
            <w:r>
              <w:rPr>
                <w:noProof/>
                <w:webHidden/>
              </w:rPr>
              <w:fldChar w:fldCharType="end"/>
            </w:r>
          </w:hyperlink>
        </w:p>
        <w:p w14:paraId="4D38A6EB" w14:textId="7CF328E5" w:rsidR="00283044" w:rsidRDefault="00283044">
          <w:pPr>
            <w:pStyle w:val="TOC2"/>
            <w:tabs>
              <w:tab w:val="right" w:leader="dot" w:pos="9016"/>
            </w:tabs>
            <w:rPr>
              <w:rFonts w:eastAsiaTheme="minorEastAsia"/>
              <w:noProof/>
              <w:lang w:eastAsia="en-IN"/>
            </w:rPr>
          </w:pPr>
          <w:hyperlink w:anchor="_Toc210606360" w:history="1">
            <w:r w:rsidRPr="00F757D3">
              <w:rPr>
                <w:rStyle w:val="Hyperlink"/>
                <w:rFonts w:ascii="Times New Roman" w:hAnsi="Times New Roman" w:cs="Times New Roman"/>
                <w:noProof/>
              </w:rPr>
              <w:t>India’s IT Services Sector</w:t>
            </w:r>
            <w:r>
              <w:rPr>
                <w:noProof/>
                <w:webHidden/>
              </w:rPr>
              <w:tab/>
            </w:r>
            <w:r>
              <w:rPr>
                <w:noProof/>
                <w:webHidden/>
              </w:rPr>
              <w:fldChar w:fldCharType="begin"/>
            </w:r>
            <w:r>
              <w:rPr>
                <w:noProof/>
                <w:webHidden/>
              </w:rPr>
              <w:instrText xml:space="preserve"> PAGEREF _Toc210606360 \h </w:instrText>
            </w:r>
            <w:r>
              <w:rPr>
                <w:noProof/>
                <w:webHidden/>
              </w:rPr>
            </w:r>
            <w:r>
              <w:rPr>
                <w:noProof/>
                <w:webHidden/>
              </w:rPr>
              <w:fldChar w:fldCharType="separate"/>
            </w:r>
            <w:r>
              <w:rPr>
                <w:noProof/>
                <w:webHidden/>
              </w:rPr>
              <w:t>5</w:t>
            </w:r>
            <w:r>
              <w:rPr>
                <w:noProof/>
                <w:webHidden/>
              </w:rPr>
              <w:fldChar w:fldCharType="end"/>
            </w:r>
          </w:hyperlink>
        </w:p>
        <w:p w14:paraId="11685C97" w14:textId="79BBFE50" w:rsidR="00283044" w:rsidRDefault="00283044">
          <w:pPr>
            <w:pStyle w:val="TOC2"/>
            <w:tabs>
              <w:tab w:val="right" w:leader="dot" w:pos="9016"/>
            </w:tabs>
            <w:rPr>
              <w:rFonts w:eastAsiaTheme="minorEastAsia"/>
              <w:noProof/>
              <w:lang w:eastAsia="en-IN"/>
            </w:rPr>
          </w:pPr>
          <w:hyperlink w:anchor="_Toc210606361" w:history="1">
            <w:r w:rsidRPr="00F757D3">
              <w:rPr>
                <w:rStyle w:val="Hyperlink"/>
                <w:rFonts w:ascii="Times New Roman" w:hAnsi="Times New Roman" w:cs="Times New Roman"/>
                <w:noProof/>
              </w:rPr>
              <w:t>Identified Gaps and Research Contribution</w:t>
            </w:r>
            <w:r>
              <w:rPr>
                <w:noProof/>
                <w:webHidden/>
              </w:rPr>
              <w:tab/>
            </w:r>
            <w:r>
              <w:rPr>
                <w:noProof/>
                <w:webHidden/>
              </w:rPr>
              <w:fldChar w:fldCharType="begin"/>
            </w:r>
            <w:r>
              <w:rPr>
                <w:noProof/>
                <w:webHidden/>
              </w:rPr>
              <w:instrText xml:space="preserve"> PAGEREF _Toc210606361 \h </w:instrText>
            </w:r>
            <w:r>
              <w:rPr>
                <w:noProof/>
                <w:webHidden/>
              </w:rPr>
            </w:r>
            <w:r>
              <w:rPr>
                <w:noProof/>
                <w:webHidden/>
              </w:rPr>
              <w:fldChar w:fldCharType="separate"/>
            </w:r>
            <w:r>
              <w:rPr>
                <w:noProof/>
                <w:webHidden/>
              </w:rPr>
              <w:t>6</w:t>
            </w:r>
            <w:r>
              <w:rPr>
                <w:noProof/>
                <w:webHidden/>
              </w:rPr>
              <w:fldChar w:fldCharType="end"/>
            </w:r>
          </w:hyperlink>
        </w:p>
        <w:p w14:paraId="6BB4D0D0" w14:textId="0974BDE8" w:rsidR="00283044" w:rsidRDefault="00283044">
          <w:pPr>
            <w:pStyle w:val="TOC1"/>
            <w:tabs>
              <w:tab w:val="right" w:leader="dot" w:pos="9016"/>
            </w:tabs>
            <w:rPr>
              <w:rFonts w:eastAsiaTheme="minorEastAsia"/>
              <w:noProof/>
              <w:lang w:eastAsia="en-IN"/>
            </w:rPr>
          </w:pPr>
          <w:hyperlink w:anchor="_Toc210606362" w:history="1">
            <w:r w:rsidRPr="00F757D3">
              <w:rPr>
                <w:rStyle w:val="Hyperlink"/>
                <w:rFonts w:ascii="Times New Roman" w:hAnsi="Times New Roman" w:cs="Times New Roman"/>
                <w:noProof/>
              </w:rPr>
              <w:t>Research Methodology</w:t>
            </w:r>
            <w:r>
              <w:rPr>
                <w:noProof/>
                <w:webHidden/>
              </w:rPr>
              <w:tab/>
            </w:r>
            <w:r>
              <w:rPr>
                <w:noProof/>
                <w:webHidden/>
              </w:rPr>
              <w:fldChar w:fldCharType="begin"/>
            </w:r>
            <w:r>
              <w:rPr>
                <w:noProof/>
                <w:webHidden/>
              </w:rPr>
              <w:instrText xml:space="preserve"> PAGEREF _Toc210606362 \h </w:instrText>
            </w:r>
            <w:r>
              <w:rPr>
                <w:noProof/>
                <w:webHidden/>
              </w:rPr>
            </w:r>
            <w:r>
              <w:rPr>
                <w:noProof/>
                <w:webHidden/>
              </w:rPr>
              <w:fldChar w:fldCharType="separate"/>
            </w:r>
            <w:r>
              <w:rPr>
                <w:noProof/>
                <w:webHidden/>
              </w:rPr>
              <w:t>6</w:t>
            </w:r>
            <w:r>
              <w:rPr>
                <w:noProof/>
                <w:webHidden/>
              </w:rPr>
              <w:fldChar w:fldCharType="end"/>
            </w:r>
          </w:hyperlink>
        </w:p>
        <w:p w14:paraId="12BBB21A" w14:textId="24D0B4D5" w:rsidR="00283044" w:rsidRDefault="00283044">
          <w:pPr>
            <w:pStyle w:val="TOC2"/>
            <w:tabs>
              <w:tab w:val="right" w:leader="dot" w:pos="9016"/>
            </w:tabs>
            <w:rPr>
              <w:rFonts w:eastAsiaTheme="minorEastAsia"/>
              <w:noProof/>
              <w:lang w:eastAsia="en-IN"/>
            </w:rPr>
          </w:pPr>
          <w:hyperlink w:anchor="_Toc210606363" w:history="1">
            <w:r w:rsidRPr="00F757D3">
              <w:rPr>
                <w:rStyle w:val="Hyperlink"/>
                <w:rFonts w:ascii="Times New Roman" w:hAnsi="Times New Roman" w:cs="Times New Roman"/>
                <w:noProof/>
              </w:rPr>
              <w:t>Research Philosophy and Approach</w:t>
            </w:r>
            <w:r>
              <w:rPr>
                <w:noProof/>
                <w:webHidden/>
              </w:rPr>
              <w:tab/>
            </w:r>
            <w:r>
              <w:rPr>
                <w:noProof/>
                <w:webHidden/>
              </w:rPr>
              <w:fldChar w:fldCharType="begin"/>
            </w:r>
            <w:r>
              <w:rPr>
                <w:noProof/>
                <w:webHidden/>
              </w:rPr>
              <w:instrText xml:space="preserve"> PAGEREF _Toc210606363 \h </w:instrText>
            </w:r>
            <w:r>
              <w:rPr>
                <w:noProof/>
                <w:webHidden/>
              </w:rPr>
            </w:r>
            <w:r>
              <w:rPr>
                <w:noProof/>
                <w:webHidden/>
              </w:rPr>
              <w:fldChar w:fldCharType="separate"/>
            </w:r>
            <w:r>
              <w:rPr>
                <w:noProof/>
                <w:webHidden/>
              </w:rPr>
              <w:t>6</w:t>
            </w:r>
            <w:r>
              <w:rPr>
                <w:noProof/>
                <w:webHidden/>
              </w:rPr>
              <w:fldChar w:fldCharType="end"/>
            </w:r>
          </w:hyperlink>
        </w:p>
        <w:p w14:paraId="45AC50B5" w14:textId="6775053B" w:rsidR="00283044" w:rsidRDefault="00283044">
          <w:pPr>
            <w:pStyle w:val="TOC2"/>
            <w:tabs>
              <w:tab w:val="right" w:leader="dot" w:pos="9016"/>
            </w:tabs>
            <w:rPr>
              <w:rFonts w:eastAsiaTheme="minorEastAsia"/>
              <w:noProof/>
              <w:lang w:eastAsia="en-IN"/>
            </w:rPr>
          </w:pPr>
          <w:hyperlink w:anchor="_Toc210606364" w:history="1">
            <w:r w:rsidRPr="00F757D3">
              <w:rPr>
                <w:rStyle w:val="Hyperlink"/>
                <w:rFonts w:ascii="Times New Roman" w:hAnsi="Times New Roman" w:cs="Times New Roman"/>
                <w:noProof/>
              </w:rPr>
              <w:t>Systematic Literature Review Design</w:t>
            </w:r>
            <w:r>
              <w:rPr>
                <w:noProof/>
                <w:webHidden/>
              </w:rPr>
              <w:tab/>
            </w:r>
            <w:r>
              <w:rPr>
                <w:noProof/>
                <w:webHidden/>
              </w:rPr>
              <w:fldChar w:fldCharType="begin"/>
            </w:r>
            <w:r>
              <w:rPr>
                <w:noProof/>
                <w:webHidden/>
              </w:rPr>
              <w:instrText xml:space="preserve"> PAGEREF _Toc210606364 \h </w:instrText>
            </w:r>
            <w:r>
              <w:rPr>
                <w:noProof/>
                <w:webHidden/>
              </w:rPr>
            </w:r>
            <w:r>
              <w:rPr>
                <w:noProof/>
                <w:webHidden/>
              </w:rPr>
              <w:fldChar w:fldCharType="separate"/>
            </w:r>
            <w:r>
              <w:rPr>
                <w:noProof/>
                <w:webHidden/>
              </w:rPr>
              <w:t>7</w:t>
            </w:r>
            <w:r>
              <w:rPr>
                <w:noProof/>
                <w:webHidden/>
              </w:rPr>
              <w:fldChar w:fldCharType="end"/>
            </w:r>
          </w:hyperlink>
        </w:p>
        <w:p w14:paraId="7EA1119B" w14:textId="078DE98D" w:rsidR="00283044" w:rsidRDefault="00283044">
          <w:pPr>
            <w:pStyle w:val="TOC2"/>
            <w:tabs>
              <w:tab w:val="right" w:leader="dot" w:pos="9016"/>
            </w:tabs>
            <w:rPr>
              <w:rFonts w:eastAsiaTheme="minorEastAsia"/>
              <w:noProof/>
              <w:lang w:eastAsia="en-IN"/>
            </w:rPr>
          </w:pPr>
          <w:hyperlink w:anchor="_Toc210606365" w:history="1">
            <w:r w:rsidRPr="00F757D3">
              <w:rPr>
                <w:rStyle w:val="Hyperlink"/>
                <w:rFonts w:ascii="Times New Roman" w:hAnsi="Times New Roman" w:cs="Times New Roman"/>
                <w:noProof/>
              </w:rPr>
              <w:t>Secondary Data Descriptive Analysis</w:t>
            </w:r>
            <w:r>
              <w:rPr>
                <w:noProof/>
                <w:webHidden/>
              </w:rPr>
              <w:tab/>
            </w:r>
            <w:r>
              <w:rPr>
                <w:noProof/>
                <w:webHidden/>
              </w:rPr>
              <w:fldChar w:fldCharType="begin"/>
            </w:r>
            <w:r>
              <w:rPr>
                <w:noProof/>
                <w:webHidden/>
              </w:rPr>
              <w:instrText xml:space="preserve"> PAGEREF _Toc210606365 \h </w:instrText>
            </w:r>
            <w:r>
              <w:rPr>
                <w:noProof/>
                <w:webHidden/>
              </w:rPr>
            </w:r>
            <w:r>
              <w:rPr>
                <w:noProof/>
                <w:webHidden/>
              </w:rPr>
              <w:fldChar w:fldCharType="separate"/>
            </w:r>
            <w:r>
              <w:rPr>
                <w:noProof/>
                <w:webHidden/>
              </w:rPr>
              <w:t>8</w:t>
            </w:r>
            <w:r>
              <w:rPr>
                <w:noProof/>
                <w:webHidden/>
              </w:rPr>
              <w:fldChar w:fldCharType="end"/>
            </w:r>
          </w:hyperlink>
        </w:p>
        <w:p w14:paraId="042D700F" w14:textId="0512E872" w:rsidR="00283044" w:rsidRDefault="00283044">
          <w:pPr>
            <w:pStyle w:val="TOC2"/>
            <w:tabs>
              <w:tab w:val="right" w:leader="dot" w:pos="9016"/>
            </w:tabs>
            <w:rPr>
              <w:rFonts w:eastAsiaTheme="minorEastAsia"/>
              <w:noProof/>
              <w:lang w:eastAsia="en-IN"/>
            </w:rPr>
          </w:pPr>
          <w:hyperlink w:anchor="_Toc210606366" w:history="1">
            <w:r w:rsidRPr="00F757D3">
              <w:rPr>
                <w:rStyle w:val="Hyperlink"/>
                <w:rFonts w:ascii="Times New Roman" w:hAnsi="Times New Roman" w:cs="Times New Roman"/>
                <w:noProof/>
              </w:rPr>
              <w:t>Ethical Considerations</w:t>
            </w:r>
            <w:r>
              <w:rPr>
                <w:noProof/>
                <w:webHidden/>
              </w:rPr>
              <w:tab/>
            </w:r>
            <w:r>
              <w:rPr>
                <w:noProof/>
                <w:webHidden/>
              </w:rPr>
              <w:fldChar w:fldCharType="begin"/>
            </w:r>
            <w:r>
              <w:rPr>
                <w:noProof/>
                <w:webHidden/>
              </w:rPr>
              <w:instrText xml:space="preserve"> PAGEREF _Toc210606366 \h </w:instrText>
            </w:r>
            <w:r>
              <w:rPr>
                <w:noProof/>
                <w:webHidden/>
              </w:rPr>
            </w:r>
            <w:r>
              <w:rPr>
                <w:noProof/>
                <w:webHidden/>
              </w:rPr>
              <w:fldChar w:fldCharType="separate"/>
            </w:r>
            <w:r>
              <w:rPr>
                <w:noProof/>
                <w:webHidden/>
              </w:rPr>
              <w:t>8</w:t>
            </w:r>
            <w:r>
              <w:rPr>
                <w:noProof/>
                <w:webHidden/>
              </w:rPr>
              <w:fldChar w:fldCharType="end"/>
            </w:r>
          </w:hyperlink>
        </w:p>
        <w:p w14:paraId="5E308F98" w14:textId="6B29BCFB" w:rsidR="00283044" w:rsidRDefault="00283044">
          <w:pPr>
            <w:pStyle w:val="TOC2"/>
            <w:tabs>
              <w:tab w:val="right" w:leader="dot" w:pos="9016"/>
            </w:tabs>
            <w:rPr>
              <w:rFonts w:eastAsiaTheme="minorEastAsia"/>
              <w:noProof/>
              <w:lang w:eastAsia="en-IN"/>
            </w:rPr>
          </w:pPr>
          <w:hyperlink w:anchor="_Toc210606367" w:history="1">
            <w:r w:rsidRPr="00F757D3">
              <w:rPr>
                <w:rStyle w:val="Hyperlink"/>
                <w:rFonts w:ascii="Times New Roman" w:hAnsi="Times New Roman" w:cs="Times New Roman"/>
                <w:noProof/>
              </w:rPr>
              <w:t>Reliability, Validity, and Limitations</w:t>
            </w:r>
            <w:r>
              <w:rPr>
                <w:noProof/>
                <w:webHidden/>
              </w:rPr>
              <w:tab/>
            </w:r>
            <w:r>
              <w:rPr>
                <w:noProof/>
                <w:webHidden/>
              </w:rPr>
              <w:fldChar w:fldCharType="begin"/>
            </w:r>
            <w:r>
              <w:rPr>
                <w:noProof/>
                <w:webHidden/>
              </w:rPr>
              <w:instrText xml:space="preserve"> PAGEREF _Toc210606367 \h </w:instrText>
            </w:r>
            <w:r>
              <w:rPr>
                <w:noProof/>
                <w:webHidden/>
              </w:rPr>
            </w:r>
            <w:r>
              <w:rPr>
                <w:noProof/>
                <w:webHidden/>
              </w:rPr>
              <w:fldChar w:fldCharType="separate"/>
            </w:r>
            <w:r>
              <w:rPr>
                <w:noProof/>
                <w:webHidden/>
              </w:rPr>
              <w:t>8</w:t>
            </w:r>
            <w:r>
              <w:rPr>
                <w:noProof/>
                <w:webHidden/>
              </w:rPr>
              <w:fldChar w:fldCharType="end"/>
            </w:r>
          </w:hyperlink>
        </w:p>
        <w:p w14:paraId="08019124" w14:textId="322D4876" w:rsidR="00283044" w:rsidRDefault="00283044">
          <w:pPr>
            <w:pStyle w:val="TOC2"/>
            <w:tabs>
              <w:tab w:val="right" w:leader="dot" w:pos="9016"/>
            </w:tabs>
            <w:rPr>
              <w:rFonts w:eastAsiaTheme="minorEastAsia"/>
              <w:noProof/>
              <w:lang w:eastAsia="en-IN"/>
            </w:rPr>
          </w:pPr>
          <w:hyperlink w:anchor="_Toc210606368" w:history="1">
            <w:r w:rsidRPr="00F757D3">
              <w:rPr>
                <w:rStyle w:val="Hyperlink"/>
                <w:rFonts w:ascii="Times New Roman" w:hAnsi="Times New Roman" w:cs="Times New Roman"/>
                <w:noProof/>
              </w:rPr>
              <w:t>Summary</w:t>
            </w:r>
            <w:r>
              <w:rPr>
                <w:noProof/>
                <w:webHidden/>
              </w:rPr>
              <w:tab/>
            </w:r>
            <w:r>
              <w:rPr>
                <w:noProof/>
                <w:webHidden/>
              </w:rPr>
              <w:fldChar w:fldCharType="begin"/>
            </w:r>
            <w:r>
              <w:rPr>
                <w:noProof/>
                <w:webHidden/>
              </w:rPr>
              <w:instrText xml:space="preserve"> PAGEREF _Toc210606368 \h </w:instrText>
            </w:r>
            <w:r>
              <w:rPr>
                <w:noProof/>
                <w:webHidden/>
              </w:rPr>
            </w:r>
            <w:r>
              <w:rPr>
                <w:noProof/>
                <w:webHidden/>
              </w:rPr>
              <w:fldChar w:fldCharType="separate"/>
            </w:r>
            <w:r>
              <w:rPr>
                <w:noProof/>
                <w:webHidden/>
              </w:rPr>
              <w:t>9</w:t>
            </w:r>
            <w:r>
              <w:rPr>
                <w:noProof/>
                <w:webHidden/>
              </w:rPr>
              <w:fldChar w:fldCharType="end"/>
            </w:r>
          </w:hyperlink>
        </w:p>
        <w:p w14:paraId="3F29BA2A" w14:textId="07FCCEC0" w:rsidR="00283044" w:rsidRDefault="00283044">
          <w:pPr>
            <w:pStyle w:val="TOC1"/>
            <w:tabs>
              <w:tab w:val="right" w:leader="dot" w:pos="9016"/>
            </w:tabs>
            <w:rPr>
              <w:rFonts w:eastAsiaTheme="minorEastAsia"/>
              <w:noProof/>
              <w:lang w:eastAsia="en-IN"/>
            </w:rPr>
          </w:pPr>
          <w:hyperlink w:anchor="_Toc210606369" w:history="1">
            <w:r w:rsidRPr="00F757D3">
              <w:rPr>
                <w:rStyle w:val="Hyperlink"/>
                <w:rFonts w:ascii="Times New Roman" w:hAnsi="Times New Roman" w:cs="Times New Roman"/>
                <w:noProof/>
              </w:rPr>
              <w:t>Timeline</w:t>
            </w:r>
            <w:r>
              <w:rPr>
                <w:noProof/>
                <w:webHidden/>
              </w:rPr>
              <w:tab/>
            </w:r>
            <w:r>
              <w:rPr>
                <w:noProof/>
                <w:webHidden/>
              </w:rPr>
              <w:fldChar w:fldCharType="begin"/>
            </w:r>
            <w:r>
              <w:rPr>
                <w:noProof/>
                <w:webHidden/>
              </w:rPr>
              <w:instrText xml:space="preserve"> PAGEREF _Toc210606369 \h </w:instrText>
            </w:r>
            <w:r>
              <w:rPr>
                <w:noProof/>
                <w:webHidden/>
              </w:rPr>
            </w:r>
            <w:r>
              <w:rPr>
                <w:noProof/>
                <w:webHidden/>
              </w:rPr>
              <w:fldChar w:fldCharType="separate"/>
            </w:r>
            <w:r>
              <w:rPr>
                <w:noProof/>
                <w:webHidden/>
              </w:rPr>
              <w:t>9</w:t>
            </w:r>
            <w:r>
              <w:rPr>
                <w:noProof/>
                <w:webHidden/>
              </w:rPr>
              <w:fldChar w:fldCharType="end"/>
            </w:r>
          </w:hyperlink>
        </w:p>
        <w:p w14:paraId="3ED7BDEA" w14:textId="3CFDD240" w:rsidR="00283044" w:rsidRDefault="00283044">
          <w:pPr>
            <w:pStyle w:val="TOC1"/>
            <w:tabs>
              <w:tab w:val="right" w:leader="dot" w:pos="9016"/>
            </w:tabs>
            <w:rPr>
              <w:rFonts w:eastAsiaTheme="minorEastAsia"/>
              <w:noProof/>
              <w:lang w:eastAsia="en-IN"/>
            </w:rPr>
          </w:pPr>
          <w:hyperlink w:anchor="_Toc210606370" w:history="1">
            <w:r w:rsidRPr="00F757D3">
              <w:rPr>
                <w:rStyle w:val="Hyperlink"/>
                <w:rFonts w:ascii="Times New Roman" w:hAnsi="Times New Roman" w:cs="Times New Roman"/>
                <w:noProof/>
              </w:rPr>
              <w:t>Gantt Chart</w:t>
            </w:r>
            <w:r>
              <w:rPr>
                <w:noProof/>
                <w:webHidden/>
              </w:rPr>
              <w:tab/>
            </w:r>
            <w:r>
              <w:rPr>
                <w:noProof/>
                <w:webHidden/>
              </w:rPr>
              <w:fldChar w:fldCharType="begin"/>
            </w:r>
            <w:r>
              <w:rPr>
                <w:noProof/>
                <w:webHidden/>
              </w:rPr>
              <w:instrText xml:space="preserve"> PAGEREF _Toc210606370 \h </w:instrText>
            </w:r>
            <w:r>
              <w:rPr>
                <w:noProof/>
                <w:webHidden/>
              </w:rPr>
            </w:r>
            <w:r>
              <w:rPr>
                <w:noProof/>
                <w:webHidden/>
              </w:rPr>
              <w:fldChar w:fldCharType="separate"/>
            </w:r>
            <w:r>
              <w:rPr>
                <w:noProof/>
                <w:webHidden/>
              </w:rPr>
              <w:t>10</w:t>
            </w:r>
            <w:r>
              <w:rPr>
                <w:noProof/>
                <w:webHidden/>
              </w:rPr>
              <w:fldChar w:fldCharType="end"/>
            </w:r>
          </w:hyperlink>
        </w:p>
        <w:p w14:paraId="759D9FFB" w14:textId="3CD28D35" w:rsidR="00283044" w:rsidRDefault="00283044">
          <w:pPr>
            <w:pStyle w:val="TOC1"/>
            <w:tabs>
              <w:tab w:val="right" w:leader="dot" w:pos="9016"/>
            </w:tabs>
            <w:rPr>
              <w:rFonts w:eastAsiaTheme="minorEastAsia"/>
              <w:noProof/>
              <w:lang w:eastAsia="en-IN"/>
            </w:rPr>
          </w:pPr>
          <w:hyperlink w:anchor="_Toc210606371" w:history="1">
            <w:r w:rsidRPr="00F757D3">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_Toc210606371 \h </w:instrText>
            </w:r>
            <w:r>
              <w:rPr>
                <w:noProof/>
                <w:webHidden/>
              </w:rPr>
            </w:r>
            <w:r>
              <w:rPr>
                <w:noProof/>
                <w:webHidden/>
              </w:rPr>
              <w:fldChar w:fldCharType="separate"/>
            </w:r>
            <w:r>
              <w:rPr>
                <w:noProof/>
                <w:webHidden/>
              </w:rPr>
              <w:t>10</w:t>
            </w:r>
            <w:r>
              <w:rPr>
                <w:noProof/>
                <w:webHidden/>
              </w:rPr>
              <w:fldChar w:fldCharType="end"/>
            </w:r>
          </w:hyperlink>
        </w:p>
        <w:p w14:paraId="3B0F688E" w14:textId="6F0FD40B" w:rsidR="00283044" w:rsidRDefault="00283044">
          <w:pPr>
            <w:pStyle w:val="TOC1"/>
            <w:tabs>
              <w:tab w:val="right" w:leader="dot" w:pos="9016"/>
            </w:tabs>
            <w:rPr>
              <w:rFonts w:eastAsiaTheme="minorEastAsia"/>
              <w:noProof/>
              <w:lang w:eastAsia="en-IN"/>
            </w:rPr>
          </w:pPr>
          <w:hyperlink w:anchor="_Toc210606372" w:history="1">
            <w:r w:rsidRPr="00F757D3">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_Toc210606372 \h </w:instrText>
            </w:r>
            <w:r>
              <w:rPr>
                <w:noProof/>
                <w:webHidden/>
              </w:rPr>
            </w:r>
            <w:r>
              <w:rPr>
                <w:noProof/>
                <w:webHidden/>
              </w:rPr>
              <w:fldChar w:fldCharType="separate"/>
            </w:r>
            <w:r>
              <w:rPr>
                <w:noProof/>
                <w:webHidden/>
              </w:rPr>
              <w:t>12</w:t>
            </w:r>
            <w:r>
              <w:rPr>
                <w:noProof/>
                <w:webHidden/>
              </w:rPr>
              <w:fldChar w:fldCharType="end"/>
            </w:r>
          </w:hyperlink>
        </w:p>
        <w:p w14:paraId="31D9D786" w14:textId="592AD98A" w:rsidR="000610B7" w:rsidRPr="00595BE4" w:rsidRDefault="000610B7" w:rsidP="00500BE2">
          <w:pPr>
            <w:spacing w:line="360" w:lineRule="auto"/>
            <w:rPr>
              <w:rFonts w:ascii="Times New Roman" w:hAnsi="Times New Roman" w:cs="Times New Roman"/>
            </w:rPr>
          </w:pPr>
          <w:r w:rsidRPr="00595BE4">
            <w:rPr>
              <w:rFonts w:ascii="Times New Roman" w:hAnsi="Times New Roman" w:cs="Times New Roman"/>
              <w:b/>
              <w:bCs/>
              <w:noProof/>
            </w:rPr>
            <w:fldChar w:fldCharType="end"/>
          </w:r>
        </w:p>
      </w:sdtContent>
    </w:sdt>
    <w:p w14:paraId="6858B2F5" w14:textId="77777777" w:rsidR="000610B7" w:rsidRPr="00595BE4" w:rsidRDefault="000610B7" w:rsidP="00500BE2">
      <w:pPr>
        <w:spacing w:line="360" w:lineRule="auto"/>
        <w:jc w:val="both"/>
        <w:rPr>
          <w:rFonts w:ascii="Times New Roman" w:hAnsi="Times New Roman" w:cs="Times New Roman"/>
          <w:color w:val="215E99" w:themeColor="text2" w:themeTint="BF"/>
          <w:sz w:val="40"/>
          <w:szCs w:val="40"/>
        </w:rPr>
      </w:pPr>
    </w:p>
    <w:p w14:paraId="100C3197" w14:textId="77777777" w:rsidR="000610B7" w:rsidRPr="00595BE4" w:rsidRDefault="000610B7" w:rsidP="00500BE2">
      <w:pPr>
        <w:spacing w:line="360" w:lineRule="auto"/>
        <w:jc w:val="both"/>
        <w:rPr>
          <w:rFonts w:ascii="Times New Roman" w:hAnsi="Times New Roman" w:cs="Times New Roman"/>
          <w:color w:val="215E99" w:themeColor="text2" w:themeTint="BF"/>
          <w:sz w:val="40"/>
          <w:szCs w:val="40"/>
        </w:rPr>
      </w:pPr>
    </w:p>
    <w:p w14:paraId="5F853BC5" w14:textId="77777777" w:rsidR="000610B7" w:rsidRPr="00595BE4" w:rsidRDefault="000610B7" w:rsidP="00500BE2">
      <w:pPr>
        <w:spacing w:line="360" w:lineRule="auto"/>
        <w:jc w:val="both"/>
        <w:rPr>
          <w:rFonts w:ascii="Times New Roman" w:hAnsi="Times New Roman" w:cs="Times New Roman"/>
          <w:color w:val="215E99" w:themeColor="text2" w:themeTint="BF"/>
          <w:sz w:val="40"/>
          <w:szCs w:val="40"/>
        </w:rPr>
      </w:pPr>
    </w:p>
    <w:p w14:paraId="44821F48" w14:textId="77777777" w:rsidR="000610B7" w:rsidRPr="00595BE4" w:rsidRDefault="000610B7" w:rsidP="00500BE2">
      <w:pPr>
        <w:spacing w:line="360" w:lineRule="auto"/>
        <w:jc w:val="both"/>
        <w:rPr>
          <w:rFonts w:ascii="Times New Roman" w:hAnsi="Times New Roman" w:cs="Times New Roman"/>
          <w:color w:val="215E99" w:themeColor="text2" w:themeTint="BF"/>
          <w:sz w:val="40"/>
          <w:szCs w:val="40"/>
        </w:rPr>
      </w:pPr>
    </w:p>
    <w:p w14:paraId="286390D5" w14:textId="63ABC77C" w:rsidR="00CC5176" w:rsidRPr="00595BE4" w:rsidRDefault="00CC5176" w:rsidP="00500BE2">
      <w:pPr>
        <w:pStyle w:val="Heading1"/>
        <w:spacing w:line="360" w:lineRule="auto"/>
        <w:jc w:val="both"/>
        <w:rPr>
          <w:rFonts w:ascii="Times New Roman" w:hAnsi="Times New Roman" w:cs="Times New Roman"/>
        </w:rPr>
      </w:pPr>
      <w:bookmarkStart w:id="0" w:name="_Toc210606352"/>
      <w:r w:rsidRPr="00595BE4">
        <w:rPr>
          <w:rFonts w:ascii="Times New Roman" w:hAnsi="Times New Roman" w:cs="Times New Roman"/>
        </w:rPr>
        <w:t>Introduction</w:t>
      </w:r>
      <w:bookmarkEnd w:id="0"/>
    </w:p>
    <w:p w14:paraId="507A3E64" w14:textId="002B0B8B" w:rsidR="00C57DB2"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 xml:space="preserve">The relationship between exchange rate volatility and international trade has long been central to international economics. Currency fluctuations shape relative prices, margins, and competitiveness, often discouraging firms from committing to contracts when volatility is high </w:t>
      </w:r>
      <w:r w:rsidR="00C57DB2" w:rsidRPr="00595BE4">
        <w:rPr>
          <w:rFonts w:ascii="Times New Roman" w:hAnsi="Times New Roman" w:cs="Times New Roman"/>
        </w:rPr>
        <w:t>(Bahmani‐</w:t>
      </w:r>
      <w:proofErr w:type="spellStart"/>
      <w:r w:rsidR="00C57DB2" w:rsidRPr="00595BE4">
        <w:rPr>
          <w:rFonts w:ascii="Times New Roman" w:hAnsi="Times New Roman" w:cs="Times New Roman"/>
        </w:rPr>
        <w:t>Oskooee</w:t>
      </w:r>
      <w:proofErr w:type="spellEnd"/>
      <w:r w:rsidR="00C57DB2" w:rsidRPr="00595BE4">
        <w:rPr>
          <w:rFonts w:ascii="Times New Roman" w:hAnsi="Times New Roman" w:cs="Times New Roman"/>
        </w:rPr>
        <w:t xml:space="preserve"> and Hegerty, 2007; Clark and International Monetary Fund, 2004).</w:t>
      </w:r>
    </w:p>
    <w:p w14:paraId="54321499" w14:textId="2C29E4D7"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While this dynamic is well established for merchandise trade, the role of exchange rate volatility in services trade remains comparatively underexplored.</w:t>
      </w:r>
    </w:p>
    <w:p w14:paraId="204D20A1" w14:textId="1E2B11F7"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 xml:space="preserve">Digital services, including information technology (IT) and business process outsourcing (BPO), differ structurally from goods. Contracts are typically invoiced in US dollars, operational costs are denominated in Indian rupees, and delivery is remote. This structure creates unique vulnerabilities: depreciation of the rupee boosts margins on dollar revenues, while appreciation erodes them. Services exports are therefore exposed to both currency movements and global shocks, but in ways distinct from traditional exports (Goldberg </w:t>
      </w:r>
      <w:r w:rsidR="00C57DB2" w:rsidRPr="00595BE4">
        <w:rPr>
          <w:rFonts w:ascii="Times New Roman" w:hAnsi="Times New Roman" w:cs="Times New Roman"/>
        </w:rPr>
        <w:t>and</w:t>
      </w:r>
      <w:r w:rsidRPr="00595BE4">
        <w:rPr>
          <w:rFonts w:ascii="Times New Roman" w:hAnsi="Times New Roman" w:cs="Times New Roman"/>
        </w:rPr>
        <w:t xml:space="preserve"> Tille, 2008; Gopinath, 2015).</w:t>
      </w:r>
    </w:p>
    <w:p w14:paraId="49E97B4F" w14:textId="2281ADF5"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 xml:space="preserve">Geopolitical events compound this exposure. The 2013 taper tantrum, COVID-19 pandemic, and Russia–Ukraine war all generated sharp currency movements and uncertainty. Such shocks amplify volatility and weaken trade flows in emerging economies (Caldara </w:t>
      </w:r>
      <w:r w:rsidR="00C57DB2" w:rsidRPr="00595BE4">
        <w:rPr>
          <w:rFonts w:ascii="Times New Roman" w:hAnsi="Times New Roman" w:cs="Times New Roman"/>
        </w:rPr>
        <w:t>and</w:t>
      </w:r>
      <w:r w:rsidRPr="00595BE4">
        <w:rPr>
          <w:rFonts w:ascii="Times New Roman" w:hAnsi="Times New Roman" w:cs="Times New Roman"/>
        </w:rPr>
        <w:t xml:space="preserve"> Iacoviello, 2018; Sein </w:t>
      </w:r>
      <w:r w:rsidR="00C57DB2" w:rsidRPr="00595BE4">
        <w:rPr>
          <w:rFonts w:ascii="Times New Roman" w:hAnsi="Times New Roman" w:cs="Times New Roman"/>
        </w:rPr>
        <w:t>and</w:t>
      </w:r>
      <w:r w:rsidRPr="00595BE4">
        <w:rPr>
          <w:rFonts w:ascii="Times New Roman" w:hAnsi="Times New Roman" w:cs="Times New Roman"/>
        </w:rPr>
        <w:t xml:space="preserve"> Sah, 2025). For India’s IT services sector, which contributes over 40% of total exports and earns more than USD 250 billion annually (NASSCOM, 2023), understanding these interactions is essential. Although evidence exists on the resilience of services trade </w:t>
      </w:r>
      <w:r w:rsidRPr="00595BE4">
        <w:rPr>
          <w:rFonts w:ascii="Times New Roman" w:hAnsi="Times New Roman" w:cs="Times New Roman"/>
        </w:rPr>
        <w:lastRenderedPageBreak/>
        <w:t>during crises, systematic analysis of exchange rate and shock effects on digital services</w:t>
      </w:r>
      <w:r w:rsidRPr="00595BE4">
        <w:rPr>
          <w:rFonts w:ascii="Times New Roman" w:hAnsi="Times New Roman" w:cs="Times New Roman"/>
          <w:b/>
          <w:bCs/>
        </w:rPr>
        <w:t xml:space="preserve"> </w:t>
      </w:r>
      <w:r w:rsidRPr="00595BE4">
        <w:rPr>
          <w:rFonts w:ascii="Times New Roman" w:hAnsi="Times New Roman" w:cs="Times New Roman"/>
        </w:rPr>
        <w:t>exports remains scarce.</w:t>
      </w:r>
    </w:p>
    <w:p w14:paraId="062D39B7" w14:textId="333FA7BD"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This gap presents challenges for both scholars and practitioners. The absence of consolidated knowledge limits theory-building on how volatility and shocks transmit to services exports, while leaving firms uncertain about hedging and contract strategies. This dissertation therefore proposes a systematic literature review (SLR) to synthesise findings across disciplines, supported by a focused empirical illustration using India’s IT services exports and INR/USD volatility (2010–2024). The project aims to develop a conceptual framework clarifying mechanisms of resilience and vulnerability in services trade.</w:t>
      </w:r>
    </w:p>
    <w:p w14:paraId="037BD4AA" w14:textId="6F18CDA2" w:rsidR="00CC5176" w:rsidRPr="00595BE4" w:rsidRDefault="0013127C" w:rsidP="00500BE2">
      <w:pPr>
        <w:pStyle w:val="Heading1"/>
        <w:spacing w:line="360" w:lineRule="auto"/>
        <w:jc w:val="both"/>
        <w:rPr>
          <w:rFonts w:ascii="Times New Roman" w:hAnsi="Times New Roman" w:cs="Times New Roman"/>
        </w:rPr>
      </w:pPr>
      <w:bookmarkStart w:id="1" w:name="_Toc210606353"/>
      <w:r w:rsidRPr="00595BE4">
        <w:rPr>
          <w:rFonts w:ascii="Times New Roman" w:hAnsi="Times New Roman" w:cs="Times New Roman"/>
        </w:rPr>
        <w:t>Research Aim, Objectives, and Questions</w:t>
      </w:r>
      <w:bookmarkEnd w:id="1"/>
    </w:p>
    <w:p w14:paraId="1690FCCF" w14:textId="485D58E8" w:rsidR="007018DD" w:rsidRPr="00595BE4" w:rsidRDefault="00536C94" w:rsidP="00500BE2">
      <w:pPr>
        <w:pStyle w:val="Heading2"/>
        <w:spacing w:line="360" w:lineRule="auto"/>
        <w:jc w:val="both"/>
        <w:rPr>
          <w:rFonts w:ascii="Times New Roman" w:hAnsi="Times New Roman" w:cs="Times New Roman"/>
        </w:rPr>
      </w:pPr>
      <w:bookmarkStart w:id="2" w:name="_Toc210606354"/>
      <w:r w:rsidRPr="00595BE4">
        <w:rPr>
          <w:rFonts w:ascii="Times New Roman" w:hAnsi="Times New Roman" w:cs="Times New Roman"/>
        </w:rPr>
        <w:t>Aim</w:t>
      </w:r>
      <w:bookmarkEnd w:id="2"/>
    </w:p>
    <w:p w14:paraId="11ACE531" w14:textId="77777777" w:rsidR="00536C94" w:rsidRPr="00595BE4" w:rsidRDefault="00536C94" w:rsidP="00500BE2">
      <w:pPr>
        <w:spacing w:line="360" w:lineRule="auto"/>
        <w:jc w:val="both"/>
        <w:rPr>
          <w:rFonts w:ascii="Times New Roman" w:hAnsi="Times New Roman" w:cs="Times New Roman"/>
        </w:rPr>
      </w:pPr>
      <w:r w:rsidRPr="00595BE4">
        <w:rPr>
          <w:rFonts w:ascii="Times New Roman" w:hAnsi="Times New Roman" w:cs="Times New Roman"/>
        </w:rPr>
        <w:t>The aim of this dissertation is to synthesise the existing literature on how exchange rate volatility and geopolitical shocks affect digital services exports, and to illustrate these dynamics using a quantitative case study of India’s IT services sector (2010–2024).</w:t>
      </w:r>
    </w:p>
    <w:p w14:paraId="2C80CCF5" w14:textId="76375C1C" w:rsidR="00536C94" w:rsidRPr="00595BE4" w:rsidRDefault="00536C94" w:rsidP="00500BE2">
      <w:pPr>
        <w:pStyle w:val="Heading2"/>
        <w:spacing w:line="360" w:lineRule="auto"/>
        <w:jc w:val="both"/>
        <w:rPr>
          <w:rFonts w:ascii="Times New Roman" w:hAnsi="Times New Roman" w:cs="Times New Roman"/>
        </w:rPr>
      </w:pPr>
      <w:bookmarkStart w:id="3" w:name="_Toc210606355"/>
      <w:r w:rsidRPr="00595BE4">
        <w:rPr>
          <w:rFonts w:ascii="Times New Roman" w:hAnsi="Times New Roman" w:cs="Times New Roman"/>
        </w:rPr>
        <w:t>Objectives</w:t>
      </w:r>
      <w:bookmarkEnd w:id="3"/>
    </w:p>
    <w:p w14:paraId="6FDE293F" w14:textId="5AF2E6CC" w:rsidR="00536C94" w:rsidRPr="00595BE4" w:rsidRDefault="00536C94" w:rsidP="00500BE2">
      <w:pPr>
        <w:pStyle w:val="ListParagraph"/>
        <w:numPr>
          <w:ilvl w:val="0"/>
          <w:numId w:val="2"/>
        </w:numPr>
        <w:spacing w:line="360" w:lineRule="auto"/>
        <w:jc w:val="both"/>
        <w:rPr>
          <w:rFonts w:ascii="Times New Roman" w:hAnsi="Times New Roman" w:cs="Times New Roman"/>
        </w:rPr>
      </w:pPr>
      <w:r w:rsidRPr="00595BE4">
        <w:rPr>
          <w:rFonts w:ascii="Times New Roman" w:hAnsi="Times New Roman" w:cs="Times New Roman"/>
        </w:rPr>
        <w:t>To systematically review and critically evaluate the academic literature on the relationship between exchange rate volatility, geopolitical shocks, and digital services exports, identifying mechanisms such as pricing, invoicing, and hedging.</w:t>
      </w:r>
    </w:p>
    <w:p w14:paraId="513DB7D7" w14:textId="54E5B5BD" w:rsidR="00536C94" w:rsidRPr="00595BE4" w:rsidRDefault="00536C94" w:rsidP="00500BE2">
      <w:pPr>
        <w:pStyle w:val="ListParagraph"/>
        <w:numPr>
          <w:ilvl w:val="0"/>
          <w:numId w:val="2"/>
        </w:numPr>
        <w:spacing w:line="360" w:lineRule="auto"/>
        <w:jc w:val="both"/>
        <w:rPr>
          <w:rFonts w:ascii="Times New Roman" w:hAnsi="Times New Roman" w:cs="Times New Roman"/>
        </w:rPr>
      </w:pPr>
      <w:r w:rsidRPr="00595BE4">
        <w:rPr>
          <w:rFonts w:ascii="Times New Roman" w:hAnsi="Times New Roman" w:cs="Times New Roman"/>
        </w:rPr>
        <w:t>To develop a conceptual framework that integrates insights from the literature and highlights the resilience and vulnerabilities of digital services exports.</w:t>
      </w:r>
    </w:p>
    <w:p w14:paraId="38863B01" w14:textId="1360D0B6" w:rsidR="00283044" w:rsidRPr="00595BE4" w:rsidRDefault="00283044" w:rsidP="00500BE2">
      <w:pPr>
        <w:pStyle w:val="ListParagraph"/>
        <w:numPr>
          <w:ilvl w:val="0"/>
          <w:numId w:val="2"/>
        </w:numPr>
        <w:spacing w:line="360" w:lineRule="auto"/>
        <w:jc w:val="both"/>
        <w:rPr>
          <w:rFonts w:ascii="Times New Roman" w:hAnsi="Times New Roman" w:cs="Times New Roman"/>
        </w:rPr>
      </w:pPr>
      <w:r w:rsidRPr="00283044">
        <w:rPr>
          <w:rFonts w:ascii="Times New Roman" w:hAnsi="Times New Roman" w:cs="Times New Roman"/>
        </w:rPr>
        <w:t>To empirically illustrate these dynamics by interpreting secondary data on INR/USD exchange-rate volatility and selected geopolitical shocks (e.g., taper tantrum, COVID-19, Ukraine war) affecting India’s IT services exports between 2010 and 2024.</w:t>
      </w:r>
    </w:p>
    <w:p w14:paraId="322AD254" w14:textId="101EFB5F" w:rsidR="00A028B2" w:rsidRPr="00595BE4" w:rsidRDefault="00A028B2" w:rsidP="00500BE2">
      <w:pPr>
        <w:pStyle w:val="ListParagraph"/>
        <w:numPr>
          <w:ilvl w:val="0"/>
          <w:numId w:val="2"/>
        </w:numPr>
        <w:spacing w:line="360" w:lineRule="auto"/>
        <w:jc w:val="both"/>
        <w:rPr>
          <w:rFonts w:ascii="Times New Roman" w:hAnsi="Times New Roman" w:cs="Times New Roman"/>
        </w:rPr>
      </w:pPr>
      <w:r w:rsidRPr="00595BE4">
        <w:rPr>
          <w:rFonts w:ascii="Times New Roman" w:hAnsi="Times New Roman" w:cs="Times New Roman"/>
        </w:rPr>
        <w:t>To discuss the managerial and policy implications of the findings for multinational firms and policymakers engaged in services-led trade.</w:t>
      </w:r>
    </w:p>
    <w:p w14:paraId="6F22FDD4" w14:textId="5FE9D732" w:rsidR="00536C94" w:rsidRPr="00595BE4" w:rsidRDefault="00536C94" w:rsidP="00500BE2">
      <w:pPr>
        <w:pStyle w:val="Heading2"/>
        <w:spacing w:line="360" w:lineRule="auto"/>
        <w:jc w:val="both"/>
        <w:rPr>
          <w:rFonts w:ascii="Times New Roman" w:hAnsi="Times New Roman" w:cs="Times New Roman"/>
        </w:rPr>
      </w:pPr>
      <w:bookmarkStart w:id="4" w:name="_Toc210606356"/>
      <w:r w:rsidRPr="00595BE4">
        <w:rPr>
          <w:rFonts w:ascii="Times New Roman" w:hAnsi="Times New Roman" w:cs="Times New Roman"/>
        </w:rPr>
        <w:t>Research Questions</w:t>
      </w:r>
      <w:bookmarkEnd w:id="4"/>
    </w:p>
    <w:p w14:paraId="1F8CE626" w14:textId="3229A1BE" w:rsidR="00536C94" w:rsidRPr="00595BE4" w:rsidRDefault="00536C94" w:rsidP="00500BE2">
      <w:pPr>
        <w:pStyle w:val="ListParagraph"/>
        <w:numPr>
          <w:ilvl w:val="0"/>
          <w:numId w:val="3"/>
        </w:numPr>
        <w:spacing w:line="360" w:lineRule="auto"/>
        <w:jc w:val="both"/>
        <w:rPr>
          <w:rFonts w:ascii="Times New Roman" w:hAnsi="Times New Roman" w:cs="Times New Roman"/>
        </w:rPr>
      </w:pPr>
      <w:r w:rsidRPr="00595BE4">
        <w:rPr>
          <w:rFonts w:ascii="Times New Roman" w:hAnsi="Times New Roman" w:cs="Times New Roman"/>
        </w:rPr>
        <w:t>RQ1: What does the existing literature reveal about the mechanisms through which exchange rate volatility and geopolitical shocks influence digital services exports?</w:t>
      </w:r>
    </w:p>
    <w:p w14:paraId="561FCDA2" w14:textId="6A9FA194" w:rsidR="00536C94" w:rsidRPr="00595BE4" w:rsidRDefault="00536C94" w:rsidP="00500BE2">
      <w:pPr>
        <w:pStyle w:val="ListParagraph"/>
        <w:numPr>
          <w:ilvl w:val="0"/>
          <w:numId w:val="3"/>
        </w:numPr>
        <w:spacing w:line="360" w:lineRule="auto"/>
        <w:jc w:val="both"/>
        <w:rPr>
          <w:rFonts w:ascii="Times New Roman" w:hAnsi="Times New Roman" w:cs="Times New Roman"/>
        </w:rPr>
      </w:pPr>
      <w:r w:rsidRPr="00595BE4">
        <w:rPr>
          <w:rFonts w:ascii="Times New Roman" w:hAnsi="Times New Roman" w:cs="Times New Roman"/>
        </w:rPr>
        <w:lastRenderedPageBreak/>
        <w:t>RQ2: To what extent do exchange rate volatility and geopolitical shocks affect India’s IT services exports between 2010 and 2024?</w:t>
      </w:r>
    </w:p>
    <w:p w14:paraId="6E2B4AEB" w14:textId="284126FC" w:rsidR="00536C94" w:rsidRPr="00595BE4" w:rsidRDefault="00A028B2" w:rsidP="00500BE2">
      <w:pPr>
        <w:pStyle w:val="Heading1"/>
        <w:spacing w:line="360" w:lineRule="auto"/>
        <w:jc w:val="both"/>
        <w:rPr>
          <w:rFonts w:ascii="Times New Roman" w:hAnsi="Times New Roman" w:cs="Times New Roman"/>
        </w:rPr>
      </w:pPr>
      <w:bookmarkStart w:id="5" w:name="_Toc210606357"/>
      <w:r w:rsidRPr="00595BE4">
        <w:rPr>
          <w:rFonts w:ascii="Times New Roman" w:hAnsi="Times New Roman" w:cs="Times New Roman"/>
        </w:rPr>
        <w:t>Literature Review</w:t>
      </w:r>
      <w:bookmarkEnd w:id="5"/>
    </w:p>
    <w:p w14:paraId="67A8F4C7" w14:textId="59E47097"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The relationship between exchange rate volatility and international trade has been widely studied. For merchandise trade, depreciation generally enhances competitiveness by lowering foreign prices, while appreciation erodes margins. However, volatility also creates uncertainty, reducing firms’ willingness to enter contracts or expand exports (Bahmani-</w:t>
      </w:r>
      <w:proofErr w:type="spellStart"/>
      <w:r w:rsidRPr="00595BE4">
        <w:rPr>
          <w:rFonts w:ascii="Times New Roman" w:hAnsi="Times New Roman" w:cs="Times New Roman"/>
        </w:rPr>
        <w:t>Oskooee</w:t>
      </w:r>
      <w:proofErr w:type="spellEnd"/>
      <w:r w:rsidRPr="00595BE4">
        <w:rPr>
          <w:rFonts w:ascii="Times New Roman" w:hAnsi="Times New Roman" w:cs="Times New Roman"/>
        </w:rPr>
        <w:t xml:space="preserve"> </w:t>
      </w:r>
      <w:r w:rsidR="00C57DB2" w:rsidRPr="00595BE4">
        <w:rPr>
          <w:rFonts w:ascii="Times New Roman" w:hAnsi="Times New Roman" w:cs="Times New Roman"/>
        </w:rPr>
        <w:t>and</w:t>
      </w:r>
      <w:r w:rsidRPr="00595BE4">
        <w:rPr>
          <w:rFonts w:ascii="Times New Roman" w:hAnsi="Times New Roman" w:cs="Times New Roman"/>
        </w:rPr>
        <w:t xml:space="preserve"> Hegerty, 2007</w:t>
      </w:r>
      <w:r w:rsidR="00C57DB2" w:rsidRPr="00595BE4">
        <w:rPr>
          <w:rFonts w:ascii="Times New Roman" w:eastAsia="Times New Roman" w:hAnsi="Times New Roman" w:cs="Times New Roman"/>
          <w:kern w:val="0"/>
          <w:lang w:eastAsia="en-IN"/>
          <w14:ligatures w14:val="none"/>
        </w:rPr>
        <w:t xml:space="preserve">; </w:t>
      </w:r>
      <w:r w:rsidR="00C57DB2" w:rsidRPr="00595BE4">
        <w:rPr>
          <w:rFonts w:ascii="Times New Roman" w:hAnsi="Times New Roman" w:cs="Times New Roman"/>
        </w:rPr>
        <w:t>Clark and International Monetary Fund, 2004)</w:t>
      </w:r>
      <w:r w:rsidRPr="00595BE4">
        <w:rPr>
          <w:rFonts w:ascii="Times New Roman" w:hAnsi="Times New Roman" w:cs="Times New Roman"/>
        </w:rPr>
        <w:t>. While these dynamics are well documented for goods, services exports remain less explored in the literature.</w:t>
      </w:r>
    </w:p>
    <w:p w14:paraId="54C7E342" w14:textId="77777777" w:rsidR="00A028B2" w:rsidRPr="00595BE4" w:rsidRDefault="00A028B2" w:rsidP="00500BE2">
      <w:pPr>
        <w:pStyle w:val="Heading2"/>
        <w:spacing w:line="360" w:lineRule="auto"/>
        <w:jc w:val="both"/>
        <w:rPr>
          <w:rFonts w:ascii="Times New Roman" w:hAnsi="Times New Roman" w:cs="Times New Roman"/>
        </w:rPr>
      </w:pPr>
      <w:bookmarkStart w:id="6" w:name="_Toc210606358"/>
      <w:r w:rsidRPr="00595BE4">
        <w:rPr>
          <w:rFonts w:ascii="Times New Roman" w:hAnsi="Times New Roman" w:cs="Times New Roman"/>
        </w:rPr>
        <w:t>Exchange Rate Volatility and Trade in Services</w:t>
      </w:r>
      <w:bookmarkEnd w:id="6"/>
    </w:p>
    <w:p w14:paraId="743B067C" w14:textId="11A4CC0C"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 xml:space="preserve">Services exports differ structurally from goods. IT and business process outsourcing (BPO) contracts are typically denominated in US dollars, while costs are rupee-based and delivery is remote. This currency mismatch means depreciation can boost exporters’ margins, whereas appreciation erodes them. Unlike manufacturing, services are less affected by logistics but remain exposed to billing currency and client demand dynamics (Goldberg </w:t>
      </w:r>
      <w:r w:rsidR="00C57DB2" w:rsidRPr="00595BE4">
        <w:rPr>
          <w:rFonts w:ascii="Times New Roman" w:hAnsi="Times New Roman" w:cs="Times New Roman"/>
        </w:rPr>
        <w:t>and</w:t>
      </w:r>
      <w:r w:rsidRPr="00595BE4">
        <w:rPr>
          <w:rFonts w:ascii="Times New Roman" w:hAnsi="Times New Roman" w:cs="Times New Roman"/>
        </w:rPr>
        <w:t xml:space="preserve"> Tille, 2008; Gopinath, 2015).</w:t>
      </w:r>
    </w:p>
    <w:p w14:paraId="0E2D2B48" w14:textId="6BDA9C69"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Recent evidence highlights this complexity. Firms with market power may absorb shocks through “pricing-to-market” strategies, while smaller firms face full pass-through of exchange rate changes to clients</w:t>
      </w:r>
      <w:r w:rsidR="00C57DB2" w:rsidRPr="00595BE4">
        <w:rPr>
          <w:rFonts w:ascii="Times New Roman" w:eastAsia="Times New Roman" w:hAnsi="Times New Roman" w:cs="Times New Roman"/>
          <w:kern w:val="0"/>
          <w:lang w:eastAsia="en-IN"/>
          <w14:ligatures w14:val="none"/>
        </w:rPr>
        <w:t xml:space="preserve"> </w:t>
      </w:r>
      <w:r w:rsidR="00C57DB2" w:rsidRPr="00595BE4">
        <w:rPr>
          <w:rFonts w:ascii="Times New Roman" w:hAnsi="Times New Roman" w:cs="Times New Roman"/>
        </w:rPr>
        <w:t xml:space="preserve">(Amiti, </w:t>
      </w:r>
      <w:proofErr w:type="spellStart"/>
      <w:r w:rsidR="00C57DB2" w:rsidRPr="00595BE4">
        <w:rPr>
          <w:rFonts w:ascii="Times New Roman" w:hAnsi="Times New Roman" w:cs="Times New Roman"/>
        </w:rPr>
        <w:t>Itskhoki</w:t>
      </w:r>
      <w:proofErr w:type="spellEnd"/>
      <w:r w:rsidR="00C57DB2" w:rsidRPr="00595BE4">
        <w:rPr>
          <w:rFonts w:ascii="Times New Roman" w:hAnsi="Times New Roman" w:cs="Times New Roman"/>
        </w:rPr>
        <w:t xml:space="preserve"> and </w:t>
      </w:r>
      <w:proofErr w:type="spellStart"/>
      <w:r w:rsidR="00C57DB2" w:rsidRPr="00595BE4">
        <w:rPr>
          <w:rFonts w:ascii="Times New Roman" w:hAnsi="Times New Roman" w:cs="Times New Roman"/>
        </w:rPr>
        <w:t>Konings</w:t>
      </w:r>
      <w:proofErr w:type="spellEnd"/>
      <w:r w:rsidR="00C57DB2" w:rsidRPr="00595BE4">
        <w:rPr>
          <w:rFonts w:ascii="Times New Roman" w:hAnsi="Times New Roman" w:cs="Times New Roman"/>
        </w:rPr>
        <w:t>, 2019).</w:t>
      </w:r>
      <w:r w:rsidRPr="00595BE4">
        <w:rPr>
          <w:rFonts w:ascii="Times New Roman" w:hAnsi="Times New Roman" w:cs="Times New Roman"/>
        </w:rPr>
        <w:t xml:space="preserve"> Sharma (2019) found volatility hampers India’s commodity exports, but systematic evidence for services is scarce. This underscores the research gap: goods-focused mechanisms are not directly transferrable to digital trade.</w:t>
      </w:r>
    </w:p>
    <w:p w14:paraId="033F8C30" w14:textId="77777777" w:rsidR="00A028B2" w:rsidRPr="00595BE4" w:rsidRDefault="00A028B2" w:rsidP="00500BE2">
      <w:pPr>
        <w:pStyle w:val="Heading2"/>
        <w:spacing w:line="360" w:lineRule="auto"/>
        <w:jc w:val="both"/>
        <w:rPr>
          <w:rFonts w:ascii="Times New Roman" w:hAnsi="Times New Roman" w:cs="Times New Roman"/>
        </w:rPr>
      </w:pPr>
      <w:bookmarkStart w:id="7" w:name="_Toc210606359"/>
      <w:r w:rsidRPr="00595BE4">
        <w:rPr>
          <w:rFonts w:ascii="Times New Roman" w:hAnsi="Times New Roman" w:cs="Times New Roman"/>
        </w:rPr>
        <w:t>Geopolitical Shocks and Systemic Risks</w:t>
      </w:r>
      <w:bookmarkEnd w:id="7"/>
    </w:p>
    <w:p w14:paraId="6C65B593" w14:textId="2D988830"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 xml:space="preserve">Geopolitical shocks further magnify volatility. The taper tantrum of 2013 triggered rupee depreciation, while COVID-19 disrupted global demand and supply chains. The Russia–Ukraine war intensified commodity and currency market fluctuations. Caldara and Iacoviello’s (2018) Geopolitical Risk Index shows how uncertainty spills into trade flows. Empirical studies confirm that shocks amplify volatility and reduce exports in emerging economies (Sein </w:t>
      </w:r>
      <w:r w:rsidR="00C57DB2" w:rsidRPr="00595BE4">
        <w:rPr>
          <w:rFonts w:ascii="Times New Roman" w:hAnsi="Times New Roman" w:cs="Times New Roman"/>
        </w:rPr>
        <w:t>and</w:t>
      </w:r>
      <w:r w:rsidRPr="00595BE4">
        <w:rPr>
          <w:rFonts w:ascii="Times New Roman" w:hAnsi="Times New Roman" w:cs="Times New Roman"/>
        </w:rPr>
        <w:t xml:space="preserve"> Sah, 2025).</w:t>
      </w:r>
    </w:p>
    <w:p w14:paraId="668A088F" w14:textId="124A2312"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lastRenderedPageBreak/>
        <w:t>For services, the effects are more nuanced. The pandemic accelerated demand for digital solutions, showing resilience in IT exports, but revenues remained subject to currency risk. Strategic responses, including hedging and contract renegotiation, become critical (</w:t>
      </w:r>
      <w:proofErr w:type="spellStart"/>
      <w:r w:rsidRPr="00595BE4">
        <w:rPr>
          <w:rFonts w:ascii="Times New Roman" w:hAnsi="Times New Roman" w:cs="Times New Roman"/>
        </w:rPr>
        <w:t>Loungani</w:t>
      </w:r>
      <w:proofErr w:type="spellEnd"/>
      <w:r w:rsidRPr="00595BE4">
        <w:rPr>
          <w:rFonts w:ascii="Times New Roman" w:hAnsi="Times New Roman" w:cs="Times New Roman"/>
        </w:rPr>
        <w:t xml:space="preserve"> et al., 2017). Yet the literature lacks a consolidated analysis of how shocks interact with exchange rate dynamics in services trade.</w:t>
      </w:r>
    </w:p>
    <w:p w14:paraId="14E473A9" w14:textId="77777777" w:rsidR="00A028B2" w:rsidRPr="00595BE4" w:rsidRDefault="00A028B2" w:rsidP="00500BE2">
      <w:pPr>
        <w:pStyle w:val="Heading2"/>
        <w:spacing w:line="360" w:lineRule="auto"/>
        <w:jc w:val="both"/>
        <w:rPr>
          <w:rFonts w:ascii="Times New Roman" w:hAnsi="Times New Roman" w:cs="Times New Roman"/>
        </w:rPr>
      </w:pPr>
      <w:bookmarkStart w:id="8" w:name="_Toc210606360"/>
      <w:r w:rsidRPr="00595BE4">
        <w:rPr>
          <w:rFonts w:ascii="Times New Roman" w:hAnsi="Times New Roman" w:cs="Times New Roman"/>
        </w:rPr>
        <w:t>India’s IT Services Sector</w:t>
      </w:r>
      <w:bookmarkEnd w:id="8"/>
    </w:p>
    <w:p w14:paraId="5377F9DA" w14:textId="26CA57D4"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 xml:space="preserve">India provides an ideal case for examining these dynamics. Its IT-BPO industry contributes over USD 250 billion annually, accounting for more than 40% of national exports (NASSCOM, 2023). The sector’s dependence on USD-denominated revenues and rupee-denominated costs makes it highly sensitive to exchange rate volatility. Depreciation boosts profitability, but appreciation reduces competitiveness. While some studies highlight India’s aggregate trade vulnerability (Ferede </w:t>
      </w:r>
      <w:proofErr w:type="spellStart"/>
      <w:r w:rsidRPr="00595BE4">
        <w:rPr>
          <w:rFonts w:ascii="Times New Roman" w:hAnsi="Times New Roman" w:cs="Times New Roman"/>
        </w:rPr>
        <w:t>Mengistie</w:t>
      </w:r>
      <w:proofErr w:type="spellEnd"/>
      <w:r w:rsidRPr="00595BE4">
        <w:rPr>
          <w:rFonts w:ascii="Times New Roman" w:hAnsi="Times New Roman" w:cs="Times New Roman"/>
        </w:rPr>
        <w:t xml:space="preserve"> Alemu, 2024), focused research on IT services remains limited, and there is no systematic synthesis of findings across shocks.</w:t>
      </w:r>
    </w:p>
    <w:p w14:paraId="7D9A2DFA" w14:textId="77777777" w:rsidR="00A028B2" w:rsidRPr="00595BE4" w:rsidRDefault="00A028B2" w:rsidP="00500BE2">
      <w:pPr>
        <w:pStyle w:val="Heading2"/>
        <w:spacing w:line="360" w:lineRule="auto"/>
        <w:jc w:val="both"/>
        <w:rPr>
          <w:rFonts w:ascii="Times New Roman" w:hAnsi="Times New Roman" w:cs="Times New Roman"/>
        </w:rPr>
      </w:pPr>
      <w:bookmarkStart w:id="9" w:name="_Toc210606361"/>
      <w:r w:rsidRPr="00595BE4">
        <w:rPr>
          <w:rFonts w:ascii="Times New Roman" w:hAnsi="Times New Roman" w:cs="Times New Roman"/>
        </w:rPr>
        <w:t>Identified Gaps and Research Contribution</w:t>
      </w:r>
      <w:bookmarkEnd w:id="9"/>
    </w:p>
    <w:p w14:paraId="00BB465E" w14:textId="77777777"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Three gaps stand out. First, most literature prioritises merchandise exports, with limited attention to services. Second, the combined effects of exchange rate volatility and geopolitical shocks on services exports remain underexplored. Third, no systematic literature review integrates fragmented evidence to build a coherent framework for understanding digital services exports.</w:t>
      </w:r>
    </w:p>
    <w:p w14:paraId="15281B6D" w14:textId="34C3AC65" w:rsidR="001C3EDD" w:rsidRPr="00595BE4" w:rsidRDefault="001C3EDD" w:rsidP="00500BE2">
      <w:pPr>
        <w:spacing w:line="360" w:lineRule="auto"/>
        <w:jc w:val="both"/>
        <w:rPr>
          <w:rFonts w:ascii="Times New Roman" w:hAnsi="Times New Roman" w:cs="Times New Roman"/>
        </w:rPr>
      </w:pPr>
      <w:r w:rsidRPr="00595BE4">
        <w:rPr>
          <w:rFonts w:ascii="Times New Roman" w:hAnsi="Times New Roman" w:cs="Times New Roman"/>
        </w:rPr>
        <w:t>This dissertation addresses these gaps through a systematic literature review of exchange rate volatility, geopolitical shocks, and services trade, supported by an empirical illustration of India’s IT sector. By mapping mechanisms such as pricing-to-market, invoicing practices, and hedging strategies, and by linking them to real-world shocks, the study will build a conceptual framework clarifying vulnerabilities and resilience in services exports.</w:t>
      </w:r>
    </w:p>
    <w:p w14:paraId="612EE71D" w14:textId="08B1D1DD" w:rsidR="00837889" w:rsidRPr="00595BE4" w:rsidRDefault="00837889" w:rsidP="00500BE2">
      <w:pPr>
        <w:pStyle w:val="Heading1"/>
        <w:spacing w:line="360" w:lineRule="auto"/>
        <w:jc w:val="both"/>
        <w:rPr>
          <w:rFonts w:ascii="Times New Roman" w:hAnsi="Times New Roman" w:cs="Times New Roman"/>
        </w:rPr>
      </w:pPr>
      <w:bookmarkStart w:id="10" w:name="_Toc210606362"/>
      <w:r w:rsidRPr="00595BE4">
        <w:rPr>
          <w:rFonts w:ascii="Times New Roman" w:hAnsi="Times New Roman" w:cs="Times New Roman"/>
        </w:rPr>
        <w:t>Research Methodology</w:t>
      </w:r>
      <w:bookmarkEnd w:id="10"/>
    </w:p>
    <w:p w14:paraId="735781BF" w14:textId="1D1433E7" w:rsidR="0019112B" w:rsidRPr="00595BE4" w:rsidRDefault="0019112B" w:rsidP="00500BE2">
      <w:pPr>
        <w:spacing w:line="360" w:lineRule="auto"/>
        <w:jc w:val="both"/>
        <w:rPr>
          <w:rFonts w:ascii="Times New Roman" w:hAnsi="Times New Roman" w:cs="Times New Roman"/>
        </w:rPr>
      </w:pPr>
      <w:r w:rsidRPr="0019112B">
        <w:rPr>
          <w:rFonts w:ascii="Times New Roman" w:hAnsi="Times New Roman" w:cs="Times New Roman"/>
        </w:rPr>
        <w:t>This dissertation adopts a systematic literature review (SLR) as the primary research method, complemented by a secondary-data descriptive analysis that contextualises existing evidence using India’s IT services exports between 2010 and 2024. This approach ensures methodological rigour while remaining fully compliant with the University’s ethical guidelines for secondary-data research.</w:t>
      </w:r>
    </w:p>
    <w:p w14:paraId="3CAAFCFD" w14:textId="6514D53C" w:rsidR="000770F5" w:rsidRPr="00595BE4" w:rsidRDefault="000770F5" w:rsidP="000770F5">
      <w:pPr>
        <w:pStyle w:val="Heading2"/>
        <w:spacing w:line="360" w:lineRule="auto"/>
        <w:jc w:val="both"/>
        <w:rPr>
          <w:rFonts w:ascii="Times New Roman" w:hAnsi="Times New Roman" w:cs="Times New Roman"/>
        </w:rPr>
      </w:pPr>
      <w:bookmarkStart w:id="11" w:name="_Toc210606363"/>
      <w:r w:rsidRPr="00595BE4">
        <w:rPr>
          <w:rFonts w:ascii="Times New Roman" w:hAnsi="Times New Roman" w:cs="Times New Roman"/>
        </w:rPr>
        <w:lastRenderedPageBreak/>
        <w:t>Research Philosophy and Approach</w:t>
      </w:r>
      <w:bookmarkEnd w:id="11"/>
    </w:p>
    <w:p w14:paraId="4C5CC8CC" w14:textId="49D0552D" w:rsidR="0019112B" w:rsidRPr="00595BE4" w:rsidRDefault="0019112B" w:rsidP="00500BE2">
      <w:pPr>
        <w:spacing w:line="360" w:lineRule="auto"/>
        <w:jc w:val="both"/>
        <w:rPr>
          <w:rFonts w:ascii="Times New Roman" w:hAnsi="Times New Roman" w:cs="Times New Roman"/>
        </w:rPr>
      </w:pPr>
      <w:r w:rsidRPr="0019112B">
        <w:rPr>
          <w:rFonts w:ascii="Times New Roman" w:hAnsi="Times New Roman" w:cs="Times New Roman"/>
        </w:rPr>
        <w:t>The study follows a positivist philosophy and deductive reasoning. Positivism is suitable because the research draws on verifiable and observable data from established sources, not on subjective interpretation (</w:t>
      </w:r>
      <w:r w:rsidR="00595BE4" w:rsidRPr="00595BE4">
        <w:rPr>
          <w:rFonts w:ascii="Times New Roman" w:hAnsi="Times New Roman" w:cs="Times New Roman"/>
        </w:rPr>
        <w:t>Sein &amp; Sah</w:t>
      </w:r>
      <w:r w:rsidRPr="0019112B">
        <w:rPr>
          <w:rFonts w:ascii="Times New Roman" w:hAnsi="Times New Roman" w:cs="Times New Roman"/>
        </w:rPr>
        <w:t>, 2019). A deductive orientation allows existing theories on exchange-rate volatility, trade exposure, and macroeconomic shocks to shape the conceptual framework. Rather than creating new data or theory, this dissertation refines and integrates existing knowledge through structured synthesis and descriptive interpretation of secondary information.</w:t>
      </w:r>
    </w:p>
    <w:p w14:paraId="3FDCC182" w14:textId="1C52047E" w:rsidR="00EB1BD6" w:rsidRPr="00595BE4" w:rsidRDefault="00EB1BD6" w:rsidP="00500BE2">
      <w:pPr>
        <w:pStyle w:val="Heading2"/>
        <w:spacing w:line="360" w:lineRule="auto"/>
        <w:jc w:val="both"/>
        <w:rPr>
          <w:rFonts w:ascii="Times New Roman" w:hAnsi="Times New Roman" w:cs="Times New Roman"/>
        </w:rPr>
      </w:pPr>
      <w:bookmarkStart w:id="12" w:name="_Toc210606364"/>
      <w:r w:rsidRPr="00595BE4">
        <w:rPr>
          <w:rFonts w:ascii="Times New Roman" w:hAnsi="Times New Roman" w:cs="Times New Roman"/>
        </w:rPr>
        <w:t>Systematic Literature Review</w:t>
      </w:r>
      <w:r w:rsidR="000770F5" w:rsidRPr="00595BE4">
        <w:rPr>
          <w:rFonts w:ascii="Times New Roman" w:hAnsi="Times New Roman" w:cs="Times New Roman"/>
        </w:rPr>
        <w:t xml:space="preserve"> Design</w:t>
      </w:r>
      <w:bookmarkEnd w:id="12"/>
    </w:p>
    <w:p w14:paraId="6F78FAB5" w14:textId="61ED2DC8" w:rsidR="000770F5" w:rsidRPr="00595BE4" w:rsidRDefault="000770F5" w:rsidP="000770F5">
      <w:pPr>
        <w:spacing w:line="360" w:lineRule="auto"/>
        <w:jc w:val="both"/>
        <w:rPr>
          <w:rFonts w:ascii="Times New Roman" w:hAnsi="Times New Roman" w:cs="Times New Roman"/>
        </w:rPr>
      </w:pPr>
      <w:r w:rsidRPr="000770F5">
        <w:rPr>
          <w:rFonts w:ascii="Times New Roman" w:hAnsi="Times New Roman" w:cs="Times New Roman"/>
        </w:rPr>
        <w:t xml:space="preserve">The SLR approach enables comprehensive synthesis of current academic understanding. Following the guidelines of Denyer and </w:t>
      </w:r>
      <w:proofErr w:type="spellStart"/>
      <w:r w:rsidRPr="000770F5">
        <w:rPr>
          <w:rFonts w:ascii="Times New Roman" w:hAnsi="Times New Roman" w:cs="Times New Roman"/>
        </w:rPr>
        <w:t>Tranfield</w:t>
      </w:r>
      <w:proofErr w:type="spellEnd"/>
      <w:r w:rsidRPr="000770F5">
        <w:rPr>
          <w:rFonts w:ascii="Times New Roman" w:hAnsi="Times New Roman" w:cs="Times New Roman"/>
        </w:rPr>
        <w:t xml:space="preserve"> (2009) and the PRISMA framework, the review will follow a structured process of identification, screening, eligibility, and inclusion. The SLR will focus on peer-reviewed studies and reputable institutional publications that examine:</w:t>
      </w:r>
    </w:p>
    <w:p w14:paraId="33982AC2" w14:textId="304EEC61" w:rsidR="000770F5" w:rsidRPr="00595BE4" w:rsidRDefault="000770F5" w:rsidP="000770F5">
      <w:pPr>
        <w:pStyle w:val="ListParagraph"/>
        <w:numPr>
          <w:ilvl w:val="0"/>
          <w:numId w:val="7"/>
        </w:numPr>
        <w:spacing w:line="360" w:lineRule="auto"/>
        <w:jc w:val="both"/>
        <w:rPr>
          <w:rFonts w:ascii="Times New Roman" w:hAnsi="Times New Roman" w:cs="Times New Roman"/>
        </w:rPr>
      </w:pPr>
      <w:r w:rsidRPr="00595BE4">
        <w:rPr>
          <w:rFonts w:ascii="Times New Roman" w:hAnsi="Times New Roman" w:cs="Times New Roman"/>
        </w:rPr>
        <w:t>Exchange rate volatility and international trade,</w:t>
      </w:r>
    </w:p>
    <w:p w14:paraId="4B35B072" w14:textId="3A0250CC" w:rsidR="000770F5" w:rsidRPr="00595BE4" w:rsidRDefault="000770F5" w:rsidP="000770F5">
      <w:pPr>
        <w:pStyle w:val="ListParagraph"/>
        <w:numPr>
          <w:ilvl w:val="0"/>
          <w:numId w:val="7"/>
        </w:numPr>
        <w:spacing w:line="360" w:lineRule="auto"/>
        <w:jc w:val="both"/>
        <w:rPr>
          <w:rFonts w:ascii="Times New Roman" w:hAnsi="Times New Roman" w:cs="Times New Roman"/>
        </w:rPr>
      </w:pPr>
      <w:r w:rsidRPr="00595BE4">
        <w:rPr>
          <w:rFonts w:ascii="Times New Roman" w:hAnsi="Times New Roman" w:cs="Times New Roman"/>
        </w:rPr>
        <w:t>Geopolitical shocks and their impact on trade flows, and</w:t>
      </w:r>
    </w:p>
    <w:p w14:paraId="5997EF08" w14:textId="1E545675" w:rsidR="000770F5" w:rsidRPr="00595BE4" w:rsidRDefault="000770F5" w:rsidP="000770F5">
      <w:pPr>
        <w:pStyle w:val="ListParagraph"/>
        <w:numPr>
          <w:ilvl w:val="0"/>
          <w:numId w:val="7"/>
        </w:numPr>
        <w:spacing w:line="360" w:lineRule="auto"/>
        <w:jc w:val="both"/>
        <w:rPr>
          <w:rFonts w:ascii="Times New Roman" w:hAnsi="Times New Roman" w:cs="Times New Roman"/>
        </w:rPr>
      </w:pPr>
      <w:r w:rsidRPr="00595BE4">
        <w:rPr>
          <w:rFonts w:ascii="Times New Roman" w:hAnsi="Times New Roman" w:cs="Times New Roman"/>
        </w:rPr>
        <w:t>Digital or services exports, particularly in developing economies</w:t>
      </w:r>
    </w:p>
    <w:p w14:paraId="3054BBF8" w14:textId="23ED3196" w:rsidR="000770F5" w:rsidRPr="00595BE4" w:rsidRDefault="000770F5" w:rsidP="000770F5">
      <w:pPr>
        <w:spacing w:line="360" w:lineRule="auto"/>
        <w:jc w:val="both"/>
        <w:rPr>
          <w:rFonts w:ascii="Times New Roman" w:hAnsi="Times New Roman" w:cs="Times New Roman"/>
        </w:rPr>
      </w:pPr>
      <w:r w:rsidRPr="00595BE4">
        <w:rPr>
          <w:rFonts w:ascii="Times New Roman" w:hAnsi="Times New Roman" w:cs="Times New Roman"/>
          <w:b/>
          <w:bCs/>
        </w:rPr>
        <w:t>Database Selection</w:t>
      </w:r>
      <w:r w:rsidRPr="00595BE4">
        <w:rPr>
          <w:rFonts w:ascii="Times New Roman" w:hAnsi="Times New Roman" w:cs="Times New Roman"/>
        </w:rPr>
        <w:t xml:space="preserve">: Academic sources will be retrieved from </w:t>
      </w:r>
      <w:r w:rsidRPr="00595BE4">
        <w:rPr>
          <w:rFonts w:ascii="Times New Roman" w:hAnsi="Times New Roman" w:cs="Times New Roman"/>
          <w:i/>
          <w:iCs/>
        </w:rPr>
        <w:t xml:space="preserve">Scopus, Web of Science, </w:t>
      </w:r>
      <w:proofErr w:type="spellStart"/>
      <w:r w:rsidRPr="00595BE4">
        <w:rPr>
          <w:rFonts w:ascii="Times New Roman" w:hAnsi="Times New Roman" w:cs="Times New Roman"/>
          <w:i/>
          <w:iCs/>
        </w:rPr>
        <w:t>EconLit</w:t>
      </w:r>
      <w:proofErr w:type="spellEnd"/>
      <w:r w:rsidRPr="00595BE4">
        <w:rPr>
          <w:rFonts w:ascii="Times New Roman" w:hAnsi="Times New Roman" w:cs="Times New Roman"/>
          <w:i/>
          <w:iCs/>
        </w:rPr>
        <w:t>,</w:t>
      </w:r>
      <w:r w:rsidRPr="00595BE4">
        <w:rPr>
          <w:rFonts w:ascii="Times New Roman" w:hAnsi="Times New Roman" w:cs="Times New Roman"/>
        </w:rPr>
        <w:t xml:space="preserve"> and </w:t>
      </w:r>
      <w:r w:rsidRPr="00595BE4">
        <w:rPr>
          <w:rFonts w:ascii="Times New Roman" w:hAnsi="Times New Roman" w:cs="Times New Roman"/>
          <w:i/>
          <w:iCs/>
        </w:rPr>
        <w:t>Google Scholar</w:t>
      </w:r>
      <w:r w:rsidRPr="00595BE4">
        <w:rPr>
          <w:rFonts w:ascii="Times New Roman" w:hAnsi="Times New Roman" w:cs="Times New Roman"/>
        </w:rPr>
        <w:t>. These databases offer extensive coverage of economic and business research, ensuring both breadth and quality.</w:t>
      </w:r>
    </w:p>
    <w:p w14:paraId="5B5D7457" w14:textId="5CD76C29" w:rsidR="000770F5" w:rsidRPr="00595BE4" w:rsidRDefault="000770F5" w:rsidP="000770F5">
      <w:pPr>
        <w:spacing w:line="360" w:lineRule="auto"/>
        <w:jc w:val="both"/>
        <w:rPr>
          <w:rFonts w:ascii="Times New Roman" w:hAnsi="Times New Roman" w:cs="Times New Roman"/>
        </w:rPr>
      </w:pPr>
      <w:r w:rsidRPr="00595BE4">
        <w:rPr>
          <w:rFonts w:ascii="Times New Roman" w:hAnsi="Times New Roman" w:cs="Times New Roman"/>
          <w:b/>
          <w:bCs/>
        </w:rPr>
        <w:t xml:space="preserve">Search Strategy: </w:t>
      </w:r>
      <w:r w:rsidRPr="00595BE4">
        <w:rPr>
          <w:rFonts w:ascii="Times New Roman" w:hAnsi="Times New Roman" w:cs="Times New Roman"/>
        </w:rPr>
        <w:t xml:space="preserve">Boolean combinations of key terms such as “exchange rate volatility”, “services exports”, “digital trade”, “IT sector”, “geopolitical shocks”, and “India” will be used. The </w:t>
      </w:r>
      <w:r w:rsidR="0019112B" w:rsidRPr="00595BE4">
        <w:rPr>
          <w:rFonts w:ascii="Times New Roman" w:hAnsi="Times New Roman" w:cs="Times New Roman"/>
        </w:rPr>
        <w:t>literature search will focus on publications from 2010 to 2024, aligning with the study’s empirical timeframe and capturing major global events such as the taper tantrum, the COVID-19 pandemic, and the Russia–Ukraine conflict.</w:t>
      </w:r>
    </w:p>
    <w:p w14:paraId="78E1C83F" w14:textId="49CAE15C" w:rsidR="0019112B" w:rsidRPr="00595BE4" w:rsidRDefault="0019112B" w:rsidP="000770F5">
      <w:pPr>
        <w:spacing w:line="360" w:lineRule="auto"/>
        <w:jc w:val="both"/>
        <w:rPr>
          <w:rFonts w:ascii="Times New Roman" w:hAnsi="Times New Roman" w:cs="Times New Roman"/>
          <w:b/>
          <w:bCs/>
        </w:rPr>
      </w:pPr>
      <w:r w:rsidRPr="00595BE4">
        <w:rPr>
          <w:rFonts w:ascii="Times New Roman" w:hAnsi="Times New Roman" w:cs="Times New Roman"/>
          <w:b/>
          <w:bCs/>
        </w:rPr>
        <w:t>Inclusion Criteria:</w:t>
      </w:r>
    </w:p>
    <w:p w14:paraId="4DDCA49A" w14:textId="77777777" w:rsidR="0019112B" w:rsidRPr="00595BE4" w:rsidRDefault="0019112B" w:rsidP="0019112B">
      <w:pPr>
        <w:pStyle w:val="ListParagraph"/>
        <w:numPr>
          <w:ilvl w:val="0"/>
          <w:numId w:val="8"/>
        </w:numPr>
        <w:spacing w:line="360" w:lineRule="auto"/>
        <w:jc w:val="both"/>
        <w:rPr>
          <w:rFonts w:ascii="Times New Roman" w:hAnsi="Times New Roman" w:cs="Times New Roman"/>
        </w:rPr>
      </w:pPr>
      <w:r w:rsidRPr="00595BE4">
        <w:rPr>
          <w:rFonts w:ascii="Times New Roman" w:hAnsi="Times New Roman" w:cs="Times New Roman"/>
        </w:rPr>
        <w:t>Empirical or theoretical studies examining exchange-rate or geopolitical influences on exports.</w:t>
      </w:r>
    </w:p>
    <w:p w14:paraId="6DC01EC2" w14:textId="77777777" w:rsidR="0019112B" w:rsidRPr="00595BE4" w:rsidRDefault="0019112B" w:rsidP="000770F5">
      <w:pPr>
        <w:pStyle w:val="ListParagraph"/>
        <w:numPr>
          <w:ilvl w:val="0"/>
          <w:numId w:val="8"/>
        </w:numPr>
        <w:spacing w:line="360" w:lineRule="auto"/>
        <w:jc w:val="both"/>
        <w:rPr>
          <w:rFonts w:ascii="Times New Roman" w:hAnsi="Times New Roman" w:cs="Times New Roman"/>
        </w:rPr>
      </w:pPr>
      <w:r w:rsidRPr="00595BE4">
        <w:rPr>
          <w:rFonts w:ascii="Times New Roman" w:hAnsi="Times New Roman" w:cs="Times New Roman"/>
        </w:rPr>
        <w:t>Research addressing services or digital trade in emerging economies.</w:t>
      </w:r>
    </w:p>
    <w:p w14:paraId="7F6EFB3B" w14:textId="431A9482" w:rsidR="0019112B" w:rsidRPr="00595BE4" w:rsidRDefault="0019112B" w:rsidP="000770F5">
      <w:pPr>
        <w:pStyle w:val="ListParagraph"/>
        <w:numPr>
          <w:ilvl w:val="0"/>
          <w:numId w:val="8"/>
        </w:numPr>
        <w:spacing w:line="360" w:lineRule="auto"/>
        <w:jc w:val="both"/>
        <w:rPr>
          <w:rFonts w:ascii="Times New Roman" w:hAnsi="Times New Roman" w:cs="Times New Roman"/>
        </w:rPr>
      </w:pPr>
      <w:r w:rsidRPr="00595BE4">
        <w:rPr>
          <w:rFonts w:ascii="Times New Roman" w:hAnsi="Times New Roman" w:cs="Times New Roman"/>
        </w:rPr>
        <w:lastRenderedPageBreak/>
        <w:t>Peer-reviewed journal articles, working papers, or institutional reports (IMF, WTO, UNCTAD).</w:t>
      </w:r>
    </w:p>
    <w:p w14:paraId="19C03810" w14:textId="4DF01D92" w:rsidR="0019112B" w:rsidRPr="00595BE4" w:rsidRDefault="0019112B" w:rsidP="0019112B">
      <w:pPr>
        <w:spacing w:line="360" w:lineRule="auto"/>
        <w:jc w:val="both"/>
        <w:rPr>
          <w:rFonts w:ascii="Times New Roman" w:hAnsi="Times New Roman" w:cs="Times New Roman"/>
          <w:b/>
          <w:bCs/>
        </w:rPr>
      </w:pPr>
      <w:r w:rsidRPr="00595BE4">
        <w:rPr>
          <w:rFonts w:ascii="Times New Roman" w:hAnsi="Times New Roman" w:cs="Times New Roman"/>
          <w:b/>
          <w:bCs/>
        </w:rPr>
        <w:t>Exclusion Criteria:</w:t>
      </w:r>
    </w:p>
    <w:p w14:paraId="528A8EC7" w14:textId="64FD7B89" w:rsidR="0019112B" w:rsidRPr="0019112B" w:rsidRDefault="0019112B" w:rsidP="0019112B">
      <w:pPr>
        <w:pStyle w:val="ListParagraph"/>
        <w:numPr>
          <w:ilvl w:val="0"/>
          <w:numId w:val="8"/>
        </w:numPr>
        <w:spacing w:line="360" w:lineRule="auto"/>
        <w:jc w:val="both"/>
        <w:rPr>
          <w:rFonts w:ascii="Times New Roman" w:hAnsi="Times New Roman" w:cs="Times New Roman"/>
        </w:rPr>
      </w:pPr>
      <w:r w:rsidRPr="0019112B">
        <w:rPr>
          <w:rFonts w:ascii="Times New Roman" w:hAnsi="Times New Roman" w:cs="Times New Roman"/>
        </w:rPr>
        <w:t>Studies focusing exclusively on manufacturing or primary commodities.</w:t>
      </w:r>
    </w:p>
    <w:p w14:paraId="36A02B33" w14:textId="07266B05" w:rsidR="0019112B" w:rsidRPr="00595BE4" w:rsidRDefault="0019112B" w:rsidP="0019112B">
      <w:pPr>
        <w:pStyle w:val="ListParagraph"/>
        <w:numPr>
          <w:ilvl w:val="0"/>
          <w:numId w:val="8"/>
        </w:numPr>
        <w:spacing w:line="360" w:lineRule="auto"/>
        <w:jc w:val="both"/>
        <w:rPr>
          <w:rFonts w:ascii="Times New Roman" w:hAnsi="Times New Roman" w:cs="Times New Roman"/>
        </w:rPr>
      </w:pPr>
      <w:r w:rsidRPr="0019112B">
        <w:rPr>
          <w:rFonts w:ascii="Times New Roman" w:hAnsi="Times New Roman" w:cs="Times New Roman"/>
        </w:rPr>
        <w:t>Non-English or non-academic publications.</w:t>
      </w:r>
    </w:p>
    <w:p w14:paraId="3EA2E87E" w14:textId="0CAE40B7" w:rsidR="0019112B" w:rsidRPr="00595BE4" w:rsidRDefault="0019112B" w:rsidP="0019112B">
      <w:pPr>
        <w:spacing w:line="360" w:lineRule="auto"/>
        <w:jc w:val="both"/>
        <w:rPr>
          <w:rFonts w:ascii="Times New Roman" w:hAnsi="Times New Roman" w:cs="Times New Roman"/>
        </w:rPr>
      </w:pPr>
      <w:r w:rsidRPr="00595BE4">
        <w:rPr>
          <w:rFonts w:ascii="Times New Roman" w:hAnsi="Times New Roman" w:cs="Times New Roman"/>
          <w:b/>
          <w:bCs/>
        </w:rPr>
        <w:t xml:space="preserve">Screening and Synthesis: </w:t>
      </w:r>
      <w:r w:rsidRPr="00595BE4">
        <w:rPr>
          <w:rFonts w:ascii="Times New Roman" w:hAnsi="Times New Roman" w:cs="Times New Roman"/>
        </w:rPr>
        <w:t>Articles will be screened by title, abstract, and full text for relevance. Key variables-context, data source, method, and findings will be coded in a matrix. Thematic synthesis will identify recurring concepts such as invoicing currency, hedging strategies, pricing-to-market behaviour, and resilience to macroeconomic shocks. A PRISMA flow diagram will document each stage, ensuring transparency and replicability.</w:t>
      </w:r>
    </w:p>
    <w:p w14:paraId="1179D96A" w14:textId="0A9674CE" w:rsidR="0019112B" w:rsidRPr="00595BE4" w:rsidRDefault="0019112B" w:rsidP="0019112B">
      <w:pPr>
        <w:pStyle w:val="Heading2"/>
        <w:spacing w:line="360" w:lineRule="auto"/>
        <w:jc w:val="both"/>
        <w:rPr>
          <w:rFonts w:ascii="Times New Roman" w:hAnsi="Times New Roman" w:cs="Times New Roman"/>
        </w:rPr>
      </w:pPr>
      <w:bookmarkStart w:id="13" w:name="_Toc210606365"/>
      <w:r w:rsidRPr="00595BE4">
        <w:rPr>
          <w:rFonts w:ascii="Times New Roman" w:hAnsi="Times New Roman" w:cs="Times New Roman"/>
        </w:rPr>
        <w:t>Secondary Data Descriptive Analysis</w:t>
      </w:r>
      <w:bookmarkEnd w:id="13"/>
    </w:p>
    <w:p w14:paraId="7F659649" w14:textId="77777777" w:rsidR="0019112B" w:rsidRPr="0019112B" w:rsidRDefault="0019112B" w:rsidP="0019112B">
      <w:pPr>
        <w:spacing w:line="360" w:lineRule="auto"/>
        <w:jc w:val="both"/>
        <w:rPr>
          <w:rFonts w:ascii="Times New Roman" w:hAnsi="Times New Roman" w:cs="Times New Roman"/>
        </w:rPr>
      </w:pPr>
      <w:r w:rsidRPr="0019112B">
        <w:rPr>
          <w:rFonts w:ascii="Times New Roman" w:hAnsi="Times New Roman" w:cs="Times New Roman"/>
        </w:rPr>
        <w:t>To complement the literature synthesis, the study will include a descriptive secondary-data analysis illustrating the relationship between exchange-rate volatility and India’s IT services exports from 2010–2024. This component does not involve econometric modelling or hypothesis testing; it interprets publicly available data to provide real-world context.</w:t>
      </w:r>
    </w:p>
    <w:p w14:paraId="77437B28" w14:textId="174C560D" w:rsidR="0019112B" w:rsidRPr="0019112B" w:rsidRDefault="0019112B" w:rsidP="0019112B">
      <w:pPr>
        <w:spacing w:line="360" w:lineRule="auto"/>
        <w:jc w:val="both"/>
        <w:rPr>
          <w:rFonts w:ascii="Times New Roman" w:hAnsi="Times New Roman" w:cs="Times New Roman"/>
        </w:rPr>
      </w:pPr>
      <w:r w:rsidRPr="0019112B">
        <w:rPr>
          <w:rFonts w:ascii="Times New Roman" w:hAnsi="Times New Roman" w:cs="Times New Roman"/>
          <w:b/>
          <w:bCs/>
        </w:rPr>
        <w:t>Data Sources</w:t>
      </w:r>
      <w:r w:rsidRPr="0019112B">
        <w:rPr>
          <w:rFonts w:ascii="Times New Roman" w:hAnsi="Times New Roman" w:cs="Times New Roman"/>
        </w:rPr>
        <w:t>:</w:t>
      </w:r>
      <w:r w:rsidRPr="00595BE4">
        <w:rPr>
          <w:rFonts w:ascii="Times New Roman" w:hAnsi="Times New Roman" w:cs="Times New Roman"/>
        </w:rPr>
        <w:t xml:space="preserve"> </w:t>
      </w:r>
      <w:r w:rsidRPr="0019112B">
        <w:rPr>
          <w:rFonts w:ascii="Times New Roman" w:hAnsi="Times New Roman" w:cs="Times New Roman"/>
        </w:rPr>
        <w:t>All data will come from open and reputable sources, including the Reserve Bank of India (RBI), the International Monetary Fund (IMF), and UNCTADstat. Key indicators will include monthly INR/USD exchange-rate movements and quarterly IT-services export receipts.</w:t>
      </w:r>
    </w:p>
    <w:p w14:paraId="5EF6C869" w14:textId="7ED4BF62" w:rsidR="0019112B" w:rsidRPr="00595BE4" w:rsidRDefault="0019112B" w:rsidP="0019112B">
      <w:pPr>
        <w:spacing w:line="360" w:lineRule="auto"/>
        <w:jc w:val="both"/>
        <w:rPr>
          <w:rFonts w:ascii="Times New Roman" w:hAnsi="Times New Roman" w:cs="Times New Roman"/>
        </w:rPr>
      </w:pPr>
      <w:r w:rsidRPr="0019112B">
        <w:rPr>
          <w:rFonts w:ascii="Times New Roman" w:hAnsi="Times New Roman" w:cs="Times New Roman"/>
          <w:b/>
          <w:bCs/>
        </w:rPr>
        <w:t>Analytical Approach</w:t>
      </w:r>
      <w:r w:rsidRPr="0019112B">
        <w:rPr>
          <w:rFonts w:ascii="Times New Roman" w:hAnsi="Times New Roman" w:cs="Times New Roman"/>
        </w:rPr>
        <w:t>:</w:t>
      </w:r>
      <w:r w:rsidRPr="00595BE4">
        <w:rPr>
          <w:rFonts w:ascii="Times New Roman" w:hAnsi="Times New Roman" w:cs="Times New Roman"/>
        </w:rPr>
        <w:t xml:space="preserve"> D</w:t>
      </w:r>
      <w:r w:rsidRPr="0019112B">
        <w:rPr>
          <w:rFonts w:ascii="Times New Roman" w:hAnsi="Times New Roman" w:cs="Times New Roman"/>
        </w:rPr>
        <w:t>escriptive techniques</w:t>
      </w:r>
      <w:r w:rsidRPr="00595BE4">
        <w:rPr>
          <w:rFonts w:ascii="Times New Roman" w:hAnsi="Times New Roman" w:cs="Times New Roman"/>
        </w:rPr>
        <w:t xml:space="preserve"> such as </w:t>
      </w:r>
      <w:r w:rsidRPr="0019112B">
        <w:rPr>
          <w:rFonts w:ascii="Times New Roman" w:hAnsi="Times New Roman" w:cs="Times New Roman"/>
        </w:rPr>
        <w:t>trend lines, growth-rate calculations, and volatility plots</w:t>
      </w:r>
      <w:r w:rsidRPr="00595BE4">
        <w:rPr>
          <w:rFonts w:ascii="Times New Roman" w:hAnsi="Times New Roman" w:cs="Times New Roman"/>
        </w:rPr>
        <w:t xml:space="preserve"> </w:t>
      </w:r>
      <w:r w:rsidRPr="0019112B">
        <w:rPr>
          <w:rFonts w:ascii="Times New Roman" w:hAnsi="Times New Roman" w:cs="Times New Roman"/>
        </w:rPr>
        <w:t>will be used to visualise how exchange-rate fluctuations coincide with export performance during major geopolitical events. This approach strengthens the discussion by connecting theoretical insights with empirical patterns without conducting any primary econometric tests.</w:t>
      </w:r>
    </w:p>
    <w:p w14:paraId="3A02825F" w14:textId="77777777" w:rsidR="00EB1BD6" w:rsidRPr="00595BE4" w:rsidRDefault="00EB1BD6" w:rsidP="00500BE2">
      <w:pPr>
        <w:pStyle w:val="Heading2"/>
        <w:spacing w:line="360" w:lineRule="auto"/>
        <w:jc w:val="both"/>
        <w:rPr>
          <w:rFonts w:ascii="Times New Roman" w:hAnsi="Times New Roman" w:cs="Times New Roman"/>
        </w:rPr>
      </w:pPr>
      <w:bookmarkStart w:id="14" w:name="_Toc210606366"/>
      <w:r w:rsidRPr="00595BE4">
        <w:rPr>
          <w:rFonts w:ascii="Times New Roman" w:hAnsi="Times New Roman" w:cs="Times New Roman"/>
        </w:rPr>
        <w:t>Ethical Considerations</w:t>
      </w:r>
      <w:bookmarkEnd w:id="14"/>
    </w:p>
    <w:p w14:paraId="212ED7A8" w14:textId="670DE1A4" w:rsidR="0019112B" w:rsidRPr="0019112B" w:rsidRDefault="0019112B" w:rsidP="0019112B">
      <w:pPr>
        <w:spacing w:line="360" w:lineRule="auto"/>
        <w:jc w:val="both"/>
        <w:rPr>
          <w:rFonts w:ascii="Times New Roman" w:hAnsi="Times New Roman" w:cs="Times New Roman"/>
        </w:rPr>
      </w:pPr>
      <w:r w:rsidRPr="0019112B">
        <w:rPr>
          <w:rFonts w:ascii="Times New Roman" w:hAnsi="Times New Roman" w:cs="Times New Roman"/>
        </w:rPr>
        <w:t xml:space="preserve">The research involves only publicly available secondary data and published literature. No personal, confidential, or sensitive information will be collected. Ethical integrity will be maintained through accurate citation, responsible data handling, and adherence to the University’s code of conduct. Since there are no human participants, the project is categorised as </w:t>
      </w:r>
      <w:r w:rsidRPr="00595BE4">
        <w:rPr>
          <w:rFonts w:ascii="Times New Roman" w:hAnsi="Times New Roman" w:cs="Times New Roman"/>
        </w:rPr>
        <w:t>low risk</w:t>
      </w:r>
      <w:r w:rsidRPr="0019112B">
        <w:rPr>
          <w:rFonts w:ascii="Times New Roman" w:hAnsi="Times New Roman" w:cs="Times New Roman"/>
        </w:rPr>
        <w:t>.</w:t>
      </w:r>
    </w:p>
    <w:p w14:paraId="5EB12CA6" w14:textId="0C0F01EA" w:rsidR="00EB1BD6" w:rsidRPr="00595BE4" w:rsidRDefault="0019112B" w:rsidP="00500BE2">
      <w:pPr>
        <w:pStyle w:val="Heading2"/>
        <w:spacing w:line="360" w:lineRule="auto"/>
        <w:jc w:val="both"/>
        <w:rPr>
          <w:rFonts w:ascii="Times New Roman" w:hAnsi="Times New Roman" w:cs="Times New Roman"/>
        </w:rPr>
      </w:pPr>
      <w:bookmarkStart w:id="15" w:name="_Toc210606367"/>
      <w:r w:rsidRPr="00595BE4">
        <w:rPr>
          <w:rFonts w:ascii="Times New Roman" w:hAnsi="Times New Roman" w:cs="Times New Roman"/>
        </w:rPr>
        <w:lastRenderedPageBreak/>
        <w:t>Reliability, Validity, and Limitations</w:t>
      </w:r>
      <w:bookmarkEnd w:id="15"/>
    </w:p>
    <w:p w14:paraId="177328DD" w14:textId="77981A81" w:rsidR="0019112B" w:rsidRPr="0019112B" w:rsidRDefault="0019112B" w:rsidP="0019112B">
      <w:pPr>
        <w:spacing w:line="360" w:lineRule="auto"/>
        <w:jc w:val="both"/>
        <w:rPr>
          <w:rFonts w:ascii="Times New Roman" w:hAnsi="Times New Roman" w:cs="Times New Roman"/>
        </w:rPr>
      </w:pPr>
      <w:r w:rsidRPr="0019112B">
        <w:rPr>
          <w:rFonts w:ascii="Times New Roman" w:hAnsi="Times New Roman" w:cs="Times New Roman"/>
        </w:rPr>
        <w:t>Reliability will be enhanced by documenting every procedural step</w:t>
      </w:r>
      <w:r w:rsidRPr="00595BE4">
        <w:rPr>
          <w:rFonts w:ascii="Times New Roman" w:hAnsi="Times New Roman" w:cs="Times New Roman"/>
        </w:rPr>
        <w:t xml:space="preserve"> namely </w:t>
      </w:r>
      <w:r w:rsidRPr="0019112B">
        <w:rPr>
          <w:rFonts w:ascii="Times New Roman" w:hAnsi="Times New Roman" w:cs="Times New Roman"/>
        </w:rPr>
        <w:t>search strings, inclusion criteria, and coding categories</w:t>
      </w:r>
      <w:r w:rsidRPr="00595BE4">
        <w:rPr>
          <w:rFonts w:ascii="Times New Roman" w:hAnsi="Times New Roman" w:cs="Times New Roman"/>
        </w:rPr>
        <w:t xml:space="preserve">, </w:t>
      </w:r>
      <w:r w:rsidRPr="0019112B">
        <w:rPr>
          <w:rFonts w:ascii="Times New Roman" w:hAnsi="Times New Roman" w:cs="Times New Roman"/>
        </w:rPr>
        <w:t>allowing replication by future researchers. Using multiple databases improves external validity and reduces selection bias. Internal validity is reinforced by triangulating findings from academic and institutional sources.</w:t>
      </w:r>
    </w:p>
    <w:p w14:paraId="5E58553C" w14:textId="54FE8628" w:rsidR="0019112B" w:rsidRPr="00595BE4" w:rsidRDefault="0019112B" w:rsidP="00500BE2">
      <w:pPr>
        <w:spacing w:line="360" w:lineRule="auto"/>
        <w:jc w:val="both"/>
        <w:rPr>
          <w:rFonts w:ascii="Times New Roman" w:hAnsi="Times New Roman" w:cs="Times New Roman"/>
        </w:rPr>
      </w:pPr>
      <w:r w:rsidRPr="0019112B">
        <w:rPr>
          <w:rFonts w:ascii="Times New Roman" w:hAnsi="Times New Roman" w:cs="Times New Roman"/>
        </w:rPr>
        <w:t>Limitations include the potential for publication bias, where journals favour statistically significant results; minor discrepancies across secondary data sources; and the inability of descriptive analysis to establish causality. These will be transparently acknowledged.</w:t>
      </w:r>
    </w:p>
    <w:p w14:paraId="586F9B57" w14:textId="0C265AEC" w:rsidR="0019112B" w:rsidRPr="00595BE4" w:rsidRDefault="0019112B" w:rsidP="0019112B">
      <w:pPr>
        <w:pStyle w:val="Heading2"/>
        <w:spacing w:line="360" w:lineRule="auto"/>
        <w:jc w:val="both"/>
        <w:rPr>
          <w:rFonts w:ascii="Times New Roman" w:hAnsi="Times New Roman" w:cs="Times New Roman"/>
        </w:rPr>
      </w:pPr>
      <w:bookmarkStart w:id="16" w:name="_Toc210606368"/>
      <w:r w:rsidRPr="00595BE4">
        <w:rPr>
          <w:rFonts w:ascii="Times New Roman" w:hAnsi="Times New Roman" w:cs="Times New Roman"/>
        </w:rPr>
        <w:t>Summary</w:t>
      </w:r>
      <w:bookmarkEnd w:id="16"/>
    </w:p>
    <w:p w14:paraId="1CFC132C" w14:textId="1B3FE6FF" w:rsidR="0019112B" w:rsidRPr="00595BE4" w:rsidRDefault="0019112B" w:rsidP="00500BE2">
      <w:pPr>
        <w:spacing w:line="360" w:lineRule="auto"/>
        <w:jc w:val="both"/>
        <w:rPr>
          <w:rFonts w:ascii="Times New Roman" w:hAnsi="Times New Roman" w:cs="Times New Roman"/>
        </w:rPr>
      </w:pPr>
      <w:r w:rsidRPr="0019112B">
        <w:rPr>
          <w:rFonts w:ascii="Times New Roman" w:hAnsi="Times New Roman" w:cs="Times New Roman"/>
        </w:rPr>
        <w:t>This methodological framework combines the analytical depth of a systematic literature review with the contextual richness of secondary-data analysis. It ensures ethical compliance, transparency, and academic credibility while providing a robust foundation to examine how exchange-rate volatility and geopolitical shocks shape digital-services exports in India’s IT sector from 2010–2024.</w:t>
      </w:r>
    </w:p>
    <w:p w14:paraId="02DCA93B" w14:textId="3BA360BE" w:rsidR="003856AA" w:rsidRPr="00595BE4" w:rsidRDefault="003856AA" w:rsidP="00500BE2">
      <w:pPr>
        <w:pStyle w:val="Heading1"/>
        <w:spacing w:line="360" w:lineRule="auto"/>
        <w:jc w:val="both"/>
        <w:rPr>
          <w:rFonts w:ascii="Times New Roman" w:hAnsi="Times New Roman" w:cs="Times New Roman"/>
        </w:rPr>
      </w:pPr>
      <w:bookmarkStart w:id="17" w:name="_Toc210606369"/>
      <w:r w:rsidRPr="00595BE4">
        <w:rPr>
          <w:rFonts w:ascii="Times New Roman" w:hAnsi="Times New Roman" w:cs="Times New Roman"/>
        </w:rPr>
        <w:t>Timeline</w:t>
      </w:r>
      <w:bookmarkEnd w:id="17"/>
    </w:p>
    <w:p w14:paraId="22D54AB8" w14:textId="0360A04F" w:rsidR="00DF6121" w:rsidRPr="00DF6121" w:rsidRDefault="00DF6121" w:rsidP="00DF6121">
      <w:pPr>
        <w:spacing w:line="360" w:lineRule="auto"/>
        <w:jc w:val="both"/>
        <w:rPr>
          <w:rFonts w:ascii="Times New Roman" w:hAnsi="Times New Roman" w:cs="Times New Roman"/>
        </w:rPr>
      </w:pPr>
      <w:r w:rsidRPr="00DF6121">
        <w:rPr>
          <w:rFonts w:ascii="Times New Roman" w:hAnsi="Times New Roman" w:cs="Times New Roman"/>
        </w:rPr>
        <w:t>The dissertation will be completed within the September–December 2025 semester, with final submission scheduled for December 2025. The work plan ensures structured progress and sufficient time for supervisor feedback and refinement.</w:t>
      </w:r>
    </w:p>
    <w:p w14:paraId="6BA03C9F" w14:textId="77777777" w:rsidR="00DF6121" w:rsidRPr="00DF6121" w:rsidRDefault="00DF6121" w:rsidP="00DF6121">
      <w:pPr>
        <w:numPr>
          <w:ilvl w:val="0"/>
          <w:numId w:val="9"/>
        </w:numPr>
        <w:spacing w:line="360" w:lineRule="auto"/>
        <w:jc w:val="both"/>
        <w:rPr>
          <w:rFonts w:ascii="Times New Roman" w:hAnsi="Times New Roman" w:cs="Times New Roman"/>
        </w:rPr>
      </w:pPr>
      <w:r w:rsidRPr="00DF6121">
        <w:rPr>
          <w:rFonts w:ascii="Times New Roman" w:hAnsi="Times New Roman" w:cs="Times New Roman"/>
          <w:b/>
          <w:bCs/>
        </w:rPr>
        <w:t>Weeks 1–3 (September 2025):</w:t>
      </w:r>
      <w:r w:rsidRPr="00DF6121">
        <w:rPr>
          <w:rFonts w:ascii="Times New Roman" w:hAnsi="Times New Roman" w:cs="Times New Roman"/>
        </w:rPr>
        <w:t xml:space="preserve"> Final topic confirmation, completion of ethics approval, and refinement of the research framework.</w:t>
      </w:r>
    </w:p>
    <w:p w14:paraId="7D42A069" w14:textId="77777777" w:rsidR="00DF6121" w:rsidRPr="00DF6121" w:rsidRDefault="00DF6121" w:rsidP="00DF6121">
      <w:pPr>
        <w:numPr>
          <w:ilvl w:val="0"/>
          <w:numId w:val="9"/>
        </w:numPr>
        <w:spacing w:line="360" w:lineRule="auto"/>
        <w:jc w:val="both"/>
        <w:rPr>
          <w:rFonts w:ascii="Times New Roman" w:hAnsi="Times New Roman" w:cs="Times New Roman"/>
        </w:rPr>
      </w:pPr>
      <w:r w:rsidRPr="00DF6121">
        <w:rPr>
          <w:rFonts w:ascii="Times New Roman" w:hAnsi="Times New Roman" w:cs="Times New Roman"/>
          <w:b/>
          <w:bCs/>
        </w:rPr>
        <w:t>Weeks 4–6 (Early October):</w:t>
      </w:r>
      <w:r w:rsidRPr="00DF6121">
        <w:rPr>
          <w:rFonts w:ascii="Times New Roman" w:hAnsi="Times New Roman" w:cs="Times New Roman"/>
        </w:rPr>
        <w:t xml:space="preserve"> Systematic search of academic databases (Scopus, Web of Science, </w:t>
      </w:r>
      <w:proofErr w:type="spellStart"/>
      <w:r w:rsidRPr="00DF6121">
        <w:rPr>
          <w:rFonts w:ascii="Times New Roman" w:hAnsi="Times New Roman" w:cs="Times New Roman"/>
        </w:rPr>
        <w:t>EconLit</w:t>
      </w:r>
      <w:proofErr w:type="spellEnd"/>
      <w:r w:rsidRPr="00DF6121">
        <w:rPr>
          <w:rFonts w:ascii="Times New Roman" w:hAnsi="Times New Roman" w:cs="Times New Roman"/>
        </w:rPr>
        <w:t>, Google Scholar); documentation of PRISMA flow.</w:t>
      </w:r>
    </w:p>
    <w:p w14:paraId="0010D7B5" w14:textId="77777777" w:rsidR="00DF6121" w:rsidRPr="00DF6121" w:rsidRDefault="00DF6121" w:rsidP="00DF6121">
      <w:pPr>
        <w:numPr>
          <w:ilvl w:val="0"/>
          <w:numId w:val="9"/>
        </w:numPr>
        <w:spacing w:line="360" w:lineRule="auto"/>
        <w:jc w:val="both"/>
        <w:rPr>
          <w:rFonts w:ascii="Times New Roman" w:hAnsi="Times New Roman" w:cs="Times New Roman"/>
        </w:rPr>
      </w:pPr>
      <w:r w:rsidRPr="00DF6121">
        <w:rPr>
          <w:rFonts w:ascii="Times New Roman" w:hAnsi="Times New Roman" w:cs="Times New Roman"/>
          <w:b/>
          <w:bCs/>
        </w:rPr>
        <w:t>Weeks 7–8 (Mid-October):</w:t>
      </w:r>
      <w:r w:rsidRPr="00DF6121">
        <w:rPr>
          <w:rFonts w:ascii="Times New Roman" w:hAnsi="Times New Roman" w:cs="Times New Roman"/>
        </w:rPr>
        <w:t xml:space="preserve"> Screening, evaluation, and coding of selected studies; creation of the literature-review matrix.</w:t>
      </w:r>
    </w:p>
    <w:p w14:paraId="212FDC19" w14:textId="77777777" w:rsidR="00DF6121" w:rsidRPr="00DF6121" w:rsidRDefault="00DF6121" w:rsidP="00DF6121">
      <w:pPr>
        <w:numPr>
          <w:ilvl w:val="0"/>
          <w:numId w:val="9"/>
        </w:numPr>
        <w:spacing w:line="360" w:lineRule="auto"/>
        <w:jc w:val="both"/>
        <w:rPr>
          <w:rFonts w:ascii="Times New Roman" w:hAnsi="Times New Roman" w:cs="Times New Roman"/>
        </w:rPr>
      </w:pPr>
      <w:r w:rsidRPr="00DF6121">
        <w:rPr>
          <w:rFonts w:ascii="Times New Roman" w:hAnsi="Times New Roman" w:cs="Times New Roman"/>
          <w:b/>
          <w:bCs/>
        </w:rPr>
        <w:t>Weeks 9–10 (Late October – Early November):</w:t>
      </w:r>
      <w:r w:rsidRPr="00DF6121">
        <w:rPr>
          <w:rFonts w:ascii="Times New Roman" w:hAnsi="Times New Roman" w:cs="Times New Roman"/>
        </w:rPr>
        <w:t xml:space="preserve"> Thematic synthesis and drafting of the literature review chapter.</w:t>
      </w:r>
    </w:p>
    <w:p w14:paraId="441B7E67" w14:textId="77777777" w:rsidR="00DF6121" w:rsidRPr="00DF6121" w:rsidRDefault="00DF6121" w:rsidP="00DF6121">
      <w:pPr>
        <w:numPr>
          <w:ilvl w:val="0"/>
          <w:numId w:val="9"/>
        </w:numPr>
        <w:spacing w:line="360" w:lineRule="auto"/>
        <w:jc w:val="both"/>
        <w:rPr>
          <w:rFonts w:ascii="Times New Roman" w:hAnsi="Times New Roman" w:cs="Times New Roman"/>
        </w:rPr>
      </w:pPr>
      <w:r w:rsidRPr="00DF6121">
        <w:rPr>
          <w:rFonts w:ascii="Times New Roman" w:hAnsi="Times New Roman" w:cs="Times New Roman"/>
          <w:b/>
          <w:bCs/>
        </w:rPr>
        <w:lastRenderedPageBreak/>
        <w:t>Weeks 11–12 (Mid-November):</w:t>
      </w:r>
      <w:r w:rsidRPr="00DF6121">
        <w:rPr>
          <w:rFonts w:ascii="Times New Roman" w:hAnsi="Times New Roman" w:cs="Times New Roman"/>
        </w:rPr>
        <w:t xml:space="preserve"> Collection and presentation of secondary descriptive data (RBI, IMF, UNCTAD); preparation of charts and tables illustrating 2010–2024 trends.</w:t>
      </w:r>
    </w:p>
    <w:p w14:paraId="6DCD1C4B" w14:textId="77777777" w:rsidR="00DF6121" w:rsidRPr="00DF6121" w:rsidRDefault="00DF6121" w:rsidP="00DF6121">
      <w:pPr>
        <w:numPr>
          <w:ilvl w:val="0"/>
          <w:numId w:val="9"/>
        </w:numPr>
        <w:spacing w:line="360" w:lineRule="auto"/>
        <w:jc w:val="both"/>
        <w:rPr>
          <w:rFonts w:ascii="Times New Roman" w:hAnsi="Times New Roman" w:cs="Times New Roman"/>
        </w:rPr>
      </w:pPr>
      <w:r w:rsidRPr="00DF6121">
        <w:rPr>
          <w:rFonts w:ascii="Times New Roman" w:hAnsi="Times New Roman" w:cs="Times New Roman"/>
          <w:b/>
          <w:bCs/>
        </w:rPr>
        <w:t>Week 13 (Late November):</w:t>
      </w:r>
      <w:r w:rsidRPr="00DF6121">
        <w:rPr>
          <w:rFonts w:ascii="Times New Roman" w:hAnsi="Times New Roman" w:cs="Times New Roman"/>
        </w:rPr>
        <w:t xml:space="preserve"> Integration of SLR findings and secondary-data discussion; first full draft review.</w:t>
      </w:r>
    </w:p>
    <w:p w14:paraId="70C35225" w14:textId="77777777" w:rsidR="00DF6121" w:rsidRPr="00DF6121" w:rsidRDefault="00DF6121" w:rsidP="00DF6121">
      <w:pPr>
        <w:numPr>
          <w:ilvl w:val="0"/>
          <w:numId w:val="9"/>
        </w:numPr>
        <w:spacing w:line="360" w:lineRule="auto"/>
        <w:jc w:val="both"/>
        <w:rPr>
          <w:rFonts w:ascii="Times New Roman" w:hAnsi="Times New Roman" w:cs="Times New Roman"/>
        </w:rPr>
      </w:pPr>
      <w:r w:rsidRPr="00DF6121">
        <w:rPr>
          <w:rFonts w:ascii="Times New Roman" w:hAnsi="Times New Roman" w:cs="Times New Roman"/>
          <w:b/>
          <w:bCs/>
        </w:rPr>
        <w:t>Weeks 14–15 (December 2025):</w:t>
      </w:r>
      <w:r w:rsidRPr="00DF6121">
        <w:rPr>
          <w:rFonts w:ascii="Times New Roman" w:hAnsi="Times New Roman" w:cs="Times New Roman"/>
        </w:rPr>
        <w:t xml:space="preserve"> Final editing, formatting, referencing, and submission.</w:t>
      </w:r>
    </w:p>
    <w:p w14:paraId="10333AAC" w14:textId="77777777" w:rsidR="00DF6121" w:rsidRPr="00DF6121" w:rsidRDefault="00DF6121" w:rsidP="00DF6121">
      <w:pPr>
        <w:spacing w:line="360" w:lineRule="auto"/>
        <w:jc w:val="both"/>
        <w:rPr>
          <w:rFonts w:ascii="Times New Roman" w:hAnsi="Times New Roman" w:cs="Times New Roman"/>
        </w:rPr>
      </w:pPr>
      <w:r w:rsidRPr="00DF6121">
        <w:rPr>
          <w:rFonts w:ascii="Times New Roman" w:hAnsi="Times New Roman" w:cs="Times New Roman"/>
        </w:rPr>
        <w:t>A Gantt chart accompanies this timeline to visually represent sequencing and milestones.</w:t>
      </w:r>
    </w:p>
    <w:p w14:paraId="7F333F3C" w14:textId="77777777" w:rsidR="000610B7" w:rsidRPr="00595BE4" w:rsidRDefault="000610B7" w:rsidP="00500BE2">
      <w:pPr>
        <w:tabs>
          <w:tab w:val="num" w:pos="720"/>
        </w:tabs>
        <w:spacing w:line="360" w:lineRule="auto"/>
        <w:jc w:val="both"/>
        <w:rPr>
          <w:rFonts w:ascii="Times New Roman" w:hAnsi="Times New Roman" w:cs="Times New Roman"/>
        </w:rPr>
      </w:pPr>
    </w:p>
    <w:p w14:paraId="4C83A9A4" w14:textId="357887F2" w:rsidR="0053281E" w:rsidRPr="00595BE4" w:rsidRDefault="0053281E" w:rsidP="00500BE2">
      <w:pPr>
        <w:pStyle w:val="Heading1"/>
        <w:spacing w:line="360" w:lineRule="auto"/>
        <w:rPr>
          <w:rFonts w:ascii="Times New Roman" w:hAnsi="Times New Roman" w:cs="Times New Roman"/>
        </w:rPr>
      </w:pPr>
      <w:bookmarkStart w:id="18" w:name="_Toc210606370"/>
      <w:r w:rsidRPr="00595BE4">
        <w:rPr>
          <w:rFonts w:ascii="Times New Roman" w:hAnsi="Times New Roman" w:cs="Times New Roman"/>
        </w:rPr>
        <w:t>Gantt Chart</w:t>
      </w:r>
      <w:bookmarkEnd w:id="18"/>
    </w:p>
    <w:tbl>
      <w:tblPr>
        <w:tblStyle w:val="TableGrid"/>
        <w:tblW w:w="0" w:type="auto"/>
        <w:tblLook w:val="04A0" w:firstRow="1" w:lastRow="0" w:firstColumn="1" w:lastColumn="0" w:noHBand="0" w:noVBand="1"/>
      </w:tblPr>
      <w:tblGrid>
        <w:gridCol w:w="1456"/>
        <w:gridCol w:w="1234"/>
        <w:gridCol w:w="1234"/>
        <w:gridCol w:w="1234"/>
        <w:gridCol w:w="1234"/>
        <w:gridCol w:w="1234"/>
        <w:gridCol w:w="1234"/>
      </w:tblGrid>
      <w:tr w:rsidR="0053281E" w:rsidRPr="00595BE4" w14:paraId="739994DA" w14:textId="77777777">
        <w:tc>
          <w:tcPr>
            <w:tcW w:w="1234" w:type="dxa"/>
            <w:tcBorders>
              <w:top w:val="single" w:sz="4" w:space="0" w:color="auto"/>
              <w:left w:val="single" w:sz="4" w:space="0" w:color="auto"/>
              <w:bottom w:val="single" w:sz="4" w:space="0" w:color="auto"/>
              <w:right w:val="single" w:sz="4" w:space="0" w:color="auto"/>
            </w:tcBorders>
            <w:hideMark/>
          </w:tcPr>
          <w:p w14:paraId="3C7590BA"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Task</w:t>
            </w:r>
          </w:p>
        </w:tc>
        <w:tc>
          <w:tcPr>
            <w:tcW w:w="1234" w:type="dxa"/>
            <w:tcBorders>
              <w:top w:val="single" w:sz="4" w:space="0" w:color="auto"/>
              <w:left w:val="single" w:sz="4" w:space="0" w:color="auto"/>
              <w:bottom w:val="single" w:sz="4" w:space="0" w:color="auto"/>
              <w:right w:val="single" w:sz="4" w:space="0" w:color="auto"/>
            </w:tcBorders>
            <w:hideMark/>
          </w:tcPr>
          <w:p w14:paraId="053DF2C9"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Sept W1–4</w:t>
            </w:r>
          </w:p>
        </w:tc>
        <w:tc>
          <w:tcPr>
            <w:tcW w:w="1234" w:type="dxa"/>
            <w:tcBorders>
              <w:top w:val="single" w:sz="4" w:space="0" w:color="auto"/>
              <w:left w:val="single" w:sz="4" w:space="0" w:color="auto"/>
              <w:bottom w:val="single" w:sz="4" w:space="0" w:color="auto"/>
              <w:right w:val="single" w:sz="4" w:space="0" w:color="auto"/>
            </w:tcBorders>
            <w:hideMark/>
          </w:tcPr>
          <w:p w14:paraId="3497B9E0"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Oct W5–6</w:t>
            </w:r>
          </w:p>
        </w:tc>
        <w:tc>
          <w:tcPr>
            <w:tcW w:w="1234" w:type="dxa"/>
            <w:tcBorders>
              <w:top w:val="single" w:sz="4" w:space="0" w:color="auto"/>
              <w:left w:val="single" w:sz="4" w:space="0" w:color="auto"/>
              <w:bottom w:val="single" w:sz="4" w:space="0" w:color="auto"/>
              <w:right w:val="single" w:sz="4" w:space="0" w:color="auto"/>
            </w:tcBorders>
            <w:hideMark/>
          </w:tcPr>
          <w:p w14:paraId="3BC28A56"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Oct–Nov W7–8</w:t>
            </w:r>
          </w:p>
        </w:tc>
        <w:tc>
          <w:tcPr>
            <w:tcW w:w="1234" w:type="dxa"/>
            <w:tcBorders>
              <w:top w:val="single" w:sz="4" w:space="0" w:color="auto"/>
              <w:left w:val="single" w:sz="4" w:space="0" w:color="auto"/>
              <w:bottom w:val="single" w:sz="4" w:space="0" w:color="auto"/>
              <w:right w:val="single" w:sz="4" w:space="0" w:color="auto"/>
            </w:tcBorders>
            <w:hideMark/>
          </w:tcPr>
          <w:p w14:paraId="3141D56B"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Nov W9–10</w:t>
            </w:r>
          </w:p>
        </w:tc>
        <w:tc>
          <w:tcPr>
            <w:tcW w:w="1234" w:type="dxa"/>
            <w:tcBorders>
              <w:top w:val="single" w:sz="4" w:space="0" w:color="auto"/>
              <w:left w:val="single" w:sz="4" w:space="0" w:color="auto"/>
              <w:bottom w:val="single" w:sz="4" w:space="0" w:color="auto"/>
              <w:right w:val="single" w:sz="4" w:space="0" w:color="auto"/>
            </w:tcBorders>
            <w:hideMark/>
          </w:tcPr>
          <w:p w14:paraId="45A52AFC"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Nov W11</w:t>
            </w:r>
          </w:p>
        </w:tc>
        <w:tc>
          <w:tcPr>
            <w:tcW w:w="1234" w:type="dxa"/>
            <w:tcBorders>
              <w:top w:val="single" w:sz="4" w:space="0" w:color="auto"/>
              <w:left w:val="single" w:sz="4" w:space="0" w:color="auto"/>
              <w:bottom w:val="single" w:sz="4" w:space="0" w:color="auto"/>
              <w:right w:val="single" w:sz="4" w:space="0" w:color="auto"/>
            </w:tcBorders>
            <w:hideMark/>
          </w:tcPr>
          <w:p w14:paraId="6C6ED977"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Dec W12–13</w:t>
            </w:r>
          </w:p>
        </w:tc>
      </w:tr>
      <w:tr w:rsidR="0053281E" w:rsidRPr="00595BE4" w14:paraId="58B58389" w14:textId="77777777">
        <w:tc>
          <w:tcPr>
            <w:tcW w:w="1234" w:type="dxa"/>
            <w:tcBorders>
              <w:top w:val="single" w:sz="4" w:space="0" w:color="auto"/>
              <w:left w:val="single" w:sz="4" w:space="0" w:color="auto"/>
              <w:bottom w:val="single" w:sz="4" w:space="0" w:color="auto"/>
              <w:right w:val="single" w:sz="4" w:space="0" w:color="auto"/>
            </w:tcBorders>
            <w:hideMark/>
          </w:tcPr>
          <w:p w14:paraId="65F05B51"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Topic confirmation &amp; ethics</w:t>
            </w:r>
          </w:p>
        </w:tc>
        <w:tc>
          <w:tcPr>
            <w:tcW w:w="1234" w:type="dxa"/>
            <w:tcBorders>
              <w:top w:val="single" w:sz="4" w:space="0" w:color="auto"/>
              <w:left w:val="single" w:sz="4" w:space="0" w:color="auto"/>
              <w:bottom w:val="single" w:sz="4" w:space="0" w:color="auto"/>
              <w:right w:val="single" w:sz="4" w:space="0" w:color="auto"/>
            </w:tcBorders>
            <w:hideMark/>
          </w:tcPr>
          <w:p w14:paraId="50EC1076"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w:t>
            </w:r>
          </w:p>
        </w:tc>
        <w:tc>
          <w:tcPr>
            <w:tcW w:w="1234" w:type="dxa"/>
            <w:tcBorders>
              <w:top w:val="single" w:sz="4" w:space="0" w:color="auto"/>
              <w:left w:val="single" w:sz="4" w:space="0" w:color="auto"/>
              <w:bottom w:val="single" w:sz="4" w:space="0" w:color="auto"/>
              <w:right w:val="single" w:sz="4" w:space="0" w:color="auto"/>
            </w:tcBorders>
          </w:tcPr>
          <w:p w14:paraId="0B405723"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3E5B8C24"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591C2448"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27A8CAE1"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117BE2B9" w14:textId="77777777" w:rsidR="0053281E" w:rsidRPr="00595BE4" w:rsidRDefault="0053281E" w:rsidP="00500BE2">
            <w:pPr>
              <w:spacing w:after="160" w:line="360" w:lineRule="auto"/>
              <w:rPr>
                <w:rFonts w:ascii="Times New Roman" w:hAnsi="Times New Roman" w:cs="Times New Roman"/>
                <w:lang w:val="en-US"/>
              </w:rPr>
            </w:pPr>
          </w:p>
        </w:tc>
      </w:tr>
      <w:tr w:rsidR="0053281E" w:rsidRPr="00595BE4" w14:paraId="66716CF9" w14:textId="77777777">
        <w:tc>
          <w:tcPr>
            <w:tcW w:w="1234" w:type="dxa"/>
            <w:tcBorders>
              <w:top w:val="single" w:sz="4" w:space="0" w:color="auto"/>
              <w:left w:val="single" w:sz="4" w:space="0" w:color="auto"/>
              <w:bottom w:val="single" w:sz="4" w:space="0" w:color="auto"/>
              <w:right w:val="single" w:sz="4" w:space="0" w:color="auto"/>
            </w:tcBorders>
            <w:hideMark/>
          </w:tcPr>
          <w:p w14:paraId="4683FEAD"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Literature search &amp; screening</w:t>
            </w:r>
          </w:p>
        </w:tc>
        <w:tc>
          <w:tcPr>
            <w:tcW w:w="1234" w:type="dxa"/>
            <w:tcBorders>
              <w:top w:val="single" w:sz="4" w:space="0" w:color="auto"/>
              <w:left w:val="single" w:sz="4" w:space="0" w:color="auto"/>
              <w:bottom w:val="single" w:sz="4" w:space="0" w:color="auto"/>
              <w:right w:val="single" w:sz="4" w:space="0" w:color="auto"/>
            </w:tcBorders>
          </w:tcPr>
          <w:p w14:paraId="50CE1FDE"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hideMark/>
          </w:tcPr>
          <w:p w14:paraId="0EA96C81"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w:t>
            </w:r>
          </w:p>
        </w:tc>
        <w:tc>
          <w:tcPr>
            <w:tcW w:w="1234" w:type="dxa"/>
            <w:tcBorders>
              <w:top w:val="single" w:sz="4" w:space="0" w:color="auto"/>
              <w:left w:val="single" w:sz="4" w:space="0" w:color="auto"/>
              <w:bottom w:val="single" w:sz="4" w:space="0" w:color="auto"/>
              <w:right w:val="single" w:sz="4" w:space="0" w:color="auto"/>
            </w:tcBorders>
          </w:tcPr>
          <w:p w14:paraId="14B45713"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657D2EF2"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0E7ED8DA"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3351DBFE" w14:textId="77777777" w:rsidR="0053281E" w:rsidRPr="00595BE4" w:rsidRDefault="0053281E" w:rsidP="00500BE2">
            <w:pPr>
              <w:spacing w:after="160" w:line="360" w:lineRule="auto"/>
              <w:rPr>
                <w:rFonts w:ascii="Times New Roman" w:hAnsi="Times New Roman" w:cs="Times New Roman"/>
                <w:lang w:val="en-US"/>
              </w:rPr>
            </w:pPr>
          </w:p>
        </w:tc>
      </w:tr>
      <w:tr w:rsidR="0053281E" w:rsidRPr="00595BE4" w14:paraId="4CE3FC6A" w14:textId="77777777">
        <w:tc>
          <w:tcPr>
            <w:tcW w:w="1234" w:type="dxa"/>
            <w:tcBorders>
              <w:top w:val="single" w:sz="4" w:space="0" w:color="auto"/>
              <w:left w:val="single" w:sz="4" w:space="0" w:color="auto"/>
              <w:bottom w:val="single" w:sz="4" w:space="0" w:color="auto"/>
              <w:right w:val="single" w:sz="4" w:space="0" w:color="auto"/>
            </w:tcBorders>
            <w:hideMark/>
          </w:tcPr>
          <w:p w14:paraId="286E7429"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Synthesis &amp; framework</w:t>
            </w:r>
          </w:p>
        </w:tc>
        <w:tc>
          <w:tcPr>
            <w:tcW w:w="1234" w:type="dxa"/>
            <w:tcBorders>
              <w:top w:val="single" w:sz="4" w:space="0" w:color="auto"/>
              <w:left w:val="single" w:sz="4" w:space="0" w:color="auto"/>
              <w:bottom w:val="single" w:sz="4" w:space="0" w:color="auto"/>
              <w:right w:val="single" w:sz="4" w:space="0" w:color="auto"/>
            </w:tcBorders>
          </w:tcPr>
          <w:p w14:paraId="306B0B5B"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159F8052"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hideMark/>
          </w:tcPr>
          <w:p w14:paraId="230A9099"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w:t>
            </w:r>
          </w:p>
        </w:tc>
        <w:tc>
          <w:tcPr>
            <w:tcW w:w="1234" w:type="dxa"/>
            <w:tcBorders>
              <w:top w:val="single" w:sz="4" w:space="0" w:color="auto"/>
              <w:left w:val="single" w:sz="4" w:space="0" w:color="auto"/>
              <w:bottom w:val="single" w:sz="4" w:space="0" w:color="auto"/>
              <w:right w:val="single" w:sz="4" w:space="0" w:color="auto"/>
            </w:tcBorders>
          </w:tcPr>
          <w:p w14:paraId="675A0A02"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043ED30F"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7933A23D" w14:textId="77777777" w:rsidR="0053281E" w:rsidRPr="00595BE4" w:rsidRDefault="0053281E" w:rsidP="00500BE2">
            <w:pPr>
              <w:spacing w:after="160" w:line="360" w:lineRule="auto"/>
              <w:rPr>
                <w:rFonts w:ascii="Times New Roman" w:hAnsi="Times New Roman" w:cs="Times New Roman"/>
                <w:lang w:val="en-US"/>
              </w:rPr>
            </w:pPr>
          </w:p>
        </w:tc>
      </w:tr>
      <w:tr w:rsidR="0053281E" w:rsidRPr="00595BE4" w14:paraId="31A26276" w14:textId="77777777">
        <w:tc>
          <w:tcPr>
            <w:tcW w:w="1234" w:type="dxa"/>
            <w:tcBorders>
              <w:top w:val="single" w:sz="4" w:space="0" w:color="auto"/>
              <w:left w:val="single" w:sz="4" w:space="0" w:color="auto"/>
              <w:bottom w:val="single" w:sz="4" w:space="0" w:color="auto"/>
              <w:right w:val="single" w:sz="4" w:space="0" w:color="auto"/>
            </w:tcBorders>
            <w:hideMark/>
          </w:tcPr>
          <w:p w14:paraId="61574AE5"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Data collection &amp; analysis</w:t>
            </w:r>
          </w:p>
        </w:tc>
        <w:tc>
          <w:tcPr>
            <w:tcW w:w="1234" w:type="dxa"/>
            <w:tcBorders>
              <w:top w:val="single" w:sz="4" w:space="0" w:color="auto"/>
              <w:left w:val="single" w:sz="4" w:space="0" w:color="auto"/>
              <w:bottom w:val="single" w:sz="4" w:space="0" w:color="auto"/>
              <w:right w:val="single" w:sz="4" w:space="0" w:color="auto"/>
            </w:tcBorders>
          </w:tcPr>
          <w:p w14:paraId="6CE10B9B"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1087200A"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2AE4D44F"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hideMark/>
          </w:tcPr>
          <w:p w14:paraId="27B1A8C7"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w:t>
            </w:r>
          </w:p>
        </w:tc>
        <w:tc>
          <w:tcPr>
            <w:tcW w:w="1234" w:type="dxa"/>
            <w:tcBorders>
              <w:top w:val="single" w:sz="4" w:space="0" w:color="auto"/>
              <w:left w:val="single" w:sz="4" w:space="0" w:color="auto"/>
              <w:bottom w:val="single" w:sz="4" w:space="0" w:color="auto"/>
              <w:right w:val="single" w:sz="4" w:space="0" w:color="auto"/>
            </w:tcBorders>
          </w:tcPr>
          <w:p w14:paraId="65A4981B"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766C3E63" w14:textId="77777777" w:rsidR="0053281E" w:rsidRPr="00595BE4" w:rsidRDefault="0053281E" w:rsidP="00500BE2">
            <w:pPr>
              <w:spacing w:after="160" w:line="360" w:lineRule="auto"/>
              <w:rPr>
                <w:rFonts w:ascii="Times New Roman" w:hAnsi="Times New Roman" w:cs="Times New Roman"/>
                <w:lang w:val="en-US"/>
              </w:rPr>
            </w:pPr>
          </w:p>
        </w:tc>
      </w:tr>
      <w:tr w:rsidR="0053281E" w:rsidRPr="00595BE4" w14:paraId="3309EEC7" w14:textId="77777777">
        <w:tc>
          <w:tcPr>
            <w:tcW w:w="1234" w:type="dxa"/>
            <w:tcBorders>
              <w:top w:val="single" w:sz="4" w:space="0" w:color="auto"/>
              <w:left w:val="single" w:sz="4" w:space="0" w:color="auto"/>
              <w:bottom w:val="single" w:sz="4" w:space="0" w:color="auto"/>
              <w:right w:val="single" w:sz="4" w:space="0" w:color="auto"/>
            </w:tcBorders>
            <w:hideMark/>
          </w:tcPr>
          <w:p w14:paraId="3DA82481"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Drafting chapters</w:t>
            </w:r>
          </w:p>
        </w:tc>
        <w:tc>
          <w:tcPr>
            <w:tcW w:w="1234" w:type="dxa"/>
            <w:tcBorders>
              <w:top w:val="single" w:sz="4" w:space="0" w:color="auto"/>
              <w:left w:val="single" w:sz="4" w:space="0" w:color="auto"/>
              <w:bottom w:val="single" w:sz="4" w:space="0" w:color="auto"/>
              <w:right w:val="single" w:sz="4" w:space="0" w:color="auto"/>
            </w:tcBorders>
          </w:tcPr>
          <w:p w14:paraId="768D4852"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251C5B5D"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4BE9D614"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64C68831"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hideMark/>
          </w:tcPr>
          <w:p w14:paraId="2F63B238"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w:t>
            </w:r>
          </w:p>
        </w:tc>
        <w:tc>
          <w:tcPr>
            <w:tcW w:w="1234" w:type="dxa"/>
            <w:tcBorders>
              <w:top w:val="single" w:sz="4" w:space="0" w:color="auto"/>
              <w:left w:val="single" w:sz="4" w:space="0" w:color="auto"/>
              <w:bottom w:val="single" w:sz="4" w:space="0" w:color="auto"/>
              <w:right w:val="single" w:sz="4" w:space="0" w:color="auto"/>
            </w:tcBorders>
          </w:tcPr>
          <w:p w14:paraId="1EB8CFD5" w14:textId="77777777" w:rsidR="0053281E" w:rsidRPr="00595BE4" w:rsidRDefault="0053281E" w:rsidP="00500BE2">
            <w:pPr>
              <w:spacing w:after="160" w:line="360" w:lineRule="auto"/>
              <w:rPr>
                <w:rFonts w:ascii="Times New Roman" w:hAnsi="Times New Roman" w:cs="Times New Roman"/>
                <w:lang w:val="en-US"/>
              </w:rPr>
            </w:pPr>
          </w:p>
        </w:tc>
      </w:tr>
      <w:tr w:rsidR="0053281E" w:rsidRPr="00595BE4" w14:paraId="067E051F" w14:textId="77777777">
        <w:tc>
          <w:tcPr>
            <w:tcW w:w="1234" w:type="dxa"/>
            <w:tcBorders>
              <w:top w:val="single" w:sz="4" w:space="0" w:color="auto"/>
              <w:left w:val="single" w:sz="4" w:space="0" w:color="auto"/>
              <w:bottom w:val="single" w:sz="4" w:space="0" w:color="auto"/>
              <w:right w:val="single" w:sz="4" w:space="0" w:color="auto"/>
            </w:tcBorders>
            <w:hideMark/>
          </w:tcPr>
          <w:p w14:paraId="1F1A1E50"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lastRenderedPageBreak/>
              <w:t>Final write-up &amp; submission</w:t>
            </w:r>
          </w:p>
        </w:tc>
        <w:tc>
          <w:tcPr>
            <w:tcW w:w="1234" w:type="dxa"/>
            <w:tcBorders>
              <w:top w:val="single" w:sz="4" w:space="0" w:color="auto"/>
              <w:left w:val="single" w:sz="4" w:space="0" w:color="auto"/>
              <w:bottom w:val="single" w:sz="4" w:space="0" w:color="auto"/>
              <w:right w:val="single" w:sz="4" w:space="0" w:color="auto"/>
            </w:tcBorders>
          </w:tcPr>
          <w:p w14:paraId="4809AA9E"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35E35B25"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6E2C7BEC"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3B9AF2A3"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tcPr>
          <w:p w14:paraId="425B3241" w14:textId="77777777" w:rsidR="0053281E" w:rsidRPr="00595BE4" w:rsidRDefault="0053281E" w:rsidP="00500BE2">
            <w:pPr>
              <w:spacing w:after="160" w:line="360" w:lineRule="auto"/>
              <w:rPr>
                <w:rFonts w:ascii="Times New Roman" w:hAnsi="Times New Roman" w:cs="Times New Roman"/>
                <w:lang w:val="en-US"/>
              </w:rPr>
            </w:pPr>
          </w:p>
        </w:tc>
        <w:tc>
          <w:tcPr>
            <w:tcW w:w="1234" w:type="dxa"/>
            <w:tcBorders>
              <w:top w:val="single" w:sz="4" w:space="0" w:color="auto"/>
              <w:left w:val="single" w:sz="4" w:space="0" w:color="auto"/>
              <w:bottom w:val="single" w:sz="4" w:space="0" w:color="auto"/>
              <w:right w:val="single" w:sz="4" w:space="0" w:color="auto"/>
            </w:tcBorders>
            <w:hideMark/>
          </w:tcPr>
          <w:p w14:paraId="3FA3B5B0" w14:textId="77777777" w:rsidR="0053281E" w:rsidRPr="00595BE4" w:rsidRDefault="0053281E" w:rsidP="00500BE2">
            <w:pPr>
              <w:spacing w:after="160" w:line="360" w:lineRule="auto"/>
              <w:rPr>
                <w:rFonts w:ascii="Times New Roman" w:hAnsi="Times New Roman" w:cs="Times New Roman"/>
                <w:lang w:val="en-US"/>
              </w:rPr>
            </w:pPr>
            <w:r w:rsidRPr="00595BE4">
              <w:rPr>
                <w:rFonts w:ascii="Times New Roman" w:hAnsi="Times New Roman" w:cs="Times New Roman"/>
                <w:lang w:val="en-US"/>
              </w:rPr>
              <w:t>█████</w:t>
            </w:r>
          </w:p>
        </w:tc>
      </w:tr>
    </w:tbl>
    <w:p w14:paraId="4A122EB9" w14:textId="77777777" w:rsidR="003856AA" w:rsidRPr="00595BE4" w:rsidRDefault="003856AA" w:rsidP="00500BE2">
      <w:pPr>
        <w:pStyle w:val="Heading1"/>
        <w:spacing w:line="360" w:lineRule="auto"/>
        <w:rPr>
          <w:rFonts w:ascii="Times New Roman" w:hAnsi="Times New Roman" w:cs="Times New Roman"/>
        </w:rPr>
      </w:pPr>
      <w:bookmarkStart w:id="19" w:name="_Toc210606371"/>
      <w:r w:rsidRPr="00595BE4">
        <w:rPr>
          <w:rStyle w:val="Strong"/>
          <w:rFonts w:ascii="Times New Roman" w:hAnsi="Times New Roman" w:cs="Times New Roman"/>
          <w:b w:val="0"/>
          <w:bCs w:val="0"/>
        </w:rPr>
        <w:t>Conclusion</w:t>
      </w:r>
      <w:bookmarkEnd w:id="19"/>
    </w:p>
    <w:p w14:paraId="369745FA" w14:textId="77777777" w:rsidR="003856AA" w:rsidRPr="00595BE4" w:rsidRDefault="003856AA" w:rsidP="00500BE2">
      <w:pPr>
        <w:pStyle w:val="NormalWeb"/>
        <w:spacing w:line="360" w:lineRule="auto"/>
      </w:pPr>
      <w:r w:rsidRPr="00595BE4">
        <w:t xml:space="preserve">This proposal has outlined a dissertation project designed to make both theoretical and practical contributions. The central innovation lies in addressing an underexplored area of international business: the relationship between exchange rate volatility, geopolitical shocks, and </w:t>
      </w:r>
      <w:r w:rsidRPr="00595BE4">
        <w:rPr>
          <w:rStyle w:val="Strong"/>
          <w:b w:val="0"/>
          <w:bCs w:val="0"/>
        </w:rPr>
        <w:t>digital services exports</w:t>
      </w:r>
      <w:r w:rsidRPr="00595BE4">
        <w:t>. The decision to focus on India’s IT services sector provides a relevant and globally significant case, while the systematic literature review ensures that the project is grounded in academic rigour.</w:t>
      </w:r>
    </w:p>
    <w:p w14:paraId="64644855" w14:textId="77777777" w:rsidR="003856AA" w:rsidRPr="00595BE4" w:rsidRDefault="003856AA" w:rsidP="00500BE2">
      <w:pPr>
        <w:pStyle w:val="NormalWeb"/>
        <w:spacing w:line="360" w:lineRule="auto"/>
      </w:pPr>
      <w:r w:rsidRPr="00595BE4">
        <w:t>The inclusion of a short empirical illustration strengthens the study by connecting the literature to real-world data, without undermining the primary emphasis on synthesising existing knowledge. Ethical risks are minimal, and potential challenges such as data availability and model specification have been identified with mitigation strategies proposed.</w:t>
      </w:r>
    </w:p>
    <w:p w14:paraId="7637CDC7" w14:textId="77777777" w:rsidR="003856AA" w:rsidRPr="00595BE4" w:rsidRDefault="003856AA" w:rsidP="00500BE2">
      <w:pPr>
        <w:pStyle w:val="NormalWeb"/>
        <w:spacing w:line="360" w:lineRule="auto"/>
      </w:pPr>
      <w:r w:rsidRPr="00595BE4">
        <w:t>By combining systematic evidence synthesis with contextual quantitative analysis, the dissertation will develop a conceptual framework that clarifies the mechanisms through which volatility and shocks influence digital services exports. This framework will offer insights of value to both scholars and practitioners, particularly policymakers and multinational firms engaged in services-led trade. With a structured timeline in place, the project is well-positioned to be completed successfully and to achieve distinction-level standards.</w:t>
      </w:r>
    </w:p>
    <w:p w14:paraId="26CEBCFF" w14:textId="77777777" w:rsidR="003856AA" w:rsidRPr="00595BE4" w:rsidRDefault="003856AA" w:rsidP="00500BE2">
      <w:pPr>
        <w:pStyle w:val="NormalWeb"/>
        <w:spacing w:line="360" w:lineRule="auto"/>
      </w:pPr>
    </w:p>
    <w:p w14:paraId="6A2A3408" w14:textId="77777777" w:rsidR="003856AA" w:rsidRPr="00595BE4" w:rsidRDefault="003856AA" w:rsidP="00500BE2">
      <w:pPr>
        <w:pStyle w:val="NormalWeb"/>
        <w:spacing w:line="360" w:lineRule="auto"/>
      </w:pPr>
    </w:p>
    <w:p w14:paraId="55E5D1CC" w14:textId="77777777" w:rsidR="003856AA" w:rsidRPr="00595BE4" w:rsidRDefault="003856AA" w:rsidP="00500BE2">
      <w:pPr>
        <w:pStyle w:val="NormalWeb"/>
        <w:spacing w:line="360" w:lineRule="auto"/>
      </w:pPr>
    </w:p>
    <w:p w14:paraId="329CE387" w14:textId="635A63DA" w:rsidR="0053281E" w:rsidRPr="00595BE4" w:rsidRDefault="000610B7" w:rsidP="00500BE2">
      <w:pPr>
        <w:pStyle w:val="NormalWeb"/>
        <w:spacing w:line="360" w:lineRule="auto"/>
      </w:pPr>
      <w:r w:rsidRPr="00595BE4">
        <w:br/>
      </w:r>
    </w:p>
    <w:p w14:paraId="5A8EA6F6" w14:textId="77777777" w:rsidR="000610B7" w:rsidRPr="00595BE4" w:rsidRDefault="000610B7" w:rsidP="00500BE2">
      <w:pPr>
        <w:pStyle w:val="NormalWeb"/>
        <w:spacing w:line="360" w:lineRule="auto"/>
      </w:pPr>
    </w:p>
    <w:p w14:paraId="22A2EB01" w14:textId="77777777" w:rsidR="000610B7" w:rsidRPr="00595BE4" w:rsidRDefault="000610B7" w:rsidP="00500BE2">
      <w:pPr>
        <w:pStyle w:val="NormalWeb"/>
        <w:spacing w:line="360" w:lineRule="auto"/>
      </w:pPr>
    </w:p>
    <w:p w14:paraId="28C75BA1" w14:textId="77777777" w:rsidR="000610B7" w:rsidRPr="00595BE4" w:rsidRDefault="000610B7" w:rsidP="00500BE2">
      <w:pPr>
        <w:pStyle w:val="NormalWeb"/>
        <w:spacing w:line="360" w:lineRule="auto"/>
      </w:pPr>
    </w:p>
    <w:p w14:paraId="0851BB9F" w14:textId="77777777" w:rsidR="000610B7" w:rsidRPr="00595BE4" w:rsidRDefault="000610B7" w:rsidP="00500BE2">
      <w:pPr>
        <w:pStyle w:val="NormalWeb"/>
        <w:spacing w:line="360" w:lineRule="auto"/>
      </w:pPr>
    </w:p>
    <w:p w14:paraId="450DA871" w14:textId="77777777" w:rsidR="000610B7" w:rsidRPr="00595BE4" w:rsidRDefault="000610B7" w:rsidP="00500BE2">
      <w:pPr>
        <w:pStyle w:val="NormalWeb"/>
        <w:spacing w:line="360" w:lineRule="auto"/>
      </w:pPr>
    </w:p>
    <w:p w14:paraId="052C8F9C" w14:textId="77777777" w:rsidR="000610B7" w:rsidRPr="00595BE4" w:rsidRDefault="000610B7" w:rsidP="00500BE2">
      <w:pPr>
        <w:pStyle w:val="NormalWeb"/>
        <w:spacing w:line="360" w:lineRule="auto"/>
      </w:pPr>
    </w:p>
    <w:p w14:paraId="7636EB2F" w14:textId="77777777" w:rsidR="000610B7" w:rsidRPr="00595BE4" w:rsidRDefault="000610B7" w:rsidP="00500BE2">
      <w:pPr>
        <w:pStyle w:val="NormalWeb"/>
        <w:spacing w:line="360" w:lineRule="auto"/>
      </w:pPr>
    </w:p>
    <w:p w14:paraId="49AE9447" w14:textId="77777777" w:rsidR="0053281E" w:rsidRPr="00595BE4" w:rsidRDefault="0053281E" w:rsidP="00500BE2">
      <w:pPr>
        <w:pStyle w:val="NormalWeb"/>
        <w:spacing w:line="360" w:lineRule="auto"/>
      </w:pPr>
    </w:p>
    <w:p w14:paraId="1BAD8268" w14:textId="77777777" w:rsidR="000610B7" w:rsidRPr="00595BE4" w:rsidRDefault="000610B7" w:rsidP="00500BE2">
      <w:pPr>
        <w:pStyle w:val="NormalWeb"/>
        <w:spacing w:line="360" w:lineRule="auto"/>
      </w:pPr>
    </w:p>
    <w:p w14:paraId="7A84DFD8" w14:textId="77777777" w:rsidR="000610B7" w:rsidRPr="00595BE4" w:rsidRDefault="000610B7" w:rsidP="00500BE2">
      <w:pPr>
        <w:pStyle w:val="NormalWeb"/>
        <w:spacing w:line="360" w:lineRule="auto"/>
      </w:pPr>
    </w:p>
    <w:p w14:paraId="5ED45FF6" w14:textId="77777777" w:rsidR="000610B7" w:rsidRPr="00595BE4" w:rsidRDefault="000610B7" w:rsidP="00500BE2">
      <w:pPr>
        <w:pStyle w:val="NormalWeb"/>
        <w:spacing w:line="360" w:lineRule="auto"/>
      </w:pPr>
    </w:p>
    <w:p w14:paraId="650DAEE6" w14:textId="072B07AA" w:rsidR="003856AA" w:rsidRPr="00595BE4" w:rsidRDefault="003856AA" w:rsidP="00500BE2">
      <w:pPr>
        <w:pStyle w:val="Heading1"/>
        <w:spacing w:line="360" w:lineRule="auto"/>
        <w:rPr>
          <w:rFonts w:ascii="Times New Roman" w:hAnsi="Times New Roman" w:cs="Times New Roman"/>
        </w:rPr>
      </w:pPr>
      <w:bookmarkStart w:id="20" w:name="_Toc210606372"/>
      <w:r w:rsidRPr="00595BE4">
        <w:rPr>
          <w:rFonts w:ascii="Times New Roman" w:hAnsi="Times New Roman" w:cs="Times New Roman"/>
        </w:rPr>
        <w:t>References</w:t>
      </w:r>
      <w:bookmarkEnd w:id="20"/>
    </w:p>
    <w:p w14:paraId="43D230A5"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Amiti, M., </w:t>
      </w:r>
      <w:proofErr w:type="spellStart"/>
      <w:r w:rsidRPr="00595BE4">
        <w:rPr>
          <w:rFonts w:eastAsiaTheme="minorEastAsia"/>
          <w:kern w:val="0"/>
          <w:lang w:eastAsia="en-GB"/>
          <w14:ligatures w14:val="none"/>
        </w:rPr>
        <w:t>Itskhoki</w:t>
      </w:r>
      <w:proofErr w:type="spellEnd"/>
      <w:r w:rsidRPr="00595BE4">
        <w:rPr>
          <w:rFonts w:eastAsiaTheme="minorEastAsia"/>
          <w:kern w:val="0"/>
          <w:lang w:eastAsia="en-GB"/>
          <w14:ligatures w14:val="none"/>
        </w:rPr>
        <w:t xml:space="preserve">, O. and </w:t>
      </w:r>
      <w:proofErr w:type="spellStart"/>
      <w:r w:rsidRPr="00595BE4">
        <w:rPr>
          <w:rFonts w:eastAsiaTheme="minorEastAsia"/>
          <w:kern w:val="0"/>
          <w:lang w:eastAsia="en-GB"/>
          <w14:ligatures w14:val="none"/>
        </w:rPr>
        <w:t>Konings</w:t>
      </w:r>
      <w:proofErr w:type="spellEnd"/>
      <w:r w:rsidRPr="00595BE4">
        <w:rPr>
          <w:rFonts w:eastAsiaTheme="minorEastAsia"/>
          <w:kern w:val="0"/>
          <w:lang w:eastAsia="en-GB"/>
          <w14:ligatures w14:val="none"/>
        </w:rPr>
        <w:t xml:space="preserve">, J. (2019). International Shocks, Variable Markups, and Domestic Prices. </w:t>
      </w:r>
      <w:r w:rsidRPr="00595BE4">
        <w:rPr>
          <w:rFonts w:eastAsiaTheme="minorEastAsia"/>
          <w:i/>
          <w:iCs/>
          <w:kern w:val="0"/>
          <w:lang w:eastAsia="en-GB"/>
          <w14:ligatures w14:val="none"/>
        </w:rPr>
        <w:t>The Review of Economic Studies</w:t>
      </w:r>
      <w:r w:rsidRPr="00595BE4">
        <w:rPr>
          <w:rFonts w:eastAsiaTheme="minorEastAsia"/>
          <w:kern w:val="0"/>
          <w:lang w:eastAsia="en-GB"/>
          <w14:ligatures w14:val="none"/>
        </w:rPr>
        <w:t xml:space="preserve">. [online] </w:t>
      </w:r>
      <w:proofErr w:type="spellStart"/>
      <w:proofErr w:type="gramStart"/>
      <w:r w:rsidRPr="00595BE4">
        <w:rPr>
          <w:rFonts w:eastAsiaTheme="minorEastAsia"/>
          <w:kern w:val="0"/>
          <w:lang w:eastAsia="en-GB"/>
          <w14:ligatures w14:val="none"/>
        </w:rPr>
        <w:t>doi:https</w:t>
      </w:r>
      <w:proofErr w:type="spellEnd"/>
      <w:r w:rsidRPr="00595BE4">
        <w:rPr>
          <w:rFonts w:eastAsiaTheme="minorEastAsia"/>
          <w:kern w:val="0"/>
          <w:lang w:eastAsia="en-GB"/>
          <w14:ligatures w14:val="none"/>
        </w:rPr>
        <w:t>://doi.org/10.1093/</w:t>
      </w:r>
      <w:proofErr w:type="spellStart"/>
      <w:r w:rsidRPr="00595BE4">
        <w:rPr>
          <w:rFonts w:eastAsiaTheme="minorEastAsia"/>
          <w:kern w:val="0"/>
          <w:lang w:eastAsia="en-GB"/>
          <w14:ligatures w14:val="none"/>
        </w:rPr>
        <w:t>restud</w:t>
      </w:r>
      <w:proofErr w:type="spellEnd"/>
      <w:r w:rsidRPr="00595BE4">
        <w:rPr>
          <w:rFonts w:eastAsiaTheme="minorEastAsia"/>
          <w:kern w:val="0"/>
          <w:lang w:eastAsia="en-GB"/>
          <w14:ligatures w14:val="none"/>
        </w:rPr>
        <w:t>/rdz005</w:t>
      </w:r>
      <w:proofErr w:type="gramEnd"/>
      <w:r w:rsidRPr="00595BE4">
        <w:rPr>
          <w:rFonts w:eastAsiaTheme="minorEastAsia"/>
          <w:kern w:val="0"/>
          <w:lang w:eastAsia="en-GB"/>
          <w14:ligatures w14:val="none"/>
        </w:rPr>
        <w:t>.</w:t>
      </w:r>
    </w:p>
    <w:p w14:paraId="71A0F8D7"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Bahmani‐</w:t>
      </w:r>
      <w:proofErr w:type="spellStart"/>
      <w:r w:rsidRPr="00595BE4">
        <w:rPr>
          <w:rFonts w:eastAsiaTheme="minorEastAsia"/>
          <w:kern w:val="0"/>
          <w:lang w:eastAsia="en-GB"/>
          <w14:ligatures w14:val="none"/>
        </w:rPr>
        <w:t>Oskooee</w:t>
      </w:r>
      <w:proofErr w:type="spellEnd"/>
      <w:r w:rsidRPr="00595BE4">
        <w:rPr>
          <w:rFonts w:eastAsiaTheme="minorEastAsia"/>
          <w:kern w:val="0"/>
          <w:lang w:eastAsia="en-GB"/>
          <w14:ligatures w14:val="none"/>
        </w:rPr>
        <w:t xml:space="preserve">, M. and Hegerty, S.W. (2007). Exchange rate volatility and trade flows: a review article. </w:t>
      </w:r>
      <w:r w:rsidRPr="00595BE4">
        <w:rPr>
          <w:rFonts w:eastAsiaTheme="minorEastAsia"/>
          <w:i/>
          <w:iCs/>
          <w:kern w:val="0"/>
          <w:lang w:eastAsia="en-GB"/>
          <w14:ligatures w14:val="none"/>
        </w:rPr>
        <w:t>Journal of Economic Studies</w:t>
      </w:r>
      <w:r w:rsidRPr="00595BE4">
        <w:rPr>
          <w:rFonts w:eastAsiaTheme="minorEastAsia"/>
          <w:kern w:val="0"/>
          <w:lang w:eastAsia="en-GB"/>
          <w14:ligatures w14:val="none"/>
        </w:rPr>
        <w:t xml:space="preserve">, 34(3), pp.211–255. </w:t>
      </w:r>
      <w:proofErr w:type="spellStart"/>
      <w:proofErr w:type="gramStart"/>
      <w:r w:rsidRPr="00595BE4">
        <w:rPr>
          <w:rFonts w:eastAsiaTheme="minorEastAsia"/>
          <w:kern w:val="0"/>
          <w:lang w:eastAsia="en-GB"/>
          <w14:ligatures w14:val="none"/>
        </w:rPr>
        <w:t>doi:https</w:t>
      </w:r>
      <w:proofErr w:type="spellEnd"/>
      <w:r w:rsidRPr="00595BE4">
        <w:rPr>
          <w:rFonts w:eastAsiaTheme="minorEastAsia"/>
          <w:kern w:val="0"/>
          <w:lang w:eastAsia="en-GB"/>
          <w14:ligatures w14:val="none"/>
        </w:rPr>
        <w:t>://doi.org/10.1108/01443580710772777</w:t>
      </w:r>
      <w:proofErr w:type="gramEnd"/>
      <w:r w:rsidRPr="00595BE4">
        <w:rPr>
          <w:rFonts w:eastAsiaTheme="minorEastAsia"/>
          <w:kern w:val="0"/>
          <w:lang w:eastAsia="en-GB"/>
          <w14:ligatures w14:val="none"/>
        </w:rPr>
        <w:t>.</w:t>
      </w:r>
    </w:p>
    <w:p w14:paraId="47773436"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Caldara, D. and Iacoviello, M. (2022). Measuring Geopolitical Risk. </w:t>
      </w:r>
      <w:r w:rsidRPr="00595BE4">
        <w:rPr>
          <w:rFonts w:eastAsiaTheme="minorEastAsia"/>
          <w:i/>
          <w:iCs/>
          <w:kern w:val="0"/>
          <w:lang w:eastAsia="en-GB"/>
          <w14:ligatures w14:val="none"/>
        </w:rPr>
        <w:t>American Economic Review</w:t>
      </w:r>
      <w:r w:rsidRPr="00595BE4">
        <w:rPr>
          <w:rFonts w:eastAsiaTheme="minorEastAsia"/>
          <w:kern w:val="0"/>
          <w:lang w:eastAsia="en-GB"/>
          <w14:ligatures w14:val="none"/>
        </w:rPr>
        <w:t xml:space="preserve">, [online] 112(4), pp.1194–1225. </w:t>
      </w:r>
      <w:proofErr w:type="spellStart"/>
      <w:proofErr w:type="gramStart"/>
      <w:r w:rsidRPr="00595BE4">
        <w:rPr>
          <w:rFonts w:eastAsiaTheme="minorEastAsia"/>
          <w:kern w:val="0"/>
          <w:lang w:eastAsia="en-GB"/>
          <w14:ligatures w14:val="none"/>
        </w:rPr>
        <w:t>doi:https</w:t>
      </w:r>
      <w:proofErr w:type="spellEnd"/>
      <w:r w:rsidRPr="00595BE4">
        <w:rPr>
          <w:rFonts w:eastAsiaTheme="minorEastAsia"/>
          <w:kern w:val="0"/>
          <w:lang w:eastAsia="en-GB"/>
          <w14:ligatures w14:val="none"/>
        </w:rPr>
        <w:t>://doi.org/10.1257/aer.20191823</w:t>
      </w:r>
      <w:proofErr w:type="gramEnd"/>
      <w:r w:rsidRPr="00595BE4">
        <w:rPr>
          <w:rFonts w:eastAsiaTheme="minorEastAsia"/>
          <w:kern w:val="0"/>
          <w:lang w:eastAsia="en-GB"/>
          <w14:ligatures w14:val="none"/>
        </w:rPr>
        <w:t>.</w:t>
      </w:r>
    </w:p>
    <w:p w14:paraId="431AC8DE"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Clark, P.B. and International Monetary Fund (2004). </w:t>
      </w:r>
      <w:r w:rsidRPr="00595BE4">
        <w:rPr>
          <w:rFonts w:eastAsiaTheme="minorEastAsia"/>
          <w:i/>
          <w:iCs/>
          <w:kern w:val="0"/>
          <w:lang w:eastAsia="en-GB"/>
          <w14:ligatures w14:val="none"/>
        </w:rPr>
        <w:t>A new look at exchange rate volatility and trade flows</w:t>
      </w:r>
      <w:r w:rsidRPr="00595BE4">
        <w:rPr>
          <w:rFonts w:eastAsiaTheme="minorEastAsia"/>
          <w:kern w:val="0"/>
          <w:lang w:eastAsia="en-GB"/>
          <w14:ligatures w14:val="none"/>
        </w:rPr>
        <w:t>. Washington, D.C.: International Monetary Fund.</w:t>
      </w:r>
    </w:p>
    <w:p w14:paraId="7598D0E6" w14:textId="7C4E83F5"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Denyer, D. and </w:t>
      </w:r>
      <w:proofErr w:type="spellStart"/>
      <w:r w:rsidRPr="00595BE4">
        <w:rPr>
          <w:rFonts w:eastAsiaTheme="minorEastAsia"/>
          <w:kern w:val="0"/>
          <w:lang w:eastAsia="en-GB"/>
          <w14:ligatures w14:val="none"/>
        </w:rPr>
        <w:t>Tranfield</w:t>
      </w:r>
      <w:proofErr w:type="spellEnd"/>
      <w:r w:rsidRPr="00595BE4">
        <w:rPr>
          <w:rFonts w:eastAsiaTheme="minorEastAsia"/>
          <w:kern w:val="0"/>
          <w:lang w:eastAsia="en-GB"/>
          <w14:ligatures w14:val="none"/>
        </w:rPr>
        <w:t xml:space="preserve">, D. (2009). </w:t>
      </w:r>
      <w:r w:rsidRPr="00595BE4">
        <w:rPr>
          <w:rFonts w:eastAsiaTheme="minorEastAsia"/>
          <w:i/>
          <w:iCs/>
          <w:kern w:val="0"/>
          <w:lang w:eastAsia="en-GB"/>
          <w14:ligatures w14:val="none"/>
        </w:rPr>
        <w:t>Producing a Systematic Review</w:t>
      </w:r>
      <w:r w:rsidRPr="00595BE4">
        <w:rPr>
          <w:rFonts w:eastAsiaTheme="minorEastAsia"/>
          <w:kern w:val="0"/>
          <w:lang w:eastAsia="en-GB"/>
          <w14:ligatures w14:val="none"/>
        </w:rPr>
        <w:t xml:space="preserve">. [online] psycnet.apa.org. Available at: </w:t>
      </w:r>
      <w:hyperlink r:id="rId9" w:history="1">
        <w:r w:rsidRPr="00595BE4">
          <w:rPr>
            <w:rStyle w:val="Hyperlink"/>
            <w:rFonts w:eastAsiaTheme="minorEastAsia"/>
            <w:kern w:val="0"/>
            <w:lang w:eastAsia="en-GB"/>
            <w14:ligatures w14:val="none"/>
          </w:rPr>
          <w:t>https://psycnet.apa.org/record/2010-00924-039</w:t>
        </w:r>
      </w:hyperlink>
      <w:r w:rsidRPr="00595BE4">
        <w:rPr>
          <w:rFonts w:eastAsiaTheme="minorEastAsia"/>
          <w:kern w:val="0"/>
          <w:lang w:eastAsia="en-GB"/>
          <w14:ligatures w14:val="none"/>
        </w:rPr>
        <w:t>.</w:t>
      </w:r>
    </w:p>
    <w:p w14:paraId="44420277" w14:textId="66AF6F5A"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Dooley, M.P., Folkerts-Landau, D. and Garber, P. (2004). The revived Bretton Woods system. </w:t>
      </w:r>
      <w:r w:rsidRPr="00595BE4">
        <w:rPr>
          <w:rFonts w:eastAsiaTheme="minorEastAsia"/>
          <w:i/>
          <w:iCs/>
          <w:kern w:val="0"/>
          <w:lang w:eastAsia="en-GB"/>
          <w14:ligatures w14:val="none"/>
        </w:rPr>
        <w:t>International Journal of Finance &amp; Economics</w:t>
      </w:r>
      <w:r w:rsidRPr="00595BE4">
        <w:rPr>
          <w:rFonts w:eastAsiaTheme="minorEastAsia"/>
          <w:kern w:val="0"/>
          <w:lang w:eastAsia="en-GB"/>
          <w14:ligatures w14:val="none"/>
        </w:rPr>
        <w:t xml:space="preserve">, 9(4), pp.307–313. </w:t>
      </w:r>
      <w:proofErr w:type="spellStart"/>
      <w:proofErr w:type="gramStart"/>
      <w:r w:rsidRPr="00595BE4">
        <w:rPr>
          <w:rFonts w:eastAsiaTheme="minorEastAsia"/>
          <w:kern w:val="0"/>
          <w:lang w:eastAsia="en-GB"/>
          <w14:ligatures w14:val="none"/>
        </w:rPr>
        <w:t>doi:https</w:t>
      </w:r>
      <w:proofErr w:type="spellEnd"/>
      <w:r w:rsidRPr="00595BE4">
        <w:rPr>
          <w:rFonts w:eastAsiaTheme="minorEastAsia"/>
          <w:kern w:val="0"/>
          <w:lang w:eastAsia="en-GB"/>
          <w14:ligatures w14:val="none"/>
        </w:rPr>
        <w:t>://doi.org/10.1002/ijfe.250</w:t>
      </w:r>
      <w:proofErr w:type="gramEnd"/>
      <w:r w:rsidRPr="00595BE4">
        <w:rPr>
          <w:rFonts w:eastAsiaTheme="minorEastAsia"/>
          <w:kern w:val="0"/>
          <w:lang w:eastAsia="en-GB"/>
          <w14:ligatures w14:val="none"/>
        </w:rPr>
        <w:t>.</w:t>
      </w:r>
    </w:p>
    <w:p w14:paraId="0293091C"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lastRenderedPageBreak/>
        <w:t xml:space="preserve">Ferede Mengistie Alemu (2024). An Empirical Analysis of the Nexus Between Inflation, Exchange Rate, Unemployment and Economic Growth in Ethiopia: A Granger Casualty Approach. </w:t>
      </w:r>
      <w:r w:rsidRPr="00595BE4">
        <w:rPr>
          <w:rFonts w:eastAsiaTheme="minorEastAsia"/>
          <w:i/>
          <w:iCs/>
          <w:kern w:val="0"/>
          <w:lang w:eastAsia="en-GB"/>
          <w14:ligatures w14:val="none"/>
        </w:rPr>
        <w:t>Insight on Africa</w:t>
      </w:r>
      <w:r w:rsidRPr="00595BE4">
        <w:rPr>
          <w:rFonts w:eastAsiaTheme="minorEastAsia"/>
          <w:kern w:val="0"/>
          <w:lang w:eastAsia="en-GB"/>
          <w14:ligatures w14:val="none"/>
        </w:rPr>
        <w:t xml:space="preserve">. </w:t>
      </w:r>
      <w:proofErr w:type="spellStart"/>
      <w:proofErr w:type="gramStart"/>
      <w:r w:rsidRPr="00595BE4">
        <w:rPr>
          <w:rFonts w:eastAsiaTheme="minorEastAsia"/>
          <w:kern w:val="0"/>
          <w:lang w:eastAsia="en-GB"/>
          <w14:ligatures w14:val="none"/>
        </w:rPr>
        <w:t>doi:https</w:t>
      </w:r>
      <w:proofErr w:type="spellEnd"/>
      <w:r w:rsidRPr="00595BE4">
        <w:rPr>
          <w:rFonts w:eastAsiaTheme="minorEastAsia"/>
          <w:kern w:val="0"/>
          <w:lang w:eastAsia="en-GB"/>
          <w14:ligatures w14:val="none"/>
        </w:rPr>
        <w:t>://doi.org/10.1177/09750878241234254</w:t>
      </w:r>
      <w:proofErr w:type="gramEnd"/>
      <w:r w:rsidRPr="00595BE4">
        <w:rPr>
          <w:rFonts w:eastAsiaTheme="minorEastAsia"/>
          <w:kern w:val="0"/>
          <w:lang w:eastAsia="en-GB"/>
          <w14:ligatures w14:val="none"/>
        </w:rPr>
        <w:t>.</w:t>
      </w:r>
    </w:p>
    <w:p w14:paraId="5DD12CE5"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Goldberg, L.S. and Tille, C. (2008). Vehicle currency use in international trade. </w:t>
      </w:r>
      <w:r w:rsidRPr="00595BE4">
        <w:rPr>
          <w:rFonts w:eastAsiaTheme="minorEastAsia"/>
          <w:i/>
          <w:iCs/>
          <w:kern w:val="0"/>
          <w:lang w:eastAsia="en-GB"/>
          <w14:ligatures w14:val="none"/>
        </w:rPr>
        <w:t>Journal of International Economics</w:t>
      </w:r>
      <w:r w:rsidRPr="00595BE4">
        <w:rPr>
          <w:rFonts w:eastAsiaTheme="minorEastAsia"/>
          <w:kern w:val="0"/>
          <w:lang w:eastAsia="en-GB"/>
          <w14:ligatures w14:val="none"/>
        </w:rPr>
        <w:t xml:space="preserve">, 76(2), pp.177–192. </w:t>
      </w:r>
      <w:proofErr w:type="spellStart"/>
      <w:proofErr w:type="gramStart"/>
      <w:r w:rsidRPr="00595BE4">
        <w:rPr>
          <w:rFonts w:eastAsiaTheme="minorEastAsia"/>
          <w:kern w:val="0"/>
          <w:lang w:eastAsia="en-GB"/>
          <w14:ligatures w14:val="none"/>
        </w:rPr>
        <w:t>doi:https</w:t>
      </w:r>
      <w:proofErr w:type="spellEnd"/>
      <w:r w:rsidRPr="00595BE4">
        <w:rPr>
          <w:rFonts w:eastAsiaTheme="minorEastAsia"/>
          <w:kern w:val="0"/>
          <w:lang w:eastAsia="en-GB"/>
          <w14:ligatures w14:val="none"/>
        </w:rPr>
        <w:t>://doi.org/10.1016/j.jinteco.2008.07.001</w:t>
      </w:r>
      <w:proofErr w:type="gramEnd"/>
      <w:r w:rsidRPr="00595BE4">
        <w:rPr>
          <w:rFonts w:eastAsiaTheme="minorEastAsia"/>
          <w:kern w:val="0"/>
          <w:lang w:eastAsia="en-GB"/>
          <w14:ligatures w14:val="none"/>
        </w:rPr>
        <w:t>.</w:t>
      </w:r>
    </w:p>
    <w:p w14:paraId="3CB4301A"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Gopinath, G. (2015). </w:t>
      </w:r>
      <w:r w:rsidRPr="00595BE4">
        <w:rPr>
          <w:rFonts w:eastAsiaTheme="minorEastAsia"/>
          <w:i/>
          <w:iCs/>
          <w:kern w:val="0"/>
          <w:lang w:eastAsia="en-GB"/>
          <w14:ligatures w14:val="none"/>
        </w:rPr>
        <w:t>The International Price System</w:t>
      </w:r>
      <w:r w:rsidRPr="00595BE4">
        <w:rPr>
          <w:rFonts w:eastAsiaTheme="minorEastAsia"/>
          <w:kern w:val="0"/>
          <w:lang w:eastAsia="en-GB"/>
          <w14:ligatures w14:val="none"/>
        </w:rPr>
        <w:t>. [online] National Bureau of Economic Research. Available at: https://www.nber.org/papers/w21646.</w:t>
      </w:r>
    </w:p>
    <w:p w14:paraId="67A616EE"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proofErr w:type="spellStart"/>
      <w:r w:rsidRPr="00595BE4">
        <w:rPr>
          <w:rFonts w:eastAsiaTheme="minorEastAsia"/>
          <w:kern w:val="0"/>
          <w:lang w:eastAsia="en-GB"/>
          <w14:ligatures w14:val="none"/>
        </w:rPr>
        <w:t>Loungani</w:t>
      </w:r>
      <w:proofErr w:type="spellEnd"/>
      <w:r w:rsidRPr="00595BE4">
        <w:rPr>
          <w:rFonts w:eastAsiaTheme="minorEastAsia"/>
          <w:kern w:val="0"/>
          <w:lang w:eastAsia="en-GB"/>
          <w14:ligatures w14:val="none"/>
        </w:rPr>
        <w:t xml:space="preserve">, P., Mishra, S., </w:t>
      </w:r>
      <w:proofErr w:type="spellStart"/>
      <w:r w:rsidRPr="00595BE4">
        <w:rPr>
          <w:rFonts w:eastAsiaTheme="minorEastAsia"/>
          <w:kern w:val="0"/>
          <w:lang w:eastAsia="en-GB"/>
          <w14:ligatures w14:val="none"/>
        </w:rPr>
        <w:t>Papageorgiu</w:t>
      </w:r>
      <w:proofErr w:type="spellEnd"/>
      <w:r w:rsidRPr="00595BE4">
        <w:rPr>
          <w:rFonts w:eastAsiaTheme="minorEastAsia"/>
          <w:kern w:val="0"/>
          <w:lang w:eastAsia="en-GB"/>
          <w14:ligatures w14:val="none"/>
        </w:rPr>
        <w:t xml:space="preserve">, C. and Wang, K. (2017). </w:t>
      </w:r>
      <w:r w:rsidRPr="00595BE4">
        <w:rPr>
          <w:rFonts w:eastAsiaTheme="minorEastAsia"/>
          <w:i/>
          <w:iCs/>
          <w:kern w:val="0"/>
          <w:lang w:eastAsia="en-GB"/>
          <w14:ligatures w14:val="none"/>
        </w:rPr>
        <w:t>World Trade in Services: Evidence from a New Dataset</w:t>
      </w:r>
      <w:r w:rsidRPr="00595BE4">
        <w:rPr>
          <w:rFonts w:eastAsiaTheme="minorEastAsia"/>
          <w:kern w:val="0"/>
          <w:lang w:eastAsia="en-GB"/>
          <w14:ligatures w14:val="none"/>
        </w:rPr>
        <w:t>. [online] Google Books. Available at: https://books.google.co.uk/books?hl=en&amp;lr=&amp;id=2WEZEAAAQBAJ&amp;oi=fnd&amp;pg=PA3&amp;dq=Loungani [Accessed 28 Sep. 2025].</w:t>
      </w:r>
    </w:p>
    <w:p w14:paraId="69CA9F38"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proofErr w:type="spellStart"/>
      <w:r w:rsidRPr="00595BE4">
        <w:rPr>
          <w:rFonts w:eastAsiaTheme="minorEastAsia"/>
          <w:kern w:val="0"/>
          <w:lang w:eastAsia="en-GB"/>
          <w14:ligatures w14:val="none"/>
        </w:rPr>
        <w:t>Nasscom</w:t>
      </w:r>
      <w:proofErr w:type="spellEnd"/>
      <w:r w:rsidRPr="00595BE4">
        <w:rPr>
          <w:rFonts w:eastAsiaTheme="minorEastAsia"/>
          <w:kern w:val="0"/>
          <w:lang w:eastAsia="en-GB"/>
          <w14:ligatures w14:val="none"/>
        </w:rPr>
        <w:t xml:space="preserve"> (2023). </w:t>
      </w:r>
      <w:r w:rsidRPr="00595BE4">
        <w:rPr>
          <w:rFonts w:eastAsiaTheme="minorEastAsia"/>
          <w:i/>
          <w:iCs/>
          <w:kern w:val="0"/>
          <w:lang w:eastAsia="en-GB"/>
          <w14:ligatures w14:val="none"/>
        </w:rPr>
        <w:t xml:space="preserve">Technology Sector in India </w:t>
      </w:r>
      <w:proofErr w:type="gramStart"/>
      <w:r w:rsidRPr="00595BE4">
        <w:rPr>
          <w:rFonts w:eastAsiaTheme="minorEastAsia"/>
          <w:i/>
          <w:iCs/>
          <w:kern w:val="0"/>
          <w:lang w:eastAsia="en-GB"/>
          <w14:ligatures w14:val="none"/>
        </w:rPr>
        <w:t>2023 :</w:t>
      </w:r>
      <w:proofErr w:type="gramEnd"/>
      <w:r w:rsidRPr="00595BE4">
        <w:rPr>
          <w:rFonts w:eastAsiaTheme="minorEastAsia"/>
          <w:i/>
          <w:iCs/>
          <w:kern w:val="0"/>
          <w:lang w:eastAsia="en-GB"/>
          <w14:ligatures w14:val="none"/>
        </w:rPr>
        <w:t xml:space="preserve"> Strategic Review | </w:t>
      </w:r>
      <w:proofErr w:type="spellStart"/>
      <w:r w:rsidRPr="00595BE4">
        <w:rPr>
          <w:rFonts w:eastAsiaTheme="minorEastAsia"/>
          <w:i/>
          <w:iCs/>
          <w:kern w:val="0"/>
          <w:lang w:eastAsia="en-GB"/>
          <w14:ligatures w14:val="none"/>
        </w:rPr>
        <w:t>nasscom</w:t>
      </w:r>
      <w:proofErr w:type="spellEnd"/>
      <w:r w:rsidRPr="00595BE4">
        <w:rPr>
          <w:rFonts w:eastAsiaTheme="minorEastAsia"/>
          <w:kern w:val="0"/>
          <w:lang w:eastAsia="en-GB"/>
          <w14:ligatures w14:val="none"/>
        </w:rPr>
        <w:t>. [online] nasscom.in. Available at: https://nasscom.in/knowledge-center/publications/technology-sector-india-2023-strategic-review.</w:t>
      </w:r>
    </w:p>
    <w:p w14:paraId="1D4B23BA"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Sein, P. and Sah, A.N. (2025). Export dynamics, exchange rate volatility, and economic stability: evidence from Asia-Pacific economies. </w:t>
      </w:r>
      <w:r w:rsidRPr="00595BE4">
        <w:rPr>
          <w:rFonts w:eastAsiaTheme="minorEastAsia"/>
          <w:i/>
          <w:iCs/>
          <w:kern w:val="0"/>
          <w:lang w:eastAsia="en-GB"/>
          <w14:ligatures w14:val="none"/>
        </w:rPr>
        <w:t>Humanities and Social Sciences Communications</w:t>
      </w:r>
      <w:r w:rsidRPr="00595BE4">
        <w:rPr>
          <w:rFonts w:eastAsiaTheme="minorEastAsia"/>
          <w:kern w:val="0"/>
          <w:lang w:eastAsia="en-GB"/>
          <w14:ligatures w14:val="none"/>
        </w:rPr>
        <w:t xml:space="preserve">, [online] 12(1). </w:t>
      </w:r>
      <w:proofErr w:type="spellStart"/>
      <w:proofErr w:type="gramStart"/>
      <w:r w:rsidRPr="00595BE4">
        <w:rPr>
          <w:rFonts w:eastAsiaTheme="minorEastAsia"/>
          <w:kern w:val="0"/>
          <w:lang w:eastAsia="en-GB"/>
          <w14:ligatures w14:val="none"/>
        </w:rPr>
        <w:t>doi:https</w:t>
      </w:r>
      <w:proofErr w:type="spellEnd"/>
      <w:r w:rsidRPr="00595BE4">
        <w:rPr>
          <w:rFonts w:eastAsiaTheme="minorEastAsia"/>
          <w:kern w:val="0"/>
          <w:lang w:eastAsia="en-GB"/>
          <w14:ligatures w14:val="none"/>
        </w:rPr>
        <w:t>://doi.org/10.1057/s41599-025-05099-x</w:t>
      </w:r>
      <w:proofErr w:type="gramEnd"/>
      <w:r w:rsidRPr="00595BE4">
        <w:rPr>
          <w:rFonts w:eastAsiaTheme="minorEastAsia"/>
          <w:kern w:val="0"/>
          <w:lang w:eastAsia="en-GB"/>
          <w14:ligatures w14:val="none"/>
        </w:rPr>
        <w:t>.</w:t>
      </w:r>
    </w:p>
    <w:p w14:paraId="66A65E20" w14:textId="77777777" w:rsidR="00C57DB2" w:rsidRPr="00595BE4"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Sharma, C. (2019). Exchange rate volatility and exports from India: a commodity-level panel data analysis. </w:t>
      </w:r>
      <w:r w:rsidRPr="00595BE4">
        <w:rPr>
          <w:rFonts w:eastAsiaTheme="minorEastAsia"/>
          <w:i/>
          <w:iCs/>
          <w:kern w:val="0"/>
          <w:lang w:eastAsia="en-GB"/>
          <w14:ligatures w14:val="none"/>
        </w:rPr>
        <w:t>Journal of Financial Economic Policy</w:t>
      </w:r>
      <w:r w:rsidRPr="00595BE4">
        <w:rPr>
          <w:rFonts w:eastAsiaTheme="minorEastAsia"/>
          <w:kern w:val="0"/>
          <w:lang w:eastAsia="en-GB"/>
          <w14:ligatures w14:val="none"/>
        </w:rPr>
        <w:t xml:space="preserve">. </w:t>
      </w:r>
      <w:proofErr w:type="spellStart"/>
      <w:proofErr w:type="gramStart"/>
      <w:r w:rsidRPr="00595BE4">
        <w:rPr>
          <w:rFonts w:eastAsiaTheme="minorEastAsia"/>
          <w:kern w:val="0"/>
          <w:lang w:eastAsia="en-GB"/>
          <w14:ligatures w14:val="none"/>
        </w:rPr>
        <w:t>doi:https</w:t>
      </w:r>
      <w:proofErr w:type="spellEnd"/>
      <w:r w:rsidRPr="00595BE4">
        <w:rPr>
          <w:rFonts w:eastAsiaTheme="minorEastAsia"/>
          <w:kern w:val="0"/>
          <w:lang w:eastAsia="en-GB"/>
          <w14:ligatures w14:val="none"/>
        </w:rPr>
        <w:t>://doi.org/10.1108/jfep-11-2018-0157</w:t>
      </w:r>
      <w:proofErr w:type="gramEnd"/>
      <w:r w:rsidRPr="00595BE4">
        <w:rPr>
          <w:rFonts w:eastAsiaTheme="minorEastAsia"/>
          <w:kern w:val="0"/>
          <w:lang w:eastAsia="en-GB"/>
          <w14:ligatures w14:val="none"/>
        </w:rPr>
        <w:t>.</w:t>
      </w:r>
    </w:p>
    <w:p w14:paraId="1775DD60" w14:textId="77777777" w:rsidR="00C57DB2" w:rsidRPr="00C57DB2" w:rsidRDefault="00C57DB2" w:rsidP="00500BE2">
      <w:pPr>
        <w:pStyle w:val="NormalWeb"/>
        <w:spacing w:before="100" w:beforeAutospacing="1" w:after="100" w:afterAutospacing="1" w:line="360" w:lineRule="auto"/>
        <w:ind w:left="450" w:hanging="450"/>
        <w:jc w:val="both"/>
        <w:rPr>
          <w:rFonts w:eastAsiaTheme="minorEastAsia"/>
          <w:kern w:val="0"/>
          <w:lang w:eastAsia="en-GB"/>
          <w14:ligatures w14:val="none"/>
        </w:rPr>
      </w:pPr>
      <w:r w:rsidRPr="00595BE4">
        <w:rPr>
          <w:rFonts w:eastAsiaTheme="minorEastAsia"/>
          <w:kern w:val="0"/>
          <w:lang w:eastAsia="en-GB"/>
          <w14:ligatures w14:val="none"/>
        </w:rPr>
        <w:t xml:space="preserve">Snyder, H. (2019). Literature review as a research methodology: An overview and guidelines. </w:t>
      </w:r>
      <w:r w:rsidRPr="00595BE4">
        <w:rPr>
          <w:rFonts w:eastAsiaTheme="minorEastAsia"/>
          <w:i/>
          <w:iCs/>
          <w:kern w:val="0"/>
          <w:lang w:eastAsia="en-GB"/>
          <w14:ligatures w14:val="none"/>
        </w:rPr>
        <w:t>Journal of Business Research</w:t>
      </w:r>
      <w:r w:rsidRPr="00595BE4">
        <w:rPr>
          <w:rFonts w:eastAsiaTheme="minorEastAsia"/>
          <w:kern w:val="0"/>
          <w:lang w:eastAsia="en-GB"/>
          <w14:ligatures w14:val="none"/>
        </w:rPr>
        <w:t xml:space="preserve">, [online] 104(1), pp.333–339. </w:t>
      </w:r>
      <w:proofErr w:type="spellStart"/>
      <w:proofErr w:type="gramStart"/>
      <w:r w:rsidRPr="00595BE4">
        <w:rPr>
          <w:rFonts w:eastAsiaTheme="minorEastAsia"/>
          <w:kern w:val="0"/>
          <w:lang w:eastAsia="en-GB"/>
          <w14:ligatures w14:val="none"/>
        </w:rPr>
        <w:t>doi:https</w:t>
      </w:r>
      <w:proofErr w:type="spellEnd"/>
      <w:r w:rsidRPr="00595BE4">
        <w:rPr>
          <w:rFonts w:eastAsiaTheme="minorEastAsia"/>
          <w:kern w:val="0"/>
          <w:lang w:eastAsia="en-GB"/>
          <w14:ligatures w14:val="none"/>
        </w:rPr>
        <w:t>://doi.org/10.1016/j.jbusres.2019.07.039</w:t>
      </w:r>
      <w:proofErr w:type="gramEnd"/>
      <w:r w:rsidRPr="00595BE4">
        <w:rPr>
          <w:rFonts w:eastAsiaTheme="minorEastAsia"/>
          <w:kern w:val="0"/>
          <w:lang w:eastAsia="en-GB"/>
          <w14:ligatures w14:val="none"/>
        </w:rPr>
        <w:t>.</w:t>
      </w:r>
    </w:p>
    <w:p w14:paraId="50E23A1F" w14:textId="77777777" w:rsidR="007018DD" w:rsidRPr="000610B7" w:rsidRDefault="007018DD" w:rsidP="00500BE2">
      <w:pPr>
        <w:pStyle w:val="NormalWeb"/>
        <w:spacing w:before="100" w:beforeAutospacing="1" w:after="100" w:afterAutospacing="1" w:line="360" w:lineRule="auto"/>
        <w:jc w:val="both"/>
        <w:rPr>
          <w:rFonts w:eastAsiaTheme="minorEastAsia"/>
          <w:kern w:val="0"/>
          <w:lang w:val="en-GB" w:eastAsia="en-GB"/>
          <w14:ligatures w14:val="none"/>
        </w:rPr>
      </w:pPr>
    </w:p>
    <w:sectPr w:rsidR="007018DD" w:rsidRPr="000610B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4D30A" w14:textId="77777777" w:rsidR="00C80055" w:rsidRDefault="00C80055" w:rsidP="00575340">
      <w:pPr>
        <w:spacing w:after="0" w:line="240" w:lineRule="auto"/>
      </w:pPr>
      <w:r>
        <w:separator/>
      </w:r>
    </w:p>
  </w:endnote>
  <w:endnote w:type="continuationSeparator" w:id="0">
    <w:p w14:paraId="3C9E636C" w14:textId="77777777" w:rsidR="00C80055" w:rsidRDefault="00C80055" w:rsidP="00575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6699147"/>
      <w:docPartObj>
        <w:docPartGallery w:val="Page Numbers (Bottom of Page)"/>
        <w:docPartUnique/>
      </w:docPartObj>
    </w:sdtPr>
    <w:sdtEndPr>
      <w:rPr>
        <w:color w:val="7F7F7F" w:themeColor="background1" w:themeShade="7F"/>
        <w:spacing w:val="60"/>
      </w:rPr>
    </w:sdtEndPr>
    <w:sdtContent>
      <w:p w14:paraId="043F97D4" w14:textId="6CEBC374" w:rsidR="00575340" w:rsidRDefault="0057534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BCAF1FF" w14:textId="77777777" w:rsidR="00575340" w:rsidRDefault="005753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E5BE9" w14:textId="77777777" w:rsidR="00C80055" w:rsidRDefault="00C80055" w:rsidP="00575340">
      <w:pPr>
        <w:spacing w:after="0" w:line="240" w:lineRule="auto"/>
      </w:pPr>
      <w:r>
        <w:separator/>
      </w:r>
    </w:p>
  </w:footnote>
  <w:footnote w:type="continuationSeparator" w:id="0">
    <w:p w14:paraId="4B8A9679" w14:textId="77777777" w:rsidR="00C80055" w:rsidRDefault="00C80055" w:rsidP="005753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30B1"/>
    <w:multiLevelType w:val="hybridMultilevel"/>
    <w:tmpl w:val="81DC3D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E11EF0"/>
    <w:multiLevelType w:val="multilevel"/>
    <w:tmpl w:val="0A48B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BC71C6"/>
    <w:multiLevelType w:val="multilevel"/>
    <w:tmpl w:val="F97E0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760E23"/>
    <w:multiLevelType w:val="hybridMultilevel"/>
    <w:tmpl w:val="31AE4A7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DA824C8"/>
    <w:multiLevelType w:val="multilevel"/>
    <w:tmpl w:val="A0BA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C61867"/>
    <w:multiLevelType w:val="hybridMultilevel"/>
    <w:tmpl w:val="4C56FB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4285BB8"/>
    <w:multiLevelType w:val="hybridMultilevel"/>
    <w:tmpl w:val="C97E873E"/>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43F0A5F"/>
    <w:multiLevelType w:val="hybridMultilevel"/>
    <w:tmpl w:val="0562C7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3B82B9D"/>
    <w:multiLevelType w:val="hybridMultilevel"/>
    <w:tmpl w:val="E78A5D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82229488">
    <w:abstractNumId w:val="5"/>
  </w:num>
  <w:num w:numId="2" w16cid:durableId="242959843">
    <w:abstractNumId w:val="6"/>
  </w:num>
  <w:num w:numId="3" w16cid:durableId="1338580095">
    <w:abstractNumId w:val="7"/>
  </w:num>
  <w:num w:numId="4" w16cid:durableId="286738936">
    <w:abstractNumId w:val="2"/>
  </w:num>
  <w:num w:numId="5" w16cid:durableId="9450141">
    <w:abstractNumId w:val="8"/>
  </w:num>
  <w:num w:numId="6" w16cid:durableId="1038970573">
    <w:abstractNumId w:val="1"/>
  </w:num>
  <w:num w:numId="7" w16cid:durableId="1508980653">
    <w:abstractNumId w:val="3"/>
  </w:num>
  <w:num w:numId="8" w16cid:durableId="668796147">
    <w:abstractNumId w:val="0"/>
  </w:num>
  <w:num w:numId="9" w16cid:durableId="9896722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176"/>
    <w:rsid w:val="000610B7"/>
    <w:rsid w:val="00073AB1"/>
    <w:rsid w:val="000770F5"/>
    <w:rsid w:val="00113F33"/>
    <w:rsid w:val="0013127C"/>
    <w:rsid w:val="00132817"/>
    <w:rsid w:val="00161DEC"/>
    <w:rsid w:val="0019112B"/>
    <w:rsid w:val="001B11E1"/>
    <w:rsid w:val="001C3EDD"/>
    <w:rsid w:val="00283044"/>
    <w:rsid w:val="002956F1"/>
    <w:rsid w:val="00340A42"/>
    <w:rsid w:val="003856AA"/>
    <w:rsid w:val="00394F0B"/>
    <w:rsid w:val="00500BE2"/>
    <w:rsid w:val="0050661F"/>
    <w:rsid w:val="0053281E"/>
    <w:rsid w:val="00536C94"/>
    <w:rsid w:val="00553AA2"/>
    <w:rsid w:val="00575340"/>
    <w:rsid w:val="00595BE4"/>
    <w:rsid w:val="007018DD"/>
    <w:rsid w:val="00837889"/>
    <w:rsid w:val="009D0D17"/>
    <w:rsid w:val="00A028B2"/>
    <w:rsid w:val="00A6066C"/>
    <w:rsid w:val="00AE09A2"/>
    <w:rsid w:val="00B96630"/>
    <w:rsid w:val="00C57C00"/>
    <w:rsid w:val="00C57DB2"/>
    <w:rsid w:val="00C80055"/>
    <w:rsid w:val="00CC5176"/>
    <w:rsid w:val="00D44DAC"/>
    <w:rsid w:val="00DF6121"/>
    <w:rsid w:val="00EB1BD6"/>
    <w:rsid w:val="00FC203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3C0E3"/>
  <w15:chartTrackingRefBased/>
  <w15:docId w15:val="{F438A669-3F6C-494D-97FE-A2F6997BC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1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51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1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1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1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1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1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1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1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1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51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51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51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1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1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1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1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176"/>
    <w:rPr>
      <w:rFonts w:eastAsiaTheme="majorEastAsia" w:cstheme="majorBidi"/>
      <w:color w:val="272727" w:themeColor="text1" w:themeTint="D8"/>
    </w:rPr>
  </w:style>
  <w:style w:type="paragraph" w:styleId="Title">
    <w:name w:val="Title"/>
    <w:basedOn w:val="Normal"/>
    <w:next w:val="Normal"/>
    <w:link w:val="TitleChar"/>
    <w:uiPriority w:val="10"/>
    <w:qFormat/>
    <w:rsid w:val="00CC51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1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1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1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176"/>
    <w:pPr>
      <w:spacing w:before="160"/>
      <w:jc w:val="center"/>
    </w:pPr>
    <w:rPr>
      <w:i/>
      <w:iCs/>
      <w:color w:val="404040" w:themeColor="text1" w:themeTint="BF"/>
    </w:rPr>
  </w:style>
  <w:style w:type="character" w:customStyle="1" w:styleId="QuoteChar">
    <w:name w:val="Quote Char"/>
    <w:basedOn w:val="DefaultParagraphFont"/>
    <w:link w:val="Quote"/>
    <w:uiPriority w:val="29"/>
    <w:rsid w:val="00CC5176"/>
    <w:rPr>
      <w:i/>
      <w:iCs/>
      <w:color w:val="404040" w:themeColor="text1" w:themeTint="BF"/>
    </w:rPr>
  </w:style>
  <w:style w:type="paragraph" w:styleId="ListParagraph">
    <w:name w:val="List Paragraph"/>
    <w:basedOn w:val="Normal"/>
    <w:uiPriority w:val="34"/>
    <w:qFormat/>
    <w:rsid w:val="00CC5176"/>
    <w:pPr>
      <w:ind w:left="720"/>
      <w:contextualSpacing/>
    </w:pPr>
  </w:style>
  <w:style w:type="character" w:styleId="IntenseEmphasis">
    <w:name w:val="Intense Emphasis"/>
    <w:basedOn w:val="DefaultParagraphFont"/>
    <w:uiPriority w:val="21"/>
    <w:qFormat/>
    <w:rsid w:val="00CC5176"/>
    <w:rPr>
      <w:i/>
      <w:iCs/>
      <w:color w:val="0F4761" w:themeColor="accent1" w:themeShade="BF"/>
    </w:rPr>
  </w:style>
  <w:style w:type="paragraph" w:styleId="IntenseQuote">
    <w:name w:val="Intense Quote"/>
    <w:basedOn w:val="Normal"/>
    <w:next w:val="Normal"/>
    <w:link w:val="IntenseQuoteChar"/>
    <w:uiPriority w:val="30"/>
    <w:qFormat/>
    <w:rsid w:val="00CC51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176"/>
    <w:rPr>
      <w:i/>
      <w:iCs/>
      <w:color w:val="0F4761" w:themeColor="accent1" w:themeShade="BF"/>
    </w:rPr>
  </w:style>
  <w:style w:type="character" w:styleId="IntenseReference">
    <w:name w:val="Intense Reference"/>
    <w:basedOn w:val="DefaultParagraphFont"/>
    <w:uiPriority w:val="32"/>
    <w:qFormat/>
    <w:rsid w:val="00CC5176"/>
    <w:rPr>
      <w:b/>
      <w:bCs/>
      <w:smallCaps/>
      <w:color w:val="0F4761" w:themeColor="accent1" w:themeShade="BF"/>
      <w:spacing w:val="5"/>
    </w:rPr>
  </w:style>
  <w:style w:type="paragraph" w:styleId="NormalWeb">
    <w:name w:val="Normal (Web)"/>
    <w:basedOn w:val="Normal"/>
    <w:uiPriority w:val="99"/>
    <w:unhideWhenUsed/>
    <w:rsid w:val="00536C94"/>
    <w:rPr>
      <w:rFonts w:ascii="Times New Roman" w:hAnsi="Times New Roman" w:cs="Times New Roman"/>
    </w:rPr>
  </w:style>
  <w:style w:type="paragraph" w:styleId="NoSpacing">
    <w:name w:val="No Spacing"/>
    <w:uiPriority w:val="1"/>
    <w:qFormat/>
    <w:rsid w:val="00837889"/>
    <w:pPr>
      <w:spacing w:after="0" w:line="240" w:lineRule="auto"/>
    </w:pPr>
  </w:style>
  <w:style w:type="character" w:styleId="Strong">
    <w:name w:val="Strong"/>
    <w:basedOn w:val="DefaultParagraphFont"/>
    <w:uiPriority w:val="22"/>
    <w:qFormat/>
    <w:rsid w:val="003856AA"/>
    <w:rPr>
      <w:b/>
      <w:bCs/>
    </w:rPr>
  </w:style>
  <w:style w:type="table" w:styleId="TableGrid">
    <w:name w:val="Table Grid"/>
    <w:basedOn w:val="TableNormal"/>
    <w:uiPriority w:val="39"/>
    <w:rsid w:val="00532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610B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610B7"/>
    <w:pPr>
      <w:spacing w:after="100"/>
    </w:pPr>
  </w:style>
  <w:style w:type="paragraph" w:styleId="TOC2">
    <w:name w:val="toc 2"/>
    <w:basedOn w:val="Normal"/>
    <w:next w:val="Normal"/>
    <w:autoRedefine/>
    <w:uiPriority w:val="39"/>
    <w:unhideWhenUsed/>
    <w:rsid w:val="000610B7"/>
    <w:pPr>
      <w:spacing w:after="100"/>
      <w:ind w:left="240"/>
    </w:pPr>
  </w:style>
  <w:style w:type="character" w:styleId="Hyperlink">
    <w:name w:val="Hyperlink"/>
    <w:basedOn w:val="DefaultParagraphFont"/>
    <w:uiPriority w:val="99"/>
    <w:unhideWhenUsed/>
    <w:rsid w:val="000610B7"/>
    <w:rPr>
      <w:color w:val="467886" w:themeColor="hyperlink"/>
      <w:u w:val="single"/>
    </w:rPr>
  </w:style>
  <w:style w:type="character" w:styleId="UnresolvedMention">
    <w:name w:val="Unresolved Mention"/>
    <w:basedOn w:val="DefaultParagraphFont"/>
    <w:uiPriority w:val="99"/>
    <w:semiHidden/>
    <w:unhideWhenUsed/>
    <w:rsid w:val="00C57DB2"/>
    <w:rPr>
      <w:color w:val="605E5C"/>
      <w:shd w:val="clear" w:color="auto" w:fill="E1DFDD"/>
    </w:rPr>
  </w:style>
  <w:style w:type="paragraph" w:styleId="FootnoteText">
    <w:name w:val="footnote text"/>
    <w:basedOn w:val="Normal"/>
    <w:link w:val="FootnoteTextChar"/>
    <w:uiPriority w:val="99"/>
    <w:semiHidden/>
    <w:unhideWhenUsed/>
    <w:rsid w:val="005753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5340"/>
    <w:rPr>
      <w:sz w:val="20"/>
      <w:szCs w:val="20"/>
    </w:rPr>
  </w:style>
  <w:style w:type="character" w:styleId="FootnoteReference">
    <w:name w:val="footnote reference"/>
    <w:basedOn w:val="DefaultParagraphFont"/>
    <w:uiPriority w:val="99"/>
    <w:semiHidden/>
    <w:unhideWhenUsed/>
    <w:rsid w:val="00575340"/>
    <w:rPr>
      <w:vertAlign w:val="superscript"/>
    </w:rPr>
  </w:style>
  <w:style w:type="paragraph" w:styleId="Header">
    <w:name w:val="header"/>
    <w:basedOn w:val="Normal"/>
    <w:link w:val="HeaderChar"/>
    <w:uiPriority w:val="99"/>
    <w:unhideWhenUsed/>
    <w:rsid w:val="005753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340"/>
  </w:style>
  <w:style w:type="paragraph" w:styleId="Footer">
    <w:name w:val="footer"/>
    <w:basedOn w:val="Normal"/>
    <w:link w:val="FooterChar"/>
    <w:uiPriority w:val="99"/>
    <w:unhideWhenUsed/>
    <w:rsid w:val="005753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340"/>
  </w:style>
  <w:style w:type="character" w:styleId="Emphasis">
    <w:name w:val="Emphasis"/>
    <w:basedOn w:val="DefaultParagraphFont"/>
    <w:uiPriority w:val="20"/>
    <w:qFormat/>
    <w:rsid w:val="000770F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sycnet.apa.org/record/2010-00924-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F25A5-A778-4D0A-90D3-DEDCD3320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13</Pages>
  <Words>3187</Words>
  <Characters>18172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Kaur Thukral</dc:creator>
  <cp:keywords/>
  <dc:description/>
  <cp:lastModifiedBy>Niranjan L</cp:lastModifiedBy>
  <cp:revision>25</cp:revision>
  <dcterms:created xsi:type="dcterms:W3CDTF">2025-09-28T22:12:00Z</dcterms:created>
  <dcterms:modified xsi:type="dcterms:W3CDTF">2025-10-09T22:26:00Z</dcterms:modified>
</cp:coreProperties>
</file>