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7C630B17" w14:textId="201B8CEB" w:rsidR="003317E8" w:rsidRDefault="001E5883">
      <w:r>
        <w:rPr>
          <w:rFonts w:ascii="Dreaming Outloud Script Pro" w:hAnsi="Dreaming Outloud Script Pro" w:cs="Dreaming Outloud Script Pro"/>
          <w:noProof/>
          <w:color w:val="4EA72E" w:themeColor="accent6"/>
          <w:sz w:val="72"/>
          <w:szCs w:val="72"/>
        </w:rPr>
        <mc:AlternateContent>
          <mc:Choice Requires="wps">
            <w:drawing>
              <wp:anchor distT="0" distB="0" distL="114300" distR="114300" simplePos="0" relativeHeight="251656190" behindDoc="1" locked="0" layoutInCell="1" allowOverlap="1" wp14:anchorId="6A6468DD" wp14:editId="72E3E806">
                <wp:simplePos x="0" y="0"/>
                <wp:positionH relativeFrom="page">
                  <wp:align>left</wp:align>
                </wp:positionH>
                <wp:positionV relativeFrom="paragraph">
                  <wp:posOffset>-914400</wp:posOffset>
                </wp:positionV>
                <wp:extent cx="7668260" cy="10828020"/>
                <wp:effectExtent l="0" t="0" r="8890" b="0"/>
                <wp:wrapNone/>
                <wp:docPr id="370313058" name="Rectangle 2"/>
                <wp:cNvGraphicFramePr/>
                <a:graphic xmlns:a="http://schemas.openxmlformats.org/drawingml/2006/main">
                  <a:graphicData uri="http://schemas.microsoft.com/office/word/2010/wordprocessingShape">
                    <wps:wsp>
                      <wps:cNvSpPr/>
                      <wps:spPr>
                        <a:xfrm>
                          <a:off x="0" y="0"/>
                          <a:ext cx="7668260" cy="10828020"/>
                        </a:xfrm>
                        <a:prstGeom prst="rect">
                          <a:avLst/>
                        </a:prstGeom>
                        <a:solidFill>
                          <a:schemeClr val="accent5">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2B1B2A" id="Rectangle 2" o:spid="_x0000_s1026" style="position:absolute;margin-left:0;margin-top:-1in;width:603.8pt;height:852.6pt;z-index:-25166029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" fillcolor="#f2ceed [664]" stroked="f" strokeweight="1.5pt">
                <w10:wrap anchorx="page"/>
              </v:rect>
            </w:pict>
          </mc:Fallback>
        </mc:AlternateContent>
      </w:r>
      <w:r w:rsidR="00005731" w:rsidRPr="003317E8">
        <w:rPr>
          <w:noProof/>
        </w:rPr>
        <w:drawing>
          <wp:anchor distT="0" distB="0" distL="114300" distR="114300" simplePos="0" relativeHeight="251658240" behindDoc="1" locked="0" layoutInCell="1" allowOverlap="1" wp14:anchorId="56D6783F" wp14:editId="6383BA50">
            <wp:simplePos x="0" y="0"/>
            <wp:positionH relativeFrom="page">
              <wp:posOffset>273050</wp:posOffset>
            </wp:positionH>
            <wp:positionV relativeFrom="paragraph">
              <wp:posOffset>-473710</wp:posOffset>
            </wp:positionV>
            <wp:extent cx="2506980" cy="1367155"/>
            <wp:effectExtent l="114300" t="114300" r="121920" b="118745"/>
            <wp:wrapNone/>
            <wp:docPr id="894504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06980" cy="1367155"/>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r w:rsidR="00005731">
        <w:rPr>
          <w:noProof/>
        </w:rPr>
        <w:drawing>
          <wp:anchor distT="0" distB="0" distL="114300" distR="114300" simplePos="0" relativeHeight="251664384" behindDoc="1" locked="0" layoutInCell="1" allowOverlap="1" wp14:anchorId="72AA8A74" wp14:editId="6550B02E">
            <wp:simplePos x="0" y="0"/>
            <wp:positionH relativeFrom="margin">
              <wp:posOffset>1991995</wp:posOffset>
            </wp:positionH>
            <wp:positionV relativeFrom="paragraph">
              <wp:posOffset>-603250</wp:posOffset>
            </wp:positionV>
            <wp:extent cx="1718310" cy="1718310"/>
            <wp:effectExtent l="76200" t="76200" r="72390" b="72390"/>
            <wp:wrapNone/>
            <wp:docPr id="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18310" cy="1718310"/>
                    </a:xfrm>
                    <a:prstGeom prst="rect">
                      <a:avLst/>
                    </a:prstGeom>
                    <a:noFill/>
                    <a:ln>
                      <a:noFill/>
                    </a:ln>
                    <a:effectLst>
                      <a:glow rad="63500">
                        <a:schemeClr val="accent4">
                          <a:satMod val="175000"/>
                          <a:alpha val="40000"/>
                        </a:schemeClr>
                      </a:glow>
                      <a:softEdge rad="38100"/>
                    </a:effectLst>
                  </pic:spPr>
                </pic:pic>
              </a:graphicData>
            </a:graphic>
          </wp:anchor>
        </w:drawing>
      </w:r>
      <w:r w:rsidR="00005731">
        <w:rPr>
          <w:noProof/>
        </w:rPr>
        <w:drawing>
          <wp:anchor distT="0" distB="0" distL="114300" distR="114300" simplePos="0" relativeHeight="251661312" behindDoc="1" locked="0" layoutInCell="1" allowOverlap="1" wp14:anchorId="64D89429" wp14:editId="44009493">
            <wp:simplePos x="0" y="0"/>
            <wp:positionH relativeFrom="margin">
              <wp:posOffset>3884930</wp:posOffset>
            </wp:positionH>
            <wp:positionV relativeFrom="paragraph">
              <wp:posOffset>-584200</wp:posOffset>
            </wp:positionV>
            <wp:extent cx="2529840" cy="1659255"/>
            <wp:effectExtent l="114300" t="114300" r="118110" b="112395"/>
            <wp:wrapNone/>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29840" cy="1659255"/>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r w:rsidR="00005731">
        <w:rPr>
          <w:noProof/>
        </w:rPr>
        <w:drawing>
          <wp:anchor distT="0" distB="0" distL="114300" distR="114300" simplePos="0" relativeHeight="251665408" behindDoc="1" locked="0" layoutInCell="1" allowOverlap="1" wp14:anchorId="26C75091" wp14:editId="3378FFF8">
            <wp:simplePos x="0" y="0"/>
            <wp:positionH relativeFrom="column">
              <wp:posOffset>4113530</wp:posOffset>
            </wp:positionH>
            <wp:positionV relativeFrom="paragraph">
              <wp:posOffset>1268730</wp:posOffset>
            </wp:positionV>
            <wp:extent cx="2286000" cy="1718310"/>
            <wp:effectExtent l="114300" t="114300" r="114300" b="110490"/>
            <wp:wrapNone/>
            <wp:docPr id="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000" cy="1718310"/>
                    </a:xfrm>
                    <a:prstGeom prst="rect">
                      <a:avLst/>
                    </a:prstGeom>
                    <a:noFill/>
                    <a:ln>
                      <a:noFill/>
                    </a:ln>
                    <a:effectLst>
                      <a:glow rad="101600">
                        <a:schemeClr val="accent1">
                          <a:satMod val="175000"/>
                          <a:alpha val="40000"/>
                        </a:schemeClr>
                      </a:glow>
                    </a:effectLst>
                  </pic:spPr>
                </pic:pic>
              </a:graphicData>
            </a:graphic>
          </wp:anchor>
        </w:drawing>
      </w:r>
      <w:r w:rsidR="00005731">
        <w:rPr>
          <w:noProof/>
        </w:rPr>
        <w:drawing>
          <wp:anchor distT="0" distB="0" distL="114300" distR="114300" simplePos="0" relativeHeight="251659264" behindDoc="1" locked="0" layoutInCell="1" allowOverlap="1" wp14:anchorId="5ACC6100" wp14:editId="4423FBA0">
            <wp:simplePos x="0" y="0"/>
            <wp:positionH relativeFrom="column">
              <wp:posOffset>1332230</wp:posOffset>
            </wp:positionH>
            <wp:positionV relativeFrom="paragraph">
              <wp:posOffset>1290320</wp:posOffset>
            </wp:positionV>
            <wp:extent cx="2571750" cy="1714500"/>
            <wp:effectExtent l="114300" t="114300" r="114300" b="114300"/>
            <wp:wrapNone/>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71750" cy="1714500"/>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r w:rsidR="00005731" w:rsidRPr="00102036">
        <w:rPr>
          <w:i/>
          <w:iCs/>
          <w:noProof/>
        </w:rPr>
        <w:drawing>
          <wp:anchor distT="0" distB="0" distL="114300" distR="114300" simplePos="0" relativeHeight="251657215" behindDoc="1" locked="0" layoutInCell="1" allowOverlap="1" wp14:anchorId="5F614B4C" wp14:editId="7F1AD9D7">
            <wp:simplePos x="0" y="0"/>
            <wp:positionH relativeFrom="margin">
              <wp:posOffset>1489075</wp:posOffset>
            </wp:positionH>
            <wp:positionV relativeFrom="paragraph">
              <wp:posOffset>3004820</wp:posOffset>
            </wp:positionV>
            <wp:extent cx="2476500" cy="1941195"/>
            <wp:effectExtent l="0" t="0" r="0" b="1905"/>
            <wp:wrapNone/>
            <wp:docPr id="3888910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15311" r="12708"/>
                    <a:stretch>
                      <a:fillRect/>
                    </a:stretch>
                  </pic:blipFill>
                  <pic:spPr bwMode="auto">
                    <a:xfrm>
                      <a:off x="0" y="0"/>
                      <a:ext cx="2476500" cy="19411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5731">
        <w:rPr>
          <w:noProof/>
        </w:rPr>
        <w:drawing>
          <wp:anchor distT="0" distB="0" distL="114300" distR="114300" simplePos="0" relativeHeight="251660288" behindDoc="1" locked="0" layoutInCell="1" allowOverlap="1" wp14:anchorId="7FB3DA63" wp14:editId="39795767">
            <wp:simplePos x="0" y="0"/>
            <wp:positionH relativeFrom="column">
              <wp:posOffset>-534670</wp:posOffset>
            </wp:positionH>
            <wp:positionV relativeFrom="paragraph">
              <wp:posOffset>3423920</wp:posOffset>
            </wp:positionV>
            <wp:extent cx="2026920" cy="3036570"/>
            <wp:effectExtent l="114300" t="114300" r="106680" b="106680"/>
            <wp:wrapNone/>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26920" cy="3036570"/>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r w:rsidR="00005731">
        <w:rPr>
          <w:noProof/>
        </w:rPr>
        <w:drawing>
          <wp:anchor distT="0" distB="0" distL="114300" distR="114300" simplePos="0" relativeHeight="251668480" behindDoc="1" locked="0" layoutInCell="1" allowOverlap="1" wp14:anchorId="6CB649D2" wp14:editId="32DF3ECF">
            <wp:simplePos x="0" y="0"/>
            <wp:positionH relativeFrom="page">
              <wp:posOffset>4777740</wp:posOffset>
            </wp:positionH>
            <wp:positionV relativeFrom="paragraph">
              <wp:posOffset>3117215</wp:posOffset>
            </wp:positionV>
            <wp:extent cx="2590800" cy="1715135"/>
            <wp:effectExtent l="114300" t="114300" r="114300" b="11366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90800" cy="1715135"/>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r w:rsidR="00005731">
        <w:rPr>
          <w:noProof/>
        </w:rPr>
        <w:drawing>
          <wp:anchor distT="0" distB="0" distL="114300" distR="114300" simplePos="0" relativeHeight="251666432" behindDoc="1" locked="0" layoutInCell="1" allowOverlap="1" wp14:anchorId="5DFA23A7" wp14:editId="0C870533">
            <wp:simplePos x="0" y="0"/>
            <wp:positionH relativeFrom="margin">
              <wp:posOffset>4036695</wp:posOffset>
            </wp:positionH>
            <wp:positionV relativeFrom="paragraph">
              <wp:posOffset>5088890</wp:posOffset>
            </wp:positionV>
            <wp:extent cx="2261235" cy="1415415"/>
            <wp:effectExtent l="133350" t="133350" r="139065" b="127635"/>
            <wp:wrapNone/>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61235" cy="1415415"/>
                    </a:xfrm>
                    <a:prstGeom prst="rect">
                      <a:avLst/>
                    </a:prstGeom>
                    <a:noFill/>
                    <a:ln>
                      <a:noFill/>
                    </a:ln>
                    <a:effectLst>
                      <a:glow rad="127000">
                        <a:schemeClr val="accent1">
                          <a:lumMod val="40000"/>
                          <a:lumOff val="60000"/>
                        </a:schemeClr>
                      </a:glow>
                    </a:effectLst>
                  </pic:spPr>
                </pic:pic>
              </a:graphicData>
            </a:graphic>
            <wp14:sizeRelH relativeFrom="margin">
              <wp14:pctWidth>0</wp14:pctWidth>
            </wp14:sizeRelH>
            <wp14:sizeRelV relativeFrom="margin">
              <wp14:pctHeight>0</wp14:pctHeight>
            </wp14:sizeRelV>
          </wp:anchor>
        </w:drawing>
      </w:r>
    </w:p>
    <w:p w14:paraId="5FA38E70" w14:textId="3D8CB904" w:rsidR="00102036" w:rsidRDefault="00102036" w:rsidP="00102036">
      <w:pPr>
        <w:rPr>
          <w:rFonts w:ascii="Dreaming Outloud Script Pro" w:hAnsi="Dreaming Outloud Script Pro" w:cs="Dreaming Outloud Script Pro"/>
          <w:color w:val="4EA72E" w:themeColor="accent6"/>
          <w:sz w:val="72"/>
          <w:szCs w:val="72"/>
        </w:rPr>
      </w:pPr>
    </w:p>
    <w:p w14:paraId="23EC67D2" w14:textId="657421C3" w:rsidR="00102036" w:rsidRDefault="00102036" w:rsidP="00102036">
      <w:pPr>
        <w:rPr>
          <w:rFonts w:ascii="Dreaming Outloud Script Pro" w:hAnsi="Dreaming Outloud Script Pro" w:cs="Dreaming Outloud Script Pro"/>
          <w:color w:val="4EA72E" w:themeColor="accent6"/>
          <w:sz w:val="72"/>
          <w:szCs w:val="72"/>
        </w:rPr>
      </w:pPr>
      <w:r>
        <w:rPr>
          <w:noProof/>
        </w:rPr>
        <w:drawing>
          <wp:anchor distT="0" distB="0" distL="114300" distR="114300" simplePos="0" relativeHeight="251662336" behindDoc="1" locked="0" layoutInCell="1" allowOverlap="1" wp14:anchorId="05338DC0" wp14:editId="52A3B420">
            <wp:simplePos x="0" y="0"/>
            <wp:positionH relativeFrom="page">
              <wp:posOffset>273050</wp:posOffset>
            </wp:positionH>
            <wp:positionV relativeFrom="paragraph">
              <wp:posOffset>162560</wp:posOffset>
            </wp:positionV>
            <wp:extent cx="1828800" cy="1828800"/>
            <wp:effectExtent l="114300" t="114300" r="114300" b="114300"/>
            <wp:wrapNone/>
            <wp:docPr id="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28800" cy="1828800"/>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p>
    <w:p w14:paraId="2181495F" w14:textId="0060E41B" w:rsidR="00102036" w:rsidRDefault="00102036" w:rsidP="00102036">
      <w:pPr>
        <w:rPr>
          <w:rFonts w:ascii="Dreaming Outloud Script Pro" w:hAnsi="Dreaming Outloud Script Pro" w:cs="Dreaming Outloud Script Pro"/>
          <w:color w:val="4EA72E" w:themeColor="accent6"/>
          <w:sz w:val="72"/>
          <w:szCs w:val="72"/>
        </w:rPr>
      </w:pPr>
    </w:p>
    <w:p w14:paraId="071C86F1" w14:textId="527E3A59" w:rsidR="00102036" w:rsidRPr="00102036" w:rsidRDefault="00102036" w:rsidP="00102036">
      <w:pPr>
        <w:rPr>
          <w:rFonts w:ascii="Dreaming Outloud Script Pro" w:hAnsi="Dreaming Outloud Script Pro" w:cs="Dreaming Outloud Script Pro"/>
          <w:i/>
          <w:iCs/>
          <w:color w:val="4EA72E" w:themeColor="accent6"/>
          <w:sz w:val="72"/>
          <w:szCs w:val="72"/>
        </w:rPr>
      </w:pPr>
    </w:p>
    <w:p w14:paraId="5A31350F" w14:textId="4C10034D" w:rsidR="00102036" w:rsidRDefault="00102036" w:rsidP="00102036">
      <w:pPr>
        <w:rPr>
          <w:rFonts w:ascii="Dreaming Outloud Script Pro" w:hAnsi="Dreaming Outloud Script Pro" w:cs="Dreaming Outloud Script Pro"/>
          <w:color w:val="4EA72E" w:themeColor="accent6"/>
          <w:sz w:val="72"/>
          <w:szCs w:val="72"/>
        </w:rPr>
      </w:pPr>
    </w:p>
    <w:p w14:paraId="4CC3B3EA" w14:textId="5EADB7DF" w:rsidR="00102036" w:rsidRDefault="00102036" w:rsidP="00102036">
      <w:pPr>
        <w:rPr>
          <w:rFonts w:ascii="Dreaming Outloud Script Pro" w:hAnsi="Dreaming Outloud Script Pro" w:cs="Dreaming Outloud Script Pro"/>
          <w:color w:val="4EA72E" w:themeColor="accent6"/>
          <w:sz w:val="72"/>
          <w:szCs w:val="72"/>
        </w:rPr>
      </w:pPr>
    </w:p>
    <w:p w14:paraId="6979ECDC" w14:textId="34168267" w:rsidR="00102036" w:rsidRDefault="00102036" w:rsidP="00102036">
      <w:pPr>
        <w:rPr>
          <w:rFonts w:ascii="Dreaming Outloud Script Pro" w:hAnsi="Dreaming Outloud Script Pro" w:cs="Dreaming Outloud Script Pro"/>
          <w:color w:val="4EA72E" w:themeColor="accent6"/>
          <w:sz w:val="72"/>
          <w:szCs w:val="72"/>
        </w:rPr>
      </w:pPr>
      <w:r>
        <w:rPr>
          <w:noProof/>
        </w:rPr>
        <w:drawing>
          <wp:anchor distT="0" distB="0" distL="114300" distR="114300" simplePos="0" relativeHeight="251663360" behindDoc="1" locked="0" layoutInCell="1" allowOverlap="1" wp14:anchorId="18F6D809" wp14:editId="550AEABF">
            <wp:simplePos x="0" y="0"/>
            <wp:positionH relativeFrom="page">
              <wp:posOffset>2604770</wp:posOffset>
            </wp:positionH>
            <wp:positionV relativeFrom="paragraph">
              <wp:posOffset>105410</wp:posOffset>
            </wp:positionV>
            <wp:extent cx="1971675" cy="1482090"/>
            <wp:effectExtent l="114300" t="114300" r="123825" b="118110"/>
            <wp:wrapNone/>
            <wp:docPr id="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71675" cy="1482090"/>
                    </a:xfrm>
                    <a:prstGeom prst="rect">
                      <a:avLst/>
                    </a:prstGeom>
                    <a:noFill/>
                    <a:ln>
                      <a:noFill/>
                    </a:ln>
                    <a:effectLst>
                      <a:glow rad="101600">
                        <a:schemeClr val="accent1">
                          <a:satMod val="175000"/>
                          <a:alpha val="40000"/>
                        </a:schemeClr>
                      </a:glow>
                    </a:effectLst>
                  </pic:spPr>
                </pic:pic>
              </a:graphicData>
            </a:graphic>
            <wp14:sizeRelH relativeFrom="margin">
              <wp14:pctWidth>0</wp14:pctWidth>
            </wp14:sizeRelH>
            <wp14:sizeRelV relativeFrom="margin">
              <wp14:pctHeight>0</wp14:pctHeight>
            </wp14:sizeRelV>
          </wp:anchor>
        </w:drawing>
      </w:r>
    </w:p>
    <w:p w14:paraId="3493CC6B" w14:textId="77777777" w:rsidR="00102036" w:rsidRDefault="00102036" w:rsidP="00102036">
      <w:pPr>
        <w:rPr>
          <w:rFonts w:ascii="Dreaming Outloud Script Pro" w:hAnsi="Dreaming Outloud Script Pro" w:cs="Dreaming Outloud Script Pro"/>
          <w:color w:val="4EA72E" w:themeColor="accent6"/>
          <w:sz w:val="72"/>
          <w:szCs w:val="72"/>
        </w:rPr>
      </w:pPr>
    </w:p>
    <w:p w14:paraId="5926CEC9" w14:textId="77777777" w:rsidR="00102036" w:rsidRDefault="00102036" w:rsidP="00102036">
      <w:pPr>
        <w:rPr>
          <w:rFonts w:ascii="Dreaming Outloud Script Pro" w:hAnsi="Dreaming Outloud Script Pro" w:cs="Dreaming Outloud Script Pro"/>
          <w:color w:val="4EA72E" w:themeColor="accent6"/>
          <w:sz w:val="72"/>
          <w:szCs w:val="72"/>
        </w:rPr>
      </w:pPr>
    </w:p>
    <w:p w14:paraId="30C348EE" w14:textId="40D7E317" w:rsidR="0019014F" w:rsidRPr="00102036" w:rsidRDefault="0019014F" w:rsidP="00102036">
      <w:pPr>
        <w:ind w:left="1440"/>
        <w:rPr>
          <w:noProof/>
        </w:rPr>
      </w:pPr>
      <w:r w:rsidRPr="0019014F">
        <w:rPr>
          <w:rFonts w:ascii="Dreaming Outloud Script Pro" w:hAnsi="Dreaming Outloud Script Pro" w:cs="Dreaming Outloud Script Pro"/>
          <w:color w:val="4EA72E" w:themeColor="accent6"/>
          <w:sz w:val="72"/>
          <w:szCs w:val="72"/>
        </w:rPr>
        <w:t>The</w:t>
      </w:r>
      <w:r>
        <w:rPr>
          <w:rFonts w:ascii="Dreaming Outloud Script Pro" w:hAnsi="Dreaming Outloud Script Pro" w:cs="Dreaming Outloud Script Pro"/>
          <w:color w:val="4EA72E" w:themeColor="accent6"/>
          <w:sz w:val="72"/>
          <w:szCs w:val="72"/>
        </w:rPr>
        <w:t xml:space="preserve"> Reggio</w:t>
      </w:r>
      <w:r w:rsidRPr="0019014F">
        <w:rPr>
          <w:rFonts w:ascii="Dreaming Outloud Script Pro" w:hAnsi="Dreaming Outloud Script Pro" w:cs="Dreaming Outloud Script Pro"/>
          <w:color w:val="4EA72E" w:themeColor="accent6"/>
          <w:sz w:val="72"/>
          <w:szCs w:val="72"/>
        </w:rPr>
        <w:t>@Trinity</w:t>
      </w:r>
    </w:p>
    <w:p w14:paraId="4ED19958" w14:textId="665D24E2" w:rsidR="0019014F" w:rsidRPr="0047737F" w:rsidRDefault="0019014F" w:rsidP="0019014F">
      <w:pPr>
        <w:jc w:val="center"/>
        <w:rPr>
          <w:rFonts w:ascii="Abadi" w:hAnsi="Abadi" w:cs="Dreaming Outloud Script Pro"/>
          <w:color w:val="4EA72E" w:themeColor="accent6"/>
          <w:sz w:val="28"/>
          <w:szCs w:val="28"/>
        </w:rPr>
      </w:pPr>
      <w:r w:rsidRPr="0047737F">
        <w:rPr>
          <w:rFonts w:ascii="Abadi" w:hAnsi="Abadi" w:cs="Dreaming Outloud Script Pro"/>
          <w:color w:val="4EA72E" w:themeColor="accent6"/>
          <w:sz w:val="28"/>
          <w:szCs w:val="28"/>
        </w:rPr>
        <w:t xml:space="preserve">The </w:t>
      </w:r>
      <w:r w:rsidR="0047737F">
        <w:rPr>
          <w:rFonts w:ascii="Abadi" w:hAnsi="Abadi" w:cs="Dreaming Outloud Script Pro"/>
          <w:color w:val="4EA72E" w:themeColor="accent6"/>
          <w:sz w:val="28"/>
          <w:szCs w:val="28"/>
        </w:rPr>
        <w:t>Forest</w:t>
      </w:r>
      <w:r w:rsidRPr="0047737F">
        <w:rPr>
          <w:rFonts w:ascii="Abadi" w:hAnsi="Abadi" w:cs="Dreaming Outloud Script Pro"/>
          <w:color w:val="4EA72E" w:themeColor="accent6"/>
          <w:sz w:val="28"/>
          <w:szCs w:val="28"/>
        </w:rPr>
        <w:t xml:space="preserve"> School – Reggio Emilio Developmental Experience</w:t>
      </w:r>
    </w:p>
    <w:p w14:paraId="19BC4166" w14:textId="1A5C8682" w:rsidR="0019014F" w:rsidRPr="00284630" w:rsidRDefault="00284630" w:rsidP="0047737F">
      <w:pPr>
        <w:ind w:left="5040"/>
        <w:rPr>
          <w:rFonts w:ascii="HP Simplified Jpan" w:eastAsia="HP Simplified Jpan" w:hAnsi="HP Simplified Jpan" w:cs="Dreaming Outloud Script Pro"/>
          <w:color w:val="A43296"/>
          <w:sz w:val="48"/>
          <w:szCs w:val="48"/>
        </w:rPr>
      </w:pPr>
      <w:r w:rsidRPr="00284630">
        <w:rPr>
          <w:rFonts w:ascii="HP Simplified Jpan" w:eastAsia="HP Simplified Jpan" w:hAnsi="HP Simplified Jpan" w:cs="Dreaming Outloud Script Pro"/>
          <w:color w:val="A43296"/>
          <w:sz w:val="48"/>
          <w:szCs w:val="48"/>
        </w:rPr>
        <w:t>Business Plan 2026</w:t>
      </w:r>
    </w:p>
    <w:p w14:paraId="1FE574FD" w14:textId="77777777" w:rsidR="001F41A9" w:rsidRPr="001F41A9" w:rsidRDefault="001F41A9" w:rsidP="001F41A9">
      <w:pPr>
        <w:spacing w:line="276" w:lineRule="auto"/>
        <w:jc w:val="center"/>
        <w:rPr>
          <w:rFonts w:ascii="Dreaming Outloud Script Pro" w:eastAsiaTheme="minorEastAsia" w:hAnsi="Dreaming Outloud Script Pro" w:cs="Dreaming Outloud Script Pro"/>
          <w:color w:val="4EA72E" w:themeColor="accent6"/>
          <w:sz w:val="96"/>
          <w:szCs w:val="96"/>
          <w:lang w:eastAsia="en-GB"/>
        </w:rPr>
      </w:pPr>
      <w:r w:rsidRPr="001F41A9">
        <w:rPr>
          <w:rFonts w:ascii="Dreaming Outloud Script Pro" w:eastAsiaTheme="minorEastAsia" w:hAnsi="Dreaming Outloud Script Pro" w:cs="Dreaming Outloud Script Pro"/>
          <w:noProof/>
          <w:color w:val="4EA72E" w:themeColor="accent6"/>
          <w:sz w:val="96"/>
          <w:szCs w:val="96"/>
          <w:lang w:eastAsia="en-GB"/>
        </w:rPr>
        <w:lastRenderedPageBreak/>
        <mc:AlternateContent>
          <mc:Choice Requires="wps">
            <w:drawing>
              <wp:anchor distT="0" distB="0" distL="114300" distR="114300" simplePos="0" relativeHeight="251670528" behindDoc="0" locked="0" layoutInCell="1" allowOverlap="1" wp14:anchorId="03D9401E" wp14:editId="407D670F">
                <wp:simplePos x="0" y="0"/>
                <wp:positionH relativeFrom="column">
                  <wp:posOffset>4244340</wp:posOffset>
                </wp:positionH>
                <wp:positionV relativeFrom="paragraph">
                  <wp:posOffset>-746760</wp:posOffset>
                </wp:positionV>
                <wp:extent cx="2103120" cy="716280"/>
                <wp:effectExtent l="0" t="0" r="0" b="7620"/>
                <wp:wrapNone/>
                <wp:docPr id="2019179998" name="Text Box 14"/>
                <wp:cNvGraphicFramePr/>
                <a:graphic xmlns:a="http://schemas.openxmlformats.org/drawingml/2006/main">
                  <a:graphicData uri="http://schemas.microsoft.com/office/word/2010/wordprocessingShape">
                    <wps:wsp>
                      <wps:cNvSpPr txBox="1"/>
                      <wps:spPr>
                        <a:xfrm>
                          <a:off x="0" y="0"/>
                          <a:ext cx="2103120" cy="716280"/>
                        </a:xfrm>
                        <a:prstGeom prst="rect">
                          <a:avLst/>
                        </a:prstGeom>
                        <a:solidFill>
                          <a:sysClr val="window" lastClr="FFFFFF"/>
                        </a:solidFill>
                        <a:ln w="6350">
                          <a:noFill/>
                        </a:ln>
                      </wps:spPr>
                      <wps:txbx>
                        <w:txbxContent>
                          <w:p w14:paraId="15030708" w14:textId="77777777" w:rsidR="001F41A9" w:rsidRPr="00B246A6" w:rsidRDefault="001F41A9" w:rsidP="001F41A9">
                            <w:pPr>
                              <w:rPr>
                                <w:rFonts w:ascii="Arial" w:hAnsi="Arial" w:cs="Arial"/>
                                <w:sz w:val="16"/>
                                <w:szCs w:val="16"/>
                              </w:rPr>
                            </w:pPr>
                            <w:r w:rsidRPr="00B246A6">
                              <w:rPr>
                                <w:rFonts w:ascii="Arial" w:hAnsi="Arial" w:cs="Arial"/>
                                <w:sz w:val="16"/>
                                <w:szCs w:val="16"/>
                              </w:rPr>
                              <w:t>Student Number: 2315485</w:t>
                            </w:r>
                          </w:p>
                          <w:p w14:paraId="30316A6A" w14:textId="77777777" w:rsidR="001F41A9" w:rsidRPr="00B246A6" w:rsidRDefault="001F41A9" w:rsidP="001F41A9">
                            <w:pPr>
                              <w:rPr>
                                <w:rFonts w:ascii="Arial" w:hAnsi="Arial" w:cs="Arial"/>
                                <w:sz w:val="16"/>
                                <w:szCs w:val="16"/>
                              </w:rPr>
                            </w:pPr>
                            <w:r w:rsidRPr="00B246A6">
                              <w:rPr>
                                <w:rFonts w:ascii="Arial" w:hAnsi="Arial" w:cs="Arial"/>
                                <w:sz w:val="16"/>
                                <w:szCs w:val="16"/>
                              </w:rPr>
                              <w:t>Module Code:</w:t>
                            </w:r>
                            <w:r>
                              <w:rPr>
                                <w:rFonts w:ascii="Arial" w:hAnsi="Arial" w:cs="Arial"/>
                                <w:sz w:val="16"/>
                                <w:szCs w:val="16"/>
                              </w:rPr>
                              <w:t xml:space="preserve"> ECEY6012/C</w:t>
                            </w:r>
                          </w:p>
                          <w:p w14:paraId="72CC3A4C" w14:textId="77777777" w:rsidR="001F41A9" w:rsidRPr="00B246A6" w:rsidRDefault="001F41A9" w:rsidP="001F41A9">
                            <w:pPr>
                              <w:rPr>
                                <w:rFonts w:ascii="Arial" w:hAnsi="Arial" w:cs="Arial"/>
                                <w:sz w:val="16"/>
                                <w:szCs w:val="16"/>
                              </w:rPr>
                            </w:pPr>
                            <w:r w:rsidRPr="00B246A6">
                              <w:rPr>
                                <w:rFonts w:ascii="Arial" w:hAnsi="Arial" w:cs="Arial"/>
                                <w:sz w:val="16"/>
                                <w:szCs w:val="16"/>
                              </w:rPr>
                              <w:t>Word Count: 3200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D9401E" id="_x0000_t202" coordsize="21600,21600" o:spt="202" path="m,l,21600r21600,l21600,xe">
                <v:stroke joinstyle="miter"/>
                <v:path gradientshapeok="t" o:connecttype="rect"/>
              </v:shapetype>
              <v:shape id="Text Box 14" o:spid="_x0000_s1026" type="#_x0000_t202" style="position:absolute;left:0;text-align:left;margin-left:334.2pt;margin-top:-58.8pt;width:165.6pt;height:56.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" fillcolor="window" stroked="f" strokeweight=".5pt">
                <v:textbox>
                  <w:txbxContent>
                    <w:p w14:paraId="15030708" w14:textId="77777777" w:rsidR="001F41A9" w:rsidRPr="00B246A6" w:rsidRDefault="001F41A9" w:rsidP="001F41A9">
                      <w:pPr>
                        <w:rPr>
                          <w:rFonts w:ascii="Arial" w:hAnsi="Arial" w:cs="Arial"/>
                          <w:sz w:val="16"/>
                          <w:szCs w:val="16"/>
                        </w:rPr>
                      </w:pPr>
                      <w:r w:rsidRPr="00B246A6">
                        <w:rPr>
                          <w:rFonts w:ascii="Arial" w:hAnsi="Arial" w:cs="Arial"/>
                          <w:sz w:val="16"/>
                          <w:szCs w:val="16"/>
                        </w:rPr>
                        <w:t>Student Number: 2315485</w:t>
                      </w:r>
                    </w:p>
                    <w:p w14:paraId="30316A6A" w14:textId="77777777" w:rsidR="001F41A9" w:rsidRPr="00B246A6" w:rsidRDefault="001F41A9" w:rsidP="001F41A9">
                      <w:pPr>
                        <w:rPr>
                          <w:rFonts w:ascii="Arial" w:hAnsi="Arial" w:cs="Arial"/>
                          <w:sz w:val="16"/>
                          <w:szCs w:val="16"/>
                        </w:rPr>
                      </w:pPr>
                      <w:r w:rsidRPr="00B246A6">
                        <w:rPr>
                          <w:rFonts w:ascii="Arial" w:hAnsi="Arial" w:cs="Arial"/>
                          <w:sz w:val="16"/>
                          <w:szCs w:val="16"/>
                        </w:rPr>
                        <w:t>Module Code:</w:t>
                      </w:r>
                      <w:r>
                        <w:rPr>
                          <w:rFonts w:ascii="Arial" w:hAnsi="Arial" w:cs="Arial"/>
                          <w:sz w:val="16"/>
                          <w:szCs w:val="16"/>
                        </w:rPr>
                        <w:t xml:space="preserve"> ECEY6012/C</w:t>
                      </w:r>
                    </w:p>
                    <w:p w14:paraId="72CC3A4C" w14:textId="77777777" w:rsidR="001F41A9" w:rsidRPr="00B246A6" w:rsidRDefault="001F41A9" w:rsidP="001F41A9">
                      <w:pPr>
                        <w:rPr>
                          <w:rFonts w:ascii="Arial" w:hAnsi="Arial" w:cs="Arial"/>
                          <w:sz w:val="16"/>
                          <w:szCs w:val="16"/>
                        </w:rPr>
                      </w:pPr>
                      <w:r w:rsidRPr="00B246A6">
                        <w:rPr>
                          <w:rFonts w:ascii="Arial" w:hAnsi="Arial" w:cs="Arial"/>
                          <w:sz w:val="16"/>
                          <w:szCs w:val="16"/>
                        </w:rPr>
                        <w:t>Word Count: 3200</w:t>
                      </w:r>
                    </w:p>
                  </w:txbxContent>
                </v:textbox>
              </v:shape>
            </w:pict>
          </mc:Fallback>
        </mc:AlternateContent>
      </w:r>
      <w:r w:rsidRPr="001F41A9">
        <w:rPr>
          <w:rFonts w:ascii="Dreaming Outloud Script Pro" w:eastAsiaTheme="minorEastAsia" w:hAnsi="Dreaming Outloud Script Pro" w:cs="Dreaming Outloud Script Pro"/>
          <w:color w:val="4EA72E" w:themeColor="accent6"/>
          <w:sz w:val="96"/>
          <w:szCs w:val="96"/>
          <w:lang w:eastAsia="en-GB"/>
        </w:rPr>
        <w:t>The Reggio@Trinity</w:t>
      </w:r>
    </w:p>
    <w:p w14:paraId="40C5DFA8" w14:textId="77777777" w:rsidR="001F41A9" w:rsidRPr="001F41A9" w:rsidRDefault="001F41A9" w:rsidP="001F41A9">
      <w:pPr>
        <w:spacing w:line="276" w:lineRule="auto"/>
        <w:jc w:val="center"/>
        <w:rPr>
          <w:rFonts w:ascii="Dreaming Outloud Script Pro" w:eastAsiaTheme="minorEastAsia" w:hAnsi="Dreaming Outloud Script Pro" w:cs="Dreaming Outloud Script Pro"/>
          <w:color w:val="4EA72E" w:themeColor="accent6"/>
          <w:sz w:val="28"/>
          <w:szCs w:val="28"/>
          <w:lang w:eastAsia="en-GB"/>
        </w:rPr>
      </w:pPr>
      <w:r w:rsidRPr="001F41A9">
        <w:rPr>
          <w:rFonts w:ascii="Dreaming Outloud Script Pro" w:eastAsiaTheme="minorEastAsia" w:hAnsi="Dreaming Outloud Script Pro" w:cs="Dreaming Outloud Script Pro"/>
          <w:color w:val="4EA72E" w:themeColor="accent6"/>
          <w:sz w:val="28"/>
          <w:szCs w:val="28"/>
          <w:lang w:eastAsia="en-GB"/>
        </w:rPr>
        <w:t>The forest School – Reggio Emilio Developmental Experience</w:t>
      </w:r>
    </w:p>
    <w:p w14:paraId="02221065"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p>
    <w:p w14:paraId="6FDB966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25E79214" wp14:editId="3FDBC4C2">
                <wp:extent cx="2703195" cy="1270"/>
                <wp:effectExtent l="9525" t="9525" r="11430" b="8255"/>
                <wp:docPr id="2055821577"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10E9AB2B" id="Rectangle 13"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5626EC74" w14:textId="77777777" w:rsidR="001F41A9" w:rsidRPr="001F41A9" w:rsidRDefault="001F41A9" w:rsidP="001F41A9">
      <w:pPr>
        <w:spacing w:before="100" w:beforeAutospacing="1" w:after="100" w:afterAutospacing="1" w:line="24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Business Plan: Reggio Emilia–Inspired and Forest School Nursery, Wales</w:t>
      </w:r>
    </w:p>
    <w:p w14:paraId="2E49FDAD"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p>
    <w:p w14:paraId="6795A006" w14:textId="77777777" w:rsidR="001F41A9" w:rsidRPr="001F41A9" w:rsidRDefault="001F41A9" w:rsidP="001F41A9">
      <w:pPr>
        <w:spacing w:before="100" w:beforeAutospacing="1" w:after="100" w:afterAutospacing="1" w:line="24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Executive Summary</w:t>
      </w:r>
    </w:p>
    <w:p w14:paraId="7228FFA3"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p>
    <w:p w14:paraId="29E3FAE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This business plan presents a critical feasibility analysis for the establishment of a Reggio Emilia–inspired and Forest School nursery in Wales, designed for children aged 2–5 years. The proposed provision integrates two internationally recognised pedagogical approaches within the statutory and policy context of Welsh early years education. The model responds to increasing demand for child-centred, inclusive, outdoor and wellbeing-focused provision, while remaining compliant with Care Inspectorate Wales (CIW) regulation and Estyn inspection frameworks (Estyn, 2023; CIW, 2024-25).</w:t>
      </w:r>
    </w:p>
    <w:p w14:paraId="2A1DAFA9" w14:textId="77777777" w:rsidR="001F41A9" w:rsidRPr="001F41A9" w:rsidRDefault="001F41A9" w:rsidP="00705AFF">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Reggio Emilia pedagogy positions children as capable, competent learners who construct knowledge through relationships, environments and symbolic expression </w:t>
      </w:r>
      <w:r w:rsidRPr="001F41A9">
        <w:rPr>
          <w:rFonts w:ascii="Arial" w:eastAsia="Times New Roman" w:hAnsi="Arial" w:cs="Arial"/>
          <w:kern w:val="0"/>
          <w:lang w:eastAsia="en-GB"/>
          <w14:ligatures w14:val="none"/>
        </w:rPr>
        <w:t xml:space="preserve">(Hall, 2010; Mphahlele, 2019; Senent,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2021; Seyyed Amir Ghasemtabar; 2022; Fleet, 2022;</w:t>
      </w:r>
      <w:r w:rsidRPr="001F41A9">
        <w:rPr>
          <w:rFonts w:ascii="Arial" w:eastAsiaTheme="minorEastAsia" w:hAnsi="Arial" w:cs="Arial"/>
          <w:color w:val="EE0000"/>
          <w:kern w:val="0"/>
          <w:lang w:eastAsia="en-GB"/>
          <w14:ligatures w14:val="none"/>
        </w:rPr>
        <w:t xml:space="preserve"> </w:t>
      </w:r>
      <w:r w:rsidRPr="001F41A9">
        <w:rPr>
          <w:rFonts w:ascii="Arial" w:eastAsiaTheme="minorEastAsia" w:hAnsi="Arial" w:cs="Arial"/>
          <w:kern w:val="0"/>
          <w:lang w:eastAsia="en-GB"/>
          <w14:ligatures w14:val="none"/>
        </w:rPr>
        <w:t xml:space="preserve">Edwards, Gandini and Forman, 2012; Leggett; Rinaldi, 2021). Forest School pedagogy complements this by providing sustained, nature-based learning experiences that promote resilience, confidence, physical wellbeing and environmental stewardship (Knight, 2016; Johnson and Watts, 2018; Smith, et al., 2018; Ouvry and Furtado, 2020; Rekers and Waters-Davies, 202; 1Dabaja, 2022; Knight,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2024). Together, these approaches align strongly with the Curriculum for Wales, which emphasises holistic development, experiential learning and learner agency (Welsh Government, 2025; 2024a; 2024).</w:t>
      </w:r>
    </w:p>
    <w:p w14:paraId="4FE8B944" w14:textId="6A4C479E" w:rsidR="00D034DA" w:rsidRPr="001F41A9" w:rsidRDefault="001F41A9" w:rsidP="001F41A9">
      <w:pPr>
        <w:spacing w:after="0" w:line="360" w:lineRule="auto"/>
        <w:contextualSpacing/>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lastRenderedPageBreak/>
        <w:t>Market analysis conducted through</w:t>
      </w:r>
      <w:r w:rsidR="00481C41">
        <w:rPr>
          <w:rFonts w:ascii="Arial" w:eastAsiaTheme="minorEastAsia" w:hAnsi="Arial" w:cs="Arial"/>
          <w:kern w:val="0"/>
          <w:lang w:eastAsia="en-GB"/>
          <w14:ligatures w14:val="none"/>
        </w:rPr>
        <w:t xml:space="preserve"> academic research and</w:t>
      </w:r>
      <w:r w:rsidRPr="001F41A9">
        <w:rPr>
          <w:rFonts w:ascii="Arial" w:eastAsiaTheme="minorEastAsia" w:hAnsi="Arial" w:cs="Arial"/>
          <w:kern w:val="0"/>
          <w:lang w:eastAsia="en-GB"/>
          <w14:ligatures w14:val="none"/>
        </w:rPr>
        <w:t xml:space="preserve"> online parental questionnaires and informal parental interviews, indicates growing parental demand for pedagogies that prioritise wellbeing, outdoor learning and inclusion, particularly in response to post-pandemic concerns regarding children’s mental health and social development (</w:t>
      </w:r>
      <w:r w:rsidRPr="001F41A9">
        <w:rPr>
          <w:rFonts w:ascii="Arial" w:eastAsia="Times New Roman" w:hAnsi="Arial" w:cs="Arial"/>
          <w:kern w:val="0"/>
          <w:lang w:eastAsia="en-GB"/>
          <w14:ligatures w14:val="none"/>
        </w:rPr>
        <w:t>Jordan, and Chawla, 2019; Barrable, 2022;</w:t>
      </w:r>
      <w:r w:rsidRPr="001F41A9">
        <w:rPr>
          <w:rFonts w:ascii="Arial" w:eastAsiaTheme="minorEastAsia" w:hAnsi="Arial" w:cs="Arial"/>
          <w:color w:val="222222"/>
          <w:shd w:val="clear" w:color="auto" w:fill="FFFFFF"/>
          <w:lang w:eastAsia="en-GB"/>
        </w:rPr>
        <w:t xml:space="preserve"> Powers, and Ridge, 2018; </w:t>
      </w:r>
      <w:r w:rsidRPr="001F41A9">
        <w:rPr>
          <w:rFonts w:ascii="Arial" w:eastAsia="Times New Roman" w:hAnsi="Arial" w:cs="Arial"/>
          <w:kern w:val="0"/>
          <w:lang w:eastAsia="en-GB"/>
          <w14:ligatures w14:val="none"/>
        </w:rPr>
        <w:t xml:space="preserve">King,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2024; von Au, and Jucker, 2022; Traynor,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2022; von Au, and Jucker, 2022; Kemp, and Josephidou, 2023; Kiviranta,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2024).</w:t>
      </w:r>
    </w:p>
    <w:p w14:paraId="2E183B7F"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p>
    <w:p w14:paraId="72AF5026"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Financial modelling demonstrates that the nursery is viable through a blended income approach combining parental fees, Welsh Government funded childcare entitlements, and targeted grant funding streams (Welsh Government, 2025; 2025a).</w:t>
      </w:r>
    </w:p>
    <w:p w14:paraId="4AA2B9E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plan addresses operational risks including staffing pressures, weather dependency and regulatory compliance through proactive workforce development, adaptive curriculum design and continuous engagement with Welsh policy frameworks. Overall, the proposed nursery represents a sustainable, policy-aligned and pedagogically distinctive model that contributes to national priorities for early years education, wellbeing and sustainability in Wales (Welsh Government, 2023; Legislation. Government. UK, 2015).</w:t>
      </w:r>
    </w:p>
    <w:p w14:paraId="5FC32670" w14:textId="77777777" w:rsidR="001F41A9" w:rsidRP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6D1828DB" wp14:editId="52E4465B">
                <wp:extent cx="2703195" cy="1270"/>
                <wp:effectExtent l="9525" t="9525" r="11430" b="8255"/>
                <wp:docPr id="2121004722"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63AC170D" id="Rectangle 12"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7CA729A1" w14:textId="1BDF3BFB" w:rsidR="001F41A9" w:rsidRPr="00707DA8" w:rsidRDefault="001F41A9" w:rsidP="00707DA8">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1. Business Description and Vision</w:t>
      </w:r>
    </w:p>
    <w:p w14:paraId="33F4F4AF"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1.1 Vision and Mission</w:t>
      </w:r>
    </w:p>
    <w:p w14:paraId="575BA654" w14:textId="3768BB82"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The vision of the proposed nursery is to establish a </w:t>
      </w:r>
      <w:r w:rsidR="006C2FF2" w:rsidRPr="001F41A9">
        <w:rPr>
          <w:rFonts w:ascii="Arial" w:eastAsiaTheme="minorEastAsia" w:hAnsi="Arial" w:cs="Arial"/>
          <w:kern w:val="0"/>
          <w:lang w:eastAsia="en-GB"/>
          <w14:ligatures w14:val="none"/>
        </w:rPr>
        <w:t>pioneering early year</w:t>
      </w:r>
      <w:r w:rsidR="006C2FF2">
        <w:rPr>
          <w:rFonts w:ascii="Arial" w:eastAsiaTheme="minorEastAsia" w:hAnsi="Arial" w:cs="Arial"/>
          <w:kern w:val="0"/>
          <w:lang w:eastAsia="en-GB"/>
          <w14:ligatures w14:val="none"/>
        </w:rPr>
        <w:t xml:space="preserve">’s </w:t>
      </w:r>
      <w:r w:rsidRPr="001F41A9">
        <w:rPr>
          <w:rFonts w:ascii="Arial" w:eastAsiaTheme="minorEastAsia" w:hAnsi="Arial" w:cs="Arial"/>
          <w:kern w:val="0"/>
          <w:lang w:eastAsia="en-GB"/>
          <w14:ligatures w14:val="none"/>
        </w:rPr>
        <w:t xml:space="preserve">setting </w:t>
      </w:r>
      <w:r w:rsidR="00A93E36">
        <w:rPr>
          <w:rFonts w:ascii="Arial" w:eastAsiaTheme="minorEastAsia" w:hAnsi="Arial" w:cs="Arial"/>
          <w:kern w:val="0"/>
          <w:lang w:eastAsia="en-GB"/>
          <w14:ligatures w14:val="none"/>
        </w:rPr>
        <w:t>here in Carmarthen,</w:t>
      </w:r>
      <w:r w:rsidR="00A51A26">
        <w:rPr>
          <w:rFonts w:ascii="Arial" w:eastAsiaTheme="minorEastAsia" w:hAnsi="Arial" w:cs="Arial"/>
          <w:kern w:val="0"/>
          <w:lang w:eastAsia="en-GB"/>
          <w14:ligatures w14:val="none"/>
        </w:rPr>
        <w:t xml:space="preserve"> </w:t>
      </w:r>
      <w:r w:rsidRPr="001F41A9">
        <w:rPr>
          <w:rFonts w:ascii="Arial" w:eastAsiaTheme="minorEastAsia" w:hAnsi="Arial" w:cs="Arial"/>
          <w:kern w:val="0"/>
          <w:lang w:eastAsia="en-GB"/>
          <w14:ligatures w14:val="none"/>
        </w:rPr>
        <w:t>Wales that integrates Reggio Emilia and Forest School pedagogy to nurture children as capable, creative and ethically engaged learners. This vision reflects international research emphasising children’s rights to agency, participation and meaningful learning experiences (UNCRC, 1989; United Nations, 2005 and 2005; Sandin, 2023; Murphy and Waters- Davies, 2022)</w:t>
      </w:r>
    </w:p>
    <w:p w14:paraId="7208CCA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lastRenderedPageBreak/>
        <w:t xml:space="preserve">The mission is to provide a high-quality, inclusive and environmentally responsible early childhood experience that foregrounds wellbeing, curiosity and relational pedagogy. Central to this mission is the belief that early learning environments should function as democratic spaces in which children, families and practitioners co-construct knowledge and values (Moss, 2019; Dahlberg,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2000; Moss, 2016; Rademacher,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2025). </w:t>
      </w:r>
    </w:p>
    <w:p w14:paraId="66A93283" w14:textId="2E3B95DD"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This positioning also responds to critiques of increasingly performative and accountability-driven early years systems, offering an alternative narrative focused on ethical practice and professional autonomy (Osgood, 2006; Cliffe and Solvason, 2022; Prioletta and Davies, 2024; Roberts-Holmes, and Bradbury, 2016; Moss and Roberts-Holmes, 2022).</w:t>
      </w:r>
    </w:p>
    <w:p w14:paraId="0403C1FB"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1.2 Business Objectives</w:t>
      </w:r>
    </w:p>
    <w:p w14:paraId="1F356D5D"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The nursery’s objectives are pedagogical, operational and financial. Pedagogically, the setting aims to deliver a child-centred curriculum that integrates emergent inquiry, outdoor learning and multimodal expression, consistent with Reggio Emilia principles and Forest School methodology (Edwards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2012; Leggett, 2024; </w:t>
      </w:r>
      <w:r w:rsidRPr="001F41A9">
        <w:rPr>
          <w:rFonts w:ascii="Arial" w:eastAsia="Times New Roman" w:hAnsi="Arial" w:cs="Arial"/>
          <w:kern w:val="0"/>
          <w:lang w:eastAsia="en-GB"/>
          <w14:ligatures w14:val="none"/>
        </w:rPr>
        <w:t>Fernández-Santín, and Feliu-Torruella, 2020;</w:t>
      </w:r>
      <w:r w:rsidRPr="001F41A9">
        <w:rPr>
          <w:rFonts w:ascii="Arial" w:eastAsiaTheme="minorEastAsia" w:hAnsi="Arial" w:cs="Arial"/>
          <w:kern w:val="0"/>
          <w:lang w:eastAsia="en-GB"/>
          <w14:ligatures w14:val="none"/>
        </w:rPr>
        <w:t xml:space="preserve"> Knight, 2016; Fleer, 2019; Nedovic,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2024).</w:t>
      </w:r>
    </w:p>
    <w:p w14:paraId="5FB13E95"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Operationally, the nursery seeks to achieve financial sustainability within the first two years of operation through diversified income streams and prudent cost management, while maintaining staff-to-child ratios that exceed statutory minimums to support relational pedagogy and inclusion (Welsh Government, 2023; Campbell-Barr and Leeson, 2016; Mathers and Ereky-Stevens, 2018).</w:t>
      </w:r>
    </w:p>
    <w:p w14:paraId="612E7731" w14:textId="6F720717" w:rsidR="001F41A9" w:rsidRPr="00703F5D" w:rsidRDefault="001F41A9" w:rsidP="00703F5D">
      <w:pPr>
        <w:spacing w:after="0" w:line="360" w:lineRule="auto"/>
        <w:contextualSpacing/>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t xml:space="preserve">Social objectives include fostering strong partnerships with families, community organisations and local authorities, recognising parental engagement as a key determinant of children’s learning outcomes (Goodall and Montgomery, 2014; Cutshaw,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.,2022). Environmental objectives focus on promoting sustainability and ethical relationships with local ecosystems, reflecting research on early childhood education for sustainability and place-based learning (Duhn, 2012; </w:t>
      </w:r>
      <w:r w:rsidRPr="001F41A9">
        <w:rPr>
          <w:rFonts w:ascii="Arial" w:eastAsia="Times New Roman" w:hAnsi="Arial" w:cs="Arial"/>
          <w:kern w:val="0"/>
          <w:lang w:eastAsia="en-GB"/>
          <w14:ligatures w14:val="none"/>
        </w:rPr>
        <w:t xml:space="preserve">Elliott, </w:t>
      </w:r>
      <w:r w:rsidRPr="001F41A9">
        <w:rPr>
          <w:rFonts w:ascii="Arial" w:eastAsia="Times New Roman" w:hAnsi="Arial" w:cs="Arial"/>
          <w:kern w:val="0"/>
          <w:lang w:eastAsia="en-GB"/>
          <w14:ligatures w14:val="none"/>
        </w:rPr>
        <w:lastRenderedPageBreak/>
        <w:t>Ärlemalm-Hagsér, and Davis, 2020; Pahnke, Oberthuer, and Henke, 2024; Marwa Elbaz, 2023; Khine, 2024).</w:t>
      </w:r>
    </w:p>
    <w:p w14:paraId="4E9F8AE9"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1.3 Legal Structure</w:t>
      </w:r>
    </w:p>
    <w:p w14:paraId="5BC50CB8" w14:textId="6F149290"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The nursery will operate as a private limited company (Ltd). This structure provides limited liability, financial transparency and governance flexibility, while supporting accountability to regulators and funders (Lewis and West, 2017; Lloyd-Reichling, 2019). Profits will be reinvested into quality improvement, staff development and environmental enhancement, aligning with ethical leadership models in early childhood education (Day, 2014; Urban </w:t>
      </w:r>
      <w:r w:rsidRPr="00127F8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2011</w:t>
      </w:r>
      <w:r w:rsidR="00BC581A">
        <w:rPr>
          <w:rFonts w:ascii="Arial" w:eastAsiaTheme="minorEastAsia" w:hAnsi="Arial" w:cs="Arial"/>
          <w:kern w:val="0"/>
          <w:lang w:eastAsia="en-GB"/>
          <w14:ligatures w14:val="none"/>
        </w:rPr>
        <w:t xml:space="preserve">; </w:t>
      </w:r>
      <w:r w:rsidR="00BC581A" w:rsidRPr="00145D0E">
        <w:rPr>
          <w:rFonts w:ascii="Arial" w:eastAsia="Times New Roman" w:hAnsi="Arial" w:cs="Arial"/>
          <w:kern w:val="0"/>
          <w:lang w:eastAsia="en-GB"/>
          <w14:ligatures w14:val="none"/>
        </w:rPr>
        <w:t>Heikkinen</w:t>
      </w:r>
      <w:r w:rsidR="00BC581A" w:rsidRPr="004D6A49">
        <w:rPr>
          <w:rFonts w:ascii="Arial" w:eastAsia="Times New Roman" w:hAnsi="Arial" w:cs="Arial"/>
          <w:kern w:val="0"/>
          <w:lang w:eastAsia="en-GB"/>
          <w14:ligatures w14:val="none"/>
        </w:rPr>
        <w:t xml:space="preserve"> </w:t>
      </w:r>
      <w:r w:rsidR="00BC581A" w:rsidRPr="004D6A49">
        <w:rPr>
          <w:rFonts w:ascii="Arial" w:eastAsia="Times New Roman" w:hAnsi="Arial" w:cs="Arial"/>
          <w:i/>
          <w:iCs/>
          <w:kern w:val="0"/>
          <w:lang w:eastAsia="en-GB"/>
          <w14:ligatures w14:val="none"/>
        </w:rPr>
        <w:t>et al</w:t>
      </w:r>
      <w:r w:rsidR="00127F89" w:rsidRPr="004D6A49">
        <w:rPr>
          <w:rFonts w:ascii="Arial" w:eastAsia="Times New Roman" w:hAnsi="Arial" w:cs="Arial"/>
          <w:kern w:val="0"/>
          <w:lang w:eastAsia="en-GB"/>
          <w14:ligatures w14:val="none"/>
        </w:rPr>
        <w:t>.</w:t>
      </w:r>
      <w:r w:rsidR="00BC581A" w:rsidRPr="004D6A49">
        <w:rPr>
          <w:rFonts w:ascii="Arial" w:eastAsia="Times New Roman" w:hAnsi="Arial" w:cs="Arial"/>
          <w:kern w:val="0"/>
          <w:lang w:eastAsia="en-GB"/>
          <w14:ligatures w14:val="none"/>
        </w:rPr>
        <w:t>, 2024;</w:t>
      </w:r>
      <w:r w:rsidRPr="004D6A49">
        <w:rPr>
          <w:rFonts w:ascii="Arial" w:eastAsiaTheme="minorEastAsia" w:hAnsi="Arial" w:cs="Arial"/>
          <w:kern w:val="0"/>
          <w:lang w:eastAsia="en-GB"/>
          <w14:ligatures w14:val="none"/>
        </w:rPr>
        <w:t xml:space="preserve"> </w:t>
      </w:r>
      <w:r w:rsidRPr="001F41A9">
        <w:rPr>
          <w:rFonts w:ascii="Arial" w:eastAsiaTheme="minorEastAsia" w:hAnsi="Arial" w:cs="Arial"/>
          <w:kern w:val="0"/>
          <w:lang w:eastAsia="en-GB"/>
          <w14:ligatures w14:val="none"/>
        </w:rPr>
        <w:t>Silva, 2019; Hostettler Scharer, 2024).</w:t>
      </w:r>
    </w:p>
    <w:p w14:paraId="3185DDAA" w14:textId="77777777" w:rsidR="001F41A9" w:rsidRP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1A6BE102" wp14:editId="37A3DC4C">
                <wp:extent cx="2703195" cy="1270"/>
                <wp:effectExtent l="9525" t="9525" r="11430" b="8255"/>
                <wp:docPr id="1122361129"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59DB2B0C" id="Rectangle 11"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77958F08"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2. Market Analysis</w:t>
      </w:r>
    </w:p>
    <w:p w14:paraId="3F9D22A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0A4797DF"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2.1 Sector Overview</w:t>
      </w:r>
    </w:p>
    <w:p w14:paraId="7799FDC1"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early years sector in Wales is undergoing significant transformation driven by policy reform, workforce professionalisation and changing societal expectations. The Curriculum for Wales and Foundation Learning Framework emphasise holistic development, experiential learning and progression through play, aligning closely with Reggio Emilia and Forest School philosophies (Welsh Government, 2023; 2023a). Concurrently, the Well-being of Future Generations (Wales) Act 2015 positions early childhood education as a key contributor to long-term social, environmental and economic wellbeing (Legislation. Government. UK, 2015).</w:t>
      </w:r>
    </w:p>
    <w:p w14:paraId="69A8DAB5"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Regulatory oversight by CIW and Estyn places increasing emphasis on wellbeing, safeguarding, inclusion and reflective practice, rather than narrow attainment measures (Estyn, 2023; 2025; CIW, 2024-25). This policy context creates favourable conditions for innovative, values-driven provision that can demonstrate both pedagogical quality and regulatory compliance (Penn, 2014;</w:t>
      </w:r>
      <w:r w:rsidRPr="001F41A9">
        <w:rPr>
          <w:rFonts w:ascii="Arial" w:eastAsia="Times New Roman" w:hAnsi="Arial" w:cs="Arial"/>
          <w:kern w:val="0"/>
          <w:lang w:eastAsia="en-GB"/>
          <w14:ligatures w14:val="none"/>
        </w:rPr>
        <w:t xml:space="preserve"> Ampartzaki, and Kalogiannakis, 2022; </w:t>
      </w:r>
      <w:r w:rsidRPr="001F41A9">
        <w:rPr>
          <w:rFonts w:ascii="Arial" w:eastAsiaTheme="minorEastAsia" w:hAnsi="Arial" w:cs="Arial"/>
          <w:color w:val="222222"/>
          <w:shd w:val="clear" w:color="auto" w:fill="FFFFFF"/>
          <w:lang w:eastAsia="en-GB"/>
        </w:rPr>
        <w:t xml:space="preserve">Gyekye-Ampofo, </w:t>
      </w:r>
      <w:r w:rsidRPr="001F41A9">
        <w:rPr>
          <w:rFonts w:ascii="Arial" w:eastAsiaTheme="minorEastAsia" w:hAnsi="Arial" w:cs="Arial"/>
          <w:i/>
          <w:iCs/>
          <w:color w:val="222222"/>
          <w:shd w:val="clear" w:color="auto" w:fill="FFFFFF"/>
          <w:lang w:eastAsia="en-GB"/>
        </w:rPr>
        <w:t>et al</w:t>
      </w:r>
      <w:r w:rsidRPr="001F41A9">
        <w:rPr>
          <w:rFonts w:ascii="Arial" w:eastAsiaTheme="minorEastAsia" w:hAnsi="Arial" w:cs="Arial"/>
          <w:color w:val="222222"/>
          <w:shd w:val="clear" w:color="auto" w:fill="FFFFFF"/>
          <w:lang w:eastAsia="en-GB"/>
        </w:rPr>
        <w:t>., 2023</w:t>
      </w:r>
      <w:r w:rsidRPr="001F41A9">
        <w:rPr>
          <w:rFonts w:ascii="Arial" w:eastAsiaTheme="minorEastAsia" w:hAnsi="Arial" w:cs="Arial"/>
          <w:kern w:val="0"/>
          <w:lang w:eastAsia="en-GB"/>
          <w14:ligatures w14:val="none"/>
        </w:rPr>
        <w:t>).</w:t>
      </w:r>
    </w:p>
    <w:p w14:paraId="0DDB4CDD"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lastRenderedPageBreak/>
        <w:t>2.2 Target Market</w:t>
      </w:r>
    </w:p>
    <w:p w14:paraId="31207E79"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target market comprises families with children aged 2–5 years who are seeking high-quality, child-centred and outdoor-oriented provision. This includes parents who prioritise wellbeing, inclusion and environmental values, as well as families accessing blended funding through the Childcare Offer for Wales (Welsh Government, 2025).</w:t>
      </w:r>
    </w:p>
    <w:p w14:paraId="2DE115D7" w14:textId="28CBF15E" w:rsidR="00C717B8"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Evidence suggests that parents increasingly value pedagogical quality, staff expertise and alignment with personal values over purely convenience-based childcare decisions (Sylva, 2010;</w:t>
      </w:r>
      <w:r w:rsidRPr="001F41A9">
        <w:rPr>
          <w:rFonts w:ascii="Arial" w:eastAsia="Times New Roman" w:hAnsi="Arial" w:cs="Arial"/>
          <w:kern w:val="0"/>
          <w:lang w:eastAsia="en-GB"/>
          <w14:ligatures w14:val="none"/>
        </w:rPr>
        <w:t xml:space="preserve"> Murdock, Munsongo, and Nyamor, 2023</w:t>
      </w:r>
      <w:r w:rsidRPr="001F41A9">
        <w:rPr>
          <w:rFonts w:ascii="Arial" w:eastAsiaTheme="minorEastAsia" w:hAnsi="Arial" w:cs="Arial"/>
          <w:kern w:val="0"/>
          <w:lang w:eastAsia="en-GB"/>
          <w14:ligatures w14:val="none"/>
        </w:rPr>
        <w:t xml:space="preserve"> Powell and Smith, 2017). The proposed nursery’s distinctive pedagogical identity is therefore positioned to attract families seeking an alternative to more standardised, outcome-driven models.</w:t>
      </w:r>
    </w:p>
    <w:p w14:paraId="1C26EF9A"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2.3 Market Trends</w:t>
      </w:r>
    </w:p>
    <w:p w14:paraId="6FF2FB2E" w14:textId="6B8B6A6F"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Research consistently demonstrates growing demand for outdoor and nature-based learning experiences due to their positive impacts on children’s physical health, mental wellbeing and social development (Gibson, Cornell and Gill, 2017; Cankaya, et al., 2025; Jeffs and Ord, 2018; Hansen Sandseter,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2023;</w:t>
      </w:r>
      <w:r w:rsidRPr="001F41A9">
        <w:rPr>
          <w:rFonts w:ascii="Arial" w:eastAsia="Times New Roman" w:hAnsi="Arial" w:cs="Arial"/>
          <w:kern w:val="0"/>
          <w:lang w:eastAsia="en-GB"/>
          <w14:ligatures w14:val="none"/>
        </w:rPr>
        <w:t xml:space="preserve"> Jordan, and Chawla, 2019; Barrable, 2022;</w:t>
      </w:r>
      <w:r w:rsidRPr="001F41A9">
        <w:rPr>
          <w:rFonts w:ascii="Arial" w:eastAsiaTheme="minorEastAsia" w:hAnsi="Arial" w:cs="Arial"/>
          <w:color w:val="222222"/>
          <w:shd w:val="clear" w:color="auto" w:fill="FFFFFF"/>
          <w:lang w:eastAsia="en-GB"/>
        </w:rPr>
        <w:t xml:space="preserve"> Powers, and Ridge, 2018; </w:t>
      </w:r>
      <w:r w:rsidRPr="001F41A9">
        <w:rPr>
          <w:rFonts w:ascii="Arial" w:eastAsia="Times New Roman" w:hAnsi="Arial" w:cs="Arial"/>
          <w:kern w:val="0"/>
          <w:lang w:eastAsia="en-GB"/>
          <w14:ligatures w14:val="none"/>
        </w:rPr>
        <w:t xml:space="preserve">King,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2024; von Au, and Jucker, 2022)</w:t>
      </w:r>
      <w:r w:rsidRPr="001F41A9">
        <w:rPr>
          <w:rFonts w:ascii="Arial" w:eastAsiaTheme="minorEastAsia" w:hAnsi="Arial" w:cs="Arial"/>
          <w:kern w:val="0"/>
          <w:lang w:eastAsia="en-GB"/>
          <w14:ligatures w14:val="none"/>
        </w:rPr>
        <w:t xml:space="preserve">.  Longitudinal studies of Forest School indicate benefits in confidence, self-regulation and peer relationships, particularly for children who may struggle in more formal learning environments (Dabaja, 2022; Knight,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2024;</w:t>
      </w:r>
      <w:r w:rsidRPr="001F41A9">
        <w:rPr>
          <w:rFonts w:ascii="Arial" w:eastAsia="Times New Roman" w:hAnsi="Arial" w:cs="Arial"/>
          <w:kern w:val="0"/>
          <w:lang w:eastAsia="en-GB"/>
          <w14:ligatures w14:val="none"/>
        </w:rPr>
        <w:t xml:space="preserve"> Traynor,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2022; von Au, and Jucker, 2022; Kemp, and Josephidou, 2023; Kiviranta,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2024).</w:t>
      </w:r>
    </w:p>
    <w:p w14:paraId="579B0EAB" w14:textId="77777777" w:rsidR="001F41A9" w:rsidRPr="001F41A9" w:rsidRDefault="001F41A9" w:rsidP="001F41A9">
      <w:pPr>
        <w:spacing w:line="360" w:lineRule="auto"/>
        <w:contextualSpacing/>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Inclusion is another significant trend, with increasing recognition of the importance of early identification and support for additional learning needs within universal provision (Knight,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2025 Welsh Government, 2018). Reggio Emilia’s emphasis on observation, documentation and relational assessment aligns well with inclusive practice and the ALN legislative framework in Wales</w:t>
      </w:r>
      <w:r w:rsidRPr="001F41A9">
        <w:rPr>
          <w:rFonts w:ascii="Arial" w:eastAsia="Times New Roman" w:hAnsi="Arial" w:cs="Arial"/>
          <w:color w:val="EE0000"/>
          <w:kern w:val="0"/>
          <w:lang w:eastAsia="en-GB"/>
          <w14:ligatures w14:val="none"/>
        </w:rPr>
        <w:t xml:space="preserve"> </w:t>
      </w:r>
      <w:r w:rsidRPr="001F41A9">
        <w:rPr>
          <w:rFonts w:ascii="Arial" w:eastAsia="Times New Roman" w:hAnsi="Arial" w:cs="Arial"/>
          <w:kern w:val="0"/>
          <w:lang w:eastAsia="en-GB"/>
          <w14:ligatures w14:val="none"/>
        </w:rPr>
        <w:t xml:space="preserve">(Clarkin-Phillips and Carr, 2018; Carr, and Lee, 2012; Sands, and Lee, 2024; Thill. 2025; Nuñez-Janes,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2017;</w:t>
      </w:r>
      <w:r w:rsidRPr="001F41A9">
        <w:rPr>
          <w:rFonts w:ascii="Arial" w:eastAsiaTheme="minorEastAsia" w:hAnsi="Arial" w:cs="Arial"/>
          <w:kern w:val="0"/>
          <w:highlight w:val="yellow"/>
          <w:lang w:eastAsia="en-GB"/>
          <w14:ligatures w14:val="none"/>
        </w:rPr>
        <w:t xml:space="preserve"> </w:t>
      </w:r>
      <w:r w:rsidRPr="001F41A9">
        <w:rPr>
          <w:rFonts w:ascii="Arial" w:eastAsiaTheme="minorEastAsia" w:hAnsi="Arial" w:cs="Arial"/>
          <w:kern w:val="0"/>
          <w:lang w:eastAsia="en-GB"/>
          <w14:ligatures w14:val="none"/>
        </w:rPr>
        <w:t>Rinaldi, 2021).</w:t>
      </w:r>
    </w:p>
    <w:p w14:paraId="728E92CE"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62A2DD1F"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2.4 Competitive Analysis</w:t>
      </w:r>
    </w:p>
    <w:p w14:paraId="1D09EADF"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Local market analysis indicates that most existing nurseries operate within mainstream play-based frameworks, often constrained by standardised routines and indoor-focused environments. While some settings offer outdoor play, few embed Forest School principles through sustained, progressive engagement with nature (Knight, 2016; Cronin de Chavez, 2024; Smith, et al., 2018; Ouvry and Furtado, 2020; Rekers and Waters-Davies, 2021).</w:t>
      </w:r>
    </w:p>
    <w:p w14:paraId="369A6342" w14:textId="1BF2B8B8" w:rsidR="00703F5D"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proposed nursery differentiates itself through its integrated pedagogical model, commitment to reflective documentation and explicit alignment with sustainability and children’s rights. These features respond to calls for more pluralistic and ethically grounded early childhood provision (Moss, 2019; Garrau, 2015).</w:t>
      </w:r>
    </w:p>
    <w:p w14:paraId="2B71D231"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2.5 SWOT Analysis</w:t>
      </w:r>
    </w:p>
    <w:p w14:paraId="48997D23" w14:textId="51FEC6EC"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Strengths include a distinctive pedagogical identity, strong policy alignment and </w:t>
      </w:r>
      <w:r w:rsidR="00157686">
        <w:rPr>
          <w:rFonts w:ascii="Arial" w:eastAsiaTheme="minorEastAsia" w:hAnsi="Arial" w:cs="Arial"/>
          <w:kern w:val="0"/>
          <w:lang w:eastAsia="en-GB"/>
          <w14:ligatures w14:val="none"/>
        </w:rPr>
        <w:t xml:space="preserve">a </w:t>
      </w:r>
      <w:r w:rsidRPr="001F41A9">
        <w:rPr>
          <w:rFonts w:ascii="Arial" w:eastAsiaTheme="minorEastAsia" w:hAnsi="Arial" w:cs="Arial"/>
          <w:kern w:val="0"/>
          <w:lang w:eastAsia="en-GB"/>
          <w14:ligatures w14:val="none"/>
        </w:rPr>
        <w:t xml:space="preserve">growing evidence base for outdoor learning and child-centred practice. Weaknesses include higher staffing and training costs associated with specialist pedagogy and outdoor provision (Urban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2011;</w:t>
      </w:r>
      <w:r w:rsidR="00867A81" w:rsidRPr="00867A81">
        <w:rPr>
          <w:rFonts w:ascii="Arial" w:eastAsia="Times New Roman" w:hAnsi="Arial" w:cs="Arial"/>
          <w:color w:val="EE0000"/>
          <w:kern w:val="0"/>
          <w:lang w:eastAsia="en-GB"/>
          <w14:ligatures w14:val="none"/>
        </w:rPr>
        <w:t xml:space="preserve"> </w:t>
      </w:r>
      <w:r w:rsidR="00867A81" w:rsidRPr="00145D0E">
        <w:rPr>
          <w:rFonts w:ascii="Arial" w:eastAsia="Times New Roman" w:hAnsi="Arial" w:cs="Arial"/>
          <w:kern w:val="0"/>
          <w:lang w:eastAsia="en-GB"/>
          <w14:ligatures w14:val="none"/>
        </w:rPr>
        <w:t>Heikkinen</w:t>
      </w:r>
      <w:r w:rsidR="00867A81" w:rsidRPr="004D6A49">
        <w:rPr>
          <w:rFonts w:ascii="Arial" w:eastAsia="Times New Roman" w:hAnsi="Arial" w:cs="Arial"/>
          <w:kern w:val="0"/>
          <w:lang w:eastAsia="en-GB"/>
          <w14:ligatures w14:val="none"/>
        </w:rPr>
        <w:t xml:space="preserve"> </w:t>
      </w:r>
      <w:r w:rsidR="00867A81" w:rsidRPr="004D6A49">
        <w:rPr>
          <w:rFonts w:ascii="Arial" w:eastAsia="Times New Roman" w:hAnsi="Arial" w:cs="Arial"/>
          <w:i/>
          <w:iCs/>
          <w:kern w:val="0"/>
          <w:lang w:eastAsia="en-GB"/>
          <w14:ligatures w14:val="none"/>
        </w:rPr>
        <w:t>et al</w:t>
      </w:r>
      <w:r w:rsidR="00841CFD" w:rsidRPr="004D6A49">
        <w:rPr>
          <w:rFonts w:ascii="Arial" w:eastAsia="Times New Roman" w:hAnsi="Arial" w:cs="Arial"/>
          <w:kern w:val="0"/>
          <w:lang w:eastAsia="en-GB"/>
          <w14:ligatures w14:val="none"/>
        </w:rPr>
        <w:t>.</w:t>
      </w:r>
      <w:r w:rsidR="00867A81" w:rsidRPr="004D6A49">
        <w:rPr>
          <w:rFonts w:ascii="Arial" w:eastAsia="Times New Roman" w:hAnsi="Arial" w:cs="Arial"/>
          <w:kern w:val="0"/>
          <w:lang w:eastAsia="en-GB"/>
          <w14:ligatures w14:val="none"/>
        </w:rPr>
        <w:t>, 2024;</w:t>
      </w:r>
      <w:r w:rsidRPr="004D6A49">
        <w:rPr>
          <w:rFonts w:ascii="Arial" w:eastAsiaTheme="minorEastAsia" w:hAnsi="Arial" w:cs="Arial"/>
          <w:kern w:val="0"/>
          <w:lang w:eastAsia="en-GB"/>
          <w14:ligatures w14:val="none"/>
        </w:rPr>
        <w:t xml:space="preserve"> </w:t>
      </w:r>
      <w:r w:rsidRPr="001F41A9">
        <w:rPr>
          <w:rFonts w:ascii="Arial" w:eastAsiaTheme="minorEastAsia" w:hAnsi="Arial" w:cs="Arial"/>
          <w:kern w:val="0"/>
          <w:lang w:eastAsia="en-GB"/>
          <w14:ligatures w14:val="none"/>
        </w:rPr>
        <w:t>Silva, 2019; Hostettler Scharer, 2024). Opportunities arise from increasing parental demand, grant funding for sustainability and outdoor learning, and partnerships with schools and community organisations (Welsh Government, 2020; 2025). Threats include workforce shortages, regulatory changes and market competition from larger providers (Lewis and West, 2017; Lloyd-Reichling, 2019).</w:t>
      </w:r>
    </w:p>
    <w:p w14:paraId="436291AA" w14:textId="77777777" w:rsid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24472FE5" wp14:editId="5A052753">
                <wp:extent cx="2703195" cy="1270"/>
                <wp:effectExtent l="9525" t="9525" r="11430" b="8255"/>
                <wp:docPr id="1172334620"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5E18FDAD" id="Rectangle 9"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5EB6FF64" w14:textId="77777777" w:rsidR="00CE1D0E" w:rsidRDefault="00CE1D0E" w:rsidP="001F41A9">
      <w:pPr>
        <w:spacing w:after="0" w:line="360" w:lineRule="auto"/>
        <w:rPr>
          <w:rFonts w:ascii="Arial" w:eastAsia="Times New Roman" w:hAnsi="Arial" w:cs="Arial"/>
          <w:kern w:val="0"/>
          <w:lang w:eastAsia="en-GB"/>
          <w14:ligatures w14:val="none"/>
        </w:rPr>
      </w:pPr>
    </w:p>
    <w:p w14:paraId="5071E672" w14:textId="77777777" w:rsidR="00CE1D0E" w:rsidRDefault="00CE1D0E" w:rsidP="001F41A9">
      <w:pPr>
        <w:spacing w:after="0" w:line="360" w:lineRule="auto"/>
        <w:rPr>
          <w:rFonts w:ascii="Arial" w:eastAsia="Times New Roman" w:hAnsi="Arial" w:cs="Arial"/>
          <w:kern w:val="0"/>
          <w:lang w:eastAsia="en-GB"/>
          <w14:ligatures w14:val="none"/>
        </w:rPr>
      </w:pPr>
    </w:p>
    <w:p w14:paraId="419D6D6C" w14:textId="77777777" w:rsidR="00CE1D0E" w:rsidRDefault="00CE1D0E" w:rsidP="001F41A9">
      <w:pPr>
        <w:spacing w:after="0" w:line="360" w:lineRule="auto"/>
        <w:rPr>
          <w:rFonts w:ascii="Arial" w:eastAsia="Times New Roman" w:hAnsi="Arial" w:cs="Arial"/>
          <w:kern w:val="0"/>
          <w:lang w:eastAsia="en-GB"/>
          <w14:ligatures w14:val="none"/>
        </w:rPr>
      </w:pPr>
    </w:p>
    <w:p w14:paraId="54D1C6E7" w14:textId="77777777" w:rsidR="00CE1D0E" w:rsidRDefault="00CE1D0E" w:rsidP="001F41A9">
      <w:pPr>
        <w:spacing w:after="0" w:line="360" w:lineRule="auto"/>
        <w:rPr>
          <w:rFonts w:ascii="Arial" w:eastAsia="Times New Roman" w:hAnsi="Arial" w:cs="Arial"/>
          <w:kern w:val="0"/>
          <w:lang w:eastAsia="en-GB"/>
          <w14:ligatures w14:val="none"/>
        </w:rPr>
      </w:pPr>
    </w:p>
    <w:p w14:paraId="38819A52" w14:textId="77777777" w:rsidR="00CE1D0E" w:rsidRDefault="00CE1D0E" w:rsidP="001F41A9">
      <w:pPr>
        <w:spacing w:after="0" w:line="360" w:lineRule="auto"/>
        <w:rPr>
          <w:rFonts w:ascii="Arial" w:eastAsia="Times New Roman" w:hAnsi="Arial" w:cs="Arial"/>
          <w:kern w:val="0"/>
          <w:lang w:eastAsia="en-GB"/>
          <w14:ligatures w14:val="none"/>
        </w:rPr>
      </w:pPr>
    </w:p>
    <w:p w14:paraId="22904048" w14:textId="77777777" w:rsidR="00CE1D0E" w:rsidRPr="001F41A9" w:rsidRDefault="00CE1D0E" w:rsidP="001F41A9">
      <w:pPr>
        <w:spacing w:after="0" w:line="360" w:lineRule="auto"/>
        <w:rPr>
          <w:rFonts w:ascii="Arial" w:eastAsia="Times New Roman" w:hAnsi="Arial" w:cs="Arial"/>
          <w:kern w:val="0"/>
          <w:lang w:eastAsia="en-GB"/>
          <w14:ligatures w14:val="none"/>
        </w:rPr>
      </w:pPr>
    </w:p>
    <w:p w14:paraId="03E709DD" w14:textId="2A9E9204" w:rsidR="001F41A9" w:rsidRPr="00CE1D0E" w:rsidRDefault="001F41A9" w:rsidP="00CE1D0E">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lastRenderedPageBreak/>
        <w:t>3. Organisation and Management</w:t>
      </w:r>
    </w:p>
    <w:p w14:paraId="51720EF8"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3.1 Leadership and Governance</w:t>
      </w:r>
    </w:p>
    <w:p w14:paraId="1FB515F7" w14:textId="6068C7E8" w:rsidR="001F41A9" w:rsidRPr="004D6A4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Effective leadership is consistently identified as a critical determinant of quality in early childhood education, influencing pedagogy, staff wellbeing and organisational sustainability (Aubrey, Godfrey and Harris, 2013; Fogarty, 2024; </w:t>
      </w:r>
      <w:r w:rsidRPr="001F41A9">
        <w:rPr>
          <w:rFonts w:ascii="Arial" w:eastAsia="Times New Roman" w:hAnsi="Arial" w:cs="Arial"/>
          <w:kern w:val="0"/>
          <w:lang w:eastAsia="en-GB"/>
          <w14:ligatures w14:val="none"/>
        </w:rPr>
        <w:t>Heikkinen, Ahtiainen, and Fonsén, 2022)</w:t>
      </w:r>
      <w:r w:rsidRPr="001F41A9">
        <w:rPr>
          <w:rFonts w:ascii="Arial" w:eastAsiaTheme="minorEastAsia" w:hAnsi="Arial" w:cs="Arial"/>
          <w:kern w:val="0"/>
          <w:lang w:eastAsia="en-GB"/>
          <w14:ligatures w14:val="none"/>
        </w:rPr>
        <w:t xml:space="preserve">. The proposed nursery will adopt a distributed leadership model that recognises leadership as a relational and pedagogical practice rather than a solely managerial function (Day, 2014; Urban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2011</w:t>
      </w:r>
      <w:r w:rsidRPr="004D6A49">
        <w:rPr>
          <w:rFonts w:ascii="Arial" w:eastAsiaTheme="minorEastAsia" w:hAnsi="Arial" w:cs="Arial"/>
          <w:kern w:val="0"/>
          <w:lang w:eastAsia="en-GB"/>
          <w14:ligatures w14:val="none"/>
        </w:rPr>
        <w:t>;</w:t>
      </w:r>
      <w:r w:rsidR="009B2A67" w:rsidRPr="004D6A49">
        <w:rPr>
          <w:rFonts w:ascii="Arial" w:eastAsia="Times New Roman" w:hAnsi="Arial" w:cs="Arial"/>
          <w:kern w:val="0"/>
          <w:lang w:eastAsia="en-GB"/>
          <w14:ligatures w14:val="none"/>
        </w:rPr>
        <w:t xml:space="preserve"> </w:t>
      </w:r>
      <w:r w:rsidR="009B2A67" w:rsidRPr="00145D0E">
        <w:rPr>
          <w:rFonts w:ascii="Arial" w:eastAsia="Times New Roman" w:hAnsi="Arial" w:cs="Arial"/>
          <w:kern w:val="0"/>
          <w:lang w:eastAsia="en-GB"/>
          <w14:ligatures w14:val="none"/>
        </w:rPr>
        <w:t>Heikkinen</w:t>
      </w:r>
      <w:r w:rsidR="009B2A67" w:rsidRPr="004D6A49">
        <w:rPr>
          <w:rFonts w:ascii="Arial" w:eastAsia="Times New Roman" w:hAnsi="Arial" w:cs="Arial"/>
          <w:kern w:val="0"/>
          <w:lang w:eastAsia="en-GB"/>
          <w14:ligatures w14:val="none"/>
        </w:rPr>
        <w:t xml:space="preserve"> </w:t>
      </w:r>
      <w:r w:rsidR="009B2A67" w:rsidRPr="004D6A49">
        <w:rPr>
          <w:rFonts w:ascii="Arial" w:eastAsia="Times New Roman" w:hAnsi="Arial" w:cs="Arial"/>
          <w:i/>
          <w:iCs/>
          <w:kern w:val="0"/>
          <w:lang w:eastAsia="en-GB"/>
          <w14:ligatures w14:val="none"/>
        </w:rPr>
        <w:t>et al.</w:t>
      </w:r>
      <w:r w:rsidR="009B2A67" w:rsidRPr="004D6A49">
        <w:rPr>
          <w:rFonts w:ascii="Arial" w:eastAsia="Times New Roman" w:hAnsi="Arial" w:cs="Arial"/>
          <w:kern w:val="0"/>
          <w:lang w:eastAsia="en-GB"/>
          <w14:ligatures w14:val="none"/>
        </w:rPr>
        <w:t>,</w:t>
      </w:r>
      <w:r w:rsidR="004D6A49" w:rsidRPr="004D6A49">
        <w:rPr>
          <w:rFonts w:ascii="Arial" w:eastAsia="Times New Roman" w:hAnsi="Arial" w:cs="Arial"/>
          <w:kern w:val="0"/>
          <w:lang w:eastAsia="en-GB"/>
          <w14:ligatures w14:val="none"/>
        </w:rPr>
        <w:t xml:space="preserve"> 2024;</w:t>
      </w:r>
      <w:r w:rsidRPr="004D6A49">
        <w:rPr>
          <w:rFonts w:ascii="Arial" w:eastAsiaTheme="minorEastAsia" w:hAnsi="Arial" w:cs="Arial"/>
          <w:kern w:val="0"/>
          <w:lang w:eastAsia="en-GB"/>
          <w14:ligatures w14:val="none"/>
        </w:rPr>
        <w:t xml:space="preserve"> Silva, 2019; Hostettler Scharer, 2024).</w:t>
      </w:r>
    </w:p>
    <w:p w14:paraId="01185E5B"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Nursery Manager will hold a minimum Level 5 qualification and will be responsible for strategic leadership, regulatory compliance, financial oversight and pedagogical coherence. This role will include responsibility for ensuring alignment with CIW National Minimum Standards and Estyn inspection expectations, particularly in relation to safeguarding, wellbeing and quality of learning experiences (Welsh Government, 2023; Estyn, 2025).</w:t>
      </w:r>
    </w:p>
    <w:p w14:paraId="5629DA86" w14:textId="2AE14163" w:rsidR="001F41A9" w:rsidRPr="00CE1D0E" w:rsidRDefault="001F41A9" w:rsidP="00CE1D0E">
      <w:pPr>
        <w:spacing w:after="180" w:line="360" w:lineRule="auto"/>
        <w:rPr>
          <w:rFonts w:ascii="Arial" w:eastAsia="Times New Roman" w:hAnsi="Arial" w:cs="Arial"/>
          <w:spacing w:val="-6"/>
          <w:kern w:val="0"/>
          <w:lang w:eastAsia="en-GB"/>
          <w14:ligatures w14:val="none"/>
        </w:rPr>
      </w:pPr>
      <w:r w:rsidRPr="001F41A9">
        <w:rPr>
          <w:rFonts w:ascii="Arial" w:eastAsiaTheme="minorEastAsia" w:hAnsi="Arial" w:cs="Arial"/>
          <w:kern w:val="0"/>
          <w:lang w:eastAsia="en-GB"/>
          <w14:ligatures w14:val="none"/>
        </w:rPr>
        <w:t>Pedagogical leadership will be shared with Lead Practitioners, reflecting research that emphasises the importance of practitioner agency and reflective dialogue in sustaining high-quality practice (Siraj-Blatchford and Sylva, 2004; Von Suchodoletz, et al., 2023;</w:t>
      </w:r>
      <w:r w:rsidRPr="001F41A9">
        <w:rPr>
          <w:rFonts w:ascii="Arial" w:eastAsia="Times New Roman" w:hAnsi="Arial" w:cs="Arial"/>
          <w:kern w:val="0"/>
          <w:lang w:eastAsia="en-GB"/>
          <w14:ligatures w14:val="none"/>
        </w:rPr>
        <w:t xml:space="preserve"> Archer, and Siraj, 2015; Murray, 2015; Åström, 2023; Edwards, 2021; Chen, and Wolf, 2021)</w:t>
      </w:r>
      <w:r w:rsidRPr="001F41A9">
        <w:rPr>
          <w:rFonts w:ascii="Arial" w:eastAsia="Times New Roman" w:hAnsi="Arial" w:cs="Arial"/>
          <w:spacing w:val="-6"/>
          <w:kern w:val="0"/>
          <w:lang w:eastAsia="en-GB"/>
          <w14:ligatures w14:val="none"/>
        </w:rPr>
        <w:t xml:space="preserve">. </w:t>
      </w:r>
      <w:r w:rsidRPr="001F41A9">
        <w:rPr>
          <w:rFonts w:ascii="Arial" w:eastAsiaTheme="minorEastAsia" w:hAnsi="Arial" w:cs="Arial"/>
          <w:kern w:val="0"/>
          <w:lang w:eastAsia="en-GB"/>
          <w14:ligatures w14:val="none"/>
        </w:rPr>
        <w:t xml:space="preserve">This approach aligns with Reggio Emilia’s conception of the teacher as researcher, co-learner and reflective practitioner (Rinaldi, 2021; Edwards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2012; Leggett, 2024; Fernadez-Santin and Feliu-Torruella, 2020).</w:t>
      </w:r>
    </w:p>
    <w:p w14:paraId="1EB118C4"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3.2 Staffing Structure and Roles</w:t>
      </w:r>
    </w:p>
    <w:p w14:paraId="0B0FDD57"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staffing structure will include Lead Practitioners qualified to Level 3, supported by assistants and a designated Forest School Leader holding an accredited Forest School qualification. This structure ensures both regulatory compliance and pedagogical integrity, particularly in relation to outdoor learning and risk-managed play (Knight, 2016; Ouvry and Furtado, 2020; Smith, et al., 2018; Rekers and Waters-Davies, 2021)</w:t>
      </w:r>
    </w:p>
    <w:p w14:paraId="71FC035F" w14:textId="342EBFC5" w:rsidR="001F41A9" w:rsidRPr="00CE1D0E" w:rsidRDefault="001F41A9" w:rsidP="00CE1D0E">
      <w:pPr>
        <w:spacing w:after="180" w:line="360" w:lineRule="auto"/>
        <w:rPr>
          <w:rFonts w:ascii="Arial" w:eastAsia="Times New Roman" w:hAnsi="Arial" w:cs="Arial"/>
          <w:spacing w:val="-6"/>
          <w:kern w:val="0"/>
          <w:lang w:eastAsia="en-GB"/>
          <w14:ligatures w14:val="none"/>
        </w:rPr>
      </w:pPr>
      <w:r w:rsidRPr="001F41A9">
        <w:rPr>
          <w:rFonts w:ascii="Arial" w:eastAsiaTheme="minorEastAsia" w:hAnsi="Arial" w:cs="Arial"/>
          <w:kern w:val="0"/>
          <w:lang w:eastAsia="en-GB"/>
          <w14:ligatures w14:val="none"/>
        </w:rPr>
        <w:lastRenderedPageBreak/>
        <w:t>Staffing ratios will exceed statutory minimum requirements to enable sustained interactions, observation and documentation, which are central to both Reggio Emilia pedagogy and inclusive practice (Welsh Government, 2023; Nutbrown, 2005; Campbell-Barr and Leeson, 2016; Mathers and Ereky-Stevens, 2018). Research demonstrates that higher ratios support improved child outcomes, practitioner wellbeing and reflective practice (Sylva, 2010;</w:t>
      </w:r>
      <w:r w:rsidRPr="001F41A9">
        <w:rPr>
          <w:rFonts w:ascii="Arial" w:eastAsia="Times New Roman" w:hAnsi="Arial" w:cs="Arial"/>
          <w:kern w:val="0"/>
          <w:lang w:eastAsia="en-GB"/>
          <w14:ligatures w14:val="none"/>
        </w:rPr>
        <w:t xml:space="preserve"> Murdock, Munsongo, and Nyamor, 2023</w:t>
      </w:r>
      <w:r w:rsidRPr="001F41A9">
        <w:rPr>
          <w:rFonts w:ascii="Arial" w:eastAsiaTheme="minorEastAsia" w:hAnsi="Arial" w:cs="Arial"/>
          <w:kern w:val="0"/>
          <w:lang w:eastAsia="en-GB"/>
          <w14:ligatures w14:val="none"/>
        </w:rPr>
        <w:t xml:space="preserve">; </w:t>
      </w:r>
      <w:r w:rsidRPr="001F41A9">
        <w:rPr>
          <w:rFonts w:ascii="Arial" w:eastAsia="Times New Roman" w:hAnsi="Arial" w:cs="Arial"/>
          <w:kern w:val="0"/>
          <w:lang w:eastAsia="en-GB"/>
          <w14:ligatures w14:val="none"/>
        </w:rPr>
        <w:t>Archer, and Siraj, 2015; Murray, 2015; Åström, 2023; Edwards, 2021; Chen, and Wolf, 2021).</w:t>
      </w:r>
    </w:p>
    <w:p w14:paraId="6C1A4793"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3.3 Professional Development and Workforce Sustainability</w:t>
      </w:r>
    </w:p>
    <w:p w14:paraId="4738BA2E" w14:textId="1CEEAC4F"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Continuous professional development (CPD) will be embedded within organisational culture, reflecting evidence that workforce quality is a key driver of pedagogical effectiveness (Urban et al., 2011; </w:t>
      </w:r>
      <w:r w:rsidR="00AD2B69" w:rsidRPr="00145D0E">
        <w:rPr>
          <w:rFonts w:ascii="Arial" w:eastAsia="Times New Roman" w:hAnsi="Arial" w:cs="Arial"/>
          <w:kern w:val="0"/>
          <w:lang w:eastAsia="en-GB"/>
          <w14:ligatures w14:val="none"/>
        </w:rPr>
        <w:t>Heikkinen</w:t>
      </w:r>
      <w:r w:rsidR="00AD2B69" w:rsidRPr="00AD2B69">
        <w:rPr>
          <w:rFonts w:ascii="Arial" w:eastAsia="Times New Roman" w:hAnsi="Arial" w:cs="Arial"/>
          <w:kern w:val="0"/>
          <w:lang w:eastAsia="en-GB"/>
          <w14:ligatures w14:val="none"/>
        </w:rPr>
        <w:t xml:space="preserve"> </w:t>
      </w:r>
      <w:r w:rsidR="00AD2B69" w:rsidRPr="00AD2B69">
        <w:rPr>
          <w:rFonts w:ascii="Arial" w:eastAsia="Times New Roman" w:hAnsi="Arial" w:cs="Arial"/>
          <w:i/>
          <w:iCs/>
          <w:kern w:val="0"/>
          <w:lang w:eastAsia="en-GB"/>
          <w14:ligatures w14:val="none"/>
        </w:rPr>
        <w:t>et al</w:t>
      </w:r>
      <w:r w:rsidR="00AD2B69" w:rsidRPr="00AD2B69">
        <w:rPr>
          <w:rFonts w:ascii="Arial" w:eastAsia="Times New Roman" w:hAnsi="Arial" w:cs="Arial"/>
          <w:kern w:val="0"/>
          <w:lang w:eastAsia="en-GB"/>
          <w14:ligatures w14:val="none"/>
        </w:rPr>
        <w:t>., 2024;</w:t>
      </w:r>
      <w:r w:rsidR="00AD2B69" w:rsidRPr="00AD2B69">
        <w:rPr>
          <w:rFonts w:ascii="Arial" w:eastAsiaTheme="minorEastAsia" w:hAnsi="Arial" w:cs="Arial"/>
          <w:kern w:val="0"/>
          <w:lang w:eastAsia="en-GB"/>
          <w14:ligatures w14:val="none"/>
        </w:rPr>
        <w:t xml:space="preserve"> </w:t>
      </w:r>
      <w:r w:rsidRPr="001F41A9">
        <w:rPr>
          <w:rFonts w:ascii="Arial" w:eastAsiaTheme="minorEastAsia" w:hAnsi="Arial" w:cs="Arial"/>
          <w:kern w:val="0"/>
          <w:lang w:eastAsia="en-GB"/>
          <w14:ligatures w14:val="none"/>
        </w:rPr>
        <w:t>Silva, 2019; Hostettler Scharer, 2024; Powell and Smith, 2017). CPD priorities will include pedagogical documentation, inclusive practice, outdoor learning pedagogy, safeguarding, and leadership development.</w:t>
      </w:r>
    </w:p>
    <w:p w14:paraId="664B4037" w14:textId="77777777" w:rsidR="001F41A9" w:rsidRPr="001F41A9" w:rsidRDefault="001F41A9" w:rsidP="001F41A9">
      <w:pPr>
        <w:spacing w:line="360" w:lineRule="auto"/>
        <w:contextualSpacing/>
        <w:rPr>
          <w:rFonts w:ascii="Arial" w:eastAsiaTheme="minorEastAsia" w:hAnsi="Arial" w:cs="Arial"/>
          <w:color w:val="EE0000"/>
          <w:kern w:val="0"/>
          <w:lang w:eastAsia="en-GB"/>
          <w14:ligatures w14:val="none"/>
        </w:rPr>
      </w:pPr>
      <w:r w:rsidRPr="001F41A9">
        <w:rPr>
          <w:rFonts w:ascii="Arial" w:eastAsiaTheme="minorEastAsia" w:hAnsi="Arial" w:cs="Arial"/>
          <w:kern w:val="0"/>
          <w:lang w:eastAsia="en-GB"/>
          <w14:ligatures w14:val="none"/>
        </w:rPr>
        <w:t xml:space="preserve">Reflective practice will be supported through regular team meetings, peer observation and collaborative analysis of documentation, consistent with Reggio Emilia approaches to professional learning (Rinaldi, 2021; </w:t>
      </w:r>
      <w:r w:rsidRPr="001F41A9">
        <w:rPr>
          <w:rFonts w:ascii="Arial" w:eastAsia="Times New Roman" w:hAnsi="Arial" w:cs="Arial"/>
          <w:kern w:val="0"/>
          <w:lang w:eastAsia="en-GB"/>
          <w14:ligatures w14:val="none"/>
        </w:rPr>
        <w:t xml:space="preserve">Clarkin-Phillips and Carr, 2018; Carr, and Lee, 2012; Sands, and Lee, 2024; Thill. 2025; Nuñez-Janes,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2017)</w:t>
      </w:r>
      <w:r w:rsidRPr="001F41A9">
        <w:rPr>
          <w:rFonts w:ascii="Arial" w:eastAsiaTheme="minorEastAsia" w:hAnsi="Arial" w:cs="Arial"/>
          <w:kern w:val="0"/>
          <w:lang w:eastAsia="en-GB"/>
          <w14:ligatures w14:val="none"/>
        </w:rPr>
        <w:t xml:space="preserve"> This model also addresses workforce retention by fostering professional identity, autonomy and ethical commitment, which research identifies as protective factors against burnout and attrition (Osgood, 2006; Cliffe and Solvason, 2022; Prioletta and Davies, 2024; Moss, 2019).</w:t>
      </w:r>
    </w:p>
    <w:p w14:paraId="6FEB5F16" w14:textId="77777777" w:rsid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12C291C4" wp14:editId="4D5ED449">
                <wp:extent cx="2703195" cy="1270"/>
                <wp:effectExtent l="9525" t="9525" r="11430" b="8255"/>
                <wp:docPr id="681395037"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60542FC8" id="Rectangle 8"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5BF925AC" w14:textId="77777777" w:rsidR="00703F5D" w:rsidRDefault="00703F5D" w:rsidP="001F41A9">
      <w:pPr>
        <w:spacing w:after="0" w:line="360" w:lineRule="auto"/>
        <w:rPr>
          <w:rFonts w:ascii="Arial" w:eastAsia="Times New Roman" w:hAnsi="Arial" w:cs="Arial"/>
          <w:kern w:val="0"/>
          <w:lang w:eastAsia="en-GB"/>
          <w14:ligatures w14:val="none"/>
        </w:rPr>
      </w:pPr>
    </w:p>
    <w:p w14:paraId="78B8ED53" w14:textId="77777777" w:rsidR="00703F5D" w:rsidRDefault="00703F5D" w:rsidP="001F41A9">
      <w:pPr>
        <w:spacing w:after="0" w:line="360" w:lineRule="auto"/>
        <w:rPr>
          <w:rFonts w:ascii="Arial" w:eastAsia="Times New Roman" w:hAnsi="Arial" w:cs="Arial"/>
          <w:kern w:val="0"/>
          <w:lang w:eastAsia="en-GB"/>
          <w14:ligatures w14:val="none"/>
        </w:rPr>
      </w:pPr>
    </w:p>
    <w:p w14:paraId="3E9A153E" w14:textId="77777777" w:rsidR="00CE1D0E" w:rsidRDefault="00CE1D0E" w:rsidP="001F41A9">
      <w:pPr>
        <w:spacing w:after="0" w:line="360" w:lineRule="auto"/>
        <w:rPr>
          <w:rFonts w:ascii="Arial" w:eastAsia="Times New Roman" w:hAnsi="Arial" w:cs="Arial"/>
          <w:kern w:val="0"/>
          <w:lang w:eastAsia="en-GB"/>
          <w14:ligatures w14:val="none"/>
        </w:rPr>
      </w:pPr>
    </w:p>
    <w:p w14:paraId="4BA96412" w14:textId="77777777" w:rsidR="00CE1D0E" w:rsidRDefault="00CE1D0E" w:rsidP="001F41A9">
      <w:pPr>
        <w:spacing w:after="0" w:line="360" w:lineRule="auto"/>
        <w:rPr>
          <w:rFonts w:ascii="Arial" w:eastAsia="Times New Roman" w:hAnsi="Arial" w:cs="Arial"/>
          <w:kern w:val="0"/>
          <w:lang w:eastAsia="en-GB"/>
          <w14:ligatures w14:val="none"/>
        </w:rPr>
      </w:pPr>
    </w:p>
    <w:p w14:paraId="540E9BDF" w14:textId="77777777" w:rsidR="00CE1D0E" w:rsidRDefault="00CE1D0E" w:rsidP="001F41A9">
      <w:pPr>
        <w:spacing w:after="0" w:line="360" w:lineRule="auto"/>
        <w:rPr>
          <w:rFonts w:ascii="Arial" w:eastAsia="Times New Roman" w:hAnsi="Arial" w:cs="Arial"/>
          <w:kern w:val="0"/>
          <w:lang w:eastAsia="en-GB"/>
          <w14:ligatures w14:val="none"/>
        </w:rPr>
      </w:pPr>
    </w:p>
    <w:p w14:paraId="472B9629" w14:textId="77777777" w:rsidR="00CE1D0E" w:rsidRDefault="00CE1D0E" w:rsidP="001F41A9">
      <w:pPr>
        <w:spacing w:after="0" w:line="360" w:lineRule="auto"/>
        <w:rPr>
          <w:rFonts w:ascii="Arial" w:eastAsia="Times New Roman" w:hAnsi="Arial" w:cs="Arial"/>
          <w:kern w:val="0"/>
          <w:lang w:eastAsia="en-GB"/>
          <w14:ligatures w14:val="none"/>
        </w:rPr>
      </w:pPr>
    </w:p>
    <w:p w14:paraId="396FA45A" w14:textId="77777777" w:rsidR="00CE1D0E" w:rsidRPr="001F41A9" w:rsidRDefault="00CE1D0E" w:rsidP="001F41A9">
      <w:pPr>
        <w:spacing w:after="0" w:line="360" w:lineRule="auto"/>
        <w:rPr>
          <w:rFonts w:ascii="Arial" w:eastAsia="Times New Roman" w:hAnsi="Arial" w:cs="Arial"/>
          <w:kern w:val="0"/>
          <w:lang w:eastAsia="en-GB"/>
          <w14:ligatures w14:val="none"/>
        </w:rPr>
      </w:pPr>
    </w:p>
    <w:p w14:paraId="33ABB86B"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lastRenderedPageBreak/>
        <w:t>4. Marketing and Engagement Strategy</w:t>
      </w:r>
    </w:p>
    <w:p w14:paraId="5DCEAA39"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5C65463D"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4.1 Brand Positioning</w:t>
      </w:r>
    </w:p>
    <w:p w14:paraId="344483D4"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nursery will be positioned as a premium, values-led early years setting offering an integrated Reggio Emilia and Forest School approach. Branding will emphasise child agency, wellbeing, sustainability and professional expertise, differentiating the provision from more standardised childcare models (Penn, 2014;</w:t>
      </w:r>
      <w:r w:rsidRPr="001F41A9">
        <w:rPr>
          <w:rFonts w:ascii="Arial" w:eastAsia="Times New Roman" w:hAnsi="Arial" w:cs="Arial"/>
          <w:kern w:val="0"/>
          <w:lang w:eastAsia="en-GB"/>
          <w14:ligatures w14:val="none"/>
        </w:rPr>
        <w:t xml:space="preserve"> Ampartzaki, and Kalogiannakis, 2022</w:t>
      </w:r>
      <w:r w:rsidRPr="001F41A9">
        <w:rPr>
          <w:rFonts w:ascii="Arial" w:eastAsiaTheme="minorEastAsia" w:hAnsi="Arial" w:cs="Arial"/>
          <w:kern w:val="0"/>
          <w:lang w:eastAsia="en-GB"/>
          <w14:ligatures w14:val="none"/>
        </w:rPr>
        <w:t>; Moss and Robert-Holmes, 2022; Carela, 2019).</w:t>
      </w:r>
    </w:p>
    <w:p w14:paraId="4382248C"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This positioning responds to evidence from local market research, including responses from online parental questionnaires and from recorded informal interviews with prospective families, that parents increasingly seek alignment between educational provision and family values, particularly in relation to wellbeing and environmental responsibility (Powell and Smith, 2017; Elliott,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2020; Campbell and Speldewinde, 2025; Fuertes-Camacho,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2025).</w:t>
      </w:r>
    </w:p>
    <w:p w14:paraId="2DDF0DA2" w14:textId="77777777" w:rsidR="00703F5D" w:rsidRPr="001F41A9" w:rsidRDefault="00703F5D" w:rsidP="001F41A9">
      <w:pPr>
        <w:spacing w:before="100" w:beforeAutospacing="1" w:after="100" w:afterAutospacing="1" w:line="360" w:lineRule="auto"/>
        <w:rPr>
          <w:rFonts w:ascii="Arial" w:eastAsiaTheme="minorEastAsia" w:hAnsi="Arial" w:cs="Arial"/>
          <w:kern w:val="0"/>
          <w:lang w:eastAsia="en-GB"/>
          <w14:ligatures w14:val="none"/>
        </w:rPr>
      </w:pPr>
    </w:p>
    <w:p w14:paraId="6CAEF814"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4.2 Marketing Channels</w:t>
      </w:r>
    </w:p>
    <w:p w14:paraId="0F700231" w14:textId="77777777" w:rsidR="001F41A9" w:rsidRPr="001F41A9" w:rsidRDefault="001F41A9" w:rsidP="001F41A9">
      <w:pPr>
        <w:spacing w:line="360" w:lineRule="auto"/>
        <w:contextualSpacing/>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Marketing strategies will prioritise relationship-building over transactional promotion. Channels will include community engagement events, partnerships with local schools and health services, and targeted use of digital platforms to share pedagogical documentation and learning narratives (</w:t>
      </w:r>
      <w:r w:rsidRPr="001F41A9">
        <w:rPr>
          <w:rFonts w:ascii="Arial" w:eastAsia="Times New Roman" w:hAnsi="Arial" w:cs="Arial"/>
          <w:kern w:val="0"/>
          <w:lang w:eastAsia="en-GB"/>
          <w14:ligatures w14:val="none"/>
        </w:rPr>
        <w:t xml:space="preserve">Clarkin-Phillips and Carr, 2018; Carr, and Lee, 2012; Sands, and Lee, 2024; Thill. 2025; Nuñez-Janes,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2017)</w:t>
      </w:r>
    </w:p>
    <w:p w14:paraId="5710CD11"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3A97F904"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Open days and stay-and-play sessions will enable families to experience the nursery’s ethos directly, supporting informed parental choice and trust-building (Goodall and Montgomery, 2014). Research suggests that authentic engagement strategies are more effective than traditional advertising in early years contexts (Hornby and Blackwell, 2018; Wilson, 2025; Cutshaw,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2022).</w:t>
      </w:r>
    </w:p>
    <w:p w14:paraId="7338E13F"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68262313"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4.3 Family and Community Engagement</w:t>
      </w:r>
    </w:p>
    <w:p w14:paraId="1A1C6D0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Family engagement will be conceptualised as a reciprocal partnership rather than a unidirectional flow of information. Parents will be invited to contribute to project work, share cultural knowledge and participate in reflective dialogue around children’s learning (Goodall and Montgomery, 2014; Osgood, 2006; Cliffe and Solvason, 2022; Prioletta and Davies, 2024).</w:t>
      </w:r>
    </w:p>
    <w:p w14:paraId="4F8FEA01" w14:textId="08E1A2C8" w:rsidR="001F41A9" w:rsidRPr="001F41A9" w:rsidRDefault="001F41A9" w:rsidP="001F41A9">
      <w:pPr>
        <w:spacing w:before="100" w:beforeAutospacing="1" w:after="100" w:afterAutospacing="1" w:line="360" w:lineRule="auto"/>
        <w:rPr>
          <w:rFonts w:ascii="Arial" w:eastAsiaTheme="minorEastAsia" w:hAnsi="Arial" w:cs="Arial"/>
          <w:color w:val="EE0000"/>
          <w:kern w:val="0"/>
          <w:lang w:eastAsia="en-GB"/>
          <w14:ligatures w14:val="none"/>
        </w:rPr>
      </w:pPr>
      <w:r w:rsidRPr="001F41A9">
        <w:rPr>
          <w:rFonts w:ascii="Arial" w:eastAsiaTheme="minorEastAsia" w:hAnsi="Arial" w:cs="Arial"/>
          <w:kern w:val="0"/>
          <w:lang w:eastAsia="en-GB"/>
          <w14:ligatures w14:val="none"/>
        </w:rPr>
        <w:t>Community partnerships will include collaboration with environmental organisations, libraries and local cultural institutions</w:t>
      </w:r>
      <w:r w:rsidR="00EC7BD7">
        <w:rPr>
          <w:rFonts w:ascii="Arial" w:eastAsiaTheme="minorEastAsia" w:hAnsi="Arial" w:cs="Arial"/>
          <w:kern w:val="0"/>
          <w:lang w:eastAsia="en-GB"/>
          <w14:ligatures w14:val="none"/>
        </w:rPr>
        <w:t xml:space="preserve"> and events</w:t>
      </w:r>
      <w:r w:rsidRPr="001F41A9">
        <w:rPr>
          <w:rFonts w:ascii="Arial" w:eastAsiaTheme="minorEastAsia" w:hAnsi="Arial" w:cs="Arial"/>
          <w:kern w:val="0"/>
          <w:lang w:eastAsia="en-GB"/>
          <w14:ligatures w14:val="none"/>
        </w:rPr>
        <w:t>, supporting place-based education and community cohesion (</w:t>
      </w:r>
      <w:r w:rsidRPr="001F41A9">
        <w:rPr>
          <w:rFonts w:ascii="Arial" w:eastAsia="Times New Roman" w:hAnsi="Arial" w:cs="Arial"/>
          <w:kern w:val="0"/>
          <w:lang w:eastAsia="en-GB"/>
          <w14:ligatures w14:val="none"/>
        </w:rPr>
        <w:t>Marwa Elbaz, 2023; Khine, 2024;</w:t>
      </w:r>
      <w:r w:rsidRPr="001F41A9">
        <w:rPr>
          <w:rFonts w:ascii="Arial" w:eastAsiaTheme="minorEastAsia" w:hAnsi="Arial" w:cs="Arial"/>
          <w:kern w:val="0"/>
          <w:lang w:eastAsia="en-GB"/>
          <w14:ligatures w14:val="none"/>
        </w:rPr>
        <w:t xml:space="preserve"> Duhn, 2012). Such partnerships are consistent with Welsh policy objectives relating to community wellbeing and sustainability (Legislation.Government.UK, 2015).</w:t>
      </w:r>
    </w:p>
    <w:p w14:paraId="5F110C3E" w14:textId="77777777" w:rsid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4A02C451" wp14:editId="6732426C">
                <wp:extent cx="2703195" cy="1270"/>
                <wp:effectExtent l="9525" t="9525" r="11430" b="8255"/>
                <wp:docPr id="2044361732"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714B320C" id="Rectangle 7"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6108CE8B" w14:textId="77777777" w:rsidR="00CE1D0E" w:rsidRPr="001F41A9" w:rsidRDefault="00CE1D0E" w:rsidP="001F41A9">
      <w:pPr>
        <w:spacing w:after="0" w:line="360" w:lineRule="auto"/>
        <w:rPr>
          <w:rFonts w:ascii="Arial" w:eastAsia="Times New Roman" w:hAnsi="Arial" w:cs="Arial"/>
          <w:kern w:val="0"/>
          <w:lang w:eastAsia="en-GB"/>
          <w14:ligatures w14:val="none"/>
        </w:rPr>
      </w:pPr>
    </w:p>
    <w:p w14:paraId="2C0F853C"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5. Operations Plan</w:t>
      </w:r>
    </w:p>
    <w:p w14:paraId="6A77190C"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5.1 Learning Environments and Facilities</w:t>
      </w:r>
    </w:p>
    <w:p w14:paraId="4DCAC299" w14:textId="6EC23835" w:rsidR="001F41A9" w:rsidRPr="00CE1D0E" w:rsidRDefault="001F41A9" w:rsidP="00CE1D0E">
      <w:pPr>
        <w:spacing w:after="0" w:line="360" w:lineRule="auto"/>
        <w:rPr>
          <w:rFonts w:ascii="Times New Roman" w:eastAsia="Times New Roman" w:hAnsi="Times New Roman" w:cs="Times New Roman"/>
          <w:kern w:val="0"/>
          <w:lang w:eastAsia="en-GB"/>
          <w14:ligatures w14:val="none"/>
        </w:rPr>
      </w:pPr>
      <w:r w:rsidRPr="001F41A9">
        <w:rPr>
          <w:rFonts w:ascii="Arial" w:eastAsiaTheme="minorEastAsia" w:hAnsi="Arial" w:cs="Arial"/>
          <w:kern w:val="0"/>
          <w:lang w:eastAsia="en-GB"/>
          <w14:ligatures w14:val="none"/>
        </w:rPr>
        <w:t xml:space="preserve">The design of learning environments will reflect the Reggio Emilia principle of the environment as the “third teacher,” supporting inquiry, collaboration and aesthetic engagement (Edwards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2012; Leggett, 2024; Fernandez-Santin and Feliu-Torruella, 2020; Vecchi, 2010; Perry, 2010). Indoor spaces will be flexible, resource-rich and organised to promote autonomy and sustained shared thinking </w:t>
      </w:r>
      <w:r w:rsidRPr="001F41A9">
        <w:rPr>
          <w:rFonts w:ascii="Arial" w:eastAsia="Times New Roman" w:hAnsi="Arial" w:cs="Arial"/>
          <w:kern w:val="0"/>
          <w:lang w:eastAsia="en-GB"/>
          <w14:ligatures w14:val="none"/>
        </w:rPr>
        <w:t xml:space="preserve">(Siraj-Blatchford, and Sylva, 2004; Von Suchodoletz,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2023)</w:t>
      </w:r>
    </w:p>
    <w:p w14:paraId="769834AE"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Outdoor provision will include a dedicated Forest School area featuring natural materials, variable terrain and opportunities for managed risk-taking. Research indicates that such environments support physical competence, risk assessment skills and emotional resilience (Gill, 2021; Tranter, 2021; Gharibans, 2023; Hansen Sandseter,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2023).</w:t>
      </w:r>
    </w:p>
    <w:p w14:paraId="4829F3E4"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0C7E5543"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5.2 Curriculum Design and Pedagogical Integration</w:t>
      </w:r>
    </w:p>
    <w:p w14:paraId="6599A03D"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Curriculum delivery will be emergent and inquiry-based, grounded in children’s interests and experiences while aligned with the Curriculum for Wales Areas of Learning and Experience (Welsh Government, 2024; 2024a). Reggio Emilia project work will be complemented by regular Forest School sessions that provide continuity and progression in outdoor learning (Knight, 2016; Smith, et al., 2018; Ouvry and Furtado, 2020; Rekers and Waters-Davies, 2021).</w:t>
      </w:r>
    </w:p>
    <w:p w14:paraId="51A52724" w14:textId="77777777" w:rsidR="001F41A9" w:rsidRPr="001F41A9" w:rsidRDefault="001F41A9" w:rsidP="001F41A9">
      <w:pPr>
        <w:spacing w:line="360" w:lineRule="auto"/>
        <w:contextualSpacing/>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This integrated model supports holistic development across cognitive, social, emotional and physical domains, reflecting evidence that play-based, experiential learning promotes deep engagement and transferable skills (Broadhead, 2018; Edwards, 2017). Pedagogical documentation will be used as both an assessment and reflective tool, supporting inclusive practice and curriculum responsiveness</w:t>
      </w:r>
      <w:r w:rsidRPr="001F41A9">
        <w:rPr>
          <w:rFonts w:ascii="Arial" w:eastAsia="Times New Roman" w:hAnsi="Arial" w:cs="Arial"/>
          <w:kern w:val="0"/>
          <w:lang w:eastAsia="en-GB"/>
          <w14:ligatures w14:val="none"/>
        </w:rPr>
        <w:t xml:space="preserve"> (Clarkin-Phillips and Carr, 2018; Carr, and Lee, 2012; Sands, and Lee, 2024; Thill. 2025; Nuñez-Janes,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2017;</w:t>
      </w:r>
      <w:r w:rsidRPr="001F41A9">
        <w:rPr>
          <w:rFonts w:ascii="Arial" w:eastAsiaTheme="minorEastAsia" w:hAnsi="Arial" w:cs="Arial"/>
          <w:kern w:val="0"/>
          <w:lang w:eastAsia="en-GB"/>
          <w14:ligatures w14:val="none"/>
        </w:rPr>
        <w:t xml:space="preserve"> Rinaldi, 2021).</w:t>
      </w:r>
    </w:p>
    <w:p w14:paraId="47DB67E5" w14:textId="77777777" w:rsidR="001F41A9" w:rsidRPr="001F41A9" w:rsidRDefault="001F41A9" w:rsidP="001F41A9">
      <w:pPr>
        <w:spacing w:line="360" w:lineRule="auto"/>
        <w:contextualSpacing/>
        <w:rPr>
          <w:rFonts w:ascii="Arial" w:eastAsiaTheme="minorEastAsia" w:hAnsi="Arial" w:cs="Arial"/>
          <w:kern w:val="0"/>
          <w:lang w:eastAsia="en-GB"/>
          <w14:ligatures w14:val="none"/>
        </w:rPr>
      </w:pPr>
    </w:p>
    <w:p w14:paraId="472D9189"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5.3 Health, Safety and Risk Management</w:t>
      </w:r>
    </w:p>
    <w:p w14:paraId="3A350A57"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Risk management will be approached as an enabling rather than restrictive practice, consistent with research on the developmental value of risk in play (Lester and Russell, 2014; Gibson et al., 2017). Comprehensive risk assessments will be conducted for indoor and outdoor environments, with staff trained in first aid, safeguarding and outdoor safety (CPOMS, 2023).</w:t>
      </w:r>
    </w:p>
    <w:p w14:paraId="1FDA6FB8"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Policies and procedures will be reviewed regularly to ensure compliance with CIW standards and Keeping Learners Safe guidance, balancing safety with children’s rights to exploration and challenge (Welsh Government, 2023; CPOMS, 2023).</w:t>
      </w:r>
    </w:p>
    <w:p w14:paraId="19FC9D98"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0B368918" w14:textId="77777777" w:rsid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0E2B11C3" wp14:editId="2555283A">
                <wp:extent cx="2703195" cy="1270"/>
                <wp:effectExtent l="9525" t="9525" r="11430" b="8255"/>
                <wp:docPr id="2028945370"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6405A69A" id="Rectangle 5"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2EB7C64A" w14:textId="77777777" w:rsidR="00CE1D0E" w:rsidRPr="001F41A9" w:rsidRDefault="00CE1D0E" w:rsidP="001F41A9">
      <w:pPr>
        <w:spacing w:after="0" w:line="360" w:lineRule="auto"/>
        <w:rPr>
          <w:rFonts w:ascii="Arial" w:eastAsia="Times New Roman" w:hAnsi="Arial" w:cs="Arial"/>
          <w:kern w:val="0"/>
          <w:lang w:eastAsia="en-GB"/>
          <w14:ligatures w14:val="none"/>
        </w:rPr>
      </w:pPr>
    </w:p>
    <w:p w14:paraId="46360C06"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lastRenderedPageBreak/>
        <w:t>6. Financial Plan</w:t>
      </w:r>
    </w:p>
    <w:p w14:paraId="227825C3"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764D6CAC"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6.1 Funding Model and Income Streams</w:t>
      </w:r>
    </w:p>
    <w:p w14:paraId="134F0397" w14:textId="5339A6A4"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The proposed </w:t>
      </w:r>
      <w:r w:rsidR="000D73A1">
        <w:rPr>
          <w:rFonts w:ascii="Arial" w:eastAsiaTheme="minorEastAsia" w:hAnsi="Arial" w:cs="Arial"/>
          <w:kern w:val="0"/>
          <w:lang w:eastAsia="en-GB"/>
          <w14:ligatures w14:val="none"/>
        </w:rPr>
        <w:t>setting</w:t>
      </w:r>
      <w:r w:rsidRPr="001F41A9">
        <w:rPr>
          <w:rFonts w:ascii="Arial" w:eastAsiaTheme="minorEastAsia" w:hAnsi="Arial" w:cs="Arial"/>
          <w:kern w:val="0"/>
          <w:lang w:eastAsia="en-GB"/>
          <w14:ligatures w14:val="none"/>
        </w:rPr>
        <w:t xml:space="preserve"> will adopt a mixed-income funding model combining parental fees, Welsh Government funded childcare entitlements, and potential grant funding. Mixed funding models are widely recognised as essential for sustainability in the contemporary childcare market, particularly in contexts where public funding alone does not fully meet operational costs (Penn, 2014;</w:t>
      </w:r>
      <w:r w:rsidRPr="001F41A9">
        <w:rPr>
          <w:rFonts w:ascii="Arial" w:eastAsia="Times New Roman" w:hAnsi="Arial" w:cs="Arial"/>
          <w:kern w:val="0"/>
          <w:lang w:eastAsia="en-GB"/>
          <w14:ligatures w14:val="none"/>
        </w:rPr>
        <w:t xml:space="preserve"> Ampartzaki, and Kalogiannakis, 2022;</w:t>
      </w:r>
      <w:r w:rsidRPr="001F41A9">
        <w:rPr>
          <w:rFonts w:ascii="Arial" w:eastAsiaTheme="minorEastAsia" w:hAnsi="Arial" w:cs="Arial"/>
          <w:kern w:val="0"/>
          <w:lang w:eastAsia="en-GB"/>
          <w14:ligatures w14:val="none"/>
        </w:rPr>
        <w:t xml:space="preserve"> Lewis and West, 2017; Lloyd-Reichling, 2019).</w:t>
      </w:r>
    </w:p>
    <w:p w14:paraId="59496A22" w14:textId="77777777" w:rsid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Income will be generated through private fee-paying places for children aged 2–5, alongside funded places accessed through the Childcare Offer for Wales, which provides up to 30 hours of funded childcare for eligible families (Welsh Government, 2025). This blended approach supports financial viability while promoting accessibility and social inclusion, aligning with Welsh Government commitments to reducing inequality and supporting working families (Legislation.Government.UK, 2015; Welsh Government, 2025).</w:t>
      </w:r>
    </w:p>
    <w:p w14:paraId="7FD8A0DC" w14:textId="77777777" w:rsidR="000F20C5" w:rsidRPr="001F41A9" w:rsidRDefault="000F20C5" w:rsidP="001F41A9">
      <w:pPr>
        <w:spacing w:before="100" w:beforeAutospacing="1" w:after="100" w:afterAutospacing="1" w:line="360" w:lineRule="auto"/>
        <w:rPr>
          <w:rFonts w:ascii="Arial" w:eastAsiaTheme="minorEastAsia" w:hAnsi="Arial" w:cs="Arial"/>
          <w:kern w:val="0"/>
          <w:lang w:eastAsia="en-GB"/>
          <w14:ligatures w14:val="none"/>
        </w:rPr>
      </w:pPr>
    </w:p>
    <w:p w14:paraId="7DBBF55C" w14:textId="591314EC"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Additional income streams may include early years capital and sustainability grants, outdoor learning funding, and partnership initiatives linked to wellbeing and environmental education (Welsh Government, 2023; 2025). Research suggests that diversified income streams increase resilience and reduce vulnerability to fluctuations in occupancy or policy change (Lewis and West, 2017; Lloyd-Reichling, 2019).</w:t>
      </w:r>
    </w:p>
    <w:p w14:paraId="2EC0B918"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6.2 Cost Structure and Financial Assumptions</w:t>
      </w:r>
    </w:p>
    <w:p w14:paraId="32898C23" w14:textId="003E212D"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The primary operational costs will include staffing, premises, training, insurance, utilities and learning resources. Staffing represents the largest expenditure, reflecting evidence that workforce quality is the most significant contributor to pedagogical effectiveness and child outcomes (Sylva, 2010; Murdock, et al., 2023; Urban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w:t>
      </w:r>
      <w:r w:rsidRPr="001F41A9">
        <w:rPr>
          <w:rFonts w:ascii="Arial" w:eastAsiaTheme="minorEastAsia" w:hAnsi="Arial" w:cs="Arial"/>
          <w:kern w:val="0"/>
          <w:lang w:eastAsia="en-GB"/>
          <w14:ligatures w14:val="none"/>
        </w:rPr>
        <w:lastRenderedPageBreak/>
        <w:t>2011</w:t>
      </w:r>
      <w:r w:rsidR="009D0500">
        <w:rPr>
          <w:rFonts w:ascii="Arial" w:eastAsiaTheme="minorEastAsia" w:hAnsi="Arial" w:cs="Arial"/>
          <w:kern w:val="0"/>
          <w:lang w:eastAsia="en-GB"/>
          <w14:ligatures w14:val="none"/>
        </w:rPr>
        <w:t>;</w:t>
      </w:r>
      <w:r w:rsidR="009D0500" w:rsidRPr="009D0500">
        <w:rPr>
          <w:rFonts w:ascii="Arial" w:eastAsia="Times New Roman" w:hAnsi="Arial" w:cs="Arial"/>
          <w:color w:val="EE0000"/>
          <w:kern w:val="0"/>
          <w:lang w:eastAsia="en-GB"/>
          <w14:ligatures w14:val="none"/>
        </w:rPr>
        <w:t xml:space="preserve"> </w:t>
      </w:r>
      <w:r w:rsidR="009D0500" w:rsidRPr="00145D0E">
        <w:rPr>
          <w:rFonts w:ascii="Arial" w:eastAsia="Times New Roman" w:hAnsi="Arial" w:cs="Arial"/>
          <w:kern w:val="0"/>
          <w:lang w:eastAsia="en-GB"/>
          <w14:ligatures w14:val="none"/>
        </w:rPr>
        <w:t>Heikkinen</w:t>
      </w:r>
      <w:r w:rsidR="009D0500" w:rsidRPr="009D0500">
        <w:rPr>
          <w:rFonts w:ascii="Arial" w:eastAsia="Times New Roman" w:hAnsi="Arial" w:cs="Arial"/>
          <w:kern w:val="0"/>
          <w:lang w:eastAsia="en-GB"/>
          <w14:ligatures w14:val="none"/>
        </w:rPr>
        <w:t xml:space="preserve"> </w:t>
      </w:r>
      <w:r w:rsidR="009D0500" w:rsidRPr="009D0500">
        <w:rPr>
          <w:rFonts w:ascii="Arial" w:eastAsia="Times New Roman" w:hAnsi="Arial" w:cs="Arial"/>
          <w:i/>
          <w:iCs/>
          <w:kern w:val="0"/>
          <w:lang w:eastAsia="en-GB"/>
          <w14:ligatures w14:val="none"/>
        </w:rPr>
        <w:t>et al</w:t>
      </w:r>
      <w:r w:rsidR="009D0500" w:rsidRPr="009D0500">
        <w:rPr>
          <w:rFonts w:ascii="Arial" w:eastAsia="Times New Roman" w:hAnsi="Arial" w:cs="Arial"/>
          <w:kern w:val="0"/>
          <w:lang w:eastAsia="en-GB"/>
          <w14:ligatures w14:val="none"/>
        </w:rPr>
        <w:t>., 2024</w:t>
      </w:r>
      <w:r w:rsidRPr="009D0500">
        <w:rPr>
          <w:rFonts w:ascii="Arial" w:eastAsiaTheme="minorEastAsia" w:hAnsi="Arial" w:cs="Arial"/>
          <w:kern w:val="0"/>
          <w:lang w:eastAsia="en-GB"/>
          <w14:ligatures w14:val="none"/>
        </w:rPr>
        <w:t xml:space="preserve">; </w:t>
      </w:r>
      <w:r w:rsidRPr="001F41A9">
        <w:rPr>
          <w:rFonts w:ascii="Arial" w:eastAsiaTheme="minorEastAsia" w:hAnsi="Arial" w:cs="Arial"/>
          <w:kern w:val="0"/>
          <w:lang w:eastAsia="en-GB"/>
          <w14:ligatures w14:val="none"/>
        </w:rPr>
        <w:t xml:space="preserve">Silva, 2019; Hostettler Scharer, 2024). Exceeding minimum staffing ratios and investing in specialist roles, such as a Forest School Leader, increases costs however is justified by the enhanced quality and differentiation of provision (Knight, 2016; Smith,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2018; Ouvry and Furtado, 2020; Rekers and Waters-Davies, 2021).</w:t>
      </w:r>
    </w:p>
    <w:p w14:paraId="61D1D9F4"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Initial capital expenditure will include adaptation of indoor spaces, development of outdoor learning areas, and procurement of high-quality, open-ended materials. The use of natural and loose-part resources aligns with both Reggio Emilia and Forest School pedagogy and offers long-term cost efficiency through durability and reusability (Cankaya,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2024; Cankaya,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2025; Edwards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2012; Leggett, 2024;</w:t>
      </w:r>
      <w:r w:rsidRPr="001F41A9">
        <w:rPr>
          <w:rFonts w:ascii="Arial" w:eastAsia="Times New Roman" w:hAnsi="Arial" w:cs="Arial"/>
          <w:kern w:val="0"/>
          <w:lang w:eastAsia="en-GB"/>
          <w14:ligatures w14:val="none"/>
        </w:rPr>
        <w:t xml:space="preserve"> Fernández-Santín, and Feliu-Torruella, 2020)</w:t>
      </w:r>
      <w:r w:rsidRPr="001F41A9">
        <w:rPr>
          <w:rFonts w:ascii="Arial" w:eastAsiaTheme="minorEastAsia" w:hAnsi="Arial" w:cs="Arial"/>
          <w:kern w:val="0"/>
          <w:lang w:eastAsia="en-GB"/>
          <w14:ligatures w14:val="none"/>
        </w:rPr>
        <w:t>.</w:t>
      </w:r>
    </w:p>
    <w:p w14:paraId="4AA34B2B"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Financial projections are based on conservative assumptions, including gradual increases in occupancy and cautious estimates of funded income rates. Maintaining contingency reserves is identified as a critical strategy for managing unforeseen costs, seasonal variation and policy changes (Lewis and West, 2017; Lloyd-Reichling, 2019).</w:t>
      </w:r>
    </w:p>
    <w:p w14:paraId="75878F2D"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6.3 Revenue Projections and Viability</w:t>
      </w:r>
    </w:p>
    <w:p w14:paraId="6C8CBA64" w14:textId="77777777" w:rsidR="001F41A9" w:rsidRPr="001F41A9" w:rsidRDefault="001F41A9" w:rsidP="001F41A9">
      <w:pPr>
        <w:spacing w:before="100" w:beforeAutospacing="1" w:after="100" w:afterAutospacing="1" w:line="360" w:lineRule="auto"/>
        <w:rPr>
          <w:rFonts w:ascii="Arial" w:eastAsiaTheme="minorEastAsia" w:hAnsi="Arial" w:cs="Arial"/>
          <w:color w:val="EE0000"/>
          <w:kern w:val="0"/>
          <w:lang w:eastAsia="en-GB"/>
          <w14:ligatures w14:val="none"/>
        </w:rPr>
      </w:pPr>
      <w:r w:rsidRPr="001F41A9">
        <w:rPr>
          <w:rFonts w:ascii="Arial" w:eastAsiaTheme="minorEastAsia" w:hAnsi="Arial" w:cs="Arial"/>
          <w:kern w:val="0"/>
          <w:lang w:eastAsia="en-GB"/>
          <w14:ligatures w14:val="none"/>
        </w:rPr>
        <w:t>Revenue projections indicate that the nursery can achieve breakeven within the first two years of operation, assuming average occupancy rates of 70–75%. This aligns with sector benchmarks for new early years settings and reflects evidence that parental demand for differentiated, high-quality provision supports sustainable fee structures (Penn, 2014;</w:t>
      </w:r>
      <w:r w:rsidRPr="001F41A9">
        <w:rPr>
          <w:rFonts w:ascii="Arial" w:eastAsia="Times New Roman" w:hAnsi="Arial" w:cs="Arial"/>
          <w:kern w:val="0"/>
          <w:lang w:eastAsia="en-GB"/>
          <w14:ligatures w14:val="none"/>
        </w:rPr>
        <w:t xml:space="preserve"> Ampartzaki, and Kalogiannakis, 2022; </w:t>
      </w:r>
      <w:r w:rsidRPr="001F41A9">
        <w:rPr>
          <w:rFonts w:ascii="Arial" w:eastAsiaTheme="minorEastAsia" w:hAnsi="Arial" w:cs="Arial"/>
          <w:kern w:val="0"/>
          <w:lang w:eastAsia="en-GB"/>
          <w14:ligatures w14:val="none"/>
        </w:rPr>
        <w:t>Powell and Smith, 2017).</w:t>
      </w:r>
    </w:p>
    <w:p w14:paraId="6DD770B5"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Long-term financial sustainability will be supported through periodic fee review, careful cost management and ongoing engagement with funding opportunities. Reinvestment of surplus income into staff development, resource enhancement and community engagement reinforces quality and supports positive inspection outcomes, which in turn influence reputation and occupancy (Estyn, 2023; CIW, 2024-2025).</w:t>
      </w:r>
    </w:p>
    <w:p w14:paraId="7D0BBC9F"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46501D1E"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0A79DD65"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6.4 Financial Risk Management</w:t>
      </w:r>
    </w:p>
    <w:p w14:paraId="002F28D6"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However, identified financial risks include fluctuations in occupancy, staffing shortages, and changes to public funding arrangements. Mitigation strategies include flexible staffing models, active marketing, diversified income streams and regular financial monitoring. Research highlights that proactive leadership and strategic planning are essential in navigating the increasingly marketised early years sector (Lewis and West, 2017; Lloyd-Reichling, 2019; Moss and Robert-Holmes, 2022; Carela, 2019).</w:t>
      </w:r>
    </w:p>
    <w:p w14:paraId="2FBFFB24" w14:textId="466278DB" w:rsidR="001F41A9" w:rsidRPr="00CE1D0E" w:rsidRDefault="001F41A9" w:rsidP="00CE1D0E">
      <w:pPr>
        <w:spacing w:after="0" w:line="360" w:lineRule="auto"/>
        <w:contextualSpacing/>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t xml:space="preserve">Environmental risks, such as weather-related disruption to outdoor provision, will be mitigated through adaptable curriculum planning and investment in suitable clothing and shelter, ensuring continuity of Forest School pedagogy across seasons (Knight, 2016; </w:t>
      </w:r>
      <w:r w:rsidRPr="001F41A9">
        <w:rPr>
          <w:rFonts w:ascii="Arial" w:eastAsia="Times New Roman" w:hAnsi="Arial" w:cs="Arial"/>
          <w:kern w:val="0"/>
          <w:lang w:eastAsia="en-GB"/>
          <w14:ligatures w14:val="none"/>
        </w:rPr>
        <w:t xml:space="preserve">Ouvry, and Furtado, 2020; Johnson and Watts, 2018; Cronin de Chavez,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2024; Garden. 2026; Traynor,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2022; von Au, and Jucker, 2022; Kemp, and Josephidou, 2023; Kiviranta,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2024).</w:t>
      </w:r>
    </w:p>
    <w:p w14:paraId="731257A9" w14:textId="77777777" w:rsid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4EF5105C" wp14:editId="2A818AB7">
                <wp:extent cx="2703195" cy="1270"/>
                <wp:effectExtent l="9525" t="9525" r="11430" b="8255"/>
                <wp:docPr id="487206807"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2CAB3145" id="Rectangle 4"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6CA5BECF" w14:textId="77777777" w:rsidR="00015574" w:rsidRPr="001F41A9" w:rsidRDefault="00015574" w:rsidP="001F41A9">
      <w:pPr>
        <w:spacing w:after="0" w:line="360" w:lineRule="auto"/>
        <w:rPr>
          <w:rFonts w:ascii="Arial" w:eastAsia="Times New Roman" w:hAnsi="Arial" w:cs="Arial"/>
          <w:kern w:val="0"/>
          <w:lang w:eastAsia="en-GB"/>
          <w14:ligatures w14:val="none"/>
        </w:rPr>
      </w:pPr>
    </w:p>
    <w:p w14:paraId="21B9E874"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7. Evaluation and Quality Assurance</w:t>
      </w:r>
    </w:p>
    <w:p w14:paraId="74177FEE"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4493CCD7"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7.1 Pedagogical Evaluation</w:t>
      </w:r>
    </w:p>
    <w:p w14:paraId="752625D9" w14:textId="77777777" w:rsid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Quality assurance will be grounded in continuous pedagogical evaluation, using documentation, observation and reflective dialogue to assess children’s learning and wellbeing. Pedagogical documentation serves as both an assessment tool and a mechanism for professional learning, enabling practitioners to analyse learning processes rather than merely outcomes (Rinaldi, 2006; Carr and Lee, 2012).</w:t>
      </w:r>
    </w:p>
    <w:p w14:paraId="35D0C26F" w14:textId="77777777" w:rsidR="00E22B49" w:rsidRPr="001F41A9" w:rsidRDefault="00E22B49" w:rsidP="001F41A9">
      <w:pPr>
        <w:spacing w:before="100" w:beforeAutospacing="1" w:after="100" w:afterAutospacing="1" w:line="360" w:lineRule="auto"/>
        <w:rPr>
          <w:rFonts w:ascii="Arial" w:eastAsiaTheme="minorEastAsia" w:hAnsi="Arial" w:cs="Arial"/>
          <w:kern w:val="0"/>
          <w:lang w:eastAsia="en-GB"/>
          <w14:ligatures w14:val="none"/>
        </w:rPr>
      </w:pPr>
    </w:p>
    <w:p w14:paraId="5386FC8D"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lastRenderedPageBreak/>
        <w:t>This approach aligns with Estyn’s emphasis on progression, wellbeing and learner agency within the Curriculum for Wales framework (Estyn, 2023; Welsh Government, 2024)</w:t>
      </w:r>
      <w:r w:rsidRPr="001F41A9">
        <w:rPr>
          <w:rFonts w:ascii="Arial" w:eastAsiaTheme="minorEastAsia" w:hAnsi="Arial" w:cs="Arial"/>
          <w:color w:val="EE0000"/>
          <w:kern w:val="0"/>
          <w:lang w:eastAsia="en-GB"/>
          <w14:ligatures w14:val="none"/>
        </w:rPr>
        <w:t xml:space="preserve">. </w:t>
      </w:r>
      <w:r w:rsidRPr="001F41A9">
        <w:rPr>
          <w:rFonts w:ascii="Arial" w:eastAsiaTheme="minorEastAsia" w:hAnsi="Arial" w:cs="Arial"/>
          <w:kern w:val="0"/>
          <w:lang w:eastAsia="en-GB"/>
          <w14:ligatures w14:val="none"/>
        </w:rPr>
        <w:t>Documentation will inform curriculum planning, support inclusion, and facilitate meaningful communication with families.</w:t>
      </w:r>
    </w:p>
    <w:p w14:paraId="7C939DD6"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461B1B2B"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7.2 Inspection and Regulatory Alignment</w:t>
      </w:r>
    </w:p>
    <w:p w14:paraId="18EE275A"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The nursery will maintain ongoing alignment with CIW National Minimum Standards and Estyn inspection guidance for non-maintained settings (Welsh Government, 2023;</w:t>
      </w:r>
      <w:r w:rsidRPr="001F41A9">
        <w:rPr>
          <w:rFonts w:ascii="Arial" w:eastAsiaTheme="minorEastAsia" w:hAnsi="Arial" w:cs="Arial"/>
          <w:color w:val="EE0000"/>
          <w:kern w:val="0"/>
          <w:lang w:eastAsia="en-GB"/>
          <w14:ligatures w14:val="none"/>
        </w:rPr>
        <w:t xml:space="preserve"> </w:t>
      </w:r>
      <w:r w:rsidRPr="001F41A9">
        <w:rPr>
          <w:rFonts w:ascii="Arial" w:eastAsiaTheme="minorEastAsia" w:hAnsi="Arial" w:cs="Arial"/>
          <w:kern w:val="0"/>
          <w:lang w:eastAsia="en-GB"/>
          <w14:ligatures w14:val="none"/>
        </w:rPr>
        <w:t>Estyn, 2021). Internal audits and policy reviews will be conducted regularly to ensure compliance in areas including safeguarding, health and safety, and staff qualifications.</w:t>
      </w:r>
    </w:p>
    <w:p w14:paraId="03685C4D"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Rather than viewing inspection as an external imposition, the nursery will adopt an improvement-oriented stance, consistent with research advocating for accountability systems that support professional learning rather than performativity (Dahlberg,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2000; Moss, 2016; Rademacher,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2025; Roberts-Holmes and Bradbury, 2016). This does however require confident pedagogical leadership to enact.</w:t>
      </w:r>
    </w:p>
    <w:p w14:paraId="55A996B7"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p>
    <w:p w14:paraId="6607D2C7"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7.3 Inclusion and Wellbeing Monitoring</w:t>
      </w:r>
    </w:p>
    <w:p w14:paraId="552E1680"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Inclusive practice will be monitored through early identification processes, universal provision and collaboration with external agencies, in line with the Additional Learning Needs and Education Tribunal (Wales) Act 2018 (Welsh Government, 2018). Forest School pedagogy and flexible, child-led learning environments have been shown to particularly benefit children with additional learning needs, supporting emotional regulation, confidence and social participation (Dabaja, 2022; Knight,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2024; </w:t>
      </w:r>
      <w:r w:rsidRPr="001F41A9">
        <w:rPr>
          <w:rFonts w:ascii="Arial" w:eastAsia="Times New Roman" w:hAnsi="Arial" w:cs="Arial"/>
          <w:kern w:val="0"/>
          <w:lang w:eastAsia="en-GB"/>
          <w14:ligatures w14:val="none"/>
        </w:rPr>
        <w:t>Jordan, and Chawla, 2019; Barrable, 2022;</w:t>
      </w:r>
      <w:r w:rsidRPr="001F41A9">
        <w:rPr>
          <w:rFonts w:ascii="Arial" w:eastAsiaTheme="minorEastAsia" w:hAnsi="Arial" w:cs="Arial"/>
          <w:color w:val="222222"/>
          <w:shd w:val="clear" w:color="auto" w:fill="FFFFFF"/>
          <w:lang w:eastAsia="en-GB"/>
        </w:rPr>
        <w:t xml:space="preserve"> Powers, and Ridge, 2018; </w:t>
      </w:r>
      <w:r w:rsidRPr="001F41A9">
        <w:rPr>
          <w:rFonts w:ascii="Arial" w:eastAsia="Times New Roman" w:hAnsi="Arial" w:cs="Arial"/>
          <w:kern w:val="0"/>
          <w:lang w:eastAsia="en-GB"/>
          <w14:ligatures w14:val="none"/>
        </w:rPr>
        <w:t xml:space="preserve">King,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2024; von Au, and Jucker, 2022).</w:t>
      </w:r>
    </w:p>
    <w:p w14:paraId="64221027" w14:textId="77777777" w:rsidR="001F41A9" w:rsidRPr="001F41A9" w:rsidRDefault="001F41A9" w:rsidP="001F41A9">
      <w:pPr>
        <w:spacing w:before="100" w:beforeAutospacing="1" w:after="100" w:afterAutospacing="1" w:line="360" w:lineRule="auto"/>
        <w:rPr>
          <w:rFonts w:ascii="Arial" w:eastAsiaTheme="minorEastAsia" w:hAnsi="Arial" w:cs="Arial"/>
          <w:color w:val="EE0000"/>
          <w:kern w:val="0"/>
          <w:lang w:eastAsia="en-GB"/>
          <w14:ligatures w14:val="none"/>
        </w:rPr>
      </w:pPr>
    </w:p>
    <w:p w14:paraId="5D8D5DDC" w14:textId="1AF9F500" w:rsidR="001F41A9" w:rsidRPr="00E22B49" w:rsidRDefault="001F41A9" w:rsidP="00E22B49">
      <w:pPr>
        <w:spacing w:after="180" w:line="360" w:lineRule="auto"/>
        <w:rPr>
          <w:rFonts w:ascii="Arial" w:eastAsia="Times New Roman" w:hAnsi="Arial" w:cs="Arial"/>
          <w:spacing w:val="-6"/>
          <w:kern w:val="0"/>
          <w:lang w:eastAsia="en-GB"/>
          <w14:ligatures w14:val="none"/>
        </w:rPr>
      </w:pPr>
      <w:r w:rsidRPr="001F41A9">
        <w:rPr>
          <w:rFonts w:ascii="Arial" w:eastAsia="Times New Roman" w:hAnsi="Arial" w:cs="Arial"/>
          <w:kern w:val="0"/>
          <w:lang w:eastAsia="en-GB"/>
          <w14:ligatures w14:val="none"/>
        </w:rPr>
        <w:lastRenderedPageBreak/>
        <w:t xml:space="preserve">Children’s wellbeing will be assessed holistically, incorporating emotional, physical and relational dimensions, reflecting Welsh policy priorities and rights-based approaches to early childhood education (Welsh Government, 2015; UNCRC, 1989). However, </w:t>
      </w:r>
      <w:r w:rsidRPr="001F41A9">
        <w:rPr>
          <w:rFonts w:ascii="Arial" w:eastAsia="Times New Roman" w:hAnsi="Arial" w:cs="Arial"/>
          <w:spacing w:val="-6"/>
          <w:kern w:val="0"/>
          <w:lang w:eastAsia="en-GB"/>
          <w14:ligatures w14:val="none"/>
        </w:rPr>
        <w:t>effective inclusion does require strong inter-agency collaboration, which may prove problematic.</w:t>
      </w:r>
    </w:p>
    <w:p w14:paraId="1356B224" w14:textId="77777777" w:rsidR="001F41A9" w:rsidRPr="001F41A9" w:rsidRDefault="001F41A9" w:rsidP="001F41A9">
      <w:pPr>
        <w:spacing w:before="100" w:beforeAutospacing="1" w:after="100" w:afterAutospacing="1" w:line="360" w:lineRule="auto"/>
        <w:outlineLvl w:val="2"/>
        <w:rPr>
          <w:rFonts w:ascii="Arial" w:eastAsia="Times New Roman" w:hAnsi="Arial" w:cs="Arial"/>
          <w:b/>
          <w:bCs/>
          <w:kern w:val="0"/>
          <w:lang w:eastAsia="en-GB"/>
          <w14:ligatures w14:val="none"/>
        </w:rPr>
      </w:pPr>
      <w:r w:rsidRPr="001F41A9">
        <w:rPr>
          <w:rFonts w:ascii="Arial" w:eastAsia="Times New Roman" w:hAnsi="Arial" w:cs="Arial"/>
          <w:b/>
          <w:bCs/>
          <w:kern w:val="0"/>
          <w:lang w:eastAsia="en-GB"/>
          <w14:ligatures w14:val="none"/>
        </w:rPr>
        <w:t>7.4 Longitudinal Evaluation and Research</w:t>
      </w:r>
    </w:p>
    <w:p w14:paraId="583677E5" w14:textId="26EB5C90"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Following establishment, the nursery intends to undertake longitudinal evaluation to assess pedagogical impact, family satisfaction and organisational sustainability. This responds to identified limitations in desk-based feasibility research and contributes to sector knowledge on integrated Reggio Emilia and Forest School models within the Welsh context (</w:t>
      </w:r>
      <w:r w:rsidRPr="001F41A9">
        <w:rPr>
          <w:rFonts w:ascii="Arial" w:eastAsiaTheme="minorEastAsia" w:hAnsi="Arial" w:cs="Arial"/>
          <w:color w:val="222222"/>
          <w:shd w:val="clear" w:color="auto" w:fill="FFFFFF"/>
          <w:lang w:eastAsia="en-GB"/>
        </w:rPr>
        <w:t>Powell, and Smith, 2017</w:t>
      </w:r>
      <w:r w:rsidRPr="001F41A9">
        <w:rPr>
          <w:rFonts w:ascii="Arial" w:eastAsiaTheme="minorEastAsia" w:hAnsi="Arial" w:cs="Arial"/>
          <w:shd w:val="clear" w:color="auto" w:fill="FFFFFF"/>
          <w:lang w:eastAsia="en-GB"/>
        </w:rPr>
        <w:t>;</w:t>
      </w:r>
      <w:r w:rsidRPr="001F41A9">
        <w:rPr>
          <w:rFonts w:ascii="Arial" w:eastAsiaTheme="minorEastAsia" w:hAnsi="Arial" w:cs="Arial"/>
          <w:kern w:val="0"/>
          <w:lang w:eastAsia="en-GB"/>
          <w14:ligatures w14:val="none"/>
        </w:rPr>
        <w:t xml:space="preserve"> Moss, 2019). </w:t>
      </w:r>
      <w:r w:rsidRPr="001F41A9">
        <w:rPr>
          <w:rFonts w:ascii="Arial" w:eastAsiaTheme="minorEastAsia" w:hAnsi="Arial" w:cs="Arial"/>
          <w:spacing w:val="-6"/>
          <w:lang w:eastAsia="en-GB"/>
        </w:rPr>
        <w:t xml:space="preserve"> Such evaluation strengthens evidence; however, it requires rigorous ethical oversight and methodological consistency.</w:t>
      </w:r>
    </w:p>
    <w:p w14:paraId="3CA2643C" w14:textId="77777777" w:rsidR="001F41A9" w:rsidRPr="001F41A9" w:rsidRDefault="001F41A9" w:rsidP="001F41A9">
      <w:pPr>
        <w:spacing w:after="0" w:line="36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46B35A88" wp14:editId="69A4FB41">
                <wp:extent cx="2703195" cy="1270"/>
                <wp:effectExtent l="9525" t="9525" r="11430" b="8255"/>
                <wp:docPr id="105860800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4A61BF1A" id="Rectangle 3"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3CEC15AF" w14:textId="77777777" w:rsidR="001F41A9" w:rsidRPr="001F41A9" w:rsidRDefault="001F41A9" w:rsidP="001F41A9">
      <w:pPr>
        <w:spacing w:before="100" w:beforeAutospacing="1" w:after="100" w:afterAutospacing="1" w:line="360" w:lineRule="auto"/>
        <w:outlineLvl w:val="1"/>
        <w:rPr>
          <w:rFonts w:ascii="Arial" w:eastAsiaTheme="minorEastAsia" w:hAnsi="Arial" w:cs="Arial"/>
          <w:b/>
          <w:bCs/>
          <w:kern w:val="0"/>
          <w:lang w:eastAsia="en-GB"/>
          <w14:ligatures w14:val="none"/>
        </w:rPr>
      </w:pPr>
      <w:r w:rsidRPr="001F41A9">
        <w:rPr>
          <w:rFonts w:ascii="Arial" w:eastAsia="Times New Roman" w:hAnsi="Arial" w:cs="Arial"/>
          <w:b/>
          <w:bCs/>
          <w:kern w:val="0"/>
          <w:lang w:eastAsia="en-GB"/>
          <w14:ligatures w14:val="none"/>
        </w:rPr>
        <w:t>8. Conclusion</w:t>
      </w:r>
    </w:p>
    <w:p w14:paraId="4808A3C7" w14:textId="77777777" w:rsidR="001F41A9" w:rsidRPr="001F41A9" w:rsidRDefault="001F41A9" w:rsidP="001F41A9">
      <w:pPr>
        <w:spacing w:after="180" w:line="360" w:lineRule="auto"/>
        <w:rPr>
          <w:rFonts w:ascii="Arial" w:eastAsia="Times New Roman" w:hAnsi="Arial" w:cs="Arial"/>
          <w:spacing w:val="-6"/>
          <w:kern w:val="0"/>
          <w:lang w:eastAsia="en-GB"/>
          <w14:ligatures w14:val="none"/>
        </w:rPr>
      </w:pPr>
      <w:r w:rsidRPr="001F41A9">
        <w:rPr>
          <w:rFonts w:ascii="Arial" w:eastAsiaTheme="minorEastAsia" w:hAnsi="Arial" w:cs="Arial"/>
          <w:kern w:val="0"/>
          <w:lang w:eastAsia="en-GB"/>
          <w14:ligatures w14:val="none"/>
        </w:rPr>
        <w:t xml:space="preserve">This business plan demonstrates that the establishment of a Reggio Emilia–inspired and Forest School nursery in Wales is pedagogically robust, policy-aligned and financially feasible. By integrating socio-constructivist and experiential learning theories with Welsh legislative and policy frameworks, the proposed nursery offers a coherent response to contemporary priorities in early childhood education, including wellbeing, inclusion, sustainability and learner agency </w:t>
      </w:r>
      <w:r w:rsidRPr="001F41A9">
        <w:rPr>
          <w:rFonts w:ascii="Arial" w:eastAsia="Times New Roman" w:hAnsi="Arial" w:cs="Arial"/>
          <w:kern w:val="0"/>
          <w:lang w:eastAsia="en-GB"/>
          <w14:ligatures w14:val="none"/>
        </w:rPr>
        <w:t xml:space="preserve">(Siraj-Blatchford, and Sylva, 2004; Von Suchodoletz,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2023;</w:t>
      </w:r>
      <w:r w:rsidRPr="001F41A9">
        <w:rPr>
          <w:rFonts w:ascii="Arial" w:eastAsia="Times New Roman" w:hAnsi="Arial" w:cs="Arial"/>
          <w:spacing w:val="-6"/>
          <w:kern w:val="0"/>
          <w:lang w:eastAsia="en-GB"/>
          <w14:ligatures w14:val="none"/>
        </w:rPr>
        <w:t xml:space="preserve"> </w:t>
      </w:r>
      <w:r w:rsidRPr="001F41A9">
        <w:rPr>
          <w:rFonts w:ascii="Arial" w:eastAsiaTheme="minorEastAsia" w:hAnsi="Arial" w:cs="Arial"/>
          <w:kern w:val="0"/>
          <w:lang w:eastAsia="en-GB"/>
          <w14:ligatures w14:val="none"/>
        </w:rPr>
        <w:t>Welsh Government, 2024).</w:t>
      </w:r>
    </w:p>
    <w:p w14:paraId="0E7FF4E5" w14:textId="77777777" w:rsidR="001F41A9" w:rsidRPr="001F41A9" w:rsidRDefault="001F41A9" w:rsidP="001F41A9">
      <w:pPr>
        <w:spacing w:before="100" w:beforeAutospacing="1" w:after="100" w:afterAutospacing="1" w:line="360" w:lineRule="auto"/>
        <w:rPr>
          <w:rFonts w:ascii="Arial" w:eastAsiaTheme="minorEastAsia" w:hAnsi="Arial" w:cs="Arial"/>
          <w:color w:val="EE0000"/>
          <w:kern w:val="0"/>
          <w:lang w:eastAsia="en-GB"/>
          <w14:ligatures w14:val="none"/>
        </w:rPr>
      </w:pPr>
      <w:r w:rsidRPr="001F41A9">
        <w:rPr>
          <w:rFonts w:ascii="Arial" w:eastAsiaTheme="minorEastAsia" w:hAnsi="Arial" w:cs="Arial"/>
          <w:kern w:val="0"/>
          <w:lang w:eastAsia="en-GB"/>
          <w14:ligatures w14:val="none"/>
        </w:rPr>
        <w:t>The combined pedagogical approach supports children as competent, creative and relational learners while addressing critiques of standardisation and performativity in early years education</w:t>
      </w:r>
      <w:r w:rsidRPr="001F41A9">
        <w:rPr>
          <w:rFonts w:ascii="Arial" w:eastAsiaTheme="minorEastAsia" w:hAnsi="Arial" w:cs="Arial"/>
          <w:color w:val="EE0000"/>
          <w:kern w:val="0"/>
          <w:lang w:eastAsia="en-GB"/>
          <w14:ligatures w14:val="none"/>
        </w:rPr>
        <w:t xml:space="preserve"> </w:t>
      </w:r>
      <w:r w:rsidRPr="001F41A9">
        <w:rPr>
          <w:rFonts w:ascii="Arial" w:eastAsiaTheme="minorEastAsia" w:hAnsi="Arial" w:cs="Arial"/>
          <w:kern w:val="0"/>
          <w:lang w:eastAsia="en-GB"/>
          <w14:ligatures w14:val="none"/>
        </w:rPr>
        <w:t xml:space="preserve">(Dahlberg,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xml:space="preserve">., 2000; Moss, 2016; Rademacher,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2025).</w:t>
      </w:r>
    </w:p>
    <w:p w14:paraId="5DE2A25F" w14:textId="77777777" w:rsidR="001F41A9" w:rsidRPr="001F41A9" w:rsidRDefault="001F41A9" w:rsidP="001F41A9">
      <w:pPr>
        <w:spacing w:before="100" w:beforeAutospacing="1" w:after="100" w:afterAutospacing="1" w:line="360" w:lineRule="auto"/>
        <w:rPr>
          <w:rFonts w:ascii="Arial" w:eastAsiaTheme="minorEastAsia" w:hAnsi="Arial" w:cs="Arial"/>
          <w:color w:val="EE0000"/>
          <w:kern w:val="0"/>
          <w:lang w:eastAsia="en-GB"/>
          <w14:ligatures w14:val="none"/>
        </w:rPr>
      </w:pPr>
      <w:r w:rsidRPr="001F41A9">
        <w:rPr>
          <w:rFonts w:ascii="Arial" w:eastAsiaTheme="minorEastAsia" w:hAnsi="Arial" w:cs="Arial"/>
          <w:kern w:val="0"/>
          <w:lang w:eastAsia="en-GB"/>
          <w14:ligatures w14:val="none"/>
        </w:rPr>
        <w:t>Operational and financial planning demonstrates that educational values can be enacted without compromising regulatory compliance or economic sustainability, provided that leadership is reflective, strategic and values-driven (Aubrey e</w:t>
      </w:r>
      <w:r w:rsidRPr="001F41A9">
        <w:rPr>
          <w:rFonts w:ascii="Arial" w:eastAsiaTheme="minorEastAsia" w:hAnsi="Arial" w:cs="Arial"/>
          <w:i/>
          <w:iCs/>
          <w:kern w:val="0"/>
          <w:lang w:eastAsia="en-GB"/>
          <w14:ligatures w14:val="none"/>
        </w:rPr>
        <w:t>t al</w:t>
      </w:r>
      <w:r w:rsidRPr="001F41A9">
        <w:rPr>
          <w:rFonts w:ascii="Arial" w:eastAsiaTheme="minorEastAsia" w:hAnsi="Arial" w:cs="Arial"/>
          <w:kern w:val="0"/>
          <w:lang w:eastAsia="en-GB"/>
          <w14:ligatures w14:val="none"/>
        </w:rPr>
        <w:t>., 2013; Lewis and Wesh, 2017; Lloyd- Reichling, 2019).</w:t>
      </w:r>
    </w:p>
    <w:p w14:paraId="5A7C04A8" w14:textId="661665A8"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lastRenderedPageBreak/>
        <w:t xml:space="preserve">While the feasibility study is limited by its reliance on secondary data, it provides a strong foundation for implementation and future empirical research. The proposed </w:t>
      </w:r>
      <w:r w:rsidR="00AC4BEB">
        <w:rPr>
          <w:rFonts w:ascii="Arial" w:eastAsiaTheme="minorEastAsia" w:hAnsi="Arial" w:cs="Arial"/>
          <w:kern w:val="0"/>
          <w:lang w:eastAsia="en-GB"/>
          <w14:ligatures w14:val="none"/>
        </w:rPr>
        <w:t>setting</w:t>
      </w:r>
      <w:r w:rsidR="00C51F46">
        <w:rPr>
          <w:rFonts w:ascii="Arial" w:eastAsiaTheme="minorEastAsia" w:hAnsi="Arial" w:cs="Arial"/>
          <w:kern w:val="0"/>
          <w:lang w:eastAsia="en-GB"/>
          <w14:ligatures w14:val="none"/>
        </w:rPr>
        <w:t xml:space="preserve"> </w:t>
      </w:r>
      <w:r w:rsidRPr="001F41A9">
        <w:rPr>
          <w:rFonts w:ascii="Arial" w:eastAsiaTheme="minorEastAsia" w:hAnsi="Arial" w:cs="Arial"/>
          <w:kern w:val="0"/>
          <w:lang w:eastAsia="en-GB"/>
          <w14:ligatures w14:val="none"/>
        </w:rPr>
        <w:t>contributes to national objectives articulated through the Curriculum for Wales and the Well-being of Future Generations (Wales) Act 2015, positioning early years education as a site of ethical, sustainable and socially just practice (Welsh Government, 2024; Legislation. Government. UK, 2015).</w:t>
      </w:r>
    </w:p>
    <w:p w14:paraId="62CB7B51" w14:textId="77777777" w:rsidR="001F41A9" w:rsidRPr="001F41A9" w:rsidRDefault="001F41A9" w:rsidP="001F41A9">
      <w:pPr>
        <w:spacing w:before="100" w:beforeAutospacing="1" w:after="100" w:afterAutospacing="1" w:line="360" w:lineRule="auto"/>
        <w:rPr>
          <w:rFonts w:ascii="Arial" w:eastAsiaTheme="minorEastAsia" w:hAnsi="Arial" w:cs="Arial"/>
          <w:kern w:val="0"/>
          <w:lang w:eastAsia="en-GB"/>
          <w14:ligatures w14:val="none"/>
        </w:rPr>
      </w:pPr>
      <w:r w:rsidRPr="001F41A9">
        <w:rPr>
          <w:rFonts w:ascii="Arial" w:eastAsiaTheme="minorEastAsia" w:hAnsi="Arial" w:cs="Arial"/>
          <w:kern w:val="0"/>
          <w:lang w:eastAsia="en-GB"/>
          <w14:ligatures w14:val="none"/>
        </w:rPr>
        <w:t xml:space="preserve">In conclusion, the Reggio Emilia and Forest School nursery represents a viable and innovative model of early years provision in Wales, capable of delivering high-quality education that benefits children, families and communities, while supporting long-term societal wellbeing (Aliga, </w:t>
      </w:r>
      <w:r w:rsidRPr="001F41A9">
        <w:rPr>
          <w:rFonts w:ascii="Arial" w:eastAsiaTheme="minorEastAsia" w:hAnsi="Arial" w:cs="Arial"/>
          <w:i/>
          <w:iCs/>
          <w:kern w:val="0"/>
          <w:lang w:eastAsia="en-GB"/>
          <w14:ligatures w14:val="none"/>
        </w:rPr>
        <w:t>et al</w:t>
      </w:r>
      <w:r w:rsidRPr="001F41A9">
        <w:rPr>
          <w:rFonts w:ascii="Arial" w:eastAsiaTheme="minorEastAsia" w:hAnsi="Arial" w:cs="Arial"/>
          <w:kern w:val="0"/>
          <w:lang w:eastAsia="en-GB"/>
          <w14:ligatures w14:val="none"/>
        </w:rPr>
        <w:t>., 2023)</w:t>
      </w:r>
    </w:p>
    <w:p w14:paraId="3346CDE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noProof/>
          <w:lang w:eastAsia="en-GB"/>
        </w:rPr>
        <mc:AlternateContent>
          <mc:Choice Requires="wps">
            <w:drawing>
              <wp:inline distT="0" distB="0" distL="0" distR="0" wp14:anchorId="7947E35F" wp14:editId="55EAAFE4">
                <wp:extent cx="2703195" cy="1270"/>
                <wp:effectExtent l="9525" t="9525" r="11430" b="8255"/>
                <wp:docPr id="83156842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33983698" id="Rectangle 2"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3E56244F" w14:textId="77777777" w:rsidR="001F41A9" w:rsidRPr="001F41A9" w:rsidRDefault="001F41A9" w:rsidP="001F41A9">
      <w:pPr>
        <w:spacing w:after="0" w:line="240" w:lineRule="auto"/>
        <w:ind w:left="720"/>
        <w:contextualSpacing/>
        <w:rPr>
          <w:rFonts w:ascii="Arial" w:eastAsia="Times New Roman" w:hAnsi="Arial" w:cs="Arial"/>
          <w:kern w:val="0"/>
          <w:lang w:eastAsia="en-GB"/>
          <w14:ligatures w14:val="none"/>
        </w:rPr>
      </w:pPr>
    </w:p>
    <w:p w14:paraId="09BBBB2D" w14:textId="77777777" w:rsidR="001F41A9" w:rsidRPr="001F41A9" w:rsidRDefault="001F41A9" w:rsidP="001F41A9">
      <w:pPr>
        <w:spacing w:after="0" w:line="240" w:lineRule="auto"/>
        <w:ind w:left="720"/>
        <w:contextualSpacing/>
        <w:rPr>
          <w:rFonts w:ascii="Times New Roman" w:eastAsia="Times New Roman" w:hAnsi="Times New Roman" w:cs="Times New Roman"/>
          <w:kern w:val="0"/>
          <w:lang w:eastAsia="en-GB"/>
          <w14:ligatures w14:val="none"/>
        </w:rPr>
      </w:pPr>
    </w:p>
    <w:p w14:paraId="020863F9" w14:textId="77777777" w:rsidR="001F41A9" w:rsidRPr="001F41A9" w:rsidRDefault="001F41A9" w:rsidP="001F41A9">
      <w:pPr>
        <w:spacing w:before="100" w:beforeAutospacing="1" w:after="100" w:afterAutospacing="1" w:line="240" w:lineRule="auto"/>
        <w:rPr>
          <w:rFonts w:ascii="Arial" w:eastAsiaTheme="minorEastAsia" w:hAnsi="Arial" w:cs="Arial"/>
          <w:b/>
          <w:bCs/>
          <w:color w:val="EE0000"/>
          <w:kern w:val="0"/>
          <w:lang w:eastAsia="en-GB"/>
          <w14:ligatures w14:val="none"/>
        </w:rPr>
      </w:pPr>
      <w:r w:rsidRPr="001F41A9">
        <w:rPr>
          <w:rFonts w:ascii="Arial" w:eastAsiaTheme="minorEastAsia" w:hAnsi="Arial" w:cs="Arial"/>
          <w:b/>
          <w:bCs/>
          <w:kern w:val="0"/>
          <w:lang w:eastAsia="en-GB"/>
          <w14:ligatures w14:val="none"/>
        </w:rPr>
        <w:t xml:space="preserve">References </w:t>
      </w:r>
    </w:p>
    <w:p w14:paraId="16F00AE5" w14:textId="77777777" w:rsidR="001F41A9" w:rsidRPr="001F41A9" w:rsidRDefault="001F41A9" w:rsidP="001F41A9">
      <w:pPr>
        <w:spacing w:before="100" w:beforeAutospacing="1" w:after="100" w:afterAutospacing="1" w:line="240" w:lineRule="auto"/>
        <w:rPr>
          <w:rFonts w:ascii="Arial" w:eastAsiaTheme="minorEastAsia" w:hAnsi="Arial" w:cs="Arial"/>
          <w:color w:val="EE0000"/>
          <w:kern w:val="0"/>
          <w:lang w:eastAsia="en-GB"/>
          <w14:ligatures w14:val="none"/>
        </w:rPr>
      </w:pPr>
    </w:p>
    <w:p w14:paraId="11DEB8F5" w14:textId="1A655EBE" w:rsid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Aliga, A.</w:t>
      </w:r>
      <w:r w:rsidR="00122D89" w:rsidRPr="00122D89">
        <w:rPr>
          <w:rFonts w:ascii="Source Sans Pro" w:hAnsi="Source Sans Pro"/>
          <w:color w:val="EE0000"/>
          <w:sz w:val="23"/>
          <w:szCs w:val="23"/>
          <w:shd w:val="clear" w:color="auto" w:fill="FFFFFF"/>
        </w:rPr>
        <w:t xml:space="preserve"> </w:t>
      </w:r>
      <w:r w:rsidR="00122D89" w:rsidRPr="00122D89">
        <w:rPr>
          <w:rFonts w:ascii="Arial" w:hAnsi="Arial" w:cs="Arial"/>
          <w:shd w:val="clear" w:color="auto" w:fill="FFFFFF"/>
        </w:rPr>
        <w:t>Delbiso, T.D., Kitsao-Wekulo, P., Lambon-Quayefio, M., Moussié, R., Peterman, A., Tilahun, N.</w:t>
      </w:r>
      <w:r w:rsidR="00122D89">
        <w:rPr>
          <w:rFonts w:ascii="Arial" w:eastAsia="Times New Roman" w:hAnsi="Arial" w:cs="Arial"/>
          <w:kern w:val="0"/>
          <w:lang w:eastAsia="en-GB"/>
          <w14:ligatures w14:val="none"/>
        </w:rPr>
        <w:t xml:space="preserve"> </w:t>
      </w:r>
      <w:r w:rsidRPr="00122D89">
        <w:rPr>
          <w:rFonts w:ascii="Arial" w:eastAsia="Times New Roman" w:hAnsi="Arial" w:cs="Arial"/>
          <w:kern w:val="0"/>
          <w:lang w:eastAsia="en-GB"/>
          <w14:ligatures w14:val="none"/>
        </w:rPr>
        <w:t xml:space="preserve">(2023) “Smart </w:t>
      </w:r>
      <w:r w:rsidRPr="001F41A9">
        <w:rPr>
          <w:rFonts w:ascii="Arial" w:eastAsia="Times New Roman" w:hAnsi="Arial" w:cs="Arial"/>
          <w:kern w:val="0"/>
          <w:lang w:eastAsia="en-GB"/>
          <w14:ligatures w14:val="none"/>
        </w:rPr>
        <w:t xml:space="preserve">investment in global childcare requires local solutions and a coordinated research agenda,” </w:t>
      </w:r>
      <w:r w:rsidRPr="001F41A9">
        <w:rPr>
          <w:rFonts w:ascii="Arial" w:eastAsia="Times New Roman" w:hAnsi="Arial" w:cs="Arial"/>
          <w:i/>
          <w:iCs/>
          <w:kern w:val="0"/>
          <w:lang w:eastAsia="en-GB"/>
          <w14:ligatures w14:val="none"/>
        </w:rPr>
        <w:t>BMJ global health</w:t>
      </w:r>
      <w:r w:rsidRPr="001F41A9">
        <w:rPr>
          <w:rFonts w:ascii="Arial" w:eastAsia="Times New Roman" w:hAnsi="Arial" w:cs="Arial"/>
          <w:kern w:val="0"/>
          <w:lang w:eastAsia="en-GB"/>
          <w14:ligatures w14:val="none"/>
        </w:rPr>
        <w:t xml:space="preserve">, 8(9), p. e012827. Available at: </w:t>
      </w:r>
      <w:hyperlink r:id="rId18" w:history="1">
        <w:r w:rsidRPr="001F41A9">
          <w:rPr>
            <w:rFonts w:ascii="Arial" w:eastAsia="Times New Roman" w:hAnsi="Arial" w:cs="Arial"/>
            <w:color w:val="467886" w:themeColor="hyperlink"/>
            <w:kern w:val="0"/>
            <w:u w:val="single"/>
            <w:lang w:eastAsia="en-GB"/>
            <w14:ligatures w14:val="none"/>
          </w:rPr>
          <w:t>https://doi.org/10.1136/bmjgh-2023-012827</w:t>
        </w:r>
      </w:hyperlink>
      <w:r w:rsidRPr="001F41A9">
        <w:rPr>
          <w:rFonts w:ascii="Arial" w:eastAsia="Times New Roman" w:hAnsi="Arial" w:cs="Arial"/>
          <w:kern w:val="0"/>
          <w:lang w:eastAsia="en-GB"/>
          <w14:ligatures w14:val="none"/>
        </w:rPr>
        <w:t>. (Accessed: 4 February 2026)</w:t>
      </w:r>
    </w:p>
    <w:p w14:paraId="77D6C397" w14:textId="77777777" w:rsidR="004B6528" w:rsidRDefault="004B6528" w:rsidP="001F41A9">
      <w:pPr>
        <w:spacing w:after="0" w:line="240" w:lineRule="auto"/>
        <w:rPr>
          <w:rFonts w:ascii="Arial" w:eastAsia="Times New Roman" w:hAnsi="Arial" w:cs="Arial"/>
          <w:kern w:val="0"/>
          <w:lang w:eastAsia="en-GB"/>
          <w14:ligatures w14:val="none"/>
        </w:rPr>
      </w:pPr>
    </w:p>
    <w:p w14:paraId="286A373E"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DD60DC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Ampartzaki, M. and Kalogiannakis, M. (eds.) (2022) </w:t>
      </w:r>
      <w:r w:rsidRPr="001F41A9">
        <w:rPr>
          <w:rFonts w:ascii="Arial" w:eastAsia="Times New Roman" w:hAnsi="Arial" w:cs="Arial"/>
          <w:i/>
          <w:iCs/>
          <w:kern w:val="0"/>
          <w:lang w:eastAsia="en-GB"/>
          <w14:ligatures w14:val="none"/>
        </w:rPr>
        <w:t>Early childhood education: innovative pedagogical approaches in the post-modern era</w:t>
      </w:r>
      <w:r w:rsidRPr="001F41A9">
        <w:rPr>
          <w:rFonts w:ascii="Arial" w:eastAsia="Times New Roman" w:hAnsi="Arial" w:cs="Arial"/>
          <w:kern w:val="0"/>
          <w:lang w:eastAsia="en-GB"/>
          <w14:ligatures w14:val="none"/>
        </w:rPr>
        <w:t>. London: Intech Open.</w:t>
      </w:r>
    </w:p>
    <w:p w14:paraId="67DA82D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4DAA19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Archer, C. and Siraj, I. (2015) “Measuring the quality of movement-play in Early Childhood Education settings: Linking movement-play and neuroscience,” </w:t>
      </w:r>
      <w:r w:rsidRPr="001F41A9">
        <w:rPr>
          <w:rFonts w:ascii="Arial" w:eastAsia="Times New Roman" w:hAnsi="Arial" w:cs="Arial"/>
          <w:i/>
          <w:iCs/>
          <w:kern w:val="0"/>
          <w:lang w:eastAsia="en-GB"/>
          <w14:ligatures w14:val="none"/>
        </w:rPr>
        <w:t>European early childhood education research journal</w:t>
      </w:r>
      <w:r w:rsidRPr="001F41A9">
        <w:rPr>
          <w:rFonts w:ascii="Arial" w:eastAsia="Times New Roman" w:hAnsi="Arial" w:cs="Arial"/>
          <w:kern w:val="0"/>
          <w:lang w:eastAsia="en-GB"/>
          <w14:ligatures w14:val="none"/>
        </w:rPr>
        <w:t xml:space="preserve">, 23(1), pp. 21–42. Available at: </w:t>
      </w:r>
      <w:hyperlink r:id="rId19" w:history="1">
        <w:r w:rsidRPr="001F41A9">
          <w:rPr>
            <w:rFonts w:ascii="Arial" w:eastAsia="Times New Roman" w:hAnsi="Arial" w:cs="Arial"/>
            <w:color w:val="467886" w:themeColor="hyperlink"/>
            <w:kern w:val="0"/>
            <w:u w:val="single"/>
            <w:lang w:eastAsia="en-GB"/>
            <w14:ligatures w14:val="none"/>
          </w:rPr>
          <w:t>https://doi.org/10.1080/1350293X.2014.890351</w:t>
        </w:r>
      </w:hyperlink>
      <w:r w:rsidRPr="001F41A9">
        <w:rPr>
          <w:rFonts w:ascii="Arial" w:eastAsia="Times New Roman" w:hAnsi="Arial" w:cs="Arial"/>
          <w:kern w:val="0"/>
          <w:lang w:eastAsia="en-GB"/>
          <w14:ligatures w14:val="none"/>
        </w:rPr>
        <w:t>.  (Accessed: 30 January 2026)</w:t>
      </w:r>
    </w:p>
    <w:p w14:paraId="1275E0C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F3CA0E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Åström, F. (2023) </w:t>
      </w:r>
      <w:r w:rsidRPr="001F41A9">
        <w:rPr>
          <w:rFonts w:ascii="Arial" w:eastAsia="Times New Roman" w:hAnsi="Arial" w:cs="Arial"/>
          <w:i/>
          <w:iCs/>
          <w:kern w:val="0"/>
          <w:lang w:eastAsia="en-GB"/>
          <w14:ligatures w14:val="none"/>
        </w:rPr>
        <w:t>Everyday life in preschool – Swedish and international approaches</w:t>
      </w:r>
      <w:r w:rsidRPr="001F41A9">
        <w:rPr>
          <w:rFonts w:ascii="Arial" w:eastAsia="Times New Roman" w:hAnsi="Arial" w:cs="Arial"/>
          <w:kern w:val="0"/>
          <w:lang w:eastAsia="en-GB"/>
          <w14:ligatures w14:val="none"/>
        </w:rPr>
        <w:t>.</w:t>
      </w:r>
    </w:p>
    <w:p w14:paraId="63F5DF16"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r w:rsidRPr="001F41A9">
        <w:rPr>
          <w:rFonts w:ascii="Arial" w:eastAsia="Times New Roman" w:hAnsi="Arial" w:cs="Arial"/>
          <w:kern w:val="0"/>
          <w:lang w:eastAsia="en-GB"/>
          <w14:ligatures w14:val="none"/>
        </w:rPr>
        <w:t xml:space="preserve">Aubrey, C., Godfrey, R. and Harris, A. (2013) “How Do They Manage? An Investigation of Early Childhood Leadership,” </w:t>
      </w:r>
      <w:r w:rsidRPr="001F41A9">
        <w:rPr>
          <w:rFonts w:ascii="Arial" w:eastAsia="Times New Roman" w:hAnsi="Arial" w:cs="Arial"/>
          <w:i/>
          <w:iCs/>
          <w:kern w:val="0"/>
          <w:lang w:eastAsia="en-GB"/>
          <w14:ligatures w14:val="none"/>
        </w:rPr>
        <w:t>Educational management, administration &amp; leadership</w:t>
      </w:r>
      <w:r w:rsidRPr="001F41A9">
        <w:rPr>
          <w:rFonts w:ascii="Arial" w:eastAsia="Times New Roman" w:hAnsi="Arial" w:cs="Arial"/>
          <w:kern w:val="0"/>
          <w:lang w:eastAsia="en-GB"/>
          <w14:ligatures w14:val="none"/>
        </w:rPr>
        <w:t xml:space="preserve">, 41(1), pp. 5–29. Available at: </w:t>
      </w:r>
      <w:hyperlink r:id="rId20" w:history="1">
        <w:r w:rsidRPr="001F41A9">
          <w:rPr>
            <w:rFonts w:ascii="Arial" w:eastAsia="Times New Roman" w:hAnsi="Arial" w:cs="Arial"/>
            <w:color w:val="467886" w:themeColor="hyperlink"/>
            <w:kern w:val="0"/>
            <w:u w:val="single"/>
            <w:lang w:eastAsia="en-GB"/>
            <w14:ligatures w14:val="none"/>
          </w:rPr>
          <w:t>https://doi.org/10.1177/1741143212462702</w:t>
        </w:r>
      </w:hyperlink>
      <w:r w:rsidRPr="001F41A9">
        <w:rPr>
          <w:rFonts w:ascii="Arial" w:eastAsiaTheme="minorEastAsia" w:hAnsi="Arial" w:cs="Arial"/>
          <w:lang w:eastAsia="en-GB"/>
        </w:rPr>
        <w:t xml:space="preserve"> </w:t>
      </w:r>
      <w:r w:rsidRPr="001F41A9">
        <w:rPr>
          <w:rFonts w:ascii="Arial" w:eastAsia="Times New Roman" w:hAnsi="Arial" w:cs="Arial"/>
          <w:spacing w:val="-6"/>
          <w:kern w:val="0"/>
          <w:lang w:eastAsia="en-GB"/>
          <w14:ligatures w14:val="none"/>
        </w:rPr>
        <w:t>(Accessed: 3 February 2026)</w:t>
      </w:r>
    </w:p>
    <w:p w14:paraId="6A7C440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lastRenderedPageBreak/>
        <w:t xml:space="preserve">Barrable, A. (2022) </w:t>
      </w:r>
      <w:r w:rsidRPr="001F41A9">
        <w:rPr>
          <w:rFonts w:ascii="Arial" w:eastAsia="Times New Roman" w:hAnsi="Arial" w:cs="Arial"/>
          <w:i/>
          <w:iCs/>
          <w:kern w:val="0"/>
          <w:lang w:eastAsia="en-GB"/>
          <w14:ligatures w14:val="none"/>
        </w:rPr>
        <w:t>Nature-based learning: improving learning and well-being by teaching with nature in mind</w:t>
      </w:r>
      <w:r w:rsidRPr="001F41A9">
        <w:rPr>
          <w:rFonts w:ascii="Arial" w:eastAsia="Times New Roman" w:hAnsi="Arial" w:cs="Arial"/>
          <w:kern w:val="0"/>
          <w:lang w:eastAsia="en-GB"/>
          <w14:ligatures w14:val="none"/>
        </w:rPr>
        <w:t>. Bancyfelin, Carmarthen, Wales: Independent Thinking Press.</w:t>
      </w:r>
    </w:p>
    <w:p w14:paraId="3C4AB61B"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939036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Beames, S., Higgins, P.J. and Nicol, R. (2012) </w:t>
      </w:r>
      <w:r w:rsidRPr="001F41A9">
        <w:rPr>
          <w:rFonts w:ascii="Arial" w:eastAsia="Times New Roman" w:hAnsi="Arial" w:cs="Arial"/>
          <w:i/>
          <w:iCs/>
          <w:kern w:val="0"/>
          <w:lang w:eastAsia="en-GB"/>
          <w14:ligatures w14:val="none"/>
        </w:rPr>
        <w:t>Learning outside the classroom: theory and guidelines for practice</w:t>
      </w:r>
      <w:r w:rsidRPr="001F41A9">
        <w:rPr>
          <w:rFonts w:ascii="Arial" w:eastAsia="Times New Roman" w:hAnsi="Arial" w:cs="Arial"/>
          <w:kern w:val="0"/>
          <w:lang w:eastAsia="en-GB"/>
          <w14:ligatures w14:val="none"/>
        </w:rPr>
        <w:t xml:space="preserve">. 1st ed. New York, N.Y: Routledge. Available at: </w:t>
      </w:r>
      <w:hyperlink r:id="rId21" w:history="1">
        <w:r w:rsidRPr="001F41A9">
          <w:rPr>
            <w:rFonts w:ascii="Arial" w:eastAsia="Times New Roman" w:hAnsi="Arial" w:cs="Arial"/>
            <w:color w:val="467886" w:themeColor="hyperlink"/>
            <w:kern w:val="0"/>
            <w:u w:val="single"/>
            <w:lang w:eastAsia="en-GB"/>
            <w14:ligatures w14:val="none"/>
          </w:rPr>
          <w:t>https://doi.org/10.4324/9780203816011</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 xml:space="preserve"> (Accessed: 4 February 2026)</w:t>
      </w:r>
    </w:p>
    <w:p w14:paraId="3B45295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750BA8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Bland, D. and Sharma-Brymer, V. (2012) “Imagination in school children’s choice of their learning environment: An Australian study,” </w:t>
      </w:r>
      <w:r w:rsidRPr="001F41A9">
        <w:rPr>
          <w:rFonts w:ascii="Arial" w:eastAsia="Times New Roman" w:hAnsi="Arial" w:cs="Arial"/>
          <w:i/>
          <w:iCs/>
          <w:kern w:val="0"/>
          <w:lang w:eastAsia="en-GB"/>
          <w14:ligatures w14:val="none"/>
        </w:rPr>
        <w:t>International journal of educational research</w:t>
      </w:r>
      <w:r w:rsidRPr="001F41A9">
        <w:rPr>
          <w:rFonts w:ascii="Arial" w:eastAsia="Times New Roman" w:hAnsi="Arial" w:cs="Arial"/>
          <w:kern w:val="0"/>
          <w:lang w:eastAsia="en-GB"/>
          <w14:ligatures w14:val="none"/>
        </w:rPr>
        <w:t xml:space="preserve">, 56, pp. 75–88. Available at: </w:t>
      </w:r>
      <w:hyperlink r:id="rId22" w:history="1">
        <w:r w:rsidRPr="001F41A9">
          <w:rPr>
            <w:rFonts w:ascii="Arial" w:eastAsia="Times New Roman" w:hAnsi="Arial" w:cs="Arial"/>
            <w:color w:val="467886" w:themeColor="hyperlink"/>
            <w:kern w:val="0"/>
            <w:u w:val="single"/>
            <w:lang w:eastAsia="en-GB"/>
            <w14:ligatures w14:val="none"/>
          </w:rPr>
          <w:t>https://doi.org/10.1016/j.ijer.2012.06.002</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9 February 2026)</w:t>
      </w:r>
    </w:p>
    <w:p w14:paraId="1F110D3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C358D1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Campbell, C. and Speldewinde, C. (2022) “Early Childhood STEM Education for Sustainable Development,” </w:t>
      </w:r>
      <w:r w:rsidRPr="001F41A9">
        <w:rPr>
          <w:rFonts w:ascii="Arial" w:eastAsia="Times New Roman" w:hAnsi="Arial" w:cs="Arial"/>
          <w:i/>
          <w:iCs/>
          <w:kern w:val="0"/>
          <w:lang w:eastAsia="en-GB"/>
          <w14:ligatures w14:val="none"/>
        </w:rPr>
        <w:t>Sustainability</w:t>
      </w:r>
      <w:r w:rsidRPr="001F41A9">
        <w:rPr>
          <w:rFonts w:ascii="Arial" w:eastAsia="Times New Roman" w:hAnsi="Arial" w:cs="Arial"/>
          <w:kern w:val="0"/>
          <w:lang w:eastAsia="en-GB"/>
          <w14:ligatures w14:val="none"/>
        </w:rPr>
        <w:t xml:space="preserve">, 14(6), p. 3524. Available at: </w:t>
      </w:r>
      <w:hyperlink r:id="rId23" w:history="1">
        <w:r w:rsidRPr="001F41A9">
          <w:rPr>
            <w:rFonts w:ascii="Arial" w:eastAsia="Times New Roman" w:hAnsi="Arial" w:cs="Arial"/>
            <w:color w:val="467886" w:themeColor="hyperlink"/>
            <w:kern w:val="0"/>
            <w:u w:val="single"/>
            <w:lang w:eastAsia="en-GB"/>
            <w14:ligatures w14:val="none"/>
          </w:rPr>
          <w:t>https://doi.org/10.3390/su14063524</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7 February 2026)</w:t>
      </w:r>
    </w:p>
    <w:p w14:paraId="5D7374F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15B031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Campbell-Barr, V. and Leeson, C. (2016) </w:t>
      </w:r>
      <w:r w:rsidRPr="001F41A9">
        <w:rPr>
          <w:rFonts w:ascii="Arial" w:eastAsia="Times New Roman" w:hAnsi="Arial" w:cs="Arial"/>
          <w:i/>
          <w:iCs/>
          <w:kern w:val="0"/>
          <w:lang w:eastAsia="en-GB"/>
          <w14:ligatures w14:val="none"/>
        </w:rPr>
        <w:t>Quality and Leadership in the Early Years: Research, Theory and Practice</w:t>
      </w:r>
      <w:r w:rsidRPr="001F41A9">
        <w:rPr>
          <w:rFonts w:ascii="Arial" w:eastAsia="Times New Roman" w:hAnsi="Arial" w:cs="Arial"/>
          <w:kern w:val="0"/>
          <w:lang w:eastAsia="en-GB"/>
          <w14:ligatures w14:val="none"/>
        </w:rPr>
        <w:t xml:space="preserve">. 1st ed. London: SAGE Publications, Limited. Available at: </w:t>
      </w:r>
      <w:hyperlink r:id="rId24" w:history="1">
        <w:r w:rsidRPr="001F41A9">
          <w:rPr>
            <w:rFonts w:ascii="Arial" w:eastAsia="Times New Roman" w:hAnsi="Arial" w:cs="Arial"/>
            <w:color w:val="467886" w:themeColor="hyperlink"/>
            <w:kern w:val="0"/>
            <w:u w:val="single"/>
            <w:lang w:eastAsia="en-GB"/>
            <w14:ligatures w14:val="none"/>
          </w:rPr>
          <w:t>https://doi.org/10.4135/9781473972414</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10 February 2026)</w:t>
      </w:r>
    </w:p>
    <w:p w14:paraId="0B918D2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9DFD851"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Cankaya, O., Leach, J. and Akdemir, K. (2024) “The Journey of Loose Parts across Educational Landscapes and History: The Role of Materials, Relationships, Space, and Time in Children’s Loose Parts Play,” </w:t>
      </w:r>
      <w:r w:rsidRPr="001F41A9">
        <w:rPr>
          <w:rFonts w:ascii="Arial" w:eastAsia="Times New Roman" w:hAnsi="Arial" w:cs="Arial"/>
          <w:i/>
          <w:iCs/>
          <w:kern w:val="0"/>
          <w:lang w:eastAsia="en-GB"/>
          <w14:ligatures w14:val="none"/>
        </w:rPr>
        <w:t>American journal of play</w:t>
      </w:r>
      <w:r w:rsidRPr="001F41A9">
        <w:rPr>
          <w:rFonts w:ascii="Arial" w:eastAsia="Times New Roman" w:hAnsi="Arial" w:cs="Arial"/>
          <w:kern w:val="0"/>
          <w:lang w:eastAsia="en-GB"/>
          <w14:ligatures w14:val="none"/>
        </w:rPr>
        <w:t>, 16(2–3), pp. 210–245.</w:t>
      </w:r>
    </w:p>
    <w:p w14:paraId="4B7A978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913284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Cankaya, O., Martin, M. and Haugen, D. (2025) “The Relationship Between Children’s Indoor Loose Parts Play and Cognitive Development: A Systematic Review,” </w:t>
      </w:r>
      <w:r w:rsidRPr="001F41A9">
        <w:rPr>
          <w:rFonts w:ascii="Arial" w:eastAsia="Times New Roman" w:hAnsi="Arial" w:cs="Arial"/>
          <w:i/>
          <w:iCs/>
          <w:kern w:val="0"/>
          <w:lang w:eastAsia="en-GB"/>
          <w14:ligatures w14:val="none"/>
        </w:rPr>
        <w:t>Journal of intelligence</w:t>
      </w:r>
      <w:r w:rsidRPr="001F41A9">
        <w:rPr>
          <w:rFonts w:ascii="Arial" w:eastAsia="Times New Roman" w:hAnsi="Arial" w:cs="Arial"/>
          <w:kern w:val="0"/>
          <w:lang w:eastAsia="en-GB"/>
          <w14:ligatures w14:val="none"/>
        </w:rPr>
        <w:t xml:space="preserve">, 13(5), p. 52. Available at: </w:t>
      </w:r>
      <w:hyperlink r:id="rId25" w:history="1">
        <w:r w:rsidRPr="001F41A9">
          <w:rPr>
            <w:rFonts w:ascii="Arial" w:eastAsia="Times New Roman" w:hAnsi="Arial" w:cs="Arial"/>
            <w:color w:val="467886" w:themeColor="hyperlink"/>
            <w:kern w:val="0"/>
            <w:u w:val="single"/>
            <w:lang w:eastAsia="en-GB"/>
            <w14:ligatures w14:val="none"/>
          </w:rPr>
          <w:t>https://doi.org/10.3390/jintelligence13050052</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8 February 2026)</w:t>
      </w:r>
    </w:p>
    <w:p w14:paraId="2EFCDB4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575D298"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Cankaya, O., Martin, M. and Haugen, D. (2025) “The Relationship Between Children’s Indoor Loose Parts Play and Cognitive Development: A Systematic Review,” </w:t>
      </w:r>
      <w:r w:rsidRPr="001F41A9">
        <w:rPr>
          <w:rFonts w:ascii="Arial" w:eastAsia="Times New Roman" w:hAnsi="Arial" w:cs="Arial"/>
          <w:i/>
          <w:iCs/>
          <w:kern w:val="0"/>
          <w:lang w:eastAsia="en-GB"/>
          <w14:ligatures w14:val="none"/>
        </w:rPr>
        <w:t>Journal of intelligence</w:t>
      </w:r>
      <w:r w:rsidRPr="001F41A9">
        <w:rPr>
          <w:rFonts w:ascii="Arial" w:eastAsia="Times New Roman" w:hAnsi="Arial" w:cs="Arial"/>
          <w:kern w:val="0"/>
          <w:lang w:eastAsia="en-GB"/>
          <w14:ligatures w14:val="none"/>
        </w:rPr>
        <w:t xml:space="preserve">, 13(5), p. 52. Available at: </w:t>
      </w:r>
      <w:hyperlink r:id="rId26" w:history="1">
        <w:r w:rsidRPr="001F41A9">
          <w:rPr>
            <w:rFonts w:ascii="Arial" w:eastAsia="Times New Roman" w:hAnsi="Arial" w:cs="Arial"/>
            <w:color w:val="467886" w:themeColor="hyperlink"/>
            <w:kern w:val="0"/>
            <w:u w:val="single"/>
            <w:lang w:eastAsia="en-GB"/>
            <w14:ligatures w14:val="none"/>
          </w:rPr>
          <w:t>https://doi.org/10.3390/jintelligence13050052</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8 February 2026)</w:t>
      </w:r>
    </w:p>
    <w:p w14:paraId="041CDED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29DE533"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imes New Roman" w:hAnsi="Arial" w:cs="Arial"/>
          <w:spacing w:val="-6"/>
          <w:kern w:val="0"/>
          <w:lang w:eastAsia="en-GB"/>
          <w14:ligatures w14:val="none"/>
        </w:rPr>
        <w:t>Care Inspectorate Wales (CIW) (2024-25)</w:t>
      </w:r>
      <w:r w:rsidRPr="001F41A9">
        <w:rPr>
          <w:rFonts w:ascii="Arial" w:eastAsiaTheme="minorEastAsia" w:hAnsi="Arial" w:cs="Arial"/>
          <w:lang w:eastAsia="en-GB"/>
        </w:rPr>
        <w:t xml:space="preserve"> </w:t>
      </w:r>
      <w:r w:rsidRPr="001F41A9">
        <w:rPr>
          <w:rFonts w:ascii="Arial" w:eastAsiaTheme="minorEastAsia" w:hAnsi="Arial" w:cs="Arial"/>
          <w:i/>
          <w:iCs/>
          <w:lang w:eastAsia="en-GB"/>
        </w:rPr>
        <w:t>Improving social care and childcare in Wales, Chief Inspector’s Annual Report 2024-2025</w:t>
      </w:r>
      <w:r w:rsidRPr="001F41A9">
        <w:rPr>
          <w:rFonts w:ascii="Arial" w:eastAsiaTheme="minorEastAsia" w:hAnsi="Arial" w:cs="Arial"/>
          <w:lang w:eastAsia="en-GB"/>
        </w:rPr>
        <w:t>.</w:t>
      </w:r>
      <w:r w:rsidRPr="001F41A9">
        <w:rPr>
          <w:rFonts w:ascii="Arial" w:eastAsia="Times New Roman" w:hAnsi="Arial" w:cs="Arial"/>
          <w:spacing w:val="-6"/>
          <w:kern w:val="0"/>
          <w:lang w:eastAsia="en-GB"/>
          <w14:ligatures w14:val="none"/>
        </w:rPr>
        <w:t xml:space="preserve"> CIW: Llandudno Junction. Available at: </w:t>
      </w:r>
      <w:hyperlink r:id="rId27" w:history="1">
        <w:r w:rsidRPr="001F41A9">
          <w:rPr>
            <w:rFonts w:ascii="Arial" w:eastAsiaTheme="minorEastAsia" w:hAnsi="Arial" w:cs="Arial"/>
            <w:color w:val="0000FF"/>
            <w:u w:val="single"/>
            <w:lang w:eastAsia="en-GB"/>
          </w:rPr>
          <w:t>251013-CIW-Annual-Report-2024-25-en.pdf</w:t>
        </w:r>
      </w:hyperlink>
      <w:r w:rsidRPr="001F41A9">
        <w:rPr>
          <w:rFonts w:ascii="Arial" w:eastAsiaTheme="minorEastAsia" w:hAnsi="Arial" w:cs="Arial"/>
          <w:lang w:eastAsia="en-GB"/>
        </w:rPr>
        <w:t xml:space="preserve"> (Accessed: 29 January 2026)</w:t>
      </w:r>
    </w:p>
    <w:p w14:paraId="5E6EC279" w14:textId="77777777" w:rsidR="001F41A9" w:rsidRPr="001F41A9" w:rsidRDefault="001F41A9" w:rsidP="001F41A9">
      <w:pPr>
        <w:spacing w:line="276" w:lineRule="auto"/>
        <w:rPr>
          <w:rFonts w:ascii="Arial" w:eastAsiaTheme="minorEastAsia" w:hAnsi="Arial" w:cs="Arial"/>
          <w:kern w:val="0"/>
          <w:lang w:eastAsia="en-GB"/>
          <w14:ligatures w14:val="none"/>
        </w:rPr>
      </w:pPr>
      <w:r w:rsidRPr="001F41A9">
        <w:rPr>
          <w:rFonts w:ascii="Arial" w:eastAsia="Times New Roman" w:hAnsi="Arial" w:cs="Arial"/>
          <w:kern w:val="0"/>
          <w:lang w:eastAsia="en-GB"/>
          <w14:ligatures w14:val="none"/>
        </w:rPr>
        <w:t xml:space="preserve">Carela, B. M. (2019). </w:t>
      </w:r>
      <w:r w:rsidRPr="001F41A9">
        <w:rPr>
          <w:rFonts w:ascii="Arial" w:eastAsia="Times New Roman" w:hAnsi="Arial" w:cs="Arial"/>
          <w:i/>
          <w:iCs/>
          <w:kern w:val="0"/>
          <w:lang w:eastAsia="en-GB"/>
          <w14:ligatures w14:val="none"/>
        </w:rPr>
        <w:t>Neoliberalism in the Early Childhood Education Classroom: From Deficit to Empowerment</w:t>
      </w:r>
      <w:r w:rsidRPr="001F41A9">
        <w:rPr>
          <w:rFonts w:ascii="Arial" w:eastAsia="Times New Roman" w:hAnsi="Arial" w:cs="Arial"/>
          <w:kern w:val="0"/>
          <w:lang w:eastAsia="en-GB"/>
          <w14:ligatures w14:val="none"/>
        </w:rPr>
        <w:t xml:space="preserve">. </w:t>
      </w:r>
      <w:r w:rsidRPr="001F41A9">
        <w:rPr>
          <w:rFonts w:ascii="Arial" w:eastAsia="Times New Roman" w:hAnsi="Arial" w:cs="Arial"/>
          <w:i/>
          <w:iCs/>
          <w:kern w:val="0"/>
          <w:lang w:eastAsia="en-GB"/>
          <w14:ligatures w14:val="none"/>
        </w:rPr>
        <w:t>7</w:t>
      </w:r>
      <w:r w:rsidRPr="001F41A9">
        <w:rPr>
          <w:rFonts w:ascii="Arial" w:eastAsia="Times New Roman" w:hAnsi="Arial" w:cs="Arial"/>
          <w:kern w:val="0"/>
          <w:lang w:eastAsia="en-GB"/>
          <w14:ligatures w14:val="none"/>
        </w:rPr>
        <w:t xml:space="preserve">(2), 73–94. </w:t>
      </w:r>
      <w:hyperlink r:id="rId28" w:history="1">
        <w:r w:rsidRPr="001F41A9">
          <w:rPr>
            <w:rFonts w:ascii="Arial" w:eastAsia="Times New Roman" w:hAnsi="Arial" w:cs="Arial"/>
            <w:color w:val="467886" w:themeColor="hyperlink"/>
            <w:kern w:val="0"/>
            <w:u w:val="single"/>
            <w:lang w:eastAsia="en-GB"/>
            <w14:ligatures w14:val="none"/>
          </w:rPr>
          <w:t>https://journals.sfu.ca/iccps/index.php/childhoods/article/view/109/pdf</w:t>
        </w:r>
      </w:hyperlink>
      <w:r w:rsidRPr="001F41A9">
        <w:rPr>
          <w:rFonts w:ascii="Arial" w:eastAsiaTheme="minorEastAsia" w:hAnsi="Arial" w:cs="Arial"/>
          <w:lang w:eastAsia="en-GB"/>
        </w:rPr>
        <w:t xml:space="preserve"> </w:t>
      </w:r>
      <w:r w:rsidRPr="001F41A9">
        <w:rPr>
          <w:rFonts w:ascii="Arial" w:eastAsia="Times New Roman" w:hAnsi="Arial" w:cs="Arial"/>
          <w:spacing w:val="-6"/>
          <w:kern w:val="0"/>
          <w:lang w:eastAsia="en-GB"/>
          <w14:ligatures w14:val="none"/>
        </w:rPr>
        <w:t>(Accessed: 12 February 2026)</w:t>
      </w:r>
    </w:p>
    <w:p w14:paraId="5A2779D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Carr, M., &amp; Lee, W. (2012). </w:t>
      </w:r>
      <w:r w:rsidRPr="001F41A9">
        <w:rPr>
          <w:rFonts w:ascii="Arial" w:eastAsia="Times New Roman" w:hAnsi="Arial" w:cs="Arial"/>
          <w:i/>
          <w:iCs/>
          <w:kern w:val="0"/>
          <w:lang w:eastAsia="en-GB"/>
          <w14:ligatures w14:val="none"/>
        </w:rPr>
        <w:t>Learning Stories: Constructing Learner Identities in Early Education</w:t>
      </w:r>
      <w:r w:rsidRPr="001F41A9">
        <w:rPr>
          <w:rFonts w:ascii="Arial" w:eastAsia="Times New Roman" w:hAnsi="Arial" w:cs="Arial"/>
          <w:kern w:val="0"/>
          <w:lang w:eastAsia="en-GB"/>
          <w14:ligatures w14:val="none"/>
        </w:rPr>
        <w:t xml:space="preserve">. London: Sage. </w:t>
      </w:r>
    </w:p>
    <w:p w14:paraId="377A1DC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2D5FC24" w14:textId="77777777" w:rsidR="001F41A9" w:rsidRDefault="001F41A9" w:rsidP="001F41A9">
      <w:pPr>
        <w:spacing w:after="0" w:line="240" w:lineRule="auto"/>
        <w:rPr>
          <w:rFonts w:ascii="Arial" w:eastAsia="Times New Roman" w:hAnsi="Arial" w:cs="Arial"/>
          <w:spacing w:val="-6"/>
          <w:kern w:val="0"/>
          <w:lang w:eastAsia="en-GB"/>
          <w14:ligatures w14:val="none"/>
        </w:rPr>
      </w:pPr>
      <w:r w:rsidRPr="001F41A9">
        <w:rPr>
          <w:rFonts w:ascii="Arial" w:eastAsia="Times New Roman" w:hAnsi="Arial" w:cs="Arial"/>
          <w:kern w:val="0"/>
          <w:lang w:eastAsia="en-GB"/>
          <w14:ligatures w14:val="none"/>
        </w:rPr>
        <w:lastRenderedPageBreak/>
        <w:t xml:space="preserve">Chapman, S.N. and O’Gorman, L. (2022) “Transforming Learning Environments in Early Childhood Contexts Through the Arts: Responding to the United Nations Sustainable Development Goals,” </w:t>
      </w:r>
      <w:r w:rsidRPr="001F41A9">
        <w:rPr>
          <w:rFonts w:ascii="Arial" w:eastAsia="Times New Roman" w:hAnsi="Arial" w:cs="Arial"/>
          <w:i/>
          <w:iCs/>
          <w:kern w:val="0"/>
          <w:lang w:eastAsia="en-GB"/>
          <w14:ligatures w14:val="none"/>
        </w:rPr>
        <w:t>International journal of early childhood</w:t>
      </w:r>
      <w:r w:rsidRPr="001F41A9">
        <w:rPr>
          <w:rFonts w:ascii="Arial" w:eastAsia="Times New Roman" w:hAnsi="Arial" w:cs="Arial"/>
          <w:kern w:val="0"/>
          <w:lang w:eastAsia="en-GB"/>
          <w14:ligatures w14:val="none"/>
        </w:rPr>
        <w:t xml:space="preserve">, 54(1), pp. 33–50. Available at: </w:t>
      </w:r>
      <w:hyperlink r:id="rId29" w:history="1">
        <w:r w:rsidRPr="001F41A9">
          <w:rPr>
            <w:rFonts w:ascii="Arial" w:eastAsia="Times New Roman" w:hAnsi="Arial" w:cs="Arial"/>
            <w:color w:val="467886" w:themeColor="hyperlink"/>
            <w:kern w:val="0"/>
            <w:u w:val="single"/>
            <w:lang w:eastAsia="en-GB"/>
            <w14:ligatures w14:val="none"/>
          </w:rPr>
          <w:t>https://doi.org/10.1007/s13158-022-00320-3</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4 February 2026)</w:t>
      </w:r>
    </w:p>
    <w:p w14:paraId="3153DD6C" w14:textId="77777777" w:rsidR="004B6528" w:rsidRDefault="004B6528" w:rsidP="001F41A9">
      <w:pPr>
        <w:spacing w:after="0" w:line="240" w:lineRule="auto"/>
        <w:rPr>
          <w:rFonts w:ascii="Arial" w:eastAsia="Times New Roman" w:hAnsi="Arial" w:cs="Arial"/>
          <w:spacing w:val="-6"/>
          <w:kern w:val="0"/>
          <w:lang w:eastAsia="en-GB"/>
          <w14:ligatures w14:val="none"/>
        </w:rPr>
      </w:pPr>
    </w:p>
    <w:p w14:paraId="47B4E576" w14:textId="77777777" w:rsidR="004B6528" w:rsidRPr="001F41A9" w:rsidRDefault="004B6528" w:rsidP="001F41A9">
      <w:pPr>
        <w:spacing w:after="0" w:line="240" w:lineRule="auto"/>
        <w:rPr>
          <w:rFonts w:ascii="Arial" w:eastAsia="Times New Roman" w:hAnsi="Arial" w:cs="Arial"/>
          <w:kern w:val="0"/>
          <w:lang w:eastAsia="en-GB"/>
          <w14:ligatures w14:val="none"/>
        </w:rPr>
      </w:pPr>
    </w:p>
    <w:p w14:paraId="4636D38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05DFC2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Chen, S. and Wolf, S. (2021) “Measuring the Quality of Early Childhood Education in Low- and Middle-Income Countries,” </w:t>
      </w:r>
      <w:r w:rsidRPr="001F41A9">
        <w:rPr>
          <w:rFonts w:ascii="Arial" w:eastAsia="Times New Roman" w:hAnsi="Arial" w:cs="Arial"/>
          <w:i/>
          <w:iCs/>
          <w:kern w:val="0"/>
          <w:lang w:eastAsia="en-GB"/>
          <w14:ligatures w14:val="none"/>
        </w:rPr>
        <w:t>Frontiers in psychology</w:t>
      </w:r>
      <w:r w:rsidRPr="001F41A9">
        <w:rPr>
          <w:rFonts w:ascii="Arial" w:eastAsia="Times New Roman" w:hAnsi="Arial" w:cs="Arial"/>
          <w:kern w:val="0"/>
          <w:lang w:eastAsia="en-GB"/>
          <w14:ligatures w14:val="none"/>
        </w:rPr>
        <w:t xml:space="preserve">, 12, p. 774740. Available at: </w:t>
      </w:r>
      <w:hyperlink r:id="rId30" w:history="1">
        <w:r w:rsidRPr="001F41A9">
          <w:rPr>
            <w:rFonts w:ascii="Arial" w:eastAsia="Times New Roman" w:hAnsi="Arial" w:cs="Arial"/>
            <w:color w:val="467886" w:themeColor="hyperlink"/>
            <w:kern w:val="0"/>
            <w:u w:val="single"/>
            <w:lang w:eastAsia="en-GB"/>
            <w14:ligatures w14:val="none"/>
          </w:rPr>
          <w:t>https://doi.org/10.3389/fpsyg.2021.774740</w:t>
        </w:r>
      </w:hyperlink>
      <w:r w:rsidRPr="001F41A9">
        <w:rPr>
          <w:rFonts w:ascii="Arial" w:eastAsia="Times New Roman" w:hAnsi="Arial" w:cs="Arial"/>
          <w:kern w:val="0"/>
          <w:lang w:eastAsia="en-GB"/>
          <w14:ligatures w14:val="none"/>
        </w:rPr>
        <w:t>. (Accessed: 30 January 2026)</w:t>
      </w:r>
    </w:p>
    <w:p w14:paraId="709FEFC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2BFD18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Cliffe, J. and Solvason, C. (2022) “The Messiness of Ethics in Education,” </w:t>
      </w:r>
      <w:r w:rsidRPr="001F41A9">
        <w:rPr>
          <w:rFonts w:ascii="Arial" w:eastAsia="Times New Roman" w:hAnsi="Arial" w:cs="Arial"/>
          <w:i/>
          <w:iCs/>
          <w:kern w:val="0"/>
          <w:lang w:eastAsia="en-GB"/>
          <w14:ligatures w14:val="none"/>
        </w:rPr>
        <w:t>Journal of academic ethics</w:t>
      </w:r>
      <w:r w:rsidRPr="001F41A9">
        <w:rPr>
          <w:rFonts w:ascii="Arial" w:eastAsia="Times New Roman" w:hAnsi="Arial" w:cs="Arial"/>
          <w:kern w:val="0"/>
          <w:lang w:eastAsia="en-GB"/>
          <w14:ligatures w14:val="none"/>
        </w:rPr>
        <w:t xml:space="preserve">, 20(1), pp. 101–117. Available at: </w:t>
      </w:r>
      <w:hyperlink r:id="rId31" w:history="1">
        <w:r w:rsidRPr="001F41A9">
          <w:rPr>
            <w:rFonts w:ascii="Arial" w:eastAsia="Times New Roman" w:hAnsi="Arial" w:cs="Arial"/>
            <w:color w:val="467886" w:themeColor="hyperlink"/>
            <w:kern w:val="0"/>
            <w:u w:val="single"/>
            <w:lang w:eastAsia="en-GB"/>
            <w14:ligatures w14:val="none"/>
          </w:rPr>
          <w:t>https://doi.org/10.1007/s10805-021-09402-8</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3 February 2026)</w:t>
      </w:r>
    </w:p>
    <w:p w14:paraId="53D5451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7C752A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Cole-Albäck, A., Pascal, C. and Bertram, T. (2025) “A Significant Events Approach to Children’s Rights with children under three in early childhood education and care,” </w:t>
      </w:r>
      <w:r w:rsidRPr="001F41A9">
        <w:rPr>
          <w:rFonts w:ascii="Arial" w:eastAsia="Times New Roman" w:hAnsi="Arial" w:cs="Arial"/>
          <w:i/>
          <w:iCs/>
          <w:kern w:val="0"/>
          <w:lang w:eastAsia="en-GB"/>
          <w14:ligatures w14:val="none"/>
        </w:rPr>
        <w:t>European early childhood education research journal</w:t>
      </w:r>
      <w:r w:rsidRPr="001F41A9">
        <w:rPr>
          <w:rFonts w:ascii="Arial" w:eastAsia="Times New Roman" w:hAnsi="Arial" w:cs="Arial"/>
          <w:kern w:val="0"/>
          <w:lang w:eastAsia="en-GB"/>
          <w14:ligatures w14:val="none"/>
        </w:rPr>
        <w:t xml:space="preserve">, 33(1), pp. 67–81. Available at: </w:t>
      </w:r>
      <w:hyperlink r:id="rId32" w:history="1">
        <w:r w:rsidRPr="001F41A9">
          <w:rPr>
            <w:rFonts w:ascii="Arial" w:eastAsia="Times New Roman" w:hAnsi="Arial" w:cs="Arial"/>
            <w:color w:val="467886" w:themeColor="hyperlink"/>
            <w:kern w:val="0"/>
            <w:u w:val="single"/>
            <w:lang w:eastAsia="en-GB"/>
            <w14:ligatures w14:val="none"/>
          </w:rPr>
          <w:t>https://doi.org/10.1080/1350293X.2024.2334873</w:t>
        </w:r>
      </w:hyperlink>
      <w:r w:rsidRPr="001F41A9">
        <w:rPr>
          <w:rFonts w:ascii="Arial" w:eastAsia="Times New Roman" w:hAnsi="Arial" w:cs="Arial"/>
          <w:kern w:val="0"/>
          <w:lang w:eastAsia="en-GB"/>
          <w14:ligatures w14:val="none"/>
        </w:rPr>
        <w:t xml:space="preserve">. </w:t>
      </w:r>
      <w:r w:rsidRPr="001F41A9">
        <w:rPr>
          <w:rFonts w:ascii="Arial" w:eastAsia="Times New Roman" w:hAnsi="Arial" w:cs="Arial"/>
          <w:spacing w:val="-6"/>
          <w:kern w:val="0"/>
          <w:lang w:eastAsia="en-GB"/>
          <w14:ligatures w14:val="none"/>
        </w:rPr>
        <w:t>(Accessed: 2 February 2026)</w:t>
      </w:r>
    </w:p>
    <w:p w14:paraId="74BB84D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8E4560B"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heme="minorEastAsia" w:hAnsi="Arial" w:cs="Arial"/>
          <w:lang w:eastAsia="en-GB"/>
        </w:rPr>
        <w:t xml:space="preserve">CPOMS (2023) </w:t>
      </w:r>
      <w:r w:rsidRPr="001F41A9">
        <w:rPr>
          <w:rFonts w:ascii="Arial" w:eastAsia="Times New Roman" w:hAnsi="Arial" w:cs="Arial"/>
          <w:i/>
          <w:iCs/>
          <w:kern w:val="36"/>
          <w:lang w:eastAsia="en-GB"/>
          <w14:ligatures w14:val="none"/>
        </w:rPr>
        <w:t>Breaking Down the Keeping Learners Safe Guidance for Wales.</w:t>
      </w:r>
      <w:r w:rsidRPr="001F41A9">
        <w:rPr>
          <w:rFonts w:ascii="Arial" w:eastAsia="Times New Roman" w:hAnsi="Arial" w:cs="Arial"/>
          <w:kern w:val="36"/>
          <w:lang w:eastAsia="en-GB"/>
          <w14:ligatures w14:val="none"/>
        </w:rPr>
        <w:t xml:space="preserve"> Available at: </w:t>
      </w:r>
      <w:hyperlink r:id="rId33" w:history="1">
        <w:r w:rsidRPr="001F41A9">
          <w:rPr>
            <w:rFonts w:ascii="Arial" w:eastAsia="Times New Roman" w:hAnsi="Arial" w:cs="Arial"/>
            <w:color w:val="467886" w:themeColor="hyperlink"/>
            <w:kern w:val="36"/>
            <w:u w:val="single"/>
            <w:lang w:eastAsia="en-GB"/>
            <w14:ligatures w14:val="none"/>
          </w:rPr>
          <w:t>https://www.cpoms.co.uk/breaking-down-the-keeping-learners-safe-guidance-for-wales/</w:t>
        </w:r>
      </w:hyperlink>
      <w:r w:rsidRPr="001F41A9">
        <w:rPr>
          <w:rFonts w:ascii="Arial" w:eastAsia="Times New Roman" w:hAnsi="Arial" w:cs="Arial"/>
          <w:kern w:val="36"/>
          <w:lang w:eastAsia="en-GB"/>
          <w14:ligatures w14:val="none"/>
        </w:rPr>
        <w:t xml:space="preserve"> </w:t>
      </w:r>
      <w:r w:rsidRPr="001F41A9">
        <w:rPr>
          <w:rFonts w:ascii="Arial" w:eastAsia="Times New Roman" w:hAnsi="Arial" w:cs="Arial"/>
          <w:spacing w:val="-6"/>
          <w:kern w:val="0"/>
          <w:lang w:eastAsia="en-GB"/>
          <w14:ligatures w14:val="none"/>
        </w:rPr>
        <w:t>(Accessed: 2 February 2026)</w:t>
      </w:r>
    </w:p>
    <w:p w14:paraId="4AC5BC56"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p>
    <w:p w14:paraId="607F0304" w14:textId="77777777" w:rsidR="002969DA" w:rsidRPr="00AA7B1E" w:rsidRDefault="001F41A9" w:rsidP="002969DA">
      <w:pPr>
        <w:spacing w:after="0" w:line="240" w:lineRule="auto"/>
        <w:rPr>
          <w:rFonts w:ascii="Arial" w:eastAsia="Times New Roman" w:hAnsi="Arial" w:cs="Arial"/>
          <w:color w:val="EE0000"/>
          <w:kern w:val="0"/>
          <w:lang w:eastAsia="en-GB"/>
          <w14:ligatures w14:val="none"/>
        </w:rPr>
      </w:pPr>
      <w:r w:rsidRPr="001F41A9">
        <w:rPr>
          <w:rFonts w:ascii="Arial" w:eastAsia="Times New Roman" w:hAnsi="Arial" w:cs="Arial"/>
          <w:kern w:val="0"/>
          <w:lang w:eastAsia="en-GB"/>
          <w14:ligatures w14:val="none"/>
        </w:rPr>
        <w:t>Cronin de Chavez, A.</w:t>
      </w:r>
      <w:r w:rsidR="002969DA">
        <w:rPr>
          <w:rFonts w:ascii="Arial" w:eastAsia="Times New Roman" w:hAnsi="Arial" w:cs="Arial"/>
          <w:kern w:val="0"/>
          <w:lang w:eastAsia="en-GB"/>
          <w14:ligatures w14:val="none"/>
        </w:rPr>
        <w:t>,</w:t>
      </w:r>
      <w:r w:rsidRPr="004B6528">
        <w:rPr>
          <w:rFonts w:ascii="Arial" w:eastAsia="Times New Roman" w:hAnsi="Arial" w:cs="Arial"/>
          <w:color w:val="EE0000"/>
          <w:kern w:val="0"/>
          <w:lang w:eastAsia="en-GB"/>
          <w14:ligatures w14:val="none"/>
        </w:rPr>
        <w:t xml:space="preserve"> </w:t>
      </w:r>
      <w:r w:rsidR="002969DA" w:rsidRPr="002969DA">
        <w:rPr>
          <w:rFonts w:ascii="Arial" w:hAnsi="Arial" w:cs="Arial"/>
          <w:shd w:val="clear" w:color="auto" w:fill="FFFFFF"/>
        </w:rPr>
        <w:t>Seims, A. L., Dickerson, J., Dharni, N., McEachan, R.R.C.</w:t>
      </w:r>
    </w:p>
    <w:p w14:paraId="1ED70F01" w14:textId="03A39DB4"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(2024) “Unlocking the forest: An ethnographic evaluation of Forest Schools on developmental outcomes for 3-year-olds unaccustomed to woodland spaces,” </w:t>
      </w:r>
      <w:r w:rsidRPr="001F41A9">
        <w:rPr>
          <w:rFonts w:ascii="Arial" w:eastAsia="Times New Roman" w:hAnsi="Arial" w:cs="Arial"/>
          <w:i/>
          <w:iCs/>
          <w:kern w:val="0"/>
          <w:lang w:eastAsia="en-GB"/>
          <w14:ligatures w14:val="none"/>
        </w:rPr>
        <w:t>Wellcome open research</w:t>
      </w:r>
      <w:r w:rsidRPr="001F41A9">
        <w:rPr>
          <w:rFonts w:ascii="Arial" w:eastAsia="Times New Roman" w:hAnsi="Arial" w:cs="Arial"/>
          <w:kern w:val="0"/>
          <w:lang w:eastAsia="en-GB"/>
          <w14:ligatures w14:val="none"/>
        </w:rPr>
        <w:t xml:space="preserve">, 9, p. 519. Available at: </w:t>
      </w:r>
      <w:hyperlink r:id="rId34" w:history="1">
        <w:r w:rsidRPr="001F41A9">
          <w:rPr>
            <w:rFonts w:ascii="Arial" w:eastAsia="Times New Roman" w:hAnsi="Arial" w:cs="Arial"/>
            <w:color w:val="467886" w:themeColor="hyperlink"/>
            <w:kern w:val="0"/>
            <w:u w:val="single"/>
            <w:lang w:eastAsia="en-GB"/>
            <w14:ligatures w14:val="none"/>
          </w:rPr>
          <w:t>https://doi.org/10.12688/wellcomeopenres.22851.1</w:t>
        </w:r>
      </w:hyperlink>
      <w:r w:rsidRPr="001F41A9">
        <w:rPr>
          <w:rFonts w:ascii="Arial" w:eastAsia="Times New Roman" w:hAnsi="Arial" w:cs="Arial"/>
          <w:kern w:val="0"/>
          <w:lang w:eastAsia="en-GB"/>
          <w14:ligatures w14:val="none"/>
        </w:rPr>
        <w:t>. (Accessed: 30 January 2026)</w:t>
      </w:r>
    </w:p>
    <w:p w14:paraId="3B675216" w14:textId="77777777" w:rsidR="001F41A9" w:rsidRDefault="001F41A9" w:rsidP="001F41A9">
      <w:pPr>
        <w:spacing w:after="0" w:line="240" w:lineRule="auto"/>
        <w:rPr>
          <w:rFonts w:ascii="Arial" w:eastAsia="Times New Roman" w:hAnsi="Arial" w:cs="Arial"/>
          <w:kern w:val="0"/>
          <w:lang w:eastAsia="en-GB"/>
          <w14:ligatures w14:val="none"/>
        </w:rPr>
      </w:pPr>
    </w:p>
    <w:p w14:paraId="3FA92AA5" w14:textId="77777777" w:rsidR="00AA7B1E" w:rsidRPr="001F41A9" w:rsidRDefault="00AA7B1E" w:rsidP="001F41A9">
      <w:pPr>
        <w:spacing w:after="0" w:line="240" w:lineRule="auto"/>
        <w:rPr>
          <w:rFonts w:ascii="Arial" w:eastAsia="Times New Roman" w:hAnsi="Arial" w:cs="Arial"/>
          <w:kern w:val="0"/>
          <w:lang w:eastAsia="en-GB"/>
          <w14:ligatures w14:val="none"/>
        </w:rPr>
      </w:pPr>
    </w:p>
    <w:p w14:paraId="05C4DCBA"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Cunningham, D.D. (ed.) (2020) </w:t>
      </w:r>
      <w:r w:rsidRPr="001F41A9">
        <w:rPr>
          <w:rFonts w:ascii="Arial" w:eastAsia="Times New Roman" w:hAnsi="Arial" w:cs="Arial"/>
          <w:i/>
          <w:iCs/>
          <w:kern w:val="0"/>
          <w:lang w:eastAsia="en-GB"/>
          <w14:ligatures w14:val="none"/>
        </w:rPr>
        <w:t>Professional and ethical consideration for early childhood leaders</w:t>
      </w:r>
      <w:r w:rsidRPr="001F41A9">
        <w:rPr>
          <w:rFonts w:ascii="Arial" w:eastAsia="Times New Roman" w:hAnsi="Arial" w:cs="Arial"/>
          <w:kern w:val="0"/>
          <w:lang w:eastAsia="en-GB"/>
          <w14:ligatures w14:val="none"/>
        </w:rPr>
        <w:t xml:space="preserve">. Hershey, PA: Information Science Reference, an imprint of IGI Global. Available at: </w:t>
      </w:r>
      <w:hyperlink r:id="rId35" w:history="1">
        <w:r w:rsidRPr="001F41A9">
          <w:rPr>
            <w:rFonts w:ascii="Arial" w:eastAsia="Times New Roman" w:hAnsi="Arial" w:cs="Arial"/>
            <w:color w:val="467886" w:themeColor="hyperlink"/>
            <w:kern w:val="0"/>
            <w:u w:val="single"/>
            <w:lang w:eastAsia="en-GB"/>
            <w14:ligatures w14:val="none"/>
          </w:rPr>
          <w:t>https://doi.org/10.4018/978-1-7998-5089-2</w:t>
        </w:r>
      </w:hyperlink>
      <w:r w:rsidRPr="001F41A9">
        <w:rPr>
          <w:rFonts w:ascii="Arial" w:eastAsia="Times New Roman" w:hAnsi="Arial" w:cs="Arial"/>
          <w:kern w:val="0"/>
          <w:lang w:eastAsia="en-GB"/>
          <w14:ligatures w14:val="none"/>
        </w:rPr>
        <w:t>. Accessed: 24 January 2026)</w:t>
      </w:r>
    </w:p>
    <w:p w14:paraId="6C54910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34CA1FF" w14:textId="2825256B" w:rsidR="001F41A9" w:rsidRPr="00B1273A" w:rsidRDefault="001F41A9" w:rsidP="001F41A9">
      <w:pPr>
        <w:spacing w:after="0" w:line="240" w:lineRule="auto"/>
        <w:rPr>
          <w:rFonts w:ascii="Arial" w:eastAsia="Times New Roman" w:hAnsi="Arial" w:cs="Arial"/>
          <w:color w:val="EE0000"/>
          <w:kern w:val="0"/>
          <w:lang w:eastAsia="en-GB"/>
          <w14:ligatures w14:val="none"/>
        </w:rPr>
      </w:pPr>
      <w:r w:rsidRPr="001F41A9">
        <w:rPr>
          <w:rFonts w:ascii="Arial" w:eastAsia="Times New Roman" w:hAnsi="Arial" w:cs="Arial"/>
          <w:kern w:val="0"/>
          <w:lang w:eastAsia="en-GB"/>
          <w14:ligatures w14:val="none"/>
        </w:rPr>
        <w:t xml:space="preserve">Cutshaw, </w:t>
      </w:r>
      <w:r w:rsidR="00B1273A" w:rsidRPr="001F41A9">
        <w:rPr>
          <w:rFonts w:ascii="Arial" w:eastAsia="Times New Roman" w:hAnsi="Arial" w:cs="Arial"/>
          <w:kern w:val="0"/>
          <w:lang w:eastAsia="en-GB"/>
          <w14:ligatures w14:val="none"/>
        </w:rPr>
        <w:t>C.A.</w:t>
      </w:r>
      <w:r w:rsidR="00B1273A">
        <w:rPr>
          <w:rFonts w:ascii="Arial" w:eastAsia="Times New Roman" w:hAnsi="Arial" w:cs="Arial"/>
          <w:kern w:val="0"/>
          <w:lang w:eastAsia="en-GB"/>
          <w14:ligatures w14:val="none"/>
        </w:rPr>
        <w:t>,</w:t>
      </w:r>
      <w:r w:rsidR="00B1273A" w:rsidRPr="000A295B">
        <w:rPr>
          <w:rFonts w:ascii="Arial" w:hAnsi="Arial" w:cs="Arial"/>
          <w:shd w:val="clear" w:color="auto" w:fill="FFFFFF"/>
        </w:rPr>
        <w:t xml:space="preserve"> Mastergeorge</w:t>
      </w:r>
      <w:r w:rsidR="000A295B" w:rsidRPr="000A295B">
        <w:rPr>
          <w:rFonts w:ascii="Arial" w:hAnsi="Arial" w:cs="Arial"/>
          <w:shd w:val="clear" w:color="auto" w:fill="FFFFFF"/>
        </w:rPr>
        <w:t>, A.M., Barnett, M.A., Paschall, K.W.</w:t>
      </w:r>
      <w:r w:rsidR="00B1273A">
        <w:rPr>
          <w:rFonts w:ascii="Arial" w:eastAsia="Times New Roman" w:hAnsi="Arial" w:cs="Arial"/>
          <w:color w:val="EE0000"/>
          <w:kern w:val="0"/>
          <w:lang w:eastAsia="en-GB"/>
          <w14:ligatures w14:val="none"/>
        </w:rPr>
        <w:t xml:space="preserve"> </w:t>
      </w:r>
      <w:r w:rsidRPr="001F41A9">
        <w:rPr>
          <w:rFonts w:ascii="Arial" w:eastAsia="Times New Roman" w:hAnsi="Arial" w:cs="Arial"/>
          <w:kern w:val="0"/>
          <w:lang w:eastAsia="en-GB"/>
          <w14:ligatures w14:val="none"/>
        </w:rPr>
        <w:t xml:space="preserve">(2022) “Parent engagement in early care and education settings: relationship with engagement practices and child, parent, and centre characteristics,” </w:t>
      </w:r>
      <w:r w:rsidRPr="001F41A9">
        <w:rPr>
          <w:rFonts w:ascii="Arial" w:eastAsia="Times New Roman" w:hAnsi="Arial" w:cs="Arial"/>
          <w:i/>
          <w:iCs/>
          <w:kern w:val="0"/>
          <w:lang w:eastAsia="en-GB"/>
          <w14:ligatures w14:val="none"/>
        </w:rPr>
        <w:t>Early child development and care</w:t>
      </w:r>
      <w:r w:rsidRPr="001F41A9">
        <w:rPr>
          <w:rFonts w:ascii="Arial" w:eastAsia="Times New Roman" w:hAnsi="Arial" w:cs="Arial"/>
          <w:kern w:val="0"/>
          <w:lang w:eastAsia="en-GB"/>
          <w14:ligatures w14:val="none"/>
        </w:rPr>
        <w:t xml:space="preserve">, 192(3), pp. 442–457. Available at: </w:t>
      </w:r>
      <w:hyperlink r:id="rId36" w:history="1">
        <w:r w:rsidRPr="001F41A9">
          <w:rPr>
            <w:rFonts w:ascii="Arial" w:eastAsia="Times New Roman" w:hAnsi="Arial" w:cs="Arial"/>
            <w:color w:val="467886" w:themeColor="hyperlink"/>
            <w:kern w:val="0"/>
            <w:u w:val="single"/>
            <w:lang w:eastAsia="en-GB"/>
            <w14:ligatures w14:val="none"/>
          </w:rPr>
          <w:t>https://doi.org/10.1080/03004430.2020.1764947</w:t>
        </w:r>
      </w:hyperlink>
      <w:r w:rsidRPr="001F41A9">
        <w:rPr>
          <w:rFonts w:ascii="Arial" w:eastAsia="Times New Roman" w:hAnsi="Arial" w:cs="Arial"/>
          <w:kern w:val="0"/>
          <w:lang w:eastAsia="en-GB"/>
          <w14:ligatures w14:val="none"/>
        </w:rPr>
        <w:t>. (Accessed: 31 January 2026)</w:t>
      </w:r>
    </w:p>
    <w:p w14:paraId="017A4A69" w14:textId="77777777" w:rsidR="00ED45F0" w:rsidRDefault="00ED45F0" w:rsidP="001F41A9">
      <w:pPr>
        <w:spacing w:after="0" w:line="240" w:lineRule="auto"/>
        <w:rPr>
          <w:rFonts w:ascii="Arial" w:eastAsia="Times New Roman" w:hAnsi="Arial" w:cs="Arial"/>
          <w:kern w:val="0"/>
          <w:lang w:eastAsia="en-GB"/>
          <w14:ligatures w14:val="none"/>
        </w:rPr>
      </w:pPr>
    </w:p>
    <w:p w14:paraId="2DEF6F3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58A073E"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heme="minorEastAsia" w:hAnsi="Arial" w:cs="Arial"/>
          <w:color w:val="222222"/>
          <w:shd w:val="clear" w:color="auto" w:fill="FFFFFF"/>
          <w:lang w:eastAsia="en-GB"/>
        </w:rPr>
        <w:t>Cutter-Mackenzie-Knowles, A., Malone, K. and Hacking, E.B., (2020). </w:t>
      </w:r>
      <w:r w:rsidRPr="001F41A9">
        <w:rPr>
          <w:rFonts w:ascii="Arial" w:eastAsiaTheme="minorEastAsia" w:hAnsi="Arial" w:cs="Arial"/>
          <w:i/>
          <w:iCs/>
          <w:color w:val="222222"/>
          <w:shd w:val="clear" w:color="auto" w:fill="FFFFFF"/>
          <w:lang w:eastAsia="en-GB"/>
        </w:rPr>
        <w:t>Research handbook on childhoodnature: Assemblages of childhood and nature research</w:t>
      </w:r>
      <w:r w:rsidRPr="001F41A9">
        <w:rPr>
          <w:rFonts w:ascii="Arial" w:eastAsiaTheme="minorEastAsia" w:hAnsi="Arial" w:cs="Arial"/>
          <w:color w:val="222222"/>
          <w:shd w:val="clear" w:color="auto" w:fill="FFFFFF"/>
          <w:lang w:eastAsia="en-GB"/>
        </w:rPr>
        <w:t>. Springer International Publishing.</w:t>
      </w:r>
    </w:p>
    <w:p w14:paraId="2B44AED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lastRenderedPageBreak/>
        <w:t xml:space="preserve">Dabaja, Z.F. (2022) “The Forest School impact on children: reviewing two decades of research,” </w:t>
      </w:r>
      <w:r w:rsidRPr="001F41A9">
        <w:rPr>
          <w:rFonts w:ascii="Arial" w:eastAsia="Times New Roman" w:hAnsi="Arial" w:cs="Arial"/>
          <w:i/>
          <w:iCs/>
          <w:kern w:val="0"/>
          <w:lang w:eastAsia="en-GB"/>
          <w14:ligatures w14:val="none"/>
        </w:rPr>
        <w:t>Education 3-13</w:t>
      </w:r>
      <w:r w:rsidRPr="001F41A9">
        <w:rPr>
          <w:rFonts w:ascii="Arial" w:eastAsia="Times New Roman" w:hAnsi="Arial" w:cs="Arial"/>
          <w:kern w:val="0"/>
          <w:lang w:eastAsia="en-GB"/>
          <w14:ligatures w14:val="none"/>
        </w:rPr>
        <w:t xml:space="preserve">, 50(5), pp. 640–653. Available at: </w:t>
      </w:r>
      <w:hyperlink r:id="rId37" w:history="1">
        <w:r w:rsidRPr="001F41A9">
          <w:rPr>
            <w:rFonts w:ascii="Arial" w:eastAsia="Times New Roman" w:hAnsi="Arial" w:cs="Arial"/>
            <w:color w:val="467886" w:themeColor="hyperlink"/>
            <w:kern w:val="0"/>
            <w:u w:val="single"/>
            <w:lang w:eastAsia="en-GB"/>
            <w14:ligatures w14:val="none"/>
          </w:rPr>
          <w:t>https://doi.org/10.1080/03004279.2021.1889013</w:t>
        </w:r>
      </w:hyperlink>
      <w:r w:rsidRPr="001F41A9">
        <w:rPr>
          <w:rFonts w:ascii="Arial" w:eastAsia="Times New Roman" w:hAnsi="Arial" w:cs="Arial"/>
          <w:kern w:val="0"/>
          <w:lang w:eastAsia="en-GB"/>
          <w14:ligatures w14:val="none"/>
        </w:rPr>
        <w:t>. (Accessed: 27 January 2026)</w:t>
      </w:r>
    </w:p>
    <w:p w14:paraId="04F4355E"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7B000A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Dahlberg, G., Moss, P. and Pence, A. (2000) “Beyond Quality in Early Childhood Education and Care: Postmodern Perspectives,” </w:t>
      </w:r>
      <w:r w:rsidRPr="001F41A9">
        <w:rPr>
          <w:rFonts w:ascii="Arial" w:eastAsia="Times New Roman" w:hAnsi="Arial" w:cs="Arial"/>
          <w:i/>
          <w:iCs/>
          <w:kern w:val="0"/>
          <w:lang w:eastAsia="en-GB"/>
          <w14:ligatures w14:val="none"/>
        </w:rPr>
        <w:t>Australian journal of early childhood</w:t>
      </w:r>
      <w:r w:rsidRPr="001F41A9">
        <w:rPr>
          <w:rFonts w:ascii="Arial" w:eastAsia="Times New Roman" w:hAnsi="Arial" w:cs="Arial"/>
          <w:kern w:val="0"/>
          <w:lang w:eastAsia="en-GB"/>
          <w14:ligatures w14:val="none"/>
        </w:rPr>
        <w:t>. Sage Publications Ltd. (UK), p. 43.</w:t>
      </w:r>
    </w:p>
    <w:p w14:paraId="26161F0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9B0010B" w14:textId="77777777" w:rsidR="001F41A9" w:rsidRPr="001F41A9" w:rsidRDefault="001F41A9" w:rsidP="001F41A9">
      <w:pPr>
        <w:spacing w:after="180" w:line="240" w:lineRule="auto"/>
        <w:rPr>
          <w:rFonts w:ascii="Arial" w:eastAsiaTheme="minorEastAsia" w:hAnsi="Arial" w:cs="Arial"/>
          <w:sz w:val="20"/>
          <w:szCs w:val="20"/>
          <w:shd w:val="clear" w:color="auto" w:fill="FFFFFF"/>
          <w:lang w:eastAsia="en-GB"/>
        </w:rPr>
      </w:pPr>
      <w:r w:rsidRPr="001F41A9">
        <w:rPr>
          <w:rFonts w:ascii="Arial" w:eastAsiaTheme="minorEastAsia" w:hAnsi="Arial" w:cs="Arial"/>
          <w:shd w:val="clear" w:color="auto" w:fill="FFFFFF"/>
          <w:lang w:eastAsia="en-GB"/>
        </w:rPr>
        <w:t>Davis, J. and Elliott, S., 2014. Research in early childhood education for sustainability. </w:t>
      </w:r>
      <w:r w:rsidRPr="001F41A9">
        <w:rPr>
          <w:rFonts w:ascii="Arial" w:eastAsiaTheme="minorEastAsia" w:hAnsi="Arial" w:cs="Arial"/>
          <w:i/>
          <w:iCs/>
          <w:shd w:val="clear" w:color="auto" w:fill="FFFFFF"/>
          <w:lang w:eastAsia="en-GB"/>
        </w:rPr>
        <w:t>International perspectives and provocations</w:t>
      </w:r>
      <w:r w:rsidRPr="001F41A9">
        <w:rPr>
          <w:rFonts w:ascii="Arial" w:eastAsiaTheme="minorEastAsia" w:hAnsi="Arial" w:cs="Arial"/>
          <w:sz w:val="20"/>
          <w:szCs w:val="20"/>
          <w:shd w:val="clear" w:color="auto" w:fill="FFFFFF"/>
          <w:lang w:eastAsia="en-GB"/>
        </w:rPr>
        <w:t>.</w:t>
      </w:r>
    </w:p>
    <w:p w14:paraId="3024C5C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Day, C. (2014) “Resilient principals in challenging schools: the courage and costs of conviction,” </w:t>
      </w:r>
      <w:r w:rsidRPr="001F41A9">
        <w:rPr>
          <w:rFonts w:ascii="Arial" w:eastAsia="Times New Roman" w:hAnsi="Arial" w:cs="Arial"/>
          <w:i/>
          <w:iCs/>
          <w:kern w:val="0"/>
          <w:lang w:eastAsia="en-GB"/>
          <w14:ligatures w14:val="none"/>
        </w:rPr>
        <w:t>Teachers and teaching, theory and practice</w:t>
      </w:r>
      <w:r w:rsidRPr="001F41A9">
        <w:rPr>
          <w:rFonts w:ascii="Arial" w:eastAsia="Times New Roman" w:hAnsi="Arial" w:cs="Arial"/>
          <w:kern w:val="0"/>
          <w:lang w:eastAsia="en-GB"/>
          <w14:ligatures w14:val="none"/>
        </w:rPr>
        <w:t xml:space="preserve">, 20(5), pp. 638–654. Available at: </w:t>
      </w:r>
      <w:hyperlink r:id="rId38" w:history="1">
        <w:r w:rsidRPr="001F41A9">
          <w:rPr>
            <w:rFonts w:ascii="Arial" w:eastAsia="Times New Roman" w:hAnsi="Arial" w:cs="Arial"/>
            <w:color w:val="467886" w:themeColor="hyperlink"/>
            <w:kern w:val="0"/>
            <w:u w:val="single"/>
            <w:lang w:eastAsia="en-GB"/>
            <w14:ligatures w14:val="none"/>
          </w:rPr>
          <w:t>https://doi.org/10.1080/13540602.2014.937959</w:t>
        </w:r>
      </w:hyperlink>
      <w:r w:rsidRPr="001F41A9">
        <w:rPr>
          <w:rFonts w:ascii="Arial" w:eastAsia="Times New Roman" w:hAnsi="Arial" w:cs="Arial"/>
          <w:kern w:val="0"/>
          <w:lang w:eastAsia="en-GB"/>
          <w14:ligatures w14:val="none"/>
        </w:rPr>
        <w:t>. (Accessed: 28 January 2026)</w:t>
      </w:r>
    </w:p>
    <w:p w14:paraId="0DC3774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EC28893"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Douglass, A.L. (2019) “Leadership for quality early childhood education and care,” </w:t>
      </w:r>
      <w:r w:rsidRPr="001F41A9">
        <w:rPr>
          <w:rFonts w:ascii="Arial" w:eastAsia="Times New Roman" w:hAnsi="Arial" w:cs="Arial"/>
          <w:i/>
          <w:iCs/>
          <w:kern w:val="0"/>
          <w:lang w:eastAsia="en-GB"/>
          <w14:ligatures w14:val="none"/>
        </w:rPr>
        <w:t>OECD Education Working Papers</w:t>
      </w:r>
      <w:r w:rsidRPr="001F41A9">
        <w:rPr>
          <w:rFonts w:ascii="Arial" w:eastAsia="Times New Roman" w:hAnsi="Arial" w:cs="Arial"/>
          <w:kern w:val="0"/>
          <w:lang w:eastAsia="en-GB"/>
          <w14:ligatures w14:val="none"/>
        </w:rPr>
        <w:t xml:space="preserve">, (211), p. 0_1-31. Available at: </w:t>
      </w:r>
      <w:hyperlink r:id="rId39" w:history="1">
        <w:r w:rsidRPr="001F41A9">
          <w:rPr>
            <w:rFonts w:ascii="Arial" w:eastAsia="Times New Roman" w:hAnsi="Arial" w:cs="Arial"/>
            <w:color w:val="467886" w:themeColor="hyperlink"/>
            <w:kern w:val="0"/>
            <w:u w:val="single"/>
            <w:lang w:eastAsia="en-GB"/>
            <w14:ligatures w14:val="none"/>
          </w:rPr>
          <w:t>https://doi.org/10.1787/6e563bae-en</w:t>
        </w:r>
      </w:hyperlink>
      <w:r w:rsidRPr="001F41A9">
        <w:rPr>
          <w:rFonts w:ascii="Arial" w:eastAsia="Times New Roman" w:hAnsi="Arial" w:cs="Arial"/>
          <w:kern w:val="0"/>
          <w:lang w:eastAsia="en-GB"/>
          <w14:ligatures w14:val="none"/>
        </w:rPr>
        <w:t>. (Accessed: 30 January 2026)</w:t>
      </w:r>
    </w:p>
    <w:p w14:paraId="27FE3D54"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F8395C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Duhn, I. (2012) “Making ‘place’ for ecological sustainability in early childhood education,” </w:t>
      </w:r>
      <w:r w:rsidRPr="001F41A9">
        <w:rPr>
          <w:rFonts w:ascii="Arial" w:eastAsia="Times New Roman" w:hAnsi="Arial" w:cs="Arial"/>
          <w:i/>
          <w:iCs/>
          <w:kern w:val="0"/>
          <w:lang w:eastAsia="en-GB"/>
          <w14:ligatures w14:val="none"/>
        </w:rPr>
        <w:t>Environmental education research</w:t>
      </w:r>
      <w:r w:rsidRPr="001F41A9">
        <w:rPr>
          <w:rFonts w:ascii="Arial" w:eastAsia="Times New Roman" w:hAnsi="Arial" w:cs="Arial"/>
          <w:kern w:val="0"/>
          <w:lang w:eastAsia="en-GB"/>
          <w14:ligatures w14:val="none"/>
        </w:rPr>
        <w:t xml:space="preserve">, 18(1), pp. 19–29. Available at: </w:t>
      </w:r>
      <w:hyperlink r:id="rId40" w:history="1">
        <w:r w:rsidRPr="001F41A9">
          <w:rPr>
            <w:rFonts w:ascii="Arial" w:eastAsia="Times New Roman" w:hAnsi="Arial" w:cs="Arial"/>
            <w:color w:val="467886" w:themeColor="hyperlink"/>
            <w:kern w:val="0"/>
            <w:u w:val="single"/>
            <w:lang w:eastAsia="en-GB"/>
            <w14:ligatures w14:val="none"/>
          </w:rPr>
          <w:t>https://doi.org/10.1080/13504622.2011.572162</w:t>
        </w:r>
      </w:hyperlink>
      <w:r w:rsidRPr="001F41A9">
        <w:rPr>
          <w:rFonts w:ascii="Arial" w:eastAsia="Times New Roman" w:hAnsi="Arial" w:cs="Arial"/>
          <w:kern w:val="0"/>
          <w:lang w:eastAsia="en-GB"/>
          <w14:ligatures w14:val="none"/>
        </w:rPr>
        <w:t>. (Accessed: 14 February 2026)</w:t>
      </w:r>
    </w:p>
    <w:p w14:paraId="56150FF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111499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F4048A6"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imes New Roman" w:hAnsi="Arial" w:cs="Arial"/>
          <w:spacing w:val="-6"/>
          <w:kern w:val="0"/>
          <w:lang w:eastAsia="en-GB"/>
          <w14:ligatures w14:val="none"/>
        </w:rPr>
        <w:t xml:space="preserve">Edwards, C., Gandini, L. and Forman, G. (2012) </w:t>
      </w:r>
      <w:r w:rsidRPr="001F41A9">
        <w:rPr>
          <w:rFonts w:ascii="Arial" w:eastAsia="Times New Roman" w:hAnsi="Arial" w:cs="Arial"/>
          <w:i/>
          <w:iCs/>
          <w:spacing w:val="-6"/>
          <w:kern w:val="0"/>
          <w:lang w:eastAsia="en-GB"/>
          <w14:ligatures w14:val="none"/>
        </w:rPr>
        <w:t>The Hundred Languages of Children. The Reggio Emilia Experience in Transformation</w:t>
      </w:r>
      <w:r w:rsidRPr="001F41A9">
        <w:rPr>
          <w:rFonts w:ascii="Arial" w:eastAsia="Times New Roman" w:hAnsi="Arial" w:cs="Arial"/>
          <w:spacing w:val="-6"/>
          <w:kern w:val="0"/>
          <w:lang w:eastAsia="en-GB"/>
          <w14:ligatures w14:val="none"/>
        </w:rPr>
        <w:t xml:space="preserve">. 3rd edn. Santa Barbara, CA: Praeger.  </w:t>
      </w:r>
    </w:p>
    <w:p w14:paraId="302FBD48"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Edwards, S. (2017) “Play-based learning and intentional teaching: Forever different?” </w:t>
      </w:r>
      <w:r w:rsidRPr="001F41A9">
        <w:rPr>
          <w:rFonts w:ascii="Arial" w:eastAsia="Times New Roman" w:hAnsi="Arial" w:cs="Arial"/>
          <w:i/>
          <w:iCs/>
          <w:kern w:val="0"/>
          <w:lang w:eastAsia="en-GB"/>
          <w14:ligatures w14:val="none"/>
        </w:rPr>
        <w:t>Australasian journal of early childhood</w:t>
      </w:r>
      <w:r w:rsidRPr="001F41A9">
        <w:rPr>
          <w:rFonts w:ascii="Arial" w:eastAsia="Times New Roman" w:hAnsi="Arial" w:cs="Arial"/>
          <w:kern w:val="0"/>
          <w:lang w:eastAsia="en-GB"/>
          <w14:ligatures w14:val="none"/>
        </w:rPr>
        <w:t xml:space="preserve">, 42(2), pp. 4–11. Available at: </w:t>
      </w:r>
      <w:hyperlink r:id="rId41" w:history="1">
        <w:r w:rsidRPr="001F41A9">
          <w:rPr>
            <w:rFonts w:ascii="Arial" w:eastAsia="Times New Roman" w:hAnsi="Arial" w:cs="Arial"/>
            <w:color w:val="467886" w:themeColor="hyperlink"/>
            <w:kern w:val="0"/>
            <w:u w:val="single"/>
            <w:lang w:eastAsia="en-GB"/>
            <w14:ligatures w14:val="none"/>
          </w:rPr>
          <w:t>https://doi.org/10.23965/AJEC.42.2.01</w:t>
        </w:r>
      </w:hyperlink>
      <w:r w:rsidRPr="001F41A9">
        <w:rPr>
          <w:rFonts w:ascii="Arial" w:eastAsia="Times New Roman" w:hAnsi="Arial" w:cs="Arial"/>
          <w:kern w:val="0"/>
          <w:lang w:eastAsia="en-GB"/>
          <w14:ligatures w14:val="none"/>
        </w:rPr>
        <w:t>. (Accessed: 13 February 2026)</w:t>
      </w:r>
    </w:p>
    <w:p w14:paraId="327D423F" w14:textId="77777777" w:rsidR="001F41A9" w:rsidRPr="001F41A9" w:rsidRDefault="001F41A9" w:rsidP="001F41A9">
      <w:pPr>
        <w:spacing w:before="100" w:beforeAutospacing="1" w:after="100" w:afterAutospacing="1" w:line="240" w:lineRule="auto"/>
        <w:rPr>
          <w:rFonts w:ascii="Arial" w:eastAsiaTheme="minorEastAsia" w:hAnsi="Arial" w:cs="Arial"/>
          <w:kern w:val="0"/>
          <w:lang w:eastAsia="en-GB"/>
          <w14:ligatures w14:val="none"/>
        </w:rPr>
      </w:pPr>
    </w:p>
    <w:p w14:paraId="0A6326D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Edwards, S. (2021) “Process quality, curriculum and pedagogy in early childhood education and care,” </w:t>
      </w:r>
      <w:r w:rsidRPr="001F41A9">
        <w:rPr>
          <w:rFonts w:ascii="Arial" w:eastAsia="Times New Roman" w:hAnsi="Arial" w:cs="Arial"/>
          <w:i/>
          <w:iCs/>
          <w:kern w:val="0"/>
          <w:lang w:eastAsia="en-GB"/>
          <w14:ligatures w14:val="none"/>
        </w:rPr>
        <w:t>OECD Education Working Papers</w:t>
      </w:r>
      <w:r w:rsidRPr="001F41A9">
        <w:rPr>
          <w:rFonts w:ascii="Arial" w:eastAsia="Times New Roman" w:hAnsi="Arial" w:cs="Arial"/>
          <w:kern w:val="0"/>
          <w:lang w:eastAsia="en-GB"/>
          <w14:ligatures w14:val="none"/>
        </w:rPr>
        <w:t xml:space="preserve">, (247), p. 0_1-55. Available at: </w:t>
      </w:r>
      <w:hyperlink r:id="rId42" w:history="1">
        <w:r w:rsidRPr="001F41A9">
          <w:rPr>
            <w:rFonts w:ascii="Arial" w:eastAsia="Times New Roman" w:hAnsi="Arial" w:cs="Arial"/>
            <w:color w:val="467886" w:themeColor="hyperlink"/>
            <w:kern w:val="0"/>
            <w:u w:val="single"/>
            <w:lang w:eastAsia="en-GB"/>
            <w14:ligatures w14:val="none"/>
          </w:rPr>
          <w:t>https://doi.org/10.1787/eba0711e-en</w:t>
        </w:r>
      </w:hyperlink>
      <w:r w:rsidRPr="001F41A9">
        <w:rPr>
          <w:rFonts w:ascii="Arial" w:eastAsia="Times New Roman" w:hAnsi="Arial" w:cs="Arial"/>
          <w:kern w:val="0"/>
          <w:lang w:eastAsia="en-GB"/>
          <w14:ligatures w14:val="none"/>
        </w:rPr>
        <w:t>. (Accessed: 30 January 2026)</w:t>
      </w:r>
    </w:p>
    <w:p w14:paraId="18D6E8C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7ACFF7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Elliott, S., Ärlemalm-Hagsér, E. and Davis, J.M. (eds.) (2020) </w:t>
      </w:r>
      <w:r w:rsidRPr="001F41A9">
        <w:rPr>
          <w:rFonts w:ascii="Arial" w:eastAsia="Times New Roman" w:hAnsi="Arial" w:cs="Arial"/>
          <w:i/>
          <w:iCs/>
          <w:kern w:val="0"/>
          <w:lang w:eastAsia="en-GB"/>
          <w14:ligatures w14:val="none"/>
        </w:rPr>
        <w:t>Researching early childhood education for sustainability: challenging assumptions and orthodoxies</w:t>
      </w:r>
      <w:r w:rsidRPr="001F41A9">
        <w:rPr>
          <w:rFonts w:ascii="Arial" w:eastAsia="Times New Roman" w:hAnsi="Arial" w:cs="Arial"/>
          <w:kern w:val="0"/>
          <w:lang w:eastAsia="en-GB"/>
          <w14:ligatures w14:val="none"/>
        </w:rPr>
        <w:t>. Abingdon, Oxon: Routledge.</w:t>
      </w:r>
    </w:p>
    <w:p w14:paraId="12D20A6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EE7000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EF806FC" w14:textId="77777777" w:rsid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t xml:space="preserve">Estyn (2023) </w:t>
      </w:r>
      <w:r w:rsidRPr="001F41A9">
        <w:rPr>
          <w:rFonts w:ascii="Arial" w:eastAsia="Times New Roman" w:hAnsi="Arial" w:cs="Arial"/>
          <w:kern w:val="36"/>
          <w:lang w:eastAsia="en-GB"/>
          <w14:ligatures w14:val="none"/>
        </w:rPr>
        <w:t xml:space="preserve">Provision of high-quality experiential play opportunities </w:t>
      </w:r>
      <w:r w:rsidRPr="001F41A9">
        <w:rPr>
          <w:rFonts w:ascii="Arial" w:eastAsiaTheme="minorEastAsia" w:hAnsi="Arial" w:cs="Arial"/>
          <w:kern w:val="0"/>
          <w:lang w:eastAsia="en-GB"/>
          <w14:ligatures w14:val="none"/>
        </w:rPr>
        <w:t xml:space="preserve">Cardiff: Estyn. Available at: </w:t>
      </w:r>
      <w:hyperlink r:id="rId43" w:history="1">
        <w:r w:rsidRPr="001F41A9">
          <w:rPr>
            <w:rFonts w:ascii="Arial" w:eastAsiaTheme="minorEastAsia" w:hAnsi="Arial" w:cs="Arial"/>
            <w:color w:val="0000FF"/>
            <w:u w:val="single"/>
            <w:lang w:eastAsia="en-GB"/>
          </w:rPr>
          <w:t>Provision of high-quality experiential play opportunities - Estyn</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14 February 2026)</w:t>
      </w:r>
    </w:p>
    <w:p w14:paraId="13E659DE" w14:textId="77777777" w:rsidR="00A543E7" w:rsidRDefault="00A543E7" w:rsidP="001F41A9">
      <w:pPr>
        <w:spacing w:after="0" w:line="240" w:lineRule="auto"/>
        <w:rPr>
          <w:rFonts w:ascii="Arial" w:eastAsia="Times New Roman" w:hAnsi="Arial" w:cs="Arial"/>
          <w:kern w:val="0"/>
          <w:lang w:eastAsia="en-GB"/>
          <w14:ligatures w14:val="none"/>
        </w:rPr>
      </w:pPr>
    </w:p>
    <w:p w14:paraId="65FFE0F5" w14:textId="77777777" w:rsidR="00A543E7" w:rsidRPr="001F41A9" w:rsidRDefault="00A543E7" w:rsidP="001F41A9">
      <w:pPr>
        <w:spacing w:after="0" w:line="240" w:lineRule="auto"/>
        <w:rPr>
          <w:rFonts w:ascii="Arial" w:eastAsia="Times New Roman" w:hAnsi="Arial" w:cs="Arial"/>
          <w:kern w:val="0"/>
          <w:lang w:eastAsia="en-GB"/>
          <w14:ligatures w14:val="none"/>
        </w:rPr>
      </w:pPr>
    </w:p>
    <w:p w14:paraId="2C30C0DC" w14:textId="77777777" w:rsidR="001F41A9" w:rsidRPr="001F41A9" w:rsidRDefault="001F41A9" w:rsidP="001F41A9">
      <w:pPr>
        <w:keepNext/>
        <w:keepLines/>
        <w:shd w:val="clear" w:color="auto" w:fill="FFFFFF"/>
        <w:spacing w:after="80" w:line="240" w:lineRule="auto"/>
        <w:outlineLvl w:val="0"/>
        <w:rPr>
          <w:rFonts w:ascii="Arial" w:eastAsia="Times New Roman" w:hAnsi="Arial" w:cs="Arial"/>
          <w:kern w:val="36"/>
          <w:lang w:eastAsia="en-GB"/>
          <w14:ligatures w14:val="none"/>
        </w:rPr>
      </w:pPr>
    </w:p>
    <w:p w14:paraId="656388C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t xml:space="preserve">Estyn (2025) </w:t>
      </w:r>
      <w:r w:rsidRPr="001F41A9">
        <w:rPr>
          <w:rFonts w:ascii="Arial" w:eastAsia="Times New Roman" w:hAnsi="Arial" w:cs="Arial"/>
          <w:kern w:val="36"/>
          <w:lang w:eastAsia="en-GB"/>
          <w14:ligatures w14:val="none"/>
        </w:rPr>
        <w:t xml:space="preserve">Purposeful improvement processes and effective style of leadership which is having a positive impact on aspects of provision and well-being. </w:t>
      </w:r>
      <w:r w:rsidRPr="001F41A9">
        <w:rPr>
          <w:rFonts w:ascii="Arial" w:eastAsiaTheme="minorEastAsia" w:hAnsi="Arial" w:cs="Arial"/>
          <w:kern w:val="0"/>
          <w:lang w:eastAsia="en-GB"/>
          <w14:ligatures w14:val="none"/>
        </w:rPr>
        <w:t xml:space="preserve">Cardiff: Estyn. Available at: </w:t>
      </w:r>
      <w:hyperlink r:id="rId44" w:history="1">
        <w:r w:rsidRPr="001F41A9">
          <w:rPr>
            <w:rFonts w:ascii="Arial" w:eastAsiaTheme="minorEastAsia" w:hAnsi="Arial" w:cs="Arial"/>
            <w:color w:val="0000FF"/>
            <w:u w:val="single"/>
            <w:lang w:eastAsia="en-GB"/>
          </w:rPr>
          <w:t>Purposeful improvement processes and effective style of leadership which is having a positive impact on aspects of provision and well-being - Estyn</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15 February 2026)</w:t>
      </w:r>
    </w:p>
    <w:p w14:paraId="368436F8" w14:textId="77777777" w:rsidR="001F41A9" w:rsidRDefault="001F41A9" w:rsidP="001F41A9">
      <w:pPr>
        <w:spacing w:line="276" w:lineRule="auto"/>
        <w:rPr>
          <w:rFonts w:ascii="Arial" w:eastAsiaTheme="minorEastAsia" w:hAnsi="Arial" w:cs="Arial"/>
          <w:color w:val="EE0000"/>
          <w:kern w:val="0"/>
          <w:lang w:eastAsia="en-GB"/>
          <w14:ligatures w14:val="none"/>
        </w:rPr>
      </w:pPr>
    </w:p>
    <w:p w14:paraId="492A3CD2" w14:textId="77777777" w:rsidR="00177246" w:rsidRDefault="00177246" w:rsidP="001F41A9">
      <w:pPr>
        <w:spacing w:line="276" w:lineRule="auto"/>
        <w:rPr>
          <w:rFonts w:ascii="Arial" w:eastAsiaTheme="minorEastAsia" w:hAnsi="Arial" w:cs="Arial"/>
          <w:color w:val="EE0000"/>
          <w:kern w:val="0"/>
          <w:lang w:eastAsia="en-GB"/>
          <w14:ligatures w14:val="none"/>
        </w:rPr>
      </w:pPr>
    </w:p>
    <w:p w14:paraId="75FA250F" w14:textId="77777777" w:rsidR="00177246" w:rsidRPr="001F41A9" w:rsidRDefault="00177246" w:rsidP="001F41A9">
      <w:pPr>
        <w:spacing w:line="276" w:lineRule="auto"/>
        <w:rPr>
          <w:rFonts w:ascii="Arial" w:eastAsiaTheme="minorEastAsia" w:hAnsi="Arial" w:cs="Arial"/>
          <w:color w:val="EE0000"/>
          <w:kern w:val="0"/>
          <w:lang w:eastAsia="en-GB"/>
          <w14:ligatures w14:val="none"/>
        </w:rPr>
      </w:pPr>
    </w:p>
    <w:p w14:paraId="093D881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t xml:space="preserve">Estyn and Care Inspectorate Wales (2021) </w:t>
      </w:r>
      <w:r w:rsidRPr="001F41A9">
        <w:rPr>
          <w:rFonts w:ascii="Arial" w:eastAsiaTheme="minorEastAsia" w:hAnsi="Arial" w:cs="Arial"/>
          <w:lang w:eastAsia="en-GB"/>
        </w:rPr>
        <w:t>Guidance handbook for inspecting care and education in regulated non-school settings eligible for funding for part-time education</w:t>
      </w:r>
      <w:r w:rsidRPr="001F41A9">
        <w:rPr>
          <w:rFonts w:ascii="Arial" w:eastAsiaTheme="minorEastAsia" w:hAnsi="Arial" w:cs="Arial"/>
          <w:kern w:val="0"/>
          <w:lang w:eastAsia="en-GB"/>
          <w14:ligatures w14:val="none"/>
        </w:rPr>
        <w:t xml:space="preserve"> Cardiff: Estyn. Available at: </w:t>
      </w:r>
      <w:hyperlink r:id="rId45" w:history="1">
        <w:r w:rsidRPr="001F41A9">
          <w:rPr>
            <w:rFonts w:ascii="Arial" w:eastAsiaTheme="minorEastAsia" w:hAnsi="Arial" w:cs="Arial"/>
            <w:color w:val="0000FF"/>
            <w:u w:val="single"/>
            <w:lang w:eastAsia="en-GB"/>
          </w:rPr>
          <w:t>Guidance handbook for inspecting care and education in regulated non-school settings eligible for funding for part-time education</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14 February 2026)</w:t>
      </w:r>
    </w:p>
    <w:p w14:paraId="189A6C1E" w14:textId="77777777" w:rsidR="001F41A9" w:rsidRPr="001F41A9" w:rsidRDefault="001F41A9" w:rsidP="001F41A9">
      <w:pPr>
        <w:spacing w:before="100" w:beforeAutospacing="1" w:after="100" w:afterAutospacing="1" w:line="240" w:lineRule="auto"/>
        <w:rPr>
          <w:rFonts w:ascii="Arial" w:eastAsiaTheme="minorEastAsia" w:hAnsi="Arial" w:cs="Arial"/>
          <w:color w:val="EE0000"/>
          <w:kern w:val="0"/>
          <w:lang w:eastAsia="en-GB"/>
          <w14:ligatures w14:val="none"/>
        </w:rPr>
      </w:pPr>
    </w:p>
    <w:p w14:paraId="7732703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Fernández-Santín, M. and Feliu-Torruella, M. (2020) “Developing critical thinking in early childhood through the philosophy of Reggio Emilia,” </w:t>
      </w:r>
      <w:r w:rsidRPr="001F41A9">
        <w:rPr>
          <w:rFonts w:ascii="Arial" w:eastAsia="Times New Roman" w:hAnsi="Arial" w:cs="Arial"/>
          <w:i/>
          <w:iCs/>
          <w:kern w:val="0"/>
          <w:lang w:eastAsia="en-GB"/>
          <w14:ligatures w14:val="none"/>
        </w:rPr>
        <w:t>Thinking skills and creativity</w:t>
      </w:r>
      <w:r w:rsidRPr="001F41A9">
        <w:rPr>
          <w:rFonts w:ascii="Arial" w:eastAsia="Times New Roman" w:hAnsi="Arial" w:cs="Arial"/>
          <w:kern w:val="0"/>
          <w:lang w:eastAsia="en-GB"/>
          <w14:ligatures w14:val="none"/>
        </w:rPr>
        <w:t xml:space="preserve">, 37. Available at: </w:t>
      </w:r>
      <w:hyperlink r:id="rId46" w:history="1">
        <w:r w:rsidRPr="001F41A9">
          <w:rPr>
            <w:rFonts w:ascii="Arial" w:eastAsia="Times New Roman" w:hAnsi="Arial" w:cs="Arial"/>
            <w:color w:val="467886" w:themeColor="hyperlink"/>
            <w:kern w:val="0"/>
            <w:u w:val="single"/>
            <w:lang w:eastAsia="en-GB"/>
            <w14:ligatures w14:val="none"/>
          </w:rPr>
          <w:t>https://doi.org/10.1016/j.tsc.2020.100686</w:t>
        </w:r>
      </w:hyperlink>
      <w:r w:rsidRPr="001F41A9">
        <w:rPr>
          <w:rFonts w:ascii="Arial" w:eastAsia="Times New Roman" w:hAnsi="Arial" w:cs="Arial"/>
          <w:kern w:val="0"/>
          <w:lang w:eastAsia="en-GB"/>
          <w14:ligatures w14:val="none"/>
        </w:rPr>
        <w:t>. (Accessed: 5 February 2026)</w:t>
      </w:r>
    </w:p>
    <w:p w14:paraId="6509075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66A6D9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BFB186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AE47D30"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shd w:val="clear" w:color="auto" w:fill="FFFFFF"/>
          <w:lang w:eastAsia="en-GB"/>
        </w:rPr>
        <w:t>Fleer, M. (2019) 'Conceptual PlayWorlds as a pedagogical intervention: supporting the learning and development of the preschool child in play-based setting', </w:t>
      </w:r>
      <w:r w:rsidRPr="001F41A9">
        <w:rPr>
          <w:rFonts w:ascii="Arial" w:eastAsiaTheme="minorEastAsia" w:hAnsi="Arial" w:cs="Arial"/>
          <w:i/>
          <w:iCs/>
          <w:shd w:val="clear" w:color="auto" w:fill="FFFFFF"/>
          <w:lang w:eastAsia="en-GB"/>
        </w:rPr>
        <w:t>Obutchénie</w:t>
      </w:r>
      <w:r w:rsidRPr="001F41A9">
        <w:rPr>
          <w:rFonts w:ascii="Arial" w:eastAsiaTheme="minorEastAsia" w:hAnsi="Arial" w:cs="Arial"/>
          <w:shd w:val="clear" w:color="auto" w:fill="FFFFFF"/>
          <w:lang w:eastAsia="en-GB"/>
        </w:rPr>
        <w:t xml:space="preserve">, </w:t>
      </w:r>
      <w:r w:rsidRPr="001F41A9">
        <w:rPr>
          <w:rFonts w:ascii="Arial" w:eastAsiaTheme="minorEastAsia" w:hAnsi="Arial" w:cs="Arial"/>
          <w:i/>
          <w:iCs/>
          <w:shd w:val="clear" w:color="auto" w:fill="FFFFFF"/>
          <w:lang w:eastAsia="en-GB"/>
        </w:rPr>
        <w:t>Revista De Didática E Psicologia Pedagógica</w:t>
      </w:r>
      <w:r w:rsidRPr="001F41A9">
        <w:rPr>
          <w:rFonts w:ascii="Arial" w:eastAsiaTheme="minorEastAsia" w:hAnsi="Arial" w:cs="Arial"/>
          <w:shd w:val="clear" w:color="auto" w:fill="FFFFFF"/>
          <w:lang w:eastAsia="en-GB"/>
        </w:rPr>
        <w:t>, vol. 3, no. 3, 1-22. Available at: </w:t>
      </w:r>
      <w:hyperlink r:id="rId47" w:history="1">
        <w:r w:rsidRPr="001F41A9">
          <w:rPr>
            <w:rFonts w:ascii="Arial" w:eastAsiaTheme="minorEastAsia" w:hAnsi="Arial" w:cs="Arial"/>
            <w:color w:val="467886" w:themeColor="hyperlink"/>
            <w:u w:val="single"/>
            <w:shd w:val="clear" w:color="auto" w:fill="FFFFFF"/>
            <w:lang w:eastAsia="en-GB"/>
          </w:rPr>
          <w:t>https://doi.org/10.14393/OBv3n3.a2019-51704</w:t>
        </w:r>
      </w:hyperlink>
      <w:r w:rsidRPr="001F41A9">
        <w:rPr>
          <w:rFonts w:ascii="Arial" w:eastAsiaTheme="minorEastAsia" w:hAnsi="Arial" w:cs="Arial"/>
          <w:color w:val="666666"/>
          <w:shd w:val="clear" w:color="auto" w:fill="FFFFFF"/>
          <w:lang w:eastAsia="en-GB"/>
        </w:rPr>
        <w:t xml:space="preserve"> </w:t>
      </w:r>
      <w:r w:rsidRPr="001F41A9">
        <w:rPr>
          <w:rFonts w:ascii="Arial" w:eastAsia="Times New Roman" w:hAnsi="Arial" w:cs="Arial"/>
          <w:kern w:val="0"/>
          <w:lang w:eastAsia="en-GB"/>
          <w14:ligatures w14:val="none"/>
        </w:rPr>
        <w:t>(Accessed: 4 February 2026)</w:t>
      </w:r>
    </w:p>
    <w:p w14:paraId="3AA37CBE" w14:textId="77777777" w:rsidR="001F41A9" w:rsidRPr="001F41A9" w:rsidRDefault="001F41A9" w:rsidP="001F41A9">
      <w:pPr>
        <w:spacing w:after="180" w:line="240" w:lineRule="auto"/>
        <w:rPr>
          <w:rFonts w:ascii="Arial" w:eastAsiaTheme="minorEastAsia" w:hAnsi="Arial" w:cs="Arial"/>
          <w:lang w:eastAsia="en-GB"/>
        </w:rPr>
      </w:pPr>
    </w:p>
    <w:p w14:paraId="2CF56ADA"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Fleet, A. (2022) “Why pedagogical documentation?” </w:t>
      </w:r>
      <w:r w:rsidRPr="001F41A9">
        <w:rPr>
          <w:rFonts w:ascii="Arial" w:eastAsia="Times New Roman" w:hAnsi="Arial" w:cs="Arial"/>
          <w:i/>
          <w:iCs/>
          <w:kern w:val="0"/>
          <w:lang w:eastAsia="en-GB"/>
          <w14:ligatures w14:val="none"/>
        </w:rPr>
        <w:t>Practical literacy</w:t>
      </w:r>
      <w:r w:rsidRPr="001F41A9">
        <w:rPr>
          <w:rFonts w:ascii="Arial" w:eastAsia="Times New Roman" w:hAnsi="Arial" w:cs="Arial"/>
          <w:kern w:val="0"/>
          <w:lang w:eastAsia="en-GB"/>
          <w14:ligatures w14:val="none"/>
        </w:rPr>
        <w:t>, 27(1), pp. 12–17.</w:t>
      </w:r>
    </w:p>
    <w:p w14:paraId="5E11014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6A5FE6" w14:textId="77777777" w:rsidR="001F41A9" w:rsidRPr="001F41A9" w:rsidRDefault="001F41A9" w:rsidP="001F41A9">
      <w:pPr>
        <w:spacing w:after="180" w:line="240" w:lineRule="auto"/>
        <w:rPr>
          <w:rFonts w:ascii="Arial" w:eastAsiaTheme="minorEastAsia" w:hAnsi="Arial" w:cs="Arial"/>
          <w:color w:val="222222"/>
          <w:shd w:val="clear" w:color="auto" w:fill="FFFFFF"/>
          <w:lang w:eastAsia="en-GB"/>
        </w:rPr>
      </w:pPr>
      <w:r w:rsidRPr="001F41A9">
        <w:rPr>
          <w:rFonts w:ascii="Arial" w:eastAsiaTheme="minorEastAsia" w:hAnsi="Arial" w:cs="Arial"/>
          <w:color w:val="222222"/>
          <w:shd w:val="clear" w:color="auto" w:fill="FFFFFF"/>
          <w:lang w:eastAsia="en-GB"/>
        </w:rPr>
        <w:t>Fogarty, L. (2024). </w:t>
      </w:r>
      <w:r w:rsidRPr="001F41A9">
        <w:rPr>
          <w:rFonts w:ascii="Arial" w:eastAsiaTheme="minorEastAsia" w:hAnsi="Arial" w:cs="Arial"/>
          <w:i/>
          <w:iCs/>
          <w:color w:val="222222"/>
          <w:shd w:val="clear" w:color="auto" w:fill="FFFFFF"/>
          <w:lang w:eastAsia="en-GB"/>
        </w:rPr>
        <w:t>Leadership in early childhood education and care: Insider perspectives</w:t>
      </w:r>
      <w:r w:rsidRPr="001F41A9">
        <w:rPr>
          <w:rFonts w:ascii="Arial" w:eastAsiaTheme="minorEastAsia" w:hAnsi="Arial" w:cs="Arial"/>
          <w:color w:val="222222"/>
          <w:shd w:val="clear" w:color="auto" w:fill="FFFFFF"/>
          <w:lang w:eastAsia="en-GB"/>
        </w:rPr>
        <w:t> (Doctoral dissertation, Brunel University London).</w:t>
      </w:r>
    </w:p>
    <w:p w14:paraId="04EDDE5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Fuertes-Camacho, M.T., Marimon, F. and Albareda-Tiana, S. (2025) “Design and Validation of a Multidimensional Instrument for Measuring Eco-Social Competences in Education for Sustainability in Early Childhood Education,” </w:t>
      </w:r>
      <w:r w:rsidRPr="001F41A9">
        <w:rPr>
          <w:rFonts w:ascii="Arial" w:eastAsia="Times New Roman" w:hAnsi="Arial" w:cs="Arial"/>
          <w:i/>
          <w:iCs/>
          <w:kern w:val="0"/>
          <w:lang w:eastAsia="en-GB"/>
          <w14:ligatures w14:val="none"/>
        </w:rPr>
        <w:t>Sustainability</w:t>
      </w:r>
      <w:r w:rsidRPr="001F41A9">
        <w:rPr>
          <w:rFonts w:ascii="Arial" w:eastAsia="Times New Roman" w:hAnsi="Arial" w:cs="Arial"/>
          <w:kern w:val="0"/>
          <w:lang w:eastAsia="en-GB"/>
          <w14:ligatures w14:val="none"/>
        </w:rPr>
        <w:t xml:space="preserve">, 17(17), p. 7629. Available at: </w:t>
      </w:r>
      <w:hyperlink r:id="rId48" w:history="1">
        <w:r w:rsidRPr="001F41A9">
          <w:rPr>
            <w:rFonts w:ascii="Arial" w:eastAsia="Times New Roman" w:hAnsi="Arial" w:cs="Arial"/>
            <w:color w:val="467886" w:themeColor="hyperlink"/>
            <w:kern w:val="0"/>
            <w:u w:val="single"/>
            <w:lang w:eastAsia="en-GB"/>
            <w14:ligatures w14:val="none"/>
          </w:rPr>
          <w:t>https://doi.org/10.3390/su17177629</w:t>
        </w:r>
      </w:hyperlink>
      <w:r w:rsidRPr="001F41A9">
        <w:rPr>
          <w:rFonts w:ascii="Arial" w:eastAsia="Times New Roman" w:hAnsi="Arial" w:cs="Arial"/>
          <w:kern w:val="0"/>
          <w:lang w:eastAsia="en-GB"/>
          <w14:ligatures w14:val="none"/>
        </w:rPr>
        <w:t>. (Accessed: 5 February 2026)</w:t>
      </w:r>
    </w:p>
    <w:p w14:paraId="3478472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54EE4A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EA5F48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Garden, A. (2026) “The University Forest School Space in England: taking seminars outdoors for early years undergraduates,” </w:t>
      </w:r>
      <w:r w:rsidRPr="001F41A9">
        <w:rPr>
          <w:rFonts w:ascii="Arial" w:eastAsia="Times New Roman" w:hAnsi="Arial" w:cs="Arial"/>
          <w:i/>
          <w:iCs/>
          <w:kern w:val="0"/>
          <w:lang w:eastAsia="en-GB"/>
          <w14:ligatures w14:val="none"/>
        </w:rPr>
        <w:t>Education 3-13</w:t>
      </w:r>
      <w:r w:rsidRPr="001F41A9">
        <w:rPr>
          <w:rFonts w:ascii="Arial" w:eastAsia="Times New Roman" w:hAnsi="Arial" w:cs="Arial"/>
          <w:kern w:val="0"/>
          <w:lang w:eastAsia="en-GB"/>
          <w14:ligatures w14:val="none"/>
        </w:rPr>
        <w:t xml:space="preserve">, 54(1), pp. 31–46. Available at: </w:t>
      </w:r>
      <w:hyperlink r:id="rId49" w:history="1">
        <w:r w:rsidRPr="001F41A9">
          <w:rPr>
            <w:rFonts w:ascii="Arial" w:eastAsia="Times New Roman" w:hAnsi="Arial" w:cs="Arial"/>
            <w:color w:val="467886" w:themeColor="hyperlink"/>
            <w:kern w:val="0"/>
            <w:u w:val="single"/>
            <w:lang w:eastAsia="en-GB"/>
            <w14:ligatures w14:val="none"/>
          </w:rPr>
          <w:t>https://doi.org/10.1080/03004279.2023.2280720</w:t>
        </w:r>
      </w:hyperlink>
      <w:r w:rsidRPr="001F41A9">
        <w:rPr>
          <w:rFonts w:ascii="Arial" w:eastAsia="Times New Roman" w:hAnsi="Arial" w:cs="Arial"/>
          <w:kern w:val="0"/>
          <w:lang w:eastAsia="en-GB"/>
          <w14:ligatures w14:val="none"/>
        </w:rPr>
        <w:t>. (Accessed: 11 February 2026)</w:t>
      </w:r>
    </w:p>
    <w:p w14:paraId="7FA33C3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44A851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9DFAABA"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Gharibans, A. A. (2023). </w:t>
      </w:r>
      <w:r w:rsidRPr="001F41A9">
        <w:rPr>
          <w:rFonts w:ascii="Arial" w:eastAsia="Times New Roman" w:hAnsi="Arial" w:cs="Arial"/>
          <w:i/>
          <w:iCs/>
          <w:kern w:val="0"/>
          <w:lang w:eastAsia="en-GB"/>
          <w14:ligatures w14:val="none"/>
        </w:rPr>
        <w:t>Creating Playgrounds in Collaboration with Children: A Critical Literature Review</w:t>
      </w:r>
      <w:r w:rsidRPr="001F41A9">
        <w:rPr>
          <w:rFonts w:ascii="Arial" w:eastAsia="Times New Roman" w:hAnsi="Arial" w:cs="Arial"/>
          <w:kern w:val="0"/>
          <w:lang w:eastAsia="en-GB"/>
          <w14:ligatures w14:val="none"/>
        </w:rPr>
        <w:t xml:space="preserve">. </w:t>
      </w:r>
      <w:hyperlink r:id="rId50" w:history="1">
        <w:r w:rsidRPr="001F41A9">
          <w:rPr>
            <w:rFonts w:ascii="Arial" w:eastAsia="Times New Roman" w:hAnsi="Arial" w:cs="Arial"/>
            <w:color w:val="467886" w:themeColor="hyperlink"/>
            <w:kern w:val="0"/>
            <w:u w:val="single"/>
            <w:lang w:eastAsia="en-GB"/>
            <w14:ligatures w14:val="none"/>
          </w:rPr>
          <w:t>https://doi.org/10.32920/22557499.v1</w:t>
        </w:r>
      </w:hyperlink>
      <w:r w:rsidRPr="001F41A9">
        <w:rPr>
          <w:rFonts w:ascii="Arial" w:eastAsia="Times New Roman" w:hAnsi="Arial" w:cs="Arial"/>
          <w:kern w:val="0"/>
          <w:lang w:eastAsia="en-GB"/>
          <w14:ligatures w14:val="none"/>
        </w:rPr>
        <w:t xml:space="preserve"> (Accessed: 8 February 2026)</w:t>
      </w:r>
    </w:p>
    <w:p w14:paraId="04A57B5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B795CF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9EF8D6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Gibson, J.L., Cornell, M. and Gill, T. (2017) “A Systematic Review of Research into the Impact of Loose Parts Play on Children’s Cognitive, Social and Emotional Development,” </w:t>
      </w:r>
      <w:r w:rsidRPr="001F41A9">
        <w:rPr>
          <w:rFonts w:ascii="Arial" w:eastAsia="Times New Roman" w:hAnsi="Arial" w:cs="Arial"/>
          <w:i/>
          <w:iCs/>
          <w:kern w:val="0"/>
          <w:lang w:eastAsia="en-GB"/>
          <w14:ligatures w14:val="none"/>
        </w:rPr>
        <w:t>School mental health</w:t>
      </w:r>
      <w:r w:rsidRPr="001F41A9">
        <w:rPr>
          <w:rFonts w:ascii="Arial" w:eastAsia="Times New Roman" w:hAnsi="Arial" w:cs="Arial"/>
          <w:kern w:val="0"/>
          <w:lang w:eastAsia="en-GB"/>
          <w14:ligatures w14:val="none"/>
        </w:rPr>
        <w:t xml:space="preserve">, 9(4), pp. 295–309. Available at: </w:t>
      </w:r>
      <w:hyperlink r:id="rId51" w:history="1">
        <w:r w:rsidRPr="001F41A9">
          <w:rPr>
            <w:rFonts w:ascii="Arial" w:eastAsia="Times New Roman" w:hAnsi="Arial" w:cs="Arial"/>
            <w:color w:val="467886" w:themeColor="hyperlink"/>
            <w:kern w:val="0"/>
            <w:u w:val="single"/>
            <w:lang w:eastAsia="en-GB"/>
            <w14:ligatures w14:val="none"/>
          </w:rPr>
          <w:t>https://doi.org/10.1007/s12310-017-9220-9</w:t>
        </w:r>
      </w:hyperlink>
      <w:r w:rsidRPr="001F41A9">
        <w:rPr>
          <w:rFonts w:ascii="Arial" w:eastAsia="Times New Roman" w:hAnsi="Arial" w:cs="Arial"/>
          <w:kern w:val="0"/>
          <w:lang w:eastAsia="en-GB"/>
          <w14:ligatures w14:val="none"/>
        </w:rPr>
        <w:t>. (Accessed: 9 February 2026)</w:t>
      </w:r>
    </w:p>
    <w:p w14:paraId="56115C7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314770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3280E4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Gill, T. (2021). Urban Playground: How Child-Friendly Planning and Design Can Save Cities (1st ed.). RIBA Publishing. </w:t>
      </w:r>
      <w:hyperlink r:id="rId52" w:history="1">
        <w:r w:rsidRPr="001F41A9">
          <w:rPr>
            <w:rFonts w:ascii="Arial" w:eastAsia="Times New Roman" w:hAnsi="Arial" w:cs="Arial"/>
            <w:color w:val="467886" w:themeColor="hyperlink"/>
            <w:kern w:val="0"/>
            <w:u w:val="single"/>
            <w:lang w:eastAsia="en-GB"/>
            <w14:ligatures w14:val="none"/>
          </w:rPr>
          <w:t>https://doi.org/10.4324/9781003108658</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 February 2026)</w:t>
      </w:r>
    </w:p>
    <w:p w14:paraId="070BE70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EAB5D6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Goodall, J. and Montgomery, C. (2014) “Parental involvement to parental engagement: a continuum,” </w:t>
      </w:r>
      <w:r w:rsidRPr="001F41A9">
        <w:rPr>
          <w:rFonts w:ascii="Arial" w:eastAsia="Times New Roman" w:hAnsi="Arial" w:cs="Arial"/>
          <w:i/>
          <w:iCs/>
          <w:kern w:val="0"/>
          <w:lang w:eastAsia="en-GB"/>
          <w14:ligatures w14:val="none"/>
        </w:rPr>
        <w:t>Educational review (Birmingham)</w:t>
      </w:r>
      <w:r w:rsidRPr="001F41A9">
        <w:rPr>
          <w:rFonts w:ascii="Arial" w:eastAsia="Times New Roman" w:hAnsi="Arial" w:cs="Arial"/>
          <w:kern w:val="0"/>
          <w:lang w:eastAsia="en-GB"/>
          <w14:ligatures w14:val="none"/>
        </w:rPr>
        <w:t xml:space="preserve">, 66(4), pp. 399–410. Available at: </w:t>
      </w:r>
      <w:hyperlink r:id="rId53" w:history="1">
        <w:r w:rsidRPr="001F41A9">
          <w:rPr>
            <w:rFonts w:ascii="Arial" w:eastAsia="Times New Roman" w:hAnsi="Arial" w:cs="Arial"/>
            <w:color w:val="467886" w:themeColor="hyperlink"/>
            <w:kern w:val="0"/>
            <w:u w:val="single"/>
            <w:lang w:eastAsia="en-GB"/>
            <w14:ligatures w14:val="none"/>
          </w:rPr>
          <w:t>https://doi.org/10.1080/00131911.2013.781576</w:t>
        </w:r>
      </w:hyperlink>
      <w:r w:rsidRPr="001F41A9">
        <w:rPr>
          <w:rFonts w:ascii="Arial" w:eastAsia="Times New Roman" w:hAnsi="Arial" w:cs="Arial"/>
          <w:kern w:val="0"/>
          <w:lang w:eastAsia="en-GB"/>
          <w14:ligatures w14:val="none"/>
        </w:rPr>
        <w:t>. (Accessed: 10 February 2026)</w:t>
      </w:r>
    </w:p>
    <w:p w14:paraId="10B9628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3064D5B"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heme="minorEastAsia" w:hAnsi="Arial" w:cs="Arial"/>
          <w:color w:val="222222"/>
          <w:shd w:val="clear" w:color="auto" w:fill="FFFFFF"/>
          <w:lang w:eastAsia="en-GB"/>
        </w:rPr>
        <w:t>Gyekye-Ampofo, M., Opoku-Asare, N.A. and Andoh, G.B. (2023) Early Childhood Care and Education in The 21st Century: A Review of the Literature. </w:t>
      </w:r>
      <w:r w:rsidRPr="001F41A9">
        <w:rPr>
          <w:rFonts w:ascii="Arial" w:eastAsiaTheme="minorEastAsia" w:hAnsi="Arial" w:cs="Arial"/>
          <w:i/>
          <w:iCs/>
          <w:color w:val="222222"/>
          <w:shd w:val="clear" w:color="auto" w:fill="FFFFFF"/>
          <w:lang w:eastAsia="en-GB"/>
        </w:rPr>
        <w:t>British Journal of Education</w:t>
      </w:r>
      <w:r w:rsidRPr="001F41A9">
        <w:rPr>
          <w:rFonts w:ascii="Arial" w:eastAsiaTheme="minorEastAsia" w:hAnsi="Arial" w:cs="Arial"/>
          <w:color w:val="222222"/>
          <w:shd w:val="clear" w:color="auto" w:fill="FFFFFF"/>
          <w:lang w:eastAsia="en-GB"/>
        </w:rPr>
        <w:t>, </w:t>
      </w:r>
      <w:r w:rsidRPr="001F41A9">
        <w:rPr>
          <w:rFonts w:ascii="Arial" w:eastAsiaTheme="minorEastAsia" w:hAnsi="Arial" w:cs="Arial"/>
          <w:i/>
          <w:iCs/>
          <w:color w:val="222222"/>
          <w:shd w:val="clear" w:color="auto" w:fill="FFFFFF"/>
          <w:lang w:eastAsia="en-GB"/>
        </w:rPr>
        <w:t>11</w:t>
      </w:r>
      <w:r w:rsidRPr="001F41A9">
        <w:rPr>
          <w:rFonts w:ascii="Arial" w:eastAsiaTheme="minorEastAsia" w:hAnsi="Arial" w:cs="Arial"/>
          <w:color w:val="222222"/>
          <w:shd w:val="clear" w:color="auto" w:fill="FFFFFF"/>
          <w:lang w:eastAsia="en-GB"/>
        </w:rPr>
        <w:t>(4), pp.81-95.</w:t>
      </w:r>
    </w:p>
    <w:p w14:paraId="13D27441"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Hall, K. (ed.) (2010) </w:t>
      </w:r>
      <w:r w:rsidRPr="001F41A9">
        <w:rPr>
          <w:rFonts w:ascii="Arial" w:eastAsia="Times New Roman" w:hAnsi="Arial" w:cs="Arial"/>
          <w:i/>
          <w:iCs/>
          <w:kern w:val="0"/>
          <w:lang w:eastAsia="en-GB"/>
          <w14:ligatures w14:val="none"/>
        </w:rPr>
        <w:t>Loris Malaguzzi and the Reggio Emilia experience</w:t>
      </w:r>
      <w:r w:rsidRPr="001F41A9">
        <w:rPr>
          <w:rFonts w:ascii="Arial" w:eastAsia="Times New Roman" w:hAnsi="Arial" w:cs="Arial"/>
          <w:kern w:val="0"/>
          <w:lang w:eastAsia="en-GB"/>
          <w14:ligatures w14:val="none"/>
        </w:rPr>
        <w:t xml:space="preserve">. 1st ed. London; Continuum. Available at: </w:t>
      </w:r>
      <w:hyperlink r:id="rId54" w:history="1">
        <w:r w:rsidRPr="001F41A9">
          <w:rPr>
            <w:rFonts w:ascii="Arial" w:eastAsia="Times New Roman" w:hAnsi="Arial" w:cs="Arial"/>
            <w:color w:val="467886" w:themeColor="hyperlink"/>
            <w:kern w:val="0"/>
            <w:u w:val="single"/>
            <w:lang w:eastAsia="en-GB"/>
            <w14:ligatures w14:val="none"/>
          </w:rPr>
          <w:t>https://doi.org/10.5040/9781472541208</w:t>
        </w:r>
      </w:hyperlink>
      <w:r w:rsidRPr="001F41A9">
        <w:rPr>
          <w:rFonts w:ascii="Arial" w:eastAsia="Times New Roman" w:hAnsi="Arial" w:cs="Arial"/>
          <w:kern w:val="0"/>
          <w:lang w:eastAsia="en-GB"/>
          <w14:ligatures w14:val="none"/>
        </w:rPr>
        <w:t>. (Accessed: 12 February 2026)</w:t>
      </w:r>
    </w:p>
    <w:p w14:paraId="41AAD2DE"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16854A1"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color w:val="333333"/>
          <w:shd w:val="clear" w:color="auto" w:fill="FFFFFF"/>
          <w:lang w:eastAsia="en-GB"/>
        </w:rPr>
        <w:t>Hansen Sandseter, E. B., Kleppe, R., &amp; Ottesen Kennair, L. E. (2023). Risky play in children’s emotion regulation, social functioning, and physical health: an evolutionary approach. </w:t>
      </w:r>
      <w:r w:rsidRPr="001F41A9">
        <w:rPr>
          <w:rFonts w:ascii="Arial" w:eastAsiaTheme="minorEastAsia" w:hAnsi="Arial" w:cs="Arial"/>
          <w:i/>
          <w:iCs/>
          <w:color w:val="333333"/>
          <w:shd w:val="clear" w:color="auto" w:fill="FFFFFF"/>
          <w:lang w:eastAsia="en-GB"/>
        </w:rPr>
        <w:t>International Journal of Play</w:t>
      </w:r>
      <w:r w:rsidRPr="001F41A9">
        <w:rPr>
          <w:rFonts w:ascii="Arial" w:eastAsiaTheme="minorEastAsia" w:hAnsi="Arial" w:cs="Arial"/>
          <w:color w:val="333333"/>
          <w:shd w:val="clear" w:color="auto" w:fill="FFFFFF"/>
          <w:lang w:eastAsia="en-GB"/>
        </w:rPr>
        <w:t>, </w:t>
      </w:r>
      <w:r w:rsidRPr="001F41A9">
        <w:rPr>
          <w:rFonts w:ascii="Arial" w:eastAsiaTheme="minorEastAsia" w:hAnsi="Arial" w:cs="Arial"/>
          <w:i/>
          <w:iCs/>
          <w:color w:val="333333"/>
          <w:shd w:val="clear" w:color="auto" w:fill="FFFFFF"/>
          <w:lang w:eastAsia="en-GB"/>
        </w:rPr>
        <w:t>12</w:t>
      </w:r>
      <w:r w:rsidRPr="001F41A9">
        <w:rPr>
          <w:rFonts w:ascii="Arial" w:eastAsiaTheme="minorEastAsia" w:hAnsi="Arial" w:cs="Arial"/>
          <w:color w:val="333333"/>
          <w:shd w:val="clear" w:color="auto" w:fill="FFFFFF"/>
          <w:lang w:eastAsia="en-GB"/>
        </w:rPr>
        <w:t xml:space="preserve">(1), 127–139. </w:t>
      </w:r>
      <w:hyperlink r:id="rId55" w:history="1">
        <w:r w:rsidRPr="001F41A9">
          <w:rPr>
            <w:rFonts w:ascii="Arial" w:eastAsiaTheme="minorEastAsia" w:hAnsi="Arial" w:cs="Arial"/>
            <w:color w:val="467886" w:themeColor="hyperlink"/>
            <w:u w:val="single"/>
            <w:shd w:val="clear" w:color="auto" w:fill="FFFFFF"/>
            <w:lang w:eastAsia="en-GB"/>
          </w:rPr>
          <w:t>https://doi.org/10.1080/21594937.2022.2152531</w:t>
        </w:r>
      </w:hyperlink>
      <w:r w:rsidRPr="001F41A9">
        <w:rPr>
          <w:rFonts w:ascii="Arial" w:eastAsiaTheme="minorEastAsia" w:hAnsi="Arial" w:cs="Arial"/>
          <w:color w:val="333333"/>
          <w:shd w:val="clear" w:color="auto" w:fill="FFFFFF"/>
          <w:lang w:eastAsia="en-GB"/>
        </w:rPr>
        <w:t xml:space="preserve"> </w:t>
      </w:r>
      <w:r w:rsidRPr="001F41A9">
        <w:rPr>
          <w:rFonts w:ascii="Arial" w:eastAsia="Times New Roman" w:hAnsi="Arial" w:cs="Arial"/>
          <w:kern w:val="0"/>
          <w:lang w:eastAsia="en-GB"/>
          <w14:ligatures w14:val="none"/>
        </w:rPr>
        <w:t>(Accessed: 14 February 2026)</w:t>
      </w:r>
    </w:p>
    <w:p w14:paraId="2A83975B"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p>
    <w:p w14:paraId="155242F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Heikkinen, K.-M., Ahtiainen, R. and Fonsén, E. (2022) “Perspectives on Leadership in Early Childhood Education and Care Centres Through Community of Practice,” </w:t>
      </w:r>
      <w:r w:rsidRPr="001F41A9">
        <w:rPr>
          <w:rFonts w:ascii="Arial" w:eastAsia="Times New Roman" w:hAnsi="Arial" w:cs="Arial"/>
          <w:i/>
          <w:iCs/>
          <w:kern w:val="0"/>
          <w:lang w:eastAsia="en-GB"/>
          <w14:ligatures w14:val="none"/>
        </w:rPr>
        <w:t>SAGE open</w:t>
      </w:r>
      <w:r w:rsidRPr="001F41A9">
        <w:rPr>
          <w:rFonts w:ascii="Arial" w:eastAsia="Times New Roman" w:hAnsi="Arial" w:cs="Arial"/>
          <w:kern w:val="0"/>
          <w:lang w:eastAsia="en-GB"/>
          <w14:ligatures w14:val="none"/>
        </w:rPr>
        <w:t xml:space="preserve">, 12(2). Available at: </w:t>
      </w:r>
      <w:hyperlink r:id="rId56" w:history="1">
        <w:r w:rsidRPr="001F41A9">
          <w:rPr>
            <w:rFonts w:ascii="Arial" w:eastAsia="Times New Roman" w:hAnsi="Arial" w:cs="Arial"/>
            <w:color w:val="467886" w:themeColor="hyperlink"/>
            <w:kern w:val="0"/>
            <w:u w:val="single"/>
            <w:lang w:eastAsia="en-GB"/>
            <w14:ligatures w14:val="none"/>
          </w:rPr>
          <w:t>https://doi.org/10.1177/21582440221091260</w:t>
        </w:r>
      </w:hyperlink>
      <w:r w:rsidRPr="001F41A9">
        <w:rPr>
          <w:rFonts w:ascii="Arial" w:eastAsia="Times New Roman" w:hAnsi="Arial" w:cs="Arial"/>
          <w:kern w:val="0"/>
          <w:lang w:eastAsia="en-GB"/>
          <w14:ligatures w14:val="none"/>
        </w:rPr>
        <w:t>. (Accessed: 17 February 2026)</w:t>
      </w:r>
    </w:p>
    <w:p w14:paraId="62802AF2" w14:textId="0D75169F" w:rsidR="003D4153" w:rsidRPr="00EC19A8" w:rsidRDefault="00EC19A8" w:rsidP="00EC19A8">
      <w:pPr>
        <w:spacing w:before="100" w:beforeAutospacing="1" w:after="100" w:afterAutospacing="1" w:line="240" w:lineRule="auto"/>
        <w:rPr>
          <w:rFonts w:ascii="Arial" w:eastAsiaTheme="minorEastAsia" w:hAnsi="Arial" w:cs="Arial"/>
          <w:color w:val="EE0000"/>
          <w:kern w:val="0"/>
          <w:lang w:eastAsia="en-GB"/>
          <w14:ligatures w14:val="none"/>
        </w:rPr>
      </w:pPr>
      <w:r w:rsidRPr="00145D0E">
        <w:rPr>
          <w:rFonts w:ascii="Arial" w:eastAsia="Times New Roman" w:hAnsi="Arial" w:cs="Arial"/>
          <w:kern w:val="0"/>
          <w:lang w:eastAsia="en-GB"/>
          <w14:ligatures w14:val="none"/>
        </w:rPr>
        <w:t>Heikkinen, K.-M.</w:t>
      </w:r>
      <w:r>
        <w:rPr>
          <w:rFonts w:ascii="Arial" w:eastAsia="Times New Roman" w:hAnsi="Arial" w:cs="Arial"/>
          <w:kern w:val="0"/>
          <w:lang w:eastAsia="en-GB"/>
          <w14:ligatures w14:val="none"/>
        </w:rPr>
        <w:t xml:space="preserve">, </w:t>
      </w:r>
      <w:r w:rsidRPr="006A1217">
        <w:rPr>
          <w:rFonts w:ascii="Arial" w:hAnsi="Arial" w:cs="Arial"/>
          <w:color w:val="3A3A3A"/>
          <w:shd w:val="clear" w:color="auto" w:fill="FFFFFF"/>
        </w:rPr>
        <w:t>Ahtiainen, R., Fonsén, E., Kallioniemi, A.</w:t>
      </w:r>
      <w:r>
        <w:rPr>
          <w:rFonts w:ascii="Arial" w:eastAsiaTheme="minorEastAsia" w:hAnsi="Arial" w:cs="Arial"/>
          <w:color w:val="EE0000"/>
          <w:kern w:val="0"/>
          <w:lang w:eastAsia="en-GB"/>
          <w14:ligatures w14:val="none"/>
        </w:rPr>
        <w:t xml:space="preserve"> </w:t>
      </w:r>
      <w:r w:rsidRPr="00145D0E">
        <w:rPr>
          <w:rFonts w:ascii="Arial" w:eastAsia="Times New Roman" w:hAnsi="Arial" w:cs="Arial"/>
          <w:kern w:val="0"/>
          <w:lang w:eastAsia="en-GB"/>
          <w14:ligatures w14:val="none"/>
        </w:rPr>
        <w:t xml:space="preserve">(2024) “Leadership as a profession in early childhood education and care,” </w:t>
      </w:r>
      <w:r w:rsidRPr="00145D0E">
        <w:rPr>
          <w:rFonts w:ascii="Arial" w:eastAsia="Times New Roman" w:hAnsi="Arial" w:cs="Arial"/>
          <w:i/>
          <w:iCs/>
          <w:kern w:val="0"/>
          <w:lang w:eastAsia="en-GB"/>
          <w14:ligatures w14:val="none"/>
        </w:rPr>
        <w:t>Educational research (Windsor)</w:t>
      </w:r>
      <w:r w:rsidRPr="00145D0E">
        <w:rPr>
          <w:rFonts w:ascii="Arial" w:eastAsia="Times New Roman" w:hAnsi="Arial" w:cs="Arial"/>
          <w:kern w:val="0"/>
          <w:lang w:eastAsia="en-GB"/>
          <w14:ligatures w14:val="none"/>
        </w:rPr>
        <w:t xml:space="preserve">, 66(3), pp. 347–363. Available at: </w:t>
      </w:r>
      <w:hyperlink r:id="rId57" w:history="1">
        <w:r w:rsidRPr="00145D0E">
          <w:rPr>
            <w:rStyle w:val="Hyperlink"/>
            <w:rFonts w:ascii="Arial" w:eastAsia="Times New Roman" w:hAnsi="Arial" w:cs="Arial"/>
            <w:kern w:val="0"/>
            <w:lang w:eastAsia="en-GB"/>
            <w14:ligatures w14:val="none"/>
          </w:rPr>
          <w:t>https://doi.org/10.1080/00131881.2024.2371352</w:t>
        </w:r>
      </w:hyperlink>
      <w:r w:rsidRPr="00145D0E">
        <w:rPr>
          <w:rFonts w:ascii="Arial" w:eastAsia="Times New Roman" w:hAnsi="Arial" w:cs="Arial"/>
          <w:kern w:val="0"/>
          <w:lang w:eastAsia="en-GB"/>
          <w14:ligatures w14:val="none"/>
        </w:rPr>
        <w:t>.</w:t>
      </w:r>
      <w:r w:rsidRPr="00D62AA4">
        <w:rPr>
          <w:rFonts w:ascii="Arial" w:eastAsia="Times New Roman" w:hAnsi="Arial" w:cs="Arial"/>
          <w:kern w:val="0"/>
          <w:lang w:eastAsia="en-GB"/>
          <w14:ligatures w14:val="none"/>
        </w:rPr>
        <w:t xml:space="preserve"> </w:t>
      </w:r>
      <w:r w:rsidRPr="001F41A9">
        <w:rPr>
          <w:rFonts w:ascii="Arial" w:eastAsia="Times New Roman" w:hAnsi="Arial" w:cs="Arial"/>
          <w:kern w:val="0"/>
          <w:lang w:eastAsia="en-GB"/>
          <w14:ligatures w14:val="none"/>
        </w:rPr>
        <w:t xml:space="preserve"> (Accessed: </w:t>
      </w:r>
      <w:r>
        <w:rPr>
          <w:rFonts w:ascii="Arial" w:eastAsia="Times New Roman" w:hAnsi="Arial" w:cs="Arial"/>
          <w:kern w:val="0"/>
          <w:lang w:eastAsia="en-GB"/>
          <w14:ligatures w14:val="none"/>
        </w:rPr>
        <w:t>20</w:t>
      </w:r>
      <w:r w:rsidRPr="001F41A9">
        <w:rPr>
          <w:rFonts w:ascii="Arial" w:eastAsia="Times New Roman" w:hAnsi="Arial" w:cs="Arial"/>
          <w:kern w:val="0"/>
          <w:lang w:eastAsia="en-GB"/>
          <w14:ligatures w14:val="none"/>
        </w:rPr>
        <w:t xml:space="preserve"> February 2026)</w:t>
      </w:r>
    </w:p>
    <w:p w14:paraId="37DB3A85"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Hornby, G. and Blackwell, I. (2018) “Barriers to parental involvement in education: an update,” </w:t>
      </w:r>
      <w:r w:rsidRPr="001F41A9">
        <w:rPr>
          <w:rFonts w:ascii="Arial" w:eastAsia="Times New Roman" w:hAnsi="Arial" w:cs="Arial"/>
          <w:i/>
          <w:iCs/>
          <w:kern w:val="0"/>
          <w:lang w:eastAsia="en-GB"/>
          <w14:ligatures w14:val="none"/>
        </w:rPr>
        <w:t>Educational review (Birmingham)</w:t>
      </w:r>
      <w:r w:rsidRPr="001F41A9">
        <w:rPr>
          <w:rFonts w:ascii="Arial" w:eastAsia="Times New Roman" w:hAnsi="Arial" w:cs="Arial"/>
          <w:kern w:val="0"/>
          <w:lang w:eastAsia="en-GB"/>
          <w14:ligatures w14:val="none"/>
        </w:rPr>
        <w:t xml:space="preserve">, 70(1), pp. 109–119. Available at: </w:t>
      </w:r>
      <w:hyperlink r:id="rId58" w:history="1">
        <w:r w:rsidRPr="001F41A9">
          <w:rPr>
            <w:rFonts w:ascii="Arial" w:eastAsia="Times New Roman" w:hAnsi="Arial" w:cs="Arial"/>
            <w:color w:val="467886" w:themeColor="hyperlink"/>
            <w:kern w:val="0"/>
            <w:u w:val="single"/>
            <w:lang w:eastAsia="en-GB"/>
            <w14:ligatures w14:val="none"/>
          </w:rPr>
          <w:t>https://doi.org/10.1080/00131911.2018.1388612</w:t>
        </w:r>
      </w:hyperlink>
      <w:r w:rsidRPr="001F41A9">
        <w:rPr>
          <w:rFonts w:ascii="Arial" w:eastAsia="Times New Roman" w:hAnsi="Arial" w:cs="Arial"/>
          <w:kern w:val="0"/>
          <w:lang w:eastAsia="en-GB"/>
          <w14:ligatures w14:val="none"/>
        </w:rPr>
        <w:t>. (Accessed: 10 February 2026)</w:t>
      </w:r>
    </w:p>
    <w:p w14:paraId="7060E38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005520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72912A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lastRenderedPageBreak/>
        <w:t xml:space="preserve">Hornby, G. and Lafaele, R. (2011) “Barriers to parental involvement in education: an explanatory model,” </w:t>
      </w:r>
      <w:r w:rsidRPr="001F41A9">
        <w:rPr>
          <w:rFonts w:ascii="Arial" w:eastAsia="Times New Roman" w:hAnsi="Arial" w:cs="Arial"/>
          <w:i/>
          <w:iCs/>
          <w:kern w:val="0"/>
          <w:lang w:eastAsia="en-GB"/>
          <w14:ligatures w14:val="none"/>
        </w:rPr>
        <w:t>Educational review (Birmingham)</w:t>
      </w:r>
      <w:r w:rsidRPr="001F41A9">
        <w:rPr>
          <w:rFonts w:ascii="Arial" w:eastAsia="Times New Roman" w:hAnsi="Arial" w:cs="Arial"/>
          <w:kern w:val="0"/>
          <w:lang w:eastAsia="en-GB"/>
          <w14:ligatures w14:val="none"/>
        </w:rPr>
        <w:t xml:space="preserve">, 63(1), pp. 37–52. Available at: </w:t>
      </w:r>
      <w:hyperlink r:id="rId59" w:history="1">
        <w:r w:rsidRPr="001F41A9">
          <w:rPr>
            <w:rFonts w:ascii="Arial" w:eastAsia="Times New Roman" w:hAnsi="Arial" w:cs="Arial"/>
            <w:color w:val="467886" w:themeColor="hyperlink"/>
            <w:kern w:val="0"/>
            <w:u w:val="single"/>
            <w:lang w:eastAsia="en-GB"/>
            <w14:ligatures w14:val="none"/>
          </w:rPr>
          <w:t>https://doi.org/10.1080/00131911.2010.488049</w:t>
        </w:r>
      </w:hyperlink>
      <w:r w:rsidRPr="001F41A9">
        <w:rPr>
          <w:rFonts w:ascii="Arial" w:eastAsia="Times New Roman" w:hAnsi="Arial" w:cs="Arial"/>
          <w:kern w:val="0"/>
          <w:lang w:eastAsia="en-GB"/>
          <w14:ligatures w14:val="none"/>
        </w:rPr>
        <w:t>. (Accessed: 4 February 2026)</w:t>
      </w:r>
    </w:p>
    <w:p w14:paraId="7DBEC79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AFC148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3AC075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Hostettler Schärer, J. (2024) “Professionalization in early childhood education: how do educators craft their work?” </w:t>
      </w:r>
      <w:r w:rsidRPr="001F41A9">
        <w:rPr>
          <w:rFonts w:ascii="Arial" w:eastAsia="Times New Roman" w:hAnsi="Arial" w:cs="Arial"/>
          <w:i/>
          <w:iCs/>
          <w:kern w:val="0"/>
          <w:lang w:eastAsia="en-GB"/>
          <w14:ligatures w14:val="none"/>
        </w:rPr>
        <w:t>Early years (London, England)</w:t>
      </w:r>
      <w:r w:rsidRPr="001F41A9">
        <w:rPr>
          <w:rFonts w:ascii="Arial" w:eastAsia="Times New Roman" w:hAnsi="Arial" w:cs="Arial"/>
          <w:kern w:val="0"/>
          <w:lang w:eastAsia="en-GB"/>
          <w14:ligatures w14:val="none"/>
        </w:rPr>
        <w:t xml:space="preserve">, 44(3–4), pp. 511–524. Available at: </w:t>
      </w:r>
      <w:hyperlink r:id="rId60" w:history="1">
        <w:r w:rsidRPr="001F41A9">
          <w:rPr>
            <w:rFonts w:ascii="Arial" w:eastAsia="Times New Roman" w:hAnsi="Arial" w:cs="Arial"/>
            <w:color w:val="467886" w:themeColor="hyperlink"/>
            <w:kern w:val="0"/>
            <w:u w:val="single"/>
            <w:lang w:eastAsia="en-GB"/>
            <w14:ligatures w14:val="none"/>
          </w:rPr>
          <w:t>https://doi.org/10.1080/09575146.2023.2179023</w:t>
        </w:r>
      </w:hyperlink>
      <w:r w:rsidRPr="001F41A9">
        <w:rPr>
          <w:rFonts w:ascii="Arial" w:eastAsia="Times New Roman" w:hAnsi="Arial" w:cs="Arial"/>
          <w:kern w:val="0"/>
          <w:lang w:eastAsia="en-GB"/>
          <w14:ligatures w14:val="none"/>
        </w:rPr>
        <w:t xml:space="preserve">. </w:t>
      </w:r>
    </w:p>
    <w:p w14:paraId="09A3347C"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hyperlink r:id="rId61" w:anchor="an-integrated-approach-to-learning-and-teaching" w:history="1">
        <w:r w:rsidRPr="001F41A9">
          <w:rPr>
            <w:rFonts w:ascii="Arial" w:eastAsia="Times New Roman" w:hAnsi="Arial" w:cs="Arial"/>
            <w:color w:val="467886" w:themeColor="hyperlink"/>
            <w:spacing w:val="-6"/>
            <w:kern w:val="0"/>
            <w:u w:val="single"/>
            <w:lang w:eastAsia="en-GB"/>
            <w14:ligatures w14:val="none"/>
          </w:rPr>
          <w:t>https://hwb.gov.wales/curriculum-for-wales/introduction-to-curriculum-for-wales-guidance/#an-integrated-approach-to-learning-and-teaching</w:t>
        </w:r>
      </w:hyperlink>
      <w:r w:rsidRPr="001F41A9">
        <w:rPr>
          <w:rFonts w:ascii="Arial" w:eastAsia="Times New Roman" w:hAnsi="Arial" w:cs="Arial"/>
          <w:spacing w:val="-6"/>
          <w:kern w:val="0"/>
          <w:lang w:eastAsia="en-GB"/>
          <w14:ligatures w14:val="none"/>
        </w:rPr>
        <w:t xml:space="preserve"> (Accessed: 2 February 2026)</w:t>
      </w:r>
    </w:p>
    <w:p w14:paraId="5521274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3ECAB6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Jeanette Clarkin-Phillips and Margaret Carr (2018) “Leadership in ECE: A conversation with Professor Margaret Carr,” </w:t>
      </w:r>
      <w:r w:rsidRPr="001F41A9">
        <w:rPr>
          <w:rFonts w:ascii="Arial" w:eastAsia="Times New Roman" w:hAnsi="Arial" w:cs="Arial"/>
          <w:i/>
          <w:iCs/>
          <w:kern w:val="0"/>
          <w:lang w:eastAsia="en-GB"/>
          <w14:ligatures w14:val="none"/>
        </w:rPr>
        <w:t>Journal of educational leadership, policy and practice</w:t>
      </w:r>
      <w:r w:rsidRPr="001F41A9">
        <w:rPr>
          <w:rFonts w:ascii="Arial" w:eastAsia="Times New Roman" w:hAnsi="Arial" w:cs="Arial"/>
          <w:kern w:val="0"/>
          <w:lang w:eastAsia="en-GB"/>
          <w14:ligatures w14:val="none"/>
        </w:rPr>
        <w:t xml:space="preserve">, 33(1), pp. 82–85. Available at: </w:t>
      </w:r>
      <w:hyperlink r:id="rId62" w:history="1">
        <w:r w:rsidRPr="001F41A9">
          <w:rPr>
            <w:rFonts w:ascii="Arial" w:eastAsia="Times New Roman" w:hAnsi="Arial" w:cs="Arial"/>
            <w:color w:val="467886" w:themeColor="hyperlink"/>
            <w:kern w:val="0"/>
            <w:u w:val="single"/>
            <w:lang w:eastAsia="en-GB"/>
            <w14:ligatures w14:val="none"/>
          </w:rPr>
          <w:t>https://doi.org/10.21307/jelpp-2018-008</w:t>
        </w:r>
      </w:hyperlink>
      <w:r w:rsidRPr="001F41A9">
        <w:rPr>
          <w:rFonts w:ascii="Arial" w:eastAsia="Times New Roman" w:hAnsi="Arial" w:cs="Arial"/>
          <w:kern w:val="0"/>
          <w:lang w:eastAsia="en-GB"/>
          <w14:ligatures w14:val="none"/>
        </w:rPr>
        <w:t>. (Accessed: 15 February 2026)</w:t>
      </w:r>
    </w:p>
    <w:p w14:paraId="59787BB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E2FDC1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D1B8E24"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Jeffs, T. and Ord, J. (eds.) (2018) </w:t>
      </w:r>
      <w:r w:rsidRPr="001F41A9">
        <w:rPr>
          <w:rFonts w:ascii="Arial" w:eastAsia="Times New Roman" w:hAnsi="Arial" w:cs="Arial"/>
          <w:i/>
          <w:iCs/>
          <w:kern w:val="0"/>
          <w:lang w:eastAsia="en-GB"/>
          <w14:ligatures w14:val="none"/>
        </w:rPr>
        <w:t>Rethinking outdoor, experiential and informal education: beyond the confines</w:t>
      </w:r>
      <w:r w:rsidRPr="001F41A9">
        <w:rPr>
          <w:rFonts w:ascii="Arial" w:eastAsia="Times New Roman" w:hAnsi="Arial" w:cs="Arial"/>
          <w:kern w:val="0"/>
          <w:lang w:eastAsia="en-GB"/>
          <w14:ligatures w14:val="none"/>
        </w:rPr>
        <w:t>. Abingdon, Oxon: Routledge.</w:t>
      </w:r>
    </w:p>
    <w:p w14:paraId="7528B3A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580C67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Johnson, J. and Watts, A. (2018) </w:t>
      </w:r>
      <w:r w:rsidRPr="001F41A9">
        <w:rPr>
          <w:rFonts w:ascii="Arial" w:eastAsia="Times New Roman" w:hAnsi="Arial" w:cs="Arial"/>
          <w:i/>
          <w:iCs/>
          <w:kern w:val="0"/>
          <w:lang w:eastAsia="en-GB"/>
          <w14:ligatures w14:val="none"/>
        </w:rPr>
        <w:t>Developing creativity and curiosity outdoors: how to extend creative learning in the early years</w:t>
      </w:r>
      <w:r w:rsidRPr="001F41A9">
        <w:rPr>
          <w:rFonts w:ascii="Arial" w:eastAsia="Times New Roman" w:hAnsi="Arial" w:cs="Arial"/>
          <w:kern w:val="0"/>
          <w:lang w:eastAsia="en-GB"/>
          <w14:ligatures w14:val="none"/>
        </w:rPr>
        <w:t>. First edition. Boca Raton, FL: Routledge, an imprint of Taylor and Francis.</w:t>
      </w:r>
    </w:p>
    <w:p w14:paraId="284A911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FACA1E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Jordan, C. and Chawla, L. (2019) “A Coordinated Research Agenda for Nature-Based Learning,” </w:t>
      </w:r>
      <w:r w:rsidRPr="001F41A9">
        <w:rPr>
          <w:rFonts w:ascii="Arial" w:eastAsia="Times New Roman" w:hAnsi="Arial" w:cs="Arial"/>
          <w:i/>
          <w:iCs/>
          <w:kern w:val="0"/>
          <w:lang w:eastAsia="en-GB"/>
          <w14:ligatures w14:val="none"/>
        </w:rPr>
        <w:t>Frontiers in psychology</w:t>
      </w:r>
      <w:r w:rsidRPr="001F41A9">
        <w:rPr>
          <w:rFonts w:ascii="Arial" w:eastAsia="Times New Roman" w:hAnsi="Arial" w:cs="Arial"/>
          <w:kern w:val="0"/>
          <w:lang w:eastAsia="en-GB"/>
          <w14:ligatures w14:val="none"/>
        </w:rPr>
        <w:t xml:space="preserve">, 10, p. 766. Available at: </w:t>
      </w:r>
      <w:hyperlink r:id="rId63" w:history="1">
        <w:r w:rsidRPr="001F41A9">
          <w:rPr>
            <w:rFonts w:ascii="Arial" w:eastAsia="Times New Roman" w:hAnsi="Arial" w:cs="Arial"/>
            <w:color w:val="467886" w:themeColor="hyperlink"/>
            <w:kern w:val="0"/>
            <w:u w:val="single"/>
            <w:lang w:eastAsia="en-GB"/>
            <w14:ligatures w14:val="none"/>
          </w:rPr>
          <w:t>https://doi.org/10.3389/fpsyg.2019.00766</w:t>
        </w:r>
      </w:hyperlink>
      <w:r w:rsidRPr="001F41A9">
        <w:rPr>
          <w:rFonts w:ascii="Arial" w:eastAsia="Times New Roman" w:hAnsi="Arial" w:cs="Arial"/>
          <w:kern w:val="0"/>
          <w:lang w:eastAsia="en-GB"/>
          <w14:ligatures w14:val="none"/>
        </w:rPr>
        <w:t>. (Accessed: 3 February 2026)</w:t>
      </w:r>
    </w:p>
    <w:p w14:paraId="2CCBFB8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87C3C8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12A2D5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Jucker, R., Von Au, J. (2022) </w:t>
      </w:r>
      <w:r w:rsidRPr="001F41A9">
        <w:rPr>
          <w:rFonts w:ascii="Arial" w:eastAsia="Times New Roman" w:hAnsi="Arial" w:cs="Arial"/>
          <w:i/>
          <w:iCs/>
          <w:kern w:val="0"/>
          <w:lang w:eastAsia="en-GB"/>
          <w14:ligatures w14:val="none"/>
        </w:rPr>
        <w:t>High-Quality outdoor learning: evidence-based education outside the classroom for children, teachers and society</w:t>
      </w:r>
      <w:r w:rsidRPr="001F41A9">
        <w:rPr>
          <w:rFonts w:ascii="Arial" w:eastAsia="Times New Roman" w:hAnsi="Arial" w:cs="Arial"/>
          <w:kern w:val="0"/>
          <w:lang w:eastAsia="en-GB"/>
          <w14:ligatures w14:val="none"/>
        </w:rPr>
        <w:t>. Cham: Springer.</w:t>
      </w:r>
    </w:p>
    <w:p w14:paraId="0A1AC5A4"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01CE64A"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Kemp, N. and Josephidou, J. (2023) “Babies and toddlers outdoors: a narrative review of the literature on provision for under twos in ECEC settings,” </w:t>
      </w:r>
      <w:r w:rsidRPr="001F41A9">
        <w:rPr>
          <w:rFonts w:ascii="Arial" w:eastAsia="Times New Roman" w:hAnsi="Arial" w:cs="Arial"/>
          <w:i/>
          <w:iCs/>
          <w:kern w:val="0"/>
          <w:lang w:eastAsia="en-GB"/>
          <w14:ligatures w14:val="none"/>
        </w:rPr>
        <w:t>Early years (London, England)</w:t>
      </w:r>
      <w:r w:rsidRPr="001F41A9">
        <w:rPr>
          <w:rFonts w:ascii="Arial" w:eastAsia="Times New Roman" w:hAnsi="Arial" w:cs="Arial"/>
          <w:kern w:val="0"/>
          <w:lang w:eastAsia="en-GB"/>
          <w14:ligatures w14:val="none"/>
        </w:rPr>
        <w:t xml:space="preserve">, 43(1), pp. 137–150. Available at: </w:t>
      </w:r>
      <w:hyperlink r:id="rId64" w:history="1">
        <w:r w:rsidRPr="001F41A9">
          <w:rPr>
            <w:rFonts w:ascii="Arial" w:eastAsia="Times New Roman" w:hAnsi="Arial" w:cs="Arial"/>
            <w:color w:val="467886" w:themeColor="hyperlink"/>
            <w:kern w:val="0"/>
            <w:u w:val="single"/>
            <w:lang w:eastAsia="en-GB"/>
            <w14:ligatures w14:val="none"/>
          </w:rPr>
          <w:t>https://doi.org/10.1080/09575146.2021.1915962</w:t>
        </w:r>
      </w:hyperlink>
      <w:r w:rsidRPr="001F41A9">
        <w:rPr>
          <w:rFonts w:ascii="Arial" w:eastAsia="Times New Roman" w:hAnsi="Arial" w:cs="Arial"/>
          <w:kern w:val="0"/>
          <w:lang w:eastAsia="en-GB"/>
          <w14:ligatures w14:val="none"/>
        </w:rPr>
        <w:t>. (Accessed: 1 February 2026)</w:t>
      </w:r>
    </w:p>
    <w:p w14:paraId="2FBB8A3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8B11D1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B5EA6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Khine, M.S. (2024) </w:t>
      </w:r>
      <w:r w:rsidRPr="001F41A9">
        <w:rPr>
          <w:rFonts w:ascii="Arial" w:eastAsia="Times New Roman" w:hAnsi="Arial" w:cs="Arial"/>
          <w:i/>
          <w:iCs/>
          <w:kern w:val="0"/>
          <w:lang w:eastAsia="en-GB"/>
          <w14:ligatures w14:val="none"/>
        </w:rPr>
        <w:t>Effects of Learning Environments on Student Outcomes</w:t>
      </w:r>
      <w:r w:rsidRPr="001F41A9">
        <w:rPr>
          <w:rFonts w:ascii="Arial" w:eastAsia="Times New Roman" w:hAnsi="Arial" w:cs="Arial"/>
          <w:kern w:val="0"/>
          <w:lang w:eastAsia="en-GB"/>
          <w14:ligatures w14:val="none"/>
        </w:rPr>
        <w:t xml:space="preserve">. MDPI - Multidisciplinary Digital Publishing Institute. Available at: </w:t>
      </w:r>
      <w:hyperlink r:id="rId65" w:history="1">
        <w:r w:rsidRPr="001F41A9">
          <w:rPr>
            <w:rFonts w:ascii="Arial" w:eastAsia="Times New Roman" w:hAnsi="Arial" w:cs="Arial"/>
            <w:color w:val="467886" w:themeColor="hyperlink"/>
            <w:kern w:val="0"/>
            <w:u w:val="single"/>
            <w:lang w:eastAsia="en-GB"/>
            <w14:ligatures w14:val="none"/>
          </w:rPr>
          <w:t>https://doi.org/10.3390/books978-3-7258-1608-8</w:t>
        </w:r>
      </w:hyperlink>
      <w:r w:rsidRPr="001F41A9">
        <w:rPr>
          <w:rFonts w:ascii="Arial" w:eastAsia="Times New Roman" w:hAnsi="Arial" w:cs="Arial"/>
          <w:kern w:val="0"/>
          <w:lang w:eastAsia="en-GB"/>
          <w14:ligatures w14:val="none"/>
        </w:rPr>
        <w:t>. (Accessed: 15 February 2026)</w:t>
      </w:r>
    </w:p>
    <w:p w14:paraId="56EE2C3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A23EA3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EDC1EF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King, H. </w:t>
      </w:r>
      <w:r w:rsidRPr="001F41A9">
        <w:rPr>
          <w:rFonts w:ascii="Arial" w:eastAsia="Times New Roman" w:hAnsi="Arial" w:cs="Arial"/>
          <w:i/>
          <w:iCs/>
          <w:kern w:val="0"/>
          <w:lang w:eastAsia="en-GB"/>
          <w14:ligatures w14:val="none"/>
        </w:rPr>
        <w:t>et al.</w:t>
      </w:r>
      <w:r w:rsidRPr="001F41A9">
        <w:rPr>
          <w:rFonts w:ascii="Arial" w:eastAsia="Times New Roman" w:hAnsi="Arial" w:cs="Arial"/>
          <w:kern w:val="0"/>
          <w:lang w:eastAsia="en-GB"/>
          <w14:ligatures w14:val="none"/>
        </w:rPr>
        <w:t xml:space="preserve"> (2024) “Re-imagining child-nature relationships in ecotourism: children’s conservation awareness through nature play and nature-based learning,” </w:t>
      </w:r>
      <w:r w:rsidRPr="001F41A9">
        <w:rPr>
          <w:rFonts w:ascii="Arial" w:eastAsia="Times New Roman" w:hAnsi="Arial" w:cs="Arial"/>
          <w:i/>
          <w:iCs/>
          <w:kern w:val="0"/>
          <w:lang w:eastAsia="en-GB"/>
          <w14:ligatures w14:val="none"/>
        </w:rPr>
        <w:t>Children’s geographies</w:t>
      </w:r>
      <w:r w:rsidRPr="001F41A9">
        <w:rPr>
          <w:rFonts w:ascii="Arial" w:eastAsia="Times New Roman" w:hAnsi="Arial" w:cs="Arial"/>
          <w:kern w:val="0"/>
          <w:lang w:eastAsia="en-GB"/>
          <w14:ligatures w14:val="none"/>
        </w:rPr>
        <w:t xml:space="preserve">, 22(4), pp. 497–512. Available at: </w:t>
      </w:r>
      <w:hyperlink r:id="rId66" w:history="1">
        <w:r w:rsidRPr="001F41A9">
          <w:rPr>
            <w:rFonts w:ascii="Arial" w:eastAsia="Times New Roman" w:hAnsi="Arial" w:cs="Arial"/>
            <w:color w:val="467886" w:themeColor="hyperlink"/>
            <w:kern w:val="0"/>
            <w:u w:val="single"/>
            <w:lang w:eastAsia="en-GB"/>
            <w14:ligatures w14:val="none"/>
          </w:rPr>
          <w:t>https://doi.org/10.1080/14733285.2024.2308008</w:t>
        </w:r>
      </w:hyperlink>
      <w:r w:rsidRPr="001F41A9">
        <w:rPr>
          <w:rFonts w:ascii="Arial" w:eastAsia="Times New Roman" w:hAnsi="Arial" w:cs="Arial"/>
          <w:kern w:val="0"/>
          <w:lang w:eastAsia="en-GB"/>
          <w14:ligatures w14:val="none"/>
        </w:rPr>
        <w:t>. (Accessed: 10 February 2026)</w:t>
      </w:r>
    </w:p>
    <w:p w14:paraId="7D9C8FF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A4B02D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AB7E5EB" w14:textId="046109EC" w:rsidR="001F41A9" w:rsidRPr="00D84560" w:rsidRDefault="001F41A9" w:rsidP="001F41A9">
      <w:pPr>
        <w:spacing w:after="0" w:line="240" w:lineRule="auto"/>
        <w:rPr>
          <w:rFonts w:ascii="Arial" w:eastAsia="Times New Roman" w:hAnsi="Arial" w:cs="Arial"/>
          <w:color w:val="EE0000"/>
          <w:kern w:val="0"/>
          <w:lang w:eastAsia="en-GB"/>
          <w14:ligatures w14:val="none"/>
        </w:rPr>
      </w:pPr>
      <w:r w:rsidRPr="001F41A9">
        <w:rPr>
          <w:rFonts w:ascii="Arial" w:eastAsia="Times New Roman" w:hAnsi="Arial" w:cs="Arial"/>
          <w:kern w:val="0"/>
          <w:lang w:eastAsia="en-GB"/>
          <w14:ligatures w14:val="none"/>
        </w:rPr>
        <w:lastRenderedPageBreak/>
        <w:t>Kiviranta, L.</w:t>
      </w:r>
      <w:r w:rsidR="00D84560">
        <w:rPr>
          <w:rFonts w:ascii="Arial" w:eastAsia="Times New Roman" w:hAnsi="Arial" w:cs="Arial"/>
          <w:kern w:val="0"/>
          <w:lang w:eastAsia="en-GB"/>
          <w14:ligatures w14:val="none"/>
        </w:rPr>
        <w:t>,</w:t>
      </w:r>
      <w:r w:rsidR="00D84560" w:rsidRPr="00D84560">
        <w:rPr>
          <w:rFonts w:ascii="Source Sans Pro" w:hAnsi="Source Sans Pro"/>
          <w:color w:val="EE0000"/>
          <w:sz w:val="23"/>
          <w:szCs w:val="23"/>
          <w:shd w:val="clear" w:color="auto" w:fill="FFFFFF"/>
        </w:rPr>
        <w:t xml:space="preserve"> </w:t>
      </w:r>
      <w:r w:rsidR="00D84560" w:rsidRPr="00D84560">
        <w:rPr>
          <w:rFonts w:ascii="Arial" w:hAnsi="Arial" w:cs="Arial"/>
          <w:shd w:val="clear" w:color="auto" w:fill="FFFFFF"/>
        </w:rPr>
        <w:t>Lindfors, E., Rönkkö, M.-L., Luukka, E.</w:t>
      </w:r>
      <w:r w:rsidR="00D84560">
        <w:rPr>
          <w:rFonts w:ascii="Arial" w:eastAsia="Times New Roman" w:hAnsi="Arial" w:cs="Arial"/>
          <w:color w:val="EE0000"/>
          <w:kern w:val="0"/>
          <w:lang w:eastAsia="en-GB"/>
          <w14:ligatures w14:val="none"/>
        </w:rPr>
        <w:t xml:space="preserve"> </w:t>
      </w:r>
      <w:r w:rsidRPr="001F41A9">
        <w:rPr>
          <w:rFonts w:ascii="Arial" w:eastAsia="Times New Roman" w:hAnsi="Arial" w:cs="Arial"/>
          <w:kern w:val="0"/>
          <w:lang w:eastAsia="en-GB"/>
          <w14:ligatures w14:val="none"/>
        </w:rPr>
        <w:t xml:space="preserve">(2024) “Outdoor learning in early childhood education: exploring benefits and challenges,” </w:t>
      </w:r>
      <w:r w:rsidRPr="001F41A9">
        <w:rPr>
          <w:rFonts w:ascii="Arial" w:eastAsia="Times New Roman" w:hAnsi="Arial" w:cs="Arial"/>
          <w:i/>
          <w:iCs/>
          <w:kern w:val="0"/>
          <w:lang w:eastAsia="en-GB"/>
          <w14:ligatures w14:val="none"/>
        </w:rPr>
        <w:t>Educational research (Windsor)</w:t>
      </w:r>
      <w:r w:rsidRPr="001F41A9">
        <w:rPr>
          <w:rFonts w:ascii="Arial" w:eastAsia="Times New Roman" w:hAnsi="Arial" w:cs="Arial"/>
          <w:kern w:val="0"/>
          <w:lang w:eastAsia="en-GB"/>
          <w14:ligatures w14:val="none"/>
        </w:rPr>
        <w:t xml:space="preserve">. Abingdon: Routledge, pp. 102–119. Available at: </w:t>
      </w:r>
      <w:hyperlink r:id="rId67" w:history="1">
        <w:r w:rsidRPr="001F41A9">
          <w:rPr>
            <w:rFonts w:ascii="Arial" w:eastAsia="Times New Roman" w:hAnsi="Arial" w:cs="Arial"/>
            <w:color w:val="467886" w:themeColor="hyperlink"/>
            <w:kern w:val="0"/>
            <w:u w:val="single"/>
            <w:lang w:eastAsia="en-GB"/>
            <w14:ligatures w14:val="none"/>
          </w:rPr>
          <w:t>https://doi.org/10.1080/00131881.2023.2285762</w:t>
        </w:r>
      </w:hyperlink>
      <w:r w:rsidRPr="001F41A9">
        <w:rPr>
          <w:rFonts w:ascii="Arial" w:eastAsia="Times New Roman" w:hAnsi="Arial" w:cs="Arial"/>
          <w:kern w:val="0"/>
          <w:lang w:eastAsia="en-GB"/>
          <w14:ligatures w14:val="none"/>
        </w:rPr>
        <w:t>. (Accessed: 14 February 2026)</w:t>
      </w:r>
    </w:p>
    <w:p w14:paraId="40E8E366" w14:textId="77777777" w:rsidR="00E05504" w:rsidRPr="00E05504" w:rsidRDefault="00E05504" w:rsidP="001F41A9">
      <w:pPr>
        <w:spacing w:after="0" w:line="240" w:lineRule="auto"/>
        <w:rPr>
          <w:rFonts w:ascii="Arial" w:eastAsia="Times New Roman" w:hAnsi="Arial" w:cs="Arial"/>
          <w:color w:val="EE0000"/>
          <w:kern w:val="0"/>
          <w:lang w:eastAsia="en-GB"/>
          <w14:ligatures w14:val="none"/>
        </w:rPr>
      </w:pPr>
    </w:p>
    <w:p w14:paraId="6BFC21B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2A55B6B"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CB0E2B9" w14:textId="3825729D" w:rsidR="001F41A9" w:rsidRPr="007347D0" w:rsidRDefault="001F41A9" w:rsidP="001F41A9">
      <w:pPr>
        <w:spacing w:after="0" w:line="240" w:lineRule="auto"/>
        <w:rPr>
          <w:rFonts w:ascii="Arial" w:eastAsia="Times New Roman" w:hAnsi="Arial" w:cs="Arial"/>
          <w:color w:val="EE0000"/>
          <w:kern w:val="0"/>
          <w:lang w:eastAsia="en-GB"/>
          <w14:ligatures w14:val="none"/>
        </w:rPr>
      </w:pPr>
      <w:r w:rsidRPr="001F41A9">
        <w:rPr>
          <w:rFonts w:ascii="Arial" w:eastAsia="Times New Roman" w:hAnsi="Arial" w:cs="Arial"/>
          <w:kern w:val="0"/>
          <w:lang w:eastAsia="en-GB"/>
          <w14:ligatures w14:val="none"/>
        </w:rPr>
        <w:t>Knight, C</w:t>
      </w:r>
      <w:r w:rsidRPr="007347D0">
        <w:rPr>
          <w:rFonts w:ascii="Arial" w:eastAsia="Times New Roman" w:hAnsi="Arial" w:cs="Arial"/>
          <w:kern w:val="0"/>
          <w:lang w:eastAsia="en-GB"/>
          <w14:ligatures w14:val="none"/>
        </w:rPr>
        <w:t>.</w:t>
      </w:r>
      <w:r w:rsidR="007347D0" w:rsidRPr="007347D0">
        <w:rPr>
          <w:rFonts w:ascii="Arial" w:eastAsia="Times New Roman" w:hAnsi="Arial" w:cs="Arial"/>
          <w:kern w:val="0"/>
          <w:lang w:eastAsia="en-GB"/>
          <w14:ligatures w14:val="none"/>
        </w:rPr>
        <w:t>, Conn</w:t>
      </w:r>
      <w:r w:rsidR="007347D0" w:rsidRPr="007347D0">
        <w:rPr>
          <w:rFonts w:ascii="Arial" w:hAnsi="Arial" w:cs="Arial"/>
          <w:shd w:val="clear" w:color="auto" w:fill="FFFFFF"/>
        </w:rPr>
        <w:t>, C., Crick, T., Brooks, S.</w:t>
      </w:r>
      <w:r w:rsidR="007347D0">
        <w:rPr>
          <w:rFonts w:ascii="Arial" w:eastAsia="Times New Roman" w:hAnsi="Arial" w:cs="Arial"/>
          <w:color w:val="EE0000"/>
          <w:kern w:val="0"/>
          <w:lang w:eastAsia="en-GB"/>
          <w14:ligatures w14:val="none"/>
        </w:rPr>
        <w:t xml:space="preserve"> </w:t>
      </w:r>
      <w:r w:rsidRPr="001F41A9">
        <w:rPr>
          <w:rFonts w:ascii="Arial" w:eastAsia="Times New Roman" w:hAnsi="Arial" w:cs="Arial"/>
          <w:kern w:val="0"/>
          <w:lang w:eastAsia="en-GB"/>
          <w14:ligatures w14:val="none"/>
        </w:rPr>
        <w:t xml:space="preserve">(2025) “Divergences in the framing of inclusive education across the UK: a four nations critical policy analysis,” </w:t>
      </w:r>
      <w:r w:rsidRPr="001F41A9">
        <w:rPr>
          <w:rFonts w:ascii="Arial" w:eastAsia="Times New Roman" w:hAnsi="Arial" w:cs="Arial"/>
          <w:i/>
          <w:iCs/>
          <w:kern w:val="0"/>
          <w:lang w:eastAsia="en-GB"/>
          <w14:ligatures w14:val="none"/>
        </w:rPr>
        <w:t>Educational review (Birmingham)</w:t>
      </w:r>
      <w:r w:rsidRPr="001F41A9">
        <w:rPr>
          <w:rFonts w:ascii="Arial" w:eastAsia="Times New Roman" w:hAnsi="Arial" w:cs="Arial"/>
          <w:kern w:val="0"/>
          <w:lang w:eastAsia="en-GB"/>
          <w14:ligatures w14:val="none"/>
        </w:rPr>
        <w:t xml:space="preserve">, 77(2), pp. 495–511. Available at: </w:t>
      </w:r>
      <w:hyperlink r:id="rId68" w:history="1">
        <w:r w:rsidRPr="001F41A9">
          <w:rPr>
            <w:rFonts w:ascii="Arial" w:eastAsia="Times New Roman" w:hAnsi="Arial" w:cs="Arial"/>
            <w:color w:val="467886" w:themeColor="hyperlink"/>
            <w:kern w:val="0"/>
            <w:u w:val="single"/>
            <w:lang w:eastAsia="en-GB"/>
            <w14:ligatures w14:val="none"/>
          </w:rPr>
          <w:t>https://doi.org/10.1080/00131911.2023.2222235</w:t>
        </w:r>
      </w:hyperlink>
      <w:r w:rsidRPr="001F41A9">
        <w:rPr>
          <w:rFonts w:ascii="Arial" w:eastAsia="Times New Roman" w:hAnsi="Arial" w:cs="Arial"/>
          <w:kern w:val="0"/>
          <w:lang w:eastAsia="en-GB"/>
          <w14:ligatures w14:val="none"/>
        </w:rPr>
        <w:t>. (Accessed: 18 February 2026)</w:t>
      </w:r>
    </w:p>
    <w:p w14:paraId="08F6BEA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CFCF8A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FDB7B9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Knight, S. (2011) </w:t>
      </w:r>
      <w:r w:rsidRPr="001F41A9">
        <w:rPr>
          <w:rFonts w:ascii="Arial" w:eastAsia="Times New Roman" w:hAnsi="Arial" w:cs="Arial"/>
          <w:i/>
          <w:iCs/>
          <w:kern w:val="0"/>
          <w:lang w:eastAsia="en-GB"/>
          <w14:ligatures w14:val="none"/>
        </w:rPr>
        <w:t>Risk and adventure in early years outdoor play: learning from forest schools</w:t>
      </w:r>
      <w:r w:rsidRPr="001F41A9">
        <w:rPr>
          <w:rFonts w:ascii="Arial" w:eastAsia="Times New Roman" w:hAnsi="Arial" w:cs="Arial"/>
          <w:kern w:val="0"/>
          <w:lang w:eastAsia="en-GB"/>
          <w14:ligatures w14:val="none"/>
        </w:rPr>
        <w:t>. London: SAGE.</w:t>
      </w:r>
    </w:p>
    <w:p w14:paraId="72219C7B"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E7D1D3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Knight, S. (2016) </w:t>
      </w:r>
      <w:r w:rsidRPr="001F41A9">
        <w:rPr>
          <w:rFonts w:ascii="Arial" w:eastAsia="Times New Roman" w:hAnsi="Arial" w:cs="Arial"/>
          <w:i/>
          <w:iCs/>
          <w:kern w:val="0"/>
          <w:lang w:eastAsia="en-GB"/>
          <w14:ligatures w14:val="none"/>
        </w:rPr>
        <w:t>Forest School in practice: for all ages</w:t>
      </w:r>
      <w:r w:rsidRPr="001F41A9">
        <w:rPr>
          <w:rFonts w:ascii="Arial" w:eastAsia="Times New Roman" w:hAnsi="Arial" w:cs="Arial"/>
          <w:kern w:val="0"/>
          <w:lang w:eastAsia="en-GB"/>
          <w14:ligatures w14:val="none"/>
        </w:rPr>
        <w:t>. First edition. London: SAGE Publications Ltd.</w:t>
      </w:r>
    </w:p>
    <w:p w14:paraId="70D6644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BD1D274" w14:textId="59730127" w:rsidR="001F41A9" w:rsidRPr="009338F8" w:rsidRDefault="001F41A9" w:rsidP="001F41A9">
      <w:pPr>
        <w:spacing w:after="0" w:line="240" w:lineRule="auto"/>
        <w:rPr>
          <w:rFonts w:ascii="Arial" w:eastAsia="Times New Roman" w:hAnsi="Arial" w:cs="Arial"/>
          <w:color w:val="EE0000"/>
          <w:kern w:val="0"/>
          <w:lang w:eastAsia="en-GB"/>
          <w14:ligatures w14:val="none"/>
        </w:rPr>
      </w:pPr>
      <w:r w:rsidRPr="001F41A9">
        <w:rPr>
          <w:rFonts w:ascii="Arial" w:eastAsia="Times New Roman" w:hAnsi="Arial" w:cs="Arial"/>
          <w:kern w:val="0"/>
          <w:lang w:eastAsia="en-GB"/>
          <w14:ligatures w14:val="none"/>
        </w:rPr>
        <w:t>Knight, S.</w:t>
      </w:r>
      <w:r w:rsidR="009338F8">
        <w:rPr>
          <w:rFonts w:ascii="Arial" w:eastAsia="Times New Roman" w:hAnsi="Arial" w:cs="Arial"/>
          <w:kern w:val="0"/>
          <w:lang w:eastAsia="en-GB"/>
          <w14:ligatures w14:val="none"/>
        </w:rPr>
        <w:t>,</w:t>
      </w:r>
      <w:r w:rsidR="009338F8" w:rsidRPr="009338F8">
        <w:rPr>
          <w:rFonts w:ascii="Source Sans Pro" w:hAnsi="Source Sans Pro"/>
          <w:color w:val="EE0000"/>
          <w:sz w:val="23"/>
          <w:szCs w:val="23"/>
          <w:shd w:val="clear" w:color="auto" w:fill="FFFFFF"/>
        </w:rPr>
        <w:t xml:space="preserve"> </w:t>
      </w:r>
      <w:r w:rsidR="009338F8" w:rsidRPr="009338F8">
        <w:rPr>
          <w:rFonts w:ascii="Arial" w:hAnsi="Arial" w:cs="Arial"/>
          <w:shd w:val="clear" w:color="auto" w:fill="FFFFFF"/>
        </w:rPr>
        <w:t>Coates, J. K., Lathlean, J., Perez</w:t>
      </w:r>
      <w:r w:rsidR="009338F8" w:rsidRPr="009338F8">
        <w:rPr>
          <w:rFonts w:ascii="Cambria Math" w:hAnsi="Cambria Math" w:cs="Cambria Math"/>
          <w:shd w:val="clear" w:color="auto" w:fill="FFFFFF"/>
        </w:rPr>
        <w:t>‐</w:t>
      </w:r>
      <w:r w:rsidR="009338F8" w:rsidRPr="009338F8">
        <w:rPr>
          <w:rFonts w:ascii="Arial" w:hAnsi="Arial" w:cs="Arial"/>
          <w:shd w:val="clear" w:color="auto" w:fill="FFFFFF"/>
        </w:rPr>
        <w:t>del</w:t>
      </w:r>
      <w:r w:rsidR="009338F8" w:rsidRPr="009338F8">
        <w:rPr>
          <w:rFonts w:ascii="Cambria Math" w:hAnsi="Cambria Math" w:cs="Cambria Math"/>
          <w:shd w:val="clear" w:color="auto" w:fill="FFFFFF"/>
        </w:rPr>
        <w:t>‐</w:t>
      </w:r>
      <w:r w:rsidR="009338F8" w:rsidRPr="009338F8">
        <w:rPr>
          <w:rFonts w:ascii="Arial" w:hAnsi="Arial" w:cs="Arial"/>
          <w:shd w:val="clear" w:color="auto" w:fill="FFFFFF"/>
        </w:rPr>
        <w:t>Aguila, R.</w:t>
      </w:r>
      <w:r w:rsidR="009338F8">
        <w:rPr>
          <w:rFonts w:ascii="Arial" w:eastAsia="Times New Roman" w:hAnsi="Arial" w:cs="Arial"/>
          <w:color w:val="EE0000"/>
          <w:kern w:val="0"/>
          <w:lang w:eastAsia="en-GB"/>
          <w14:ligatures w14:val="none"/>
        </w:rPr>
        <w:t xml:space="preserve"> </w:t>
      </w:r>
      <w:r w:rsidRPr="001F41A9">
        <w:rPr>
          <w:rFonts w:ascii="Arial" w:eastAsia="Times New Roman" w:hAnsi="Arial" w:cs="Arial"/>
          <w:kern w:val="0"/>
          <w:lang w:eastAsia="en-GB"/>
          <w14:ligatures w14:val="none"/>
        </w:rPr>
        <w:t xml:space="preserve">(2024) “The development of an interdisciplinary theoretical framework for Forest School in the United Kingdom,” </w:t>
      </w:r>
      <w:r w:rsidRPr="001F41A9">
        <w:rPr>
          <w:rFonts w:ascii="Arial" w:eastAsia="Times New Roman" w:hAnsi="Arial" w:cs="Arial"/>
          <w:i/>
          <w:iCs/>
          <w:kern w:val="0"/>
          <w:lang w:eastAsia="en-GB"/>
          <w14:ligatures w14:val="none"/>
        </w:rPr>
        <w:t>British educational research journal</w:t>
      </w:r>
      <w:r w:rsidRPr="001F41A9">
        <w:rPr>
          <w:rFonts w:ascii="Arial" w:eastAsia="Times New Roman" w:hAnsi="Arial" w:cs="Arial"/>
          <w:kern w:val="0"/>
          <w:lang w:eastAsia="en-GB"/>
          <w14:ligatures w14:val="none"/>
        </w:rPr>
        <w:t xml:space="preserve">, 50(2), pp. 905–922. Available at: </w:t>
      </w:r>
      <w:hyperlink r:id="rId69" w:history="1">
        <w:r w:rsidRPr="001F41A9">
          <w:rPr>
            <w:rFonts w:ascii="Arial" w:eastAsia="Times New Roman" w:hAnsi="Arial" w:cs="Arial"/>
            <w:color w:val="467886" w:themeColor="hyperlink"/>
            <w:kern w:val="0"/>
            <w:u w:val="single"/>
            <w:lang w:eastAsia="en-GB"/>
            <w14:ligatures w14:val="none"/>
          </w:rPr>
          <w:t>https://doi.org/10.1002/berj.3953</w:t>
        </w:r>
      </w:hyperlink>
      <w:r w:rsidRPr="001F41A9">
        <w:rPr>
          <w:rFonts w:ascii="Arial" w:eastAsia="Times New Roman" w:hAnsi="Arial" w:cs="Arial"/>
          <w:kern w:val="0"/>
          <w:lang w:eastAsia="en-GB"/>
          <w14:ligatures w14:val="none"/>
        </w:rPr>
        <w:t>. (Accessed: 16 February 2026)</w:t>
      </w:r>
    </w:p>
    <w:p w14:paraId="38A137BE" w14:textId="77777777" w:rsidR="00E068AB" w:rsidRPr="00E068AB" w:rsidRDefault="00E068AB" w:rsidP="001F41A9">
      <w:pPr>
        <w:spacing w:after="0" w:line="240" w:lineRule="auto"/>
        <w:rPr>
          <w:rFonts w:ascii="Arial" w:eastAsia="Times New Roman" w:hAnsi="Arial" w:cs="Arial"/>
          <w:color w:val="EE0000"/>
          <w:kern w:val="0"/>
          <w:lang w:eastAsia="en-GB"/>
          <w14:ligatures w14:val="none"/>
        </w:rPr>
      </w:pPr>
    </w:p>
    <w:p w14:paraId="6B83A44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4410BA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Lee, J.-G. (2019). </w:t>
      </w:r>
      <w:r w:rsidRPr="001F41A9">
        <w:rPr>
          <w:rFonts w:ascii="Arial" w:eastAsia="Times New Roman" w:hAnsi="Arial" w:cs="Arial"/>
          <w:i/>
          <w:iCs/>
          <w:kern w:val="0"/>
          <w:lang w:eastAsia="en-GB"/>
          <w14:ligatures w14:val="none"/>
        </w:rPr>
        <w:t>A Study on the Learning Experience of Young Children in Educational Activities Utilizing the Imagination</w:t>
      </w:r>
      <w:r w:rsidRPr="001F41A9">
        <w:rPr>
          <w:rFonts w:ascii="Arial" w:eastAsia="Times New Roman" w:hAnsi="Arial" w:cs="Arial"/>
          <w:kern w:val="0"/>
          <w:lang w:eastAsia="en-GB"/>
          <w14:ligatures w14:val="none"/>
        </w:rPr>
        <w:t xml:space="preserve">. </w:t>
      </w:r>
      <w:r w:rsidRPr="001F41A9">
        <w:rPr>
          <w:rFonts w:ascii="Arial" w:eastAsia="Times New Roman" w:hAnsi="Arial" w:cs="Arial"/>
          <w:i/>
          <w:iCs/>
          <w:kern w:val="0"/>
          <w:lang w:eastAsia="en-GB"/>
          <w14:ligatures w14:val="none"/>
        </w:rPr>
        <w:t>29</w:t>
      </w:r>
      <w:r w:rsidRPr="001F41A9">
        <w:rPr>
          <w:rFonts w:ascii="Arial" w:eastAsia="Times New Roman" w:hAnsi="Arial" w:cs="Arial"/>
          <w:kern w:val="0"/>
          <w:lang w:eastAsia="en-GB"/>
          <w14:ligatures w14:val="none"/>
        </w:rPr>
        <w:t xml:space="preserve">(4), 475–505. </w:t>
      </w:r>
      <w:hyperlink r:id="rId70" w:history="1">
        <w:r w:rsidRPr="001F41A9">
          <w:rPr>
            <w:rFonts w:ascii="Arial" w:eastAsia="Times New Roman" w:hAnsi="Arial" w:cs="Arial"/>
            <w:color w:val="467886" w:themeColor="hyperlink"/>
            <w:kern w:val="0"/>
            <w:u w:val="single"/>
            <w:lang w:eastAsia="en-GB"/>
            <w14:ligatures w14:val="none"/>
          </w:rPr>
          <w:t>https://doi.org/10.21024/PNUEDI.29.4.201912.475</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17 February 2026)</w:t>
      </w:r>
    </w:p>
    <w:p w14:paraId="3E6A09B9" w14:textId="77777777" w:rsidR="001F41A9" w:rsidRPr="001F41A9" w:rsidRDefault="001F41A9" w:rsidP="001F41A9">
      <w:pPr>
        <w:spacing w:before="100" w:beforeAutospacing="1" w:after="100" w:afterAutospacing="1" w:line="240" w:lineRule="auto"/>
        <w:rPr>
          <w:rFonts w:ascii="Arial" w:eastAsiaTheme="minorEastAsia" w:hAnsi="Arial" w:cs="Arial"/>
          <w:color w:val="EE0000"/>
          <w:kern w:val="0"/>
          <w:lang w:eastAsia="en-GB"/>
          <w14:ligatures w14:val="none"/>
        </w:rPr>
      </w:pPr>
    </w:p>
    <w:p w14:paraId="0503CD2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Leggett, N. (2024) “Creativity in early childhood: how educators from Australia and Italy are documenting the creative thought processes of young children,” </w:t>
      </w:r>
      <w:r w:rsidRPr="001F41A9">
        <w:rPr>
          <w:rFonts w:ascii="Arial" w:eastAsia="Times New Roman" w:hAnsi="Arial" w:cs="Arial"/>
          <w:i/>
          <w:iCs/>
          <w:kern w:val="0"/>
          <w:lang w:eastAsia="en-GB"/>
          <w14:ligatures w14:val="none"/>
        </w:rPr>
        <w:t>SN Social Sciences</w:t>
      </w:r>
      <w:r w:rsidRPr="001F41A9">
        <w:rPr>
          <w:rFonts w:ascii="Arial" w:eastAsia="Times New Roman" w:hAnsi="Arial" w:cs="Arial"/>
          <w:kern w:val="0"/>
          <w:lang w:eastAsia="en-GB"/>
          <w14:ligatures w14:val="none"/>
        </w:rPr>
        <w:t xml:space="preserve">, 4(3). Available at: </w:t>
      </w:r>
      <w:hyperlink r:id="rId71" w:history="1">
        <w:r w:rsidRPr="001F41A9">
          <w:rPr>
            <w:rFonts w:ascii="Arial" w:eastAsia="Times New Roman" w:hAnsi="Arial" w:cs="Arial"/>
            <w:color w:val="467886" w:themeColor="hyperlink"/>
            <w:kern w:val="0"/>
            <w:u w:val="single"/>
            <w:lang w:eastAsia="en-GB"/>
            <w14:ligatures w14:val="none"/>
          </w:rPr>
          <w:t>https://doi.org/10.1007/s43545-024-00873-1</w:t>
        </w:r>
      </w:hyperlink>
      <w:r w:rsidRPr="001F41A9">
        <w:rPr>
          <w:rFonts w:ascii="Arial" w:eastAsia="Times New Roman" w:hAnsi="Arial" w:cs="Arial"/>
          <w:kern w:val="0"/>
          <w:lang w:eastAsia="en-GB"/>
          <w14:ligatures w14:val="none"/>
        </w:rPr>
        <w:t>. (Accessed: 3 February 2026)</w:t>
      </w:r>
    </w:p>
    <w:p w14:paraId="7DE348C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3B4666F" w14:textId="50609622" w:rsidR="001F41A9" w:rsidRDefault="001F41A9" w:rsidP="003D4153">
      <w:pPr>
        <w:spacing w:after="0" w:line="240" w:lineRule="auto"/>
        <w:rPr>
          <w:rFonts w:ascii="Arial" w:eastAsia="Times New Roman" w:hAnsi="Arial" w:cs="Arial"/>
          <w:kern w:val="0"/>
          <w:lang w:eastAsia="en-GB"/>
          <w14:ligatures w14:val="none"/>
        </w:rPr>
      </w:pPr>
      <w:r w:rsidRPr="001F41A9">
        <w:rPr>
          <w:rFonts w:ascii="Arial" w:eastAsiaTheme="minorEastAsia" w:hAnsi="Arial" w:cs="Arial"/>
          <w:kern w:val="0"/>
          <w:lang w:eastAsia="en-GB"/>
          <w14:ligatures w14:val="none"/>
        </w:rPr>
        <w:t xml:space="preserve">Legislation. Government. UK (2015) Well- Being of Future Generations (Wales) Act 2015. Available at: </w:t>
      </w:r>
      <w:hyperlink r:id="rId72" w:history="1">
        <w:r w:rsidRPr="001F41A9">
          <w:rPr>
            <w:rFonts w:ascii="Arial" w:eastAsiaTheme="minorEastAsia" w:hAnsi="Arial" w:cs="Arial"/>
            <w:color w:val="0000FF"/>
            <w:u w:val="single"/>
            <w:lang w:eastAsia="en-GB"/>
          </w:rPr>
          <w:t>Well-being of Future Generations (Wales) Act 2015</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 February 2026)</w:t>
      </w:r>
    </w:p>
    <w:p w14:paraId="70A5879F" w14:textId="77777777" w:rsidR="003D4153" w:rsidRPr="003D4153" w:rsidRDefault="003D4153" w:rsidP="003D4153">
      <w:pPr>
        <w:spacing w:after="0" w:line="240" w:lineRule="auto"/>
        <w:rPr>
          <w:rFonts w:ascii="Arial" w:eastAsia="Times New Roman" w:hAnsi="Arial" w:cs="Arial"/>
          <w:kern w:val="0"/>
          <w:lang w:eastAsia="en-GB"/>
          <w14:ligatures w14:val="none"/>
        </w:rPr>
      </w:pPr>
    </w:p>
    <w:p w14:paraId="2ACA87F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Lewis, J. and West, A. (2017) “Early Childhood Education and Care in England under Austerity: Continuity or Change in Political Ideas, Policy Goals, Availability, Affordability and Quality in a Childcare Market?” </w:t>
      </w:r>
      <w:r w:rsidRPr="001F41A9">
        <w:rPr>
          <w:rFonts w:ascii="Arial" w:eastAsia="Times New Roman" w:hAnsi="Arial" w:cs="Arial"/>
          <w:i/>
          <w:iCs/>
          <w:kern w:val="0"/>
          <w:lang w:eastAsia="en-GB"/>
          <w14:ligatures w14:val="none"/>
        </w:rPr>
        <w:t>Journal of social policy</w:t>
      </w:r>
      <w:r w:rsidRPr="001F41A9">
        <w:rPr>
          <w:rFonts w:ascii="Arial" w:eastAsia="Times New Roman" w:hAnsi="Arial" w:cs="Arial"/>
          <w:kern w:val="0"/>
          <w:lang w:eastAsia="en-GB"/>
          <w14:ligatures w14:val="none"/>
        </w:rPr>
        <w:t xml:space="preserve">, 46(2), pp. 331–348. Available at: </w:t>
      </w:r>
      <w:hyperlink r:id="rId73" w:history="1">
        <w:r w:rsidRPr="001F41A9">
          <w:rPr>
            <w:rFonts w:ascii="Arial" w:eastAsia="Times New Roman" w:hAnsi="Arial" w:cs="Arial"/>
            <w:color w:val="467886" w:themeColor="hyperlink"/>
            <w:kern w:val="0"/>
            <w:u w:val="single"/>
            <w:lang w:eastAsia="en-GB"/>
            <w14:ligatures w14:val="none"/>
          </w:rPr>
          <w:t>https://doi.org/10.1017/S0047279416000647</w:t>
        </w:r>
      </w:hyperlink>
      <w:r w:rsidRPr="001F41A9">
        <w:rPr>
          <w:rFonts w:ascii="Arial" w:eastAsia="Times New Roman" w:hAnsi="Arial" w:cs="Arial"/>
          <w:kern w:val="0"/>
          <w:lang w:eastAsia="en-GB"/>
          <w14:ligatures w14:val="none"/>
        </w:rPr>
        <w:t>. (Accessed: 13 February 2026)</w:t>
      </w:r>
    </w:p>
    <w:p w14:paraId="36CFE2AE"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0380B0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10BA88A"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Lloyd-Reichling, E. (2019) “Reshaping and Reimagining Marketised Early Childhood Education and Care Systems.” Available at: </w:t>
      </w:r>
      <w:hyperlink r:id="rId74" w:history="1">
        <w:r w:rsidRPr="001F41A9">
          <w:rPr>
            <w:rFonts w:ascii="Arial" w:eastAsia="Times New Roman" w:hAnsi="Arial" w:cs="Arial"/>
            <w:color w:val="467886" w:themeColor="hyperlink"/>
            <w:kern w:val="0"/>
            <w:u w:val="single"/>
            <w:lang w:eastAsia="en-GB"/>
            <w14:ligatures w14:val="none"/>
          </w:rPr>
          <w:t>https://doi.org/10.3262/ZPB1901089</w:t>
        </w:r>
      </w:hyperlink>
      <w:r w:rsidRPr="001F41A9">
        <w:rPr>
          <w:rFonts w:ascii="Arial" w:eastAsia="Times New Roman" w:hAnsi="Arial" w:cs="Arial"/>
          <w:kern w:val="0"/>
          <w:lang w:eastAsia="en-GB"/>
          <w14:ligatures w14:val="none"/>
        </w:rPr>
        <w:t>. (Accessed: 14 February 2026)</w:t>
      </w:r>
    </w:p>
    <w:p w14:paraId="174D9B4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74B219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854E1D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Marie Garrau (2015) “Joan C. Tronto, Caring Democracy. Markets, Equality and Justice, New York, New York University Press, 2013, 228 p,” </w:t>
      </w:r>
      <w:r w:rsidRPr="001F41A9">
        <w:rPr>
          <w:rFonts w:ascii="Arial" w:eastAsia="Times New Roman" w:hAnsi="Arial" w:cs="Arial"/>
          <w:i/>
          <w:iCs/>
          <w:kern w:val="0"/>
          <w:lang w:eastAsia="en-GB"/>
          <w14:ligatures w14:val="none"/>
        </w:rPr>
        <w:t>Terrains/Théories</w:t>
      </w:r>
      <w:r w:rsidRPr="001F41A9">
        <w:rPr>
          <w:rFonts w:ascii="Arial" w:eastAsia="Times New Roman" w:hAnsi="Arial" w:cs="Arial"/>
          <w:kern w:val="0"/>
          <w:lang w:eastAsia="en-GB"/>
          <w14:ligatures w14:val="none"/>
        </w:rPr>
        <w:t xml:space="preserve">, 3. Available at: </w:t>
      </w:r>
      <w:hyperlink r:id="rId75" w:history="1">
        <w:r w:rsidRPr="001F41A9">
          <w:rPr>
            <w:rFonts w:ascii="Arial" w:eastAsia="Times New Roman" w:hAnsi="Arial" w:cs="Arial"/>
            <w:color w:val="467886" w:themeColor="hyperlink"/>
            <w:kern w:val="0"/>
            <w:u w:val="single"/>
            <w:lang w:eastAsia="en-GB"/>
            <w14:ligatures w14:val="none"/>
          </w:rPr>
          <w:t>https://doi.org/10.4000/teth.539</w:t>
        </w:r>
      </w:hyperlink>
      <w:r w:rsidRPr="001F41A9">
        <w:rPr>
          <w:rFonts w:ascii="Arial" w:eastAsia="Times New Roman" w:hAnsi="Arial" w:cs="Arial"/>
          <w:kern w:val="0"/>
          <w:lang w:eastAsia="en-GB"/>
          <w14:ligatures w14:val="none"/>
        </w:rPr>
        <w:t>. (Accessed: 11 February 2026)</w:t>
      </w:r>
    </w:p>
    <w:p w14:paraId="2B69E21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81310B4"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E749166" w14:textId="77777777" w:rsid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Marwa Elbaz (2023) “Place-Based Education: Community as a Multidisciplinary Learning Environment,” </w:t>
      </w:r>
      <w:r w:rsidRPr="001F41A9">
        <w:rPr>
          <w:rFonts w:ascii="Arial" w:eastAsia="Times New Roman" w:hAnsi="Arial" w:cs="Arial"/>
          <w:i/>
          <w:iCs/>
          <w:kern w:val="0"/>
          <w:lang w:eastAsia="en-GB"/>
          <w14:ligatures w14:val="none"/>
        </w:rPr>
        <w:t>Port Said Journal of Educational Research (Online)</w:t>
      </w:r>
      <w:r w:rsidRPr="001F41A9">
        <w:rPr>
          <w:rFonts w:ascii="Arial" w:eastAsia="Times New Roman" w:hAnsi="Arial" w:cs="Arial"/>
          <w:kern w:val="0"/>
          <w:lang w:eastAsia="en-GB"/>
          <w14:ligatures w14:val="none"/>
        </w:rPr>
        <w:t xml:space="preserve">, 2(1), pp. 59–74. Available at: </w:t>
      </w:r>
      <w:hyperlink r:id="rId76" w:history="1">
        <w:r w:rsidRPr="001F41A9">
          <w:rPr>
            <w:rFonts w:ascii="Arial" w:eastAsia="Times New Roman" w:hAnsi="Arial" w:cs="Arial"/>
            <w:color w:val="467886" w:themeColor="hyperlink"/>
            <w:kern w:val="0"/>
            <w:u w:val="single"/>
            <w:lang w:eastAsia="en-GB"/>
            <w14:ligatures w14:val="none"/>
          </w:rPr>
          <w:t>https://doi.org/10.21608/psjer.2023.178248.1009</w:t>
        </w:r>
      </w:hyperlink>
      <w:r w:rsidRPr="001F41A9">
        <w:rPr>
          <w:rFonts w:ascii="Arial" w:eastAsia="Times New Roman" w:hAnsi="Arial" w:cs="Arial"/>
          <w:kern w:val="0"/>
          <w:lang w:eastAsia="en-GB"/>
          <w14:ligatures w14:val="none"/>
        </w:rPr>
        <w:t>. (Accessed: 12 February 2026)</w:t>
      </w:r>
    </w:p>
    <w:p w14:paraId="116EA357" w14:textId="77777777" w:rsidR="002E5F62" w:rsidRDefault="002E5F62" w:rsidP="001F41A9">
      <w:pPr>
        <w:spacing w:after="0" w:line="240" w:lineRule="auto"/>
        <w:rPr>
          <w:rFonts w:ascii="Arial" w:eastAsia="Times New Roman" w:hAnsi="Arial" w:cs="Arial"/>
          <w:kern w:val="0"/>
          <w:lang w:eastAsia="en-GB"/>
          <w14:ligatures w14:val="none"/>
        </w:rPr>
      </w:pPr>
    </w:p>
    <w:p w14:paraId="40002310" w14:textId="77777777" w:rsidR="002E5F62" w:rsidRDefault="002E5F62" w:rsidP="001F41A9">
      <w:pPr>
        <w:spacing w:after="0" w:line="240" w:lineRule="auto"/>
        <w:rPr>
          <w:rFonts w:ascii="Arial" w:eastAsia="Times New Roman" w:hAnsi="Arial" w:cs="Arial"/>
          <w:kern w:val="0"/>
          <w:lang w:eastAsia="en-GB"/>
          <w14:ligatures w14:val="none"/>
        </w:rPr>
      </w:pPr>
    </w:p>
    <w:p w14:paraId="26BA9BD9" w14:textId="77777777" w:rsidR="002E5F62" w:rsidRDefault="002E5F62" w:rsidP="001F41A9">
      <w:pPr>
        <w:spacing w:after="0" w:line="240" w:lineRule="auto"/>
        <w:rPr>
          <w:rFonts w:ascii="Arial" w:eastAsia="Times New Roman" w:hAnsi="Arial" w:cs="Arial"/>
          <w:kern w:val="0"/>
          <w:lang w:eastAsia="en-GB"/>
          <w14:ligatures w14:val="none"/>
        </w:rPr>
      </w:pPr>
    </w:p>
    <w:p w14:paraId="0397AA10" w14:textId="77777777" w:rsidR="002E5F62" w:rsidRPr="001F41A9" w:rsidRDefault="002E5F62" w:rsidP="001F41A9">
      <w:pPr>
        <w:spacing w:after="0" w:line="240" w:lineRule="auto"/>
        <w:rPr>
          <w:rFonts w:ascii="Arial" w:eastAsia="Times New Roman" w:hAnsi="Arial" w:cs="Arial"/>
          <w:kern w:val="0"/>
          <w:lang w:eastAsia="en-GB"/>
          <w14:ligatures w14:val="none"/>
        </w:rPr>
      </w:pPr>
    </w:p>
    <w:p w14:paraId="48FABEE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679D33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AA8F37F"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heme="minorEastAsia" w:hAnsi="Arial" w:cs="Arial"/>
          <w:color w:val="222222"/>
          <w:shd w:val="clear" w:color="auto" w:fill="FFFFFF"/>
          <w:lang w:eastAsia="en-GB"/>
        </w:rPr>
        <w:t>Mathers, S., &amp; Ereky-Stevens, K. (2018). Quality of early childhood education and care for children under three: Sound foundations. </w:t>
      </w:r>
      <w:r w:rsidRPr="001F41A9">
        <w:rPr>
          <w:rFonts w:ascii="Arial" w:eastAsiaTheme="minorEastAsia" w:hAnsi="Arial" w:cs="Arial"/>
          <w:i/>
          <w:iCs/>
          <w:color w:val="222222"/>
          <w:shd w:val="clear" w:color="auto" w:fill="FFFFFF"/>
          <w:lang w:eastAsia="en-GB"/>
        </w:rPr>
        <w:t>SAGE handbook of early childhood policy</w:t>
      </w:r>
      <w:r w:rsidRPr="001F41A9">
        <w:rPr>
          <w:rFonts w:ascii="Arial" w:eastAsiaTheme="minorEastAsia" w:hAnsi="Arial" w:cs="Arial"/>
          <w:color w:val="222222"/>
          <w:shd w:val="clear" w:color="auto" w:fill="FFFFFF"/>
          <w:lang w:eastAsia="en-GB"/>
        </w:rPr>
        <w:t xml:space="preserve">, 504-521. Available at: </w:t>
      </w:r>
      <w:hyperlink r:id="rId77" w:history="1">
        <w:r w:rsidRPr="001F41A9">
          <w:rPr>
            <w:rFonts w:ascii="Arial" w:eastAsia="Times New Roman" w:hAnsi="Arial" w:cs="Arial"/>
            <w:color w:val="467886" w:themeColor="hyperlink"/>
            <w:kern w:val="0"/>
            <w:u w:val="single"/>
            <w:lang w:eastAsia="en-GB"/>
            <w14:ligatures w14:val="none"/>
          </w:rPr>
          <w:t>https://ora.ox.ac.uk/objects/uuid:80ebb78d-e09f-42af-a6f2145487318c62/download_file?file_format=pdf&amp;safe_filename=Quality%2Bof%2BEarly%2BChildhood%2BEducation%2Band%2BCare%2Bfor%2BChildren%2Bunder%2BThree%2BSound%2BFoundations.pdf&amp;type_of_work=Book+section</w:t>
        </w:r>
      </w:hyperlink>
      <w:r w:rsidRPr="001F41A9">
        <w:rPr>
          <w:rFonts w:ascii="Arial" w:eastAsia="Times New Roman" w:hAnsi="Arial" w:cs="Arial"/>
          <w:kern w:val="0"/>
          <w:lang w:eastAsia="en-GB"/>
          <w14:ligatures w14:val="none"/>
        </w:rPr>
        <w:t xml:space="preserve"> (Accessed: 9 February 2026)</w:t>
      </w:r>
    </w:p>
    <w:p w14:paraId="5E33443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EE237B8" w14:textId="77777777" w:rsidR="00052930" w:rsidRDefault="00052930" w:rsidP="001F41A9">
      <w:pPr>
        <w:spacing w:after="0" w:line="240" w:lineRule="auto"/>
        <w:rPr>
          <w:rFonts w:ascii="Arial" w:eastAsia="Times New Roman" w:hAnsi="Arial" w:cs="Arial"/>
          <w:color w:val="EE0000"/>
          <w:kern w:val="0"/>
          <w:lang w:eastAsia="en-GB"/>
          <w14:ligatures w14:val="none"/>
        </w:rPr>
      </w:pPr>
    </w:p>
    <w:p w14:paraId="0AF6C749" w14:textId="764A132A" w:rsidR="00052930" w:rsidRPr="00052930" w:rsidRDefault="00052930" w:rsidP="00052930">
      <w:pPr>
        <w:spacing w:after="0" w:line="240" w:lineRule="auto"/>
        <w:rPr>
          <w:rFonts w:ascii="Arial" w:eastAsia="Times New Roman" w:hAnsi="Arial" w:cs="Arial"/>
          <w:kern w:val="0"/>
          <w:lang w:eastAsia="en-GB"/>
          <w14:ligatures w14:val="none"/>
        </w:rPr>
      </w:pPr>
      <w:r w:rsidRPr="00052930">
        <w:rPr>
          <w:rFonts w:ascii="Arial" w:eastAsia="Times New Roman" w:hAnsi="Arial" w:cs="Arial"/>
          <w:kern w:val="0"/>
          <w:lang w:eastAsia="en-GB"/>
          <w14:ligatures w14:val="none"/>
        </w:rPr>
        <w:t xml:space="preserve">Thill, M. (2025). Front Matter. In </w:t>
      </w:r>
      <w:r w:rsidRPr="00052930">
        <w:rPr>
          <w:rFonts w:ascii="Arial" w:eastAsia="Times New Roman" w:hAnsi="Arial" w:cs="Arial"/>
          <w:i/>
          <w:iCs/>
          <w:kern w:val="0"/>
          <w:lang w:eastAsia="en-GB"/>
          <w14:ligatures w14:val="none"/>
        </w:rPr>
        <w:t>The Power of Stories: Learning with the Most Significant Change Method</w:t>
      </w:r>
      <w:r w:rsidRPr="00052930">
        <w:rPr>
          <w:rFonts w:ascii="Arial" w:eastAsia="Times New Roman" w:hAnsi="Arial" w:cs="Arial"/>
          <w:kern w:val="0"/>
          <w:lang w:eastAsia="en-GB"/>
          <w14:ligatures w14:val="none"/>
        </w:rPr>
        <w:t xml:space="preserve">. </w:t>
      </w:r>
      <w:r w:rsidR="00FE07B4">
        <w:rPr>
          <w:rFonts w:ascii="Arial" w:eastAsia="Times New Roman" w:hAnsi="Arial" w:cs="Arial"/>
          <w:kern w:val="0"/>
          <w:lang w:eastAsia="en-GB"/>
          <w14:ligatures w14:val="none"/>
        </w:rPr>
        <w:t xml:space="preserve">Basel, </w:t>
      </w:r>
      <w:r w:rsidR="00CE45C1">
        <w:rPr>
          <w:rFonts w:ascii="Arial" w:eastAsia="Times New Roman" w:hAnsi="Arial" w:cs="Arial"/>
          <w:kern w:val="0"/>
          <w:lang w:eastAsia="en-GB"/>
          <w14:ligatures w14:val="none"/>
        </w:rPr>
        <w:t>Switzerland:</w:t>
      </w:r>
      <w:r w:rsidR="00CE45C1" w:rsidRPr="00052930">
        <w:rPr>
          <w:rFonts w:ascii="Arial" w:eastAsia="Times New Roman" w:hAnsi="Arial" w:cs="Arial"/>
          <w:kern w:val="0"/>
          <w:lang w:eastAsia="en-GB"/>
          <w14:ligatures w14:val="none"/>
        </w:rPr>
        <w:t xml:space="preserve"> Swisspeace</w:t>
      </w:r>
      <w:r w:rsidRPr="00052930">
        <w:rPr>
          <w:rFonts w:ascii="Arial" w:eastAsia="Times New Roman" w:hAnsi="Arial" w:cs="Arial"/>
          <w:kern w:val="0"/>
          <w:lang w:eastAsia="en-GB"/>
          <w14:ligatures w14:val="none"/>
        </w:rPr>
        <w:t>.</w:t>
      </w:r>
      <w:r w:rsidR="006443E5" w:rsidRPr="007E642A">
        <w:rPr>
          <w:rFonts w:ascii="Arial" w:eastAsia="Times New Roman" w:hAnsi="Arial" w:cs="Arial"/>
          <w:kern w:val="0"/>
          <w:lang w:eastAsia="en-GB"/>
          <w14:ligatures w14:val="none"/>
        </w:rPr>
        <w:t xml:space="preserve"> Available at:</w:t>
      </w:r>
      <w:r w:rsidRPr="00052930">
        <w:rPr>
          <w:rFonts w:ascii="Arial" w:eastAsia="Times New Roman" w:hAnsi="Arial" w:cs="Arial"/>
          <w:kern w:val="0"/>
          <w:lang w:eastAsia="en-GB"/>
          <w14:ligatures w14:val="none"/>
        </w:rPr>
        <w:t xml:space="preserve"> </w:t>
      </w:r>
      <w:hyperlink r:id="rId78" w:history="1">
        <w:r w:rsidR="006443E5" w:rsidRPr="00052930">
          <w:rPr>
            <w:rStyle w:val="Hyperlink"/>
            <w:rFonts w:ascii="Arial" w:eastAsia="Times New Roman" w:hAnsi="Arial" w:cs="Arial"/>
            <w:kern w:val="0"/>
            <w:lang w:eastAsia="en-GB"/>
            <w14:ligatures w14:val="none"/>
          </w:rPr>
          <w:t>http://www.jstor.org/stable/resrep73258.1</w:t>
        </w:r>
      </w:hyperlink>
      <w:r w:rsidR="006443E5" w:rsidRPr="007E642A">
        <w:rPr>
          <w:rFonts w:ascii="Arial" w:eastAsia="Times New Roman" w:hAnsi="Arial" w:cs="Arial"/>
          <w:kern w:val="0"/>
          <w:lang w:eastAsia="en-GB"/>
          <w14:ligatures w14:val="none"/>
        </w:rPr>
        <w:t xml:space="preserve"> </w:t>
      </w:r>
      <w:r w:rsidR="007E642A" w:rsidRPr="007E642A">
        <w:rPr>
          <w:rFonts w:ascii="Arial" w:eastAsia="Times New Roman" w:hAnsi="Arial" w:cs="Arial"/>
          <w:kern w:val="0"/>
          <w:lang w:eastAsia="en-GB"/>
          <w14:ligatures w14:val="none"/>
        </w:rPr>
        <w:t>(Accessed: 20 February 2026)</w:t>
      </w:r>
    </w:p>
    <w:p w14:paraId="754168CB" w14:textId="77777777" w:rsidR="00052930" w:rsidRDefault="00052930" w:rsidP="001F41A9">
      <w:pPr>
        <w:spacing w:after="0" w:line="240" w:lineRule="auto"/>
        <w:rPr>
          <w:rFonts w:ascii="Arial" w:eastAsia="Times New Roman" w:hAnsi="Arial" w:cs="Arial"/>
          <w:kern w:val="0"/>
          <w:lang w:eastAsia="en-GB"/>
          <w14:ligatures w14:val="none"/>
        </w:rPr>
      </w:pPr>
    </w:p>
    <w:p w14:paraId="01FBCE95" w14:textId="77777777" w:rsidR="00C452CA" w:rsidRPr="007E642A" w:rsidRDefault="00C452CA" w:rsidP="001F41A9">
      <w:pPr>
        <w:spacing w:after="0" w:line="240" w:lineRule="auto"/>
        <w:rPr>
          <w:rFonts w:ascii="Arial" w:eastAsia="Times New Roman" w:hAnsi="Arial" w:cs="Arial"/>
          <w:kern w:val="0"/>
          <w:lang w:eastAsia="en-GB"/>
          <w14:ligatures w14:val="none"/>
        </w:rPr>
      </w:pPr>
    </w:p>
    <w:p w14:paraId="4D4490A5" w14:textId="77777777" w:rsidR="001F41A9" w:rsidRPr="007E642A" w:rsidRDefault="001F41A9" w:rsidP="001F41A9">
      <w:pPr>
        <w:spacing w:after="0" w:line="240" w:lineRule="auto"/>
        <w:rPr>
          <w:rFonts w:ascii="Arial" w:eastAsia="Times New Roman" w:hAnsi="Arial" w:cs="Arial"/>
          <w:kern w:val="0"/>
          <w:lang w:eastAsia="en-GB"/>
          <w14:ligatures w14:val="none"/>
        </w:rPr>
      </w:pPr>
    </w:p>
    <w:p w14:paraId="5A6DF76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Moss, P. (2016) “Why can’t we get beyond quality?” </w:t>
      </w:r>
      <w:r w:rsidRPr="001F41A9">
        <w:rPr>
          <w:rFonts w:ascii="Arial" w:eastAsia="Times New Roman" w:hAnsi="Arial" w:cs="Arial"/>
          <w:i/>
          <w:iCs/>
          <w:kern w:val="0"/>
          <w:lang w:eastAsia="en-GB"/>
          <w14:ligatures w14:val="none"/>
        </w:rPr>
        <w:t>Contemporary issues in early childhood</w:t>
      </w:r>
      <w:r w:rsidRPr="001F41A9">
        <w:rPr>
          <w:rFonts w:ascii="Arial" w:eastAsia="Times New Roman" w:hAnsi="Arial" w:cs="Arial"/>
          <w:kern w:val="0"/>
          <w:lang w:eastAsia="en-GB"/>
          <w14:ligatures w14:val="none"/>
        </w:rPr>
        <w:t xml:space="preserve">, 17(1), pp. 8–15. Available at: </w:t>
      </w:r>
      <w:hyperlink r:id="rId79" w:history="1">
        <w:r w:rsidRPr="001F41A9">
          <w:rPr>
            <w:rFonts w:ascii="Arial" w:eastAsia="Times New Roman" w:hAnsi="Arial" w:cs="Arial"/>
            <w:color w:val="467886" w:themeColor="hyperlink"/>
            <w:kern w:val="0"/>
            <w:u w:val="single"/>
            <w:lang w:eastAsia="en-GB"/>
            <w14:ligatures w14:val="none"/>
          </w:rPr>
          <w:t>https://doi.org/10.1177/1463949115627895</w:t>
        </w:r>
      </w:hyperlink>
      <w:r w:rsidRPr="001F41A9">
        <w:rPr>
          <w:rFonts w:ascii="Arial" w:eastAsia="Times New Roman" w:hAnsi="Arial" w:cs="Arial"/>
          <w:kern w:val="0"/>
          <w:lang w:eastAsia="en-GB"/>
          <w14:ligatures w14:val="none"/>
        </w:rPr>
        <w:t>. (Accessed: 8 February 2026)</w:t>
      </w:r>
    </w:p>
    <w:p w14:paraId="47B95F7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D8F6C4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23903A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04D27A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Moss, P. (2019) </w:t>
      </w:r>
      <w:r w:rsidRPr="001F41A9">
        <w:rPr>
          <w:rFonts w:ascii="Arial" w:eastAsia="Times New Roman" w:hAnsi="Arial" w:cs="Arial"/>
          <w:i/>
          <w:iCs/>
          <w:kern w:val="0"/>
          <w:lang w:eastAsia="en-GB"/>
          <w14:ligatures w14:val="none"/>
        </w:rPr>
        <w:t>Alternative narratives in early childhood: an introduction for students and practitioners</w:t>
      </w:r>
      <w:r w:rsidRPr="001F41A9">
        <w:rPr>
          <w:rFonts w:ascii="Arial" w:eastAsia="Times New Roman" w:hAnsi="Arial" w:cs="Arial"/>
          <w:kern w:val="0"/>
          <w:lang w:eastAsia="en-GB"/>
          <w14:ligatures w14:val="none"/>
        </w:rPr>
        <w:t xml:space="preserve">. Abingdon, Oxon: Routledge. Available at: </w:t>
      </w:r>
      <w:hyperlink r:id="rId80" w:history="1">
        <w:r w:rsidRPr="001F41A9">
          <w:rPr>
            <w:rFonts w:ascii="Arial" w:eastAsia="Times New Roman" w:hAnsi="Arial" w:cs="Arial"/>
            <w:color w:val="467886" w:themeColor="hyperlink"/>
            <w:kern w:val="0"/>
            <w:u w:val="single"/>
            <w:lang w:eastAsia="en-GB"/>
            <w14:ligatures w14:val="none"/>
          </w:rPr>
          <w:t>http://search.ebscohost.com/login.aspx?direct=true&amp;scope=site&amp;db=nlebk&amp;db=nlabk&amp;AN=1780725</w:t>
        </w:r>
      </w:hyperlink>
      <w:r w:rsidRPr="001F41A9">
        <w:rPr>
          <w:rFonts w:ascii="Arial" w:eastAsia="Times New Roman" w:hAnsi="Arial" w:cs="Arial"/>
          <w:kern w:val="0"/>
          <w:lang w:eastAsia="en-GB"/>
          <w14:ligatures w14:val="none"/>
        </w:rPr>
        <w:t>. (Accessed: 3 February 2026)</w:t>
      </w:r>
    </w:p>
    <w:p w14:paraId="7AF72EB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7C84F1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A8FF88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Moss, P. and Roberts-Holmes, G. (2022) “Now is the time! Confronting neo-liberalism in early childhood,” </w:t>
      </w:r>
      <w:r w:rsidRPr="001F41A9">
        <w:rPr>
          <w:rFonts w:ascii="Arial" w:eastAsia="Times New Roman" w:hAnsi="Arial" w:cs="Arial"/>
          <w:i/>
          <w:iCs/>
          <w:kern w:val="0"/>
          <w:lang w:eastAsia="en-GB"/>
          <w14:ligatures w14:val="none"/>
        </w:rPr>
        <w:t>Contemporary issues in early childhood</w:t>
      </w:r>
      <w:r w:rsidRPr="001F41A9">
        <w:rPr>
          <w:rFonts w:ascii="Arial" w:eastAsia="Times New Roman" w:hAnsi="Arial" w:cs="Arial"/>
          <w:kern w:val="0"/>
          <w:lang w:eastAsia="en-GB"/>
          <w14:ligatures w14:val="none"/>
        </w:rPr>
        <w:t xml:space="preserve">, 23(1), pp. 96–99. Available at: </w:t>
      </w:r>
      <w:hyperlink r:id="rId81" w:history="1">
        <w:r w:rsidRPr="001F41A9">
          <w:rPr>
            <w:rFonts w:ascii="Arial" w:eastAsia="Times New Roman" w:hAnsi="Arial" w:cs="Arial"/>
            <w:color w:val="467886" w:themeColor="hyperlink"/>
            <w:kern w:val="0"/>
            <w:u w:val="single"/>
            <w:lang w:eastAsia="en-GB"/>
            <w14:ligatures w14:val="none"/>
          </w:rPr>
          <w:t>https://doi.org/10.1177/1463949121995917</w:t>
        </w:r>
      </w:hyperlink>
      <w:r w:rsidRPr="001F41A9">
        <w:rPr>
          <w:rFonts w:ascii="Arial" w:eastAsia="Times New Roman" w:hAnsi="Arial" w:cs="Arial"/>
          <w:kern w:val="0"/>
          <w:lang w:eastAsia="en-GB"/>
          <w14:ligatures w14:val="none"/>
        </w:rPr>
        <w:t>. (Accessed: 16 February 2026)</w:t>
      </w:r>
    </w:p>
    <w:p w14:paraId="603F448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634492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EE6544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lastRenderedPageBreak/>
        <w:t xml:space="preserve">Mphahlele, R.S.S. (2019) “Exploring the role of Malaguzzi’s ‘Hundred Languages of Children’ in early childhood education,” </w:t>
      </w:r>
      <w:r w:rsidRPr="001F41A9">
        <w:rPr>
          <w:rFonts w:ascii="Arial" w:eastAsia="Times New Roman" w:hAnsi="Arial" w:cs="Arial"/>
          <w:i/>
          <w:iCs/>
          <w:kern w:val="0"/>
          <w:lang w:eastAsia="en-GB"/>
          <w14:ligatures w14:val="none"/>
        </w:rPr>
        <w:t>South African journal of childhood education</w:t>
      </w:r>
      <w:r w:rsidRPr="001F41A9">
        <w:rPr>
          <w:rFonts w:ascii="Arial" w:eastAsia="Times New Roman" w:hAnsi="Arial" w:cs="Arial"/>
          <w:kern w:val="0"/>
          <w:lang w:eastAsia="en-GB"/>
          <w14:ligatures w14:val="none"/>
        </w:rPr>
        <w:t xml:space="preserve">, 9(1), pp. 1–10. Available at: </w:t>
      </w:r>
      <w:hyperlink r:id="rId82" w:history="1">
        <w:r w:rsidRPr="001F41A9">
          <w:rPr>
            <w:rFonts w:ascii="Arial" w:eastAsia="Times New Roman" w:hAnsi="Arial" w:cs="Arial"/>
            <w:color w:val="467886" w:themeColor="hyperlink"/>
            <w:kern w:val="0"/>
            <w:u w:val="single"/>
            <w:lang w:eastAsia="en-GB"/>
            <w14:ligatures w14:val="none"/>
          </w:rPr>
          <w:t>https://doi.org/10.4102/sajce.v9i1.757</w:t>
        </w:r>
      </w:hyperlink>
      <w:r w:rsidRPr="001F41A9">
        <w:rPr>
          <w:rFonts w:ascii="Arial" w:eastAsia="Times New Roman" w:hAnsi="Arial" w:cs="Arial"/>
          <w:kern w:val="0"/>
          <w:lang w:eastAsia="en-GB"/>
          <w14:ligatures w14:val="none"/>
        </w:rPr>
        <w:t>. (Accessed: 14 February 2026)</w:t>
      </w:r>
    </w:p>
    <w:p w14:paraId="753BE0CF" w14:textId="77777777" w:rsidR="001F41A9" w:rsidRDefault="001F41A9" w:rsidP="001F41A9">
      <w:pPr>
        <w:spacing w:after="0" w:line="240" w:lineRule="auto"/>
        <w:rPr>
          <w:rFonts w:ascii="Arial" w:eastAsia="Times New Roman" w:hAnsi="Arial" w:cs="Arial"/>
          <w:kern w:val="0"/>
          <w:lang w:eastAsia="en-GB"/>
          <w14:ligatures w14:val="none"/>
        </w:rPr>
      </w:pPr>
    </w:p>
    <w:p w14:paraId="4D9451BF" w14:textId="77777777" w:rsidR="000443A9" w:rsidRDefault="000443A9" w:rsidP="001F41A9">
      <w:pPr>
        <w:spacing w:after="0" w:line="240" w:lineRule="auto"/>
        <w:rPr>
          <w:rFonts w:ascii="Arial" w:eastAsia="Times New Roman" w:hAnsi="Arial" w:cs="Arial"/>
          <w:kern w:val="0"/>
          <w:lang w:eastAsia="en-GB"/>
          <w14:ligatures w14:val="none"/>
        </w:rPr>
      </w:pPr>
    </w:p>
    <w:p w14:paraId="7B963722" w14:textId="77777777" w:rsidR="000443A9" w:rsidRPr="001F41A9" w:rsidRDefault="000443A9" w:rsidP="001F41A9">
      <w:pPr>
        <w:spacing w:after="0" w:line="240" w:lineRule="auto"/>
        <w:rPr>
          <w:rFonts w:ascii="Arial" w:eastAsia="Times New Roman" w:hAnsi="Arial" w:cs="Arial"/>
          <w:kern w:val="0"/>
          <w:lang w:eastAsia="en-GB"/>
          <w14:ligatures w14:val="none"/>
        </w:rPr>
      </w:pPr>
    </w:p>
    <w:p w14:paraId="152C6E2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 </w:t>
      </w:r>
    </w:p>
    <w:p w14:paraId="648B42F5"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Murdock, D.E., Munsongo, K., and Nyamor, G. (2023) “Scaling the Moments That Matter® early childhood development model: how communities’ monitoring for change contributes to sustainable impact,” </w:t>
      </w:r>
      <w:r w:rsidRPr="001F41A9">
        <w:rPr>
          <w:rFonts w:ascii="Arial" w:eastAsia="Times New Roman" w:hAnsi="Arial" w:cs="Arial"/>
          <w:i/>
          <w:iCs/>
          <w:kern w:val="0"/>
          <w:lang w:eastAsia="en-GB"/>
          <w14:ligatures w14:val="none"/>
        </w:rPr>
        <w:t>Frontiers in public health</w:t>
      </w:r>
      <w:r w:rsidRPr="001F41A9">
        <w:rPr>
          <w:rFonts w:ascii="Arial" w:eastAsia="Times New Roman" w:hAnsi="Arial" w:cs="Arial"/>
          <w:kern w:val="0"/>
          <w:lang w:eastAsia="en-GB"/>
          <w14:ligatures w14:val="none"/>
        </w:rPr>
        <w:t xml:space="preserve">, 11. Available at: </w:t>
      </w:r>
      <w:hyperlink r:id="rId83" w:history="1">
        <w:r w:rsidRPr="001F41A9">
          <w:rPr>
            <w:rFonts w:ascii="Arial" w:eastAsia="Times New Roman" w:hAnsi="Arial" w:cs="Arial"/>
            <w:color w:val="467886" w:themeColor="hyperlink"/>
            <w:kern w:val="0"/>
            <w:u w:val="single"/>
            <w:lang w:eastAsia="en-GB"/>
            <w14:ligatures w14:val="none"/>
          </w:rPr>
          <w:t>https://doi.org/10.3389/fpubh.2023.1165991</w:t>
        </w:r>
      </w:hyperlink>
      <w:r w:rsidRPr="001F41A9">
        <w:rPr>
          <w:rFonts w:ascii="Arial" w:eastAsia="Times New Roman" w:hAnsi="Arial" w:cs="Arial"/>
          <w:kern w:val="0"/>
          <w:lang w:eastAsia="en-GB"/>
          <w14:ligatures w14:val="none"/>
        </w:rPr>
        <w:t>. (Accessed: 4 February 2026)</w:t>
      </w:r>
    </w:p>
    <w:p w14:paraId="4D949AF4"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909565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Murphy, A. and Waters-Davies, J. (2022) </w:t>
      </w:r>
      <w:r w:rsidRPr="001F41A9">
        <w:rPr>
          <w:rFonts w:ascii="Arial" w:eastAsia="Times New Roman" w:hAnsi="Arial" w:cs="Arial"/>
          <w:i/>
          <w:iCs/>
          <w:kern w:val="0"/>
          <w:lang w:eastAsia="en-GB"/>
          <w14:ligatures w14:val="none"/>
        </w:rPr>
        <w:t>The Children’s Rights Approach to Early Childhood Education: Policy and Context in Wales</w:t>
      </w:r>
      <w:r w:rsidRPr="001F41A9">
        <w:rPr>
          <w:rFonts w:ascii="Arial" w:eastAsia="Times New Roman" w:hAnsi="Arial" w:cs="Arial"/>
          <w:kern w:val="0"/>
          <w:lang w:eastAsia="en-GB"/>
          <w14:ligatures w14:val="none"/>
        </w:rPr>
        <w:t>. Taylor &amp; Francis.</w:t>
      </w:r>
    </w:p>
    <w:p w14:paraId="5641F6F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BAC0D6A"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Murray, J. (2015) “Early childhood pedagogies: spaces for young children to flourish,” </w:t>
      </w:r>
      <w:r w:rsidRPr="001F41A9">
        <w:rPr>
          <w:rFonts w:ascii="Arial" w:eastAsia="Times New Roman" w:hAnsi="Arial" w:cs="Arial"/>
          <w:i/>
          <w:iCs/>
          <w:kern w:val="0"/>
          <w:lang w:eastAsia="en-GB"/>
          <w14:ligatures w14:val="none"/>
        </w:rPr>
        <w:t>Early child development and care</w:t>
      </w:r>
      <w:r w:rsidRPr="001F41A9">
        <w:rPr>
          <w:rFonts w:ascii="Arial" w:eastAsia="Times New Roman" w:hAnsi="Arial" w:cs="Arial"/>
          <w:kern w:val="0"/>
          <w:lang w:eastAsia="en-GB"/>
          <w14:ligatures w14:val="none"/>
        </w:rPr>
        <w:t xml:space="preserve">, 185(11–12), pp. 1715–1732. Available at: </w:t>
      </w:r>
      <w:hyperlink r:id="rId84" w:history="1">
        <w:r w:rsidRPr="001F41A9">
          <w:rPr>
            <w:rFonts w:ascii="Arial" w:eastAsia="Times New Roman" w:hAnsi="Arial" w:cs="Arial"/>
            <w:color w:val="467886" w:themeColor="hyperlink"/>
            <w:kern w:val="0"/>
            <w:u w:val="single"/>
            <w:lang w:eastAsia="en-GB"/>
            <w14:ligatures w14:val="none"/>
          </w:rPr>
          <w:t>https://doi.org/10.1080/03004430.2015.1029245</w:t>
        </w:r>
      </w:hyperlink>
      <w:r w:rsidRPr="001F41A9">
        <w:rPr>
          <w:rFonts w:ascii="Arial" w:eastAsia="Times New Roman" w:hAnsi="Arial" w:cs="Arial"/>
          <w:kern w:val="0"/>
          <w:lang w:eastAsia="en-GB"/>
          <w14:ligatures w14:val="none"/>
        </w:rPr>
        <w:t>. (Accessed: 30 January 2026)</w:t>
      </w:r>
    </w:p>
    <w:p w14:paraId="528B716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68B0991" w14:textId="77777777" w:rsidR="001F41A9" w:rsidRDefault="001F41A9" w:rsidP="00A52D5C">
      <w:pPr>
        <w:spacing w:after="0" w:line="240" w:lineRule="auto"/>
        <w:rPr>
          <w:rFonts w:ascii="Arial" w:eastAsia="Times New Roman" w:hAnsi="Arial" w:cs="Arial"/>
          <w:kern w:val="0"/>
          <w:lang w:eastAsia="en-GB"/>
          <w14:ligatures w14:val="none"/>
        </w:rPr>
      </w:pPr>
      <w:r w:rsidRPr="00A52D5C">
        <w:rPr>
          <w:rFonts w:ascii="Arial" w:eastAsia="Times New Roman" w:hAnsi="Arial" w:cs="Arial"/>
          <w:kern w:val="0"/>
          <w:lang w:eastAsia="en-GB"/>
          <w14:ligatures w14:val="none"/>
        </w:rPr>
        <w:t xml:space="preserve">Mustapa, N.D., Maliki, N.Z., Aziz, N.F. and Hamzah, A., </w:t>
      </w:r>
      <w:r w:rsidR="00A52D5C" w:rsidRPr="00A52D5C">
        <w:rPr>
          <w:rFonts w:ascii="Arial" w:eastAsia="Times New Roman" w:hAnsi="Arial" w:cs="Arial"/>
          <w:kern w:val="0"/>
          <w:lang w:eastAsia="en-GB"/>
          <w14:ligatures w14:val="none"/>
        </w:rPr>
        <w:t>(</w:t>
      </w:r>
      <w:r w:rsidRPr="00A52D5C">
        <w:rPr>
          <w:rFonts w:ascii="Arial" w:eastAsia="Times New Roman" w:hAnsi="Arial" w:cs="Arial"/>
          <w:kern w:val="0"/>
          <w:lang w:eastAsia="en-GB"/>
          <w14:ligatures w14:val="none"/>
        </w:rPr>
        <w:t>2019</w:t>
      </w:r>
      <w:r w:rsidR="00A52D5C" w:rsidRPr="00A52D5C">
        <w:rPr>
          <w:rFonts w:ascii="Arial" w:eastAsia="Times New Roman" w:hAnsi="Arial" w:cs="Arial"/>
          <w:kern w:val="0"/>
          <w:lang w:eastAsia="en-GB"/>
          <w14:ligatures w14:val="none"/>
        </w:rPr>
        <w:t>)</w:t>
      </w:r>
      <w:r w:rsidRPr="00A52D5C">
        <w:rPr>
          <w:rFonts w:ascii="Arial" w:eastAsia="Times New Roman" w:hAnsi="Arial" w:cs="Arial"/>
          <w:kern w:val="0"/>
          <w:lang w:eastAsia="en-GB"/>
          <w14:ligatures w14:val="none"/>
        </w:rPr>
        <w:t>. Children’s direct and indirect experiences with nature and their connectedness to nature. </w:t>
      </w:r>
      <w:r w:rsidRPr="00A52D5C">
        <w:rPr>
          <w:rFonts w:ascii="Arial" w:eastAsia="Times New Roman" w:hAnsi="Arial" w:cs="Arial"/>
          <w:i/>
          <w:iCs/>
          <w:kern w:val="0"/>
          <w:lang w:eastAsia="en-GB"/>
          <w14:ligatures w14:val="none"/>
        </w:rPr>
        <w:t>Planning Malaysia</w:t>
      </w:r>
      <w:r w:rsidRPr="00A52D5C">
        <w:rPr>
          <w:rFonts w:ascii="Arial" w:eastAsia="Times New Roman" w:hAnsi="Arial" w:cs="Arial"/>
          <w:kern w:val="0"/>
          <w:lang w:eastAsia="en-GB"/>
          <w14:ligatures w14:val="none"/>
        </w:rPr>
        <w:t>, </w:t>
      </w:r>
      <w:r w:rsidRPr="00A52D5C">
        <w:rPr>
          <w:rFonts w:ascii="Arial" w:eastAsia="Times New Roman" w:hAnsi="Arial" w:cs="Arial"/>
          <w:i/>
          <w:iCs/>
          <w:kern w:val="0"/>
          <w:lang w:eastAsia="en-GB"/>
          <w14:ligatures w14:val="none"/>
        </w:rPr>
        <w:t>17</w:t>
      </w:r>
      <w:r w:rsidRPr="00A52D5C">
        <w:rPr>
          <w:rFonts w:ascii="Arial" w:eastAsia="Times New Roman" w:hAnsi="Arial" w:cs="Arial"/>
          <w:kern w:val="0"/>
          <w:lang w:eastAsia="en-GB"/>
          <w14:ligatures w14:val="none"/>
        </w:rPr>
        <w:t>.</w:t>
      </w:r>
    </w:p>
    <w:p w14:paraId="26E7FEEC" w14:textId="77777777" w:rsidR="001F41A9" w:rsidRPr="00A52D5C" w:rsidRDefault="001F41A9" w:rsidP="00A52D5C">
      <w:pPr>
        <w:spacing w:after="0" w:line="240" w:lineRule="auto"/>
        <w:rPr>
          <w:rFonts w:ascii="Arial" w:eastAsia="Times New Roman" w:hAnsi="Arial" w:cs="Arial"/>
          <w:kern w:val="0"/>
          <w:lang w:eastAsia="en-GB"/>
          <w14:ligatures w14:val="none"/>
        </w:rPr>
      </w:pPr>
    </w:p>
    <w:p w14:paraId="10C9788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Nedovic, S., Fleer, M. and Rai, P. (2024) “Parent pedagogical positioning to create conditions for preschooler STEM learning using a Conceptual PlayWorld approach,” </w:t>
      </w:r>
      <w:r w:rsidRPr="001F41A9">
        <w:rPr>
          <w:rFonts w:ascii="Arial" w:eastAsia="Times New Roman" w:hAnsi="Arial" w:cs="Arial"/>
          <w:i/>
          <w:iCs/>
          <w:kern w:val="0"/>
          <w:lang w:eastAsia="en-GB"/>
          <w14:ligatures w14:val="none"/>
        </w:rPr>
        <w:t>Learning, culture and social interaction</w:t>
      </w:r>
      <w:r w:rsidRPr="001F41A9">
        <w:rPr>
          <w:rFonts w:ascii="Arial" w:eastAsia="Times New Roman" w:hAnsi="Arial" w:cs="Arial"/>
          <w:kern w:val="0"/>
          <w:lang w:eastAsia="en-GB"/>
          <w14:ligatures w14:val="none"/>
        </w:rPr>
        <w:t xml:space="preserve">, 48. Available at: </w:t>
      </w:r>
      <w:hyperlink r:id="rId85" w:history="1">
        <w:r w:rsidRPr="001F41A9">
          <w:rPr>
            <w:rFonts w:ascii="Arial" w:eastAsia="Times New Roman" w:hAnsi="Arial" w:cs="Arial"/>
            <w:color w:val="467886" w:themeColor="hyperlink"/>
            <w:kern w:val="0"/>
            <w:u w:val="single"/>
            <w:lang w:eastAsia="en-GB"/>
            <w14:ligatures w14:val="none"/>
          </w:rPr>
          <w:t>https://doi.org/10.1016/j.lcsi.2024.100853</w:t>
        </w:r>
      </w:hyperlink>
      <w:r w:rsidRPr="001F41A9">
        <w:rPr>
          <w:rFonts w:ascii="Arial" w:eastAsia="Times New Roman" w:hAnsi="Arial" w:cs="Arial"/>
          <w:kern w:val="0"/>
          <w:lang w:eastAsia="en-GB"/>
          <w14:ligatures w14:val="none"/>
        </w:rPr>
        <w:t>. (Accessed: 4 February 2026)</w:t>
      </w:r>
    </w:p>
    <w:p w14:paraId="1C22739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0B954C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0F71A5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Nuñez-Janes, M., Booker, A. and Thornburg, A. (2017) </w:t>
      </w:r>
      <w:r w:rsidRPr="001F41A9">
        <w:rPr>
          <w:rFonts w:ascii="Arial" w:eastAsia="Times New Roman" w:hAnsi="Arial" w:cs="Arial"/>
          <w:i/>
          <w:iCs/>
          <w:kern w:val="0"/>
          <w:lang w:eastAsia="en-GB"/>
          <w14:ligatures w14:val="none"/>
        </w:rPr>
        <w:t>Deep Stories: Practicing, Teaching, and Learning Anthropology with Digital Storytelling</w:t>
      </w:r>
      <w:r w:rsidRPr="001F41A9">
        <w:rPr>
          <w:rFonts w:ascii="Arial" w:eastAsia="Times New Roman" w:hAnsi="Arial" w:cs="Arial"/>
          <w:kern w:val="0"/>
          <w:lang w:eastAsia="en-GB"/>
          <w14:ligatures w14:val="none"/>
        </w:rPr>
        <w:t xml:space="preserve">. 1st ed. Warsaw: De Gruyter Open Poland. Available at: </w:t>
      </w:r>
      <w:hyperlink r:id="rId86" w:history="1">
        <w:r w:rsidRPr="001F41A9">
          <w:rPr>
            <w:rFonts w:ascii="Arial" w:eastAsia="Times New Roman" w:hAnsi="Arial" w:cs="Arial"/>
            <w:color w:val="467886" w:themeColor="hyperlink"/>
            <w:kern w:val="0"/>
            <w:u w:val="single"/>
            <w:lang w:eastAsia="en-GB"/>
            <w14:ligatures w14:val="none"/>
          </w:rPr>
          <w:t>https://doi.org/10.1515/9783110539356</w:t>
        </w:r>
      </w:hyperlink>
      <w:r w:rsidRPr="001F41A9">
        <w:rPr>
          <w:rFonts w:ascii="Arial" w:eastAsia="Times New Roman" w:hAnsi="Arial" w:cs="Arial"/>
          <w:kern w:val="0"/>
          <w:lang w:eastAsia="en-GB"/>
          <w14:ligatures w14:val="none"/>
        </w:rPr>
        <w:t>. (Accessed: 1 February 2026)</w:t>
      </w:r>
    </w:p>
    <w:p w14:paraId="72BB05D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BDB57A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8BE8000"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Nutbrown, C. (2005) </w:t>
      </w:r>
      <w:r w:rsidRPr="001F41A9">
        <w:rPr>
          <w:rFonts w:ascii="Arial" w:eastAsia="Times New Roman" w:hAnsi="Arial" w:cs="Arial"/>
          <w:i/>
          <w:iCs/>
          <w:kern w:val="0"/>
          <w:lang w:eastAsia="en-GB"/>
          <w14:ligatures w14:val="none"/>
        </w:rPr>
        <w:t>Key concepts in early childhood education and care</w:t>
      </w:r>
      <w:r w:rsidRPr="001F41A9">
        <w:rPr>
          <w:rFonts w:ascii="Arial" w:eastAsia="Times New Roman" w:hAnsi="Arial" w:cs="Arial"/>
          <w:kern w:val="0"/>
          <w:lang w:eastAsia="en-GB"/>
          <w14:ligatures w14:val="none"/>
        </w:rPr>
        <w:t xml:space="preserve">. 1st ed. London: SAGE. Available at: </w:t>
      </w:r>
      <w:hyperlink r:id="rId87" w:history="1">
        <w:r w:rsidRPr="001F41A9">
          <w:rPr>
            <w:rFonts w:ascii="Arial" w:eastAsia="Times New Roman" w:hAnsi="Arial" w:cs="Arial"/>
            <w:color w:val="467886" w:themeColor="hyperlink"/>
            <w:kern w:val="0"/>
            <w:u w:val="single"/>
            <w:lang w:eastAsia="en-GB"/>
            <w14:ligatures w14:val="none"/>
          </w:rPr>
          <w:t>https://doi.org/10.4135/9781446222386</w:t>
        </w:r>
      </w:hyperlink>
      <w:r w:rsidRPr="001F41A9">
        <w:rPr>
          <w:rFonts w:ascii="Arial" w:eastAsia="Times New Roman" w:hAnsi="Arial" w:cs="Arial"/>
          <w:kern w:val="0"/>
          <w:lang w:eastAsia="en-GB"/>
          <w14:ligatures w14:val="none"/>
        </w:rPr>
        <w:t>. (Accessed: 9 February 2026)</w:t>
      </w:r>
    </w:p>
    <w:p w14:paraId="3F417424"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11518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C71C10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Osgood, J. (2006) “Professionalism and performativity: the feminist challenge facing early years practitioners,” </w:t>
      </w:r>
      <w:r w:rsidRPr="001F41A9">
        <w:rPr>
          <w:rFonts w:ascii="Arial" w:eastAsia="Times New Roman" w:hAnsi="Arial" w:cs="Arial"/>
          <w:i/>
          <w:iCs/>
          <w:kern w:val="0"/>
          <w:lang w:eastAsia="en-GB"/>
          <w14:ligatures w14:val="none"/>
        </w:rPr>
        <w:t>Early years (London, England)</w:t>
      </w:r>
      <w:r w:rsidRPr="001F41A9">
        <w:rPr>
          <w:rFonts w:ascii="Arial" w:eastAsia="Times New Roman" w:hAnsi="Arial" w:cs="Arial"/>
          <w:kern w:val="0"/>
          <w:lang w:eastAsia="en-GB"/>
          <w14:ligatures w14:val="none"/>
        </w:rPr>
        <w:t xml:space="preserve">, 26(2), pp. 187–199. Available at: </w:t>
      </w:r>
      <w:hyperlink r:id="rId88" w:history="1">
        <w:r w:rsidRPr="001F41A9">
          <w:rPr>
            <w:rFonts w:ascii="Arial" w:eastAsia="Times New Roman" w:hAnsi="Arial" w:cs="Arial"/>
            <w:color w:val="467886" w:themeColor="hyperlink"/>
            <w:kern w:val="0"/>
            <w:u w:val="single"/>
            <w:lang w:eastAsia="en-GB"/>
            <w14:ligatures w14:val="none"/>
          </w:rPr>
          <w:t>https://doi.org/10.1080/09575140600759997</w:t>
        </w:r>
      </w:hyperlink>
      <w:r w:rsidRPr="001F41A9">
        <w:rPr>
          <w:rFonts w:ascii="Arial" w:eastAsia="Times New Roman" w:hAnsi="Arial" w:cs="Arial"/>
          <w:kern w:val="0"/>
          <w:lang w:eastAsia="en-GB"/>
          <w14:ligatures w14:val="none"/>
        </w:rPr>
        <w:t>. (Accessed: 8 February 2026)</w:t>
      </w:r>
    </w:p>
    <w:p w14:paraId="2307BFC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B54132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36F6FF2"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Ouvry, M. and Furtado, A. (2020) </w:t>
      </w:r>
      <w:r w:rsidRPr="001F41A9">
        <w:rPr>
          <w:rFonts w:ascii="Arial" w:eastAsia="Times New Roman" w:hAnsi="Arial" w:cs="Arial"/>
          <w:i/>
          <w:iCs/>
          <w:kern w:val="0"/>
          <w:lang w:eastAsia="en-GB"/>
          <w14:ligatures w14:val="none"/>
        </w:rPr>
        <w:t>Exercising muscles and minds: outdoor play and the early years curriculum</w:t>
      </w:r>
      <w:r w:rsidRPr="001F41A9">
        <w:rPr>
          <w:rFonts w:ascii="Arial" w:eastAsia="Times New Roman" w:hAnsi="Arial" w:cs="Arial"/>
          <w:kern w:val="0"/>
          <w:lang w:eastAsia="en-GB"/>
          <w14:ligatures w14:val="none"/>
        </w:rPr>
        <w:t>. Second edition. London, England: Jessica Kingsley Publishers.</w:t>
      </w:r>
    </w:p>
    <w:p w14:paraId="45267A5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0305D3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Pahnke, J., Oberthuer, J. and Henke, N. (2024) “Little Scientists, Big Impact: Transforming Early Education for a Better World,” </w:t>
      </w:r>
      <w:r w:rsidRPr="001F41A9">
        <w:rPr>
          <w:rFonts w:ascii="Arial" w:eastAsia="Times New Roman" w:hAnsi="Arial" w:cs="Arial"/>
          <w:i/>
          <w:iCs/>
          <w:kern w:val="0"/>
          <w:lang w:eastAsia="en-GB"/>
          <w14:ligatures w14:val="none"/>
        </w:rPr>
        <w:t>Childhood education</w:t>
      </w:r>
      <w:r w:rsidRPr="001F41A9">
        <w:rPr>
          <w:rFonts w:ascii="Arial" w:eastAsia="Times New Roman" w:hAnsi="Arial" w:cs="Arial"/>
          <w:kern w:val="0"/>
          <w:lang w:eastAsia="en-GB"/>
          <w14:ligatures w14:val="none"/>
        </w:rPr>
        <w:t xml:space="preserve">, 100(6), pp. 56–61. Available at: </w:t>
      </w:r>
      <w:hyperlink r:id="rId89" w:history="1">
        <w:r w:rsidRPr="001F41A9">
          <w:rPr>
            <w:rFonts w:ascii="Arial" w:eastAsia="Times New Roman" w:hAnsi="Arial" w:cs="Arial"/>
            <w:color w:val="467886" w:themeColor="hyperlink"/>
            <w:kern w:val="0"/>
            <w:u w:val="single"/>
            <w:lang w:eastAsia="en-GB"/>
            <w14:ligatures w14:val="none"/>
          </w:rPr>
          <w:t>https://doi.org/10.1080/00094056.2024.2425271</w:t>
        </w:r>
      </w:hyperlink>
      <w:r w:rsidRPr="001F41A9">
        <w:rPr>
          <w:rFonts w:ascii="Arial" w:eastAsia="Times New Roman" w:hAnsi="Arial" w:cs="Arial"/>
          <w:kern w:val="0"/>
          <w:lang w:eastAsia="en-GB"/>
          <w14:ligatures w14:val="none"/>
        </w:rPr>
        <w:t>. (Accessed: 7 February 2026)</w:t>
      </w:r>
    </w:p>
    <w:p w14:paraId="0A75836B"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93F516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D22925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Pascal, C. and Bertram, T. (2018) “Effective Early Learning: A Praxeological and Participatory Approach to Evaluating and improving Quality in Early Childhood Education,” </w:t>
      </w:r>
      <w:r w:rsidRPr="001F41A9">
        <w:rPr>
          <w:rFonts w:ascii="Arial" w:eastAsia="Times New Roman" w:hAnsi="Arial" w:cs="Arial"/>
          <w:i/>
          <w:iCs/>
          <w:kern w:val="0"/>
          <w:lang w:eastAsia="en-GB"/>
          <w14:ligatures w14:val="none"/>
        </w:rPr>
        <w:t>Revista da FAEEBA</w:t>
      </w:r>
      <w:r w:rsidRPr="001F41A9">
        <w:rPr>
          <w:rFonts w:ascii="Arial" w:eastAsia="Times New Roman" w:hAnsi="Arial" w:cs="Arial"/>
          <w:kern w:val="0"/>
          <w:lang w:eastAsia="en-GB"/>
          <w14:ligatures w14:val="none"/>
        </w:rPr>
        <w:t xml:space="preserve">, 27(51), pp. 105–120. Available at: </w:t>
      </w:r>
      <w:hyperlink r:id="rId90" w:history="1">
        <w:r w:rsidRPr="001F41A9">
          <w:rPr>
            <w:rFonts w:ascii="Arial" w:eastAsia="Times New Roman" w:hAnsi="Arial" w:cs="Arial"/>
            <w:color w:val="467886" w:themeColor="hyperlink"/>
            <w:kern w:val="0"/>
            <w:u w:val="single"/>
            <w:lang w:eastAsia="en-GB"/>
            <w14:ligatures w14:val="none"/>
          </w:rPr>
          <w:t>https://doi.org/10.21879/faeeba2358-0194.2018.v27.n51.p105-120</w:t>
        </w:r>
      </w:hyperlink>
      <w:r w:rsidRPr="001F41A9">
        <w:rPr>
          <w:rFonts w:ascii="Arial" w:eastAsia="Times New Roman" w:hAnsi="Arial" w:cs="Arial"/>
          <w:kern w:val="0"/>
          <w:lang w:eastAsia="en-GB"/>
          <w14:ligatures w14:val="none"/>
        </w:rPr>
        <w:t>. (Accessed: 6 February 2026)</w:t>
      </w:r>
    </w:p>
    <w:p w14:paraId="6255F19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6223F2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ADD29A3"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Penn, H. (2014) </w:t>
      </w:r>
      <w:r w:rsidRPr="001F41A9">
        <w:rPr>
          <w:rFonts w:ascii="Arial" w:eastAsia="Times New Roman" w:hAnsi="Arial" w:cs="Arial"/>
          <w:i/>
          <w:iCs/>
          <w:kern w:val="0"/>
          <w:lang w:eastAsia="en-GB"/>
          <w14:ligatures w14:val="none"/>
        </w:rPr>
        <w:t>Understanding early childhood: issues and controversies</w:t>
      </w:r>
      <w:r w:rsidRPr="001F41A9">
        <w:rPr>
          <w:rFonts w:ascii="Arial" w:eastAsia="Times New Roman" w:hAnsi="Arial" w:cs="Arial"/>
          <w:kern w:val="0"/>
          <w:lang w:eastAsia="en-GB"/>
          <w14:ligatures w14:val="none"/>
        </w:rPr>
        <w:t>. 3rd ed. Berkshire, England: Open University Press.</w:t>
      </w:r>
    </w:p>
    <w:p w14:paraId="519318B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3284820"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Perry, G. (2010) “Art and Creativity in Reggio Emilia: Exploring the Role and Potential of Ateliers in Early Childhood Education,” </w:t>
      </w:r>
      <w:r w:rsidRPr="001F41A9">
        <w:rPr>
          <w:rFonts w:ascii="Arial" w:eastAsia="Times New Roman" w:hAnsi="Arial" w:cs="Arial"/>
          <w:i/>
          <w:iCs/>
          <w:kern w:val="0"/>
          <w:lang w:eastAsia="en-GB"/>
          <w14:ligatures w14:val="none"/>
        </w:rPr>
        <w:t>YC young children</w:t>
      </w:r>
      <w:r w:rsidRPr="001F41A9">
        <w:rPr>
          <w:rFonts w:ascii="Arial" w:eastAsia="Times New Roman" w:hAnsi="Arial" w:cs="Arial"/>
          <w:kern w:val="0"/>
          <w:lang w:eastAsia="en-GB"/>
          <w14:ligatures w14:val="none"/>
        </w:rPr>
        <w:t>. Washington: National Association for the Education of Young Children, p. 99.</w:t>
      </w:r>
    </w:p>
    <w:p w14:paraId="1ADBDAEE" w14:textId="77777777" w:rsidR="001F41A9" w:rsidRDefault="001F41A9" w:rsidP="001F41A9">
      <w:pPr>
        <w:spacing w:after="0" w:line="240" w:lineRule="auto"/>
        <w:rPr>
          <w:rFonts w:ascii="Arial" w:eastAsiaTheme="minorEastAsia" w:hAnsi="Arial" w:cs="Arial"/>
          <w:color w:val="222222"/>
          <w:shd w:val="clear" w:color="auto" w:fill="FFFFFF"/>
          <w:lang w:eastAsia="en-GB"/>
        </w:rPr>
      </w:pPr>
    </w:p>
    <w:p w14:paraId="579525F7" w14:textId="77777777" w:rsidR="00805943" w:rsidRPr="001F41A9" w:rsidRDefault="00805943" w:rsidP="00805943">
      <w:pPr>
        <w:spacing w:before="100" w:beforeAutospacing="1" w:after="100" w:afterAutospacing="1" w:line="240" w:lineRule="auto"/>
        <w:rPr>
          <w:rFonts w:ascii="Arial" w:eastAsiaTheme="minorEastAsia" w:hAnsi="Arial" w:cs="Arial"/>
          <w:kern w:val="0"/>
          <w:lang w:eastAsia="en-GB"/>
          <w14:ligatures w14:val="none"/>
        </w:rPr>
      </w:pPr>
      <w:r w:rsidRPr="001F41A9">
        <w:rPr>
          <w:rFonts w:ascii="Arial" w:eastAsiaTheme="minorEastAsia" w:hAnsi="Arial" w:cs="Arial"/>
          <w:color w:val="222222"/>
          <w:shd w:val="clear" w:color="auto" w:fill="FFFFFF"/>
          <w:lang w:eastAsia="en-GB"/>
        </w:rPr>
        <w:t>Powell, S. and Smith, K. eds., (2017) </w:t>
      </w:r>
      <w:r w:rsidRPr="001F41A9">
        <w:rPr>
          <w:rFonts w:ascii="Arial" w:eastAsiaTheme="minorEastAsia" w:hAnsi="Arial" w:cs="Arial"/>
          <w:i/>
          <w:iCs/>
          <w:color w:val="222222"/>
          <w:shd w:val="clear" w:color="auto" w:fill="FFFFFF"/>
          <w:lang w:eastAsia="en-GB"/>
        </w:rPr>
        <w:t>An introduction to early childhood studies</w:t>
      </w:r>
      <w:r w:rsidRPr="001F41A9">
        <w:rPr>
          <w:rFonts w:ascii="Arial" w:eastAsiaTheme="minorEastAsia" w:hAnsi="Arial" w:cs="Arial"/>
          <w:color w:val="222222"/>
          <w:shd w:val="clear" w:color="auto" w:fill="FFFFFF"/>
          <w:lang w:eastAsia="en-GB"/>
        </w:rPr>
        <w:t>. London: Sage.</w:t>
      </w:r>
    </w:p>
    <w:p w14:paraId="0FDE5F35" w14:textId="5F664757" w:rsidR="00805943" w:rsidRPr="001F41A9" w:rsidRDefault="001F41A9" w:rsidP="00805943">
      <w:pPr>
        <w:spacing w:after="0" w:line="240" w:lineRule="auto"/>
        <w:rPr>
          <w:rFonts w:ascii="Arial" w:eastAsiaTheme="minorEastAsia" w:hAnsi="Arial" w:cs="Arial"/>
          <w:color w:val="222222"/>
          <w:shd w:val="clear" w:color="auto" w:fill="FFFFFF"/>
          <w:lang w:eastAsia="en-GB"/>
        </w:rPr>
      </w:pPr>
      <w:r w:rsidRPr="001F41A9">
        <w:rPr>
          <w:rFonts w:ascii="Arial" w:eastAsiaTheme="minorEastAsia" w:hAnsi="Arial" w:cs="Arial"/>
          <w:color w:val="222222"/>
          <w:shd w:val="clear" w:color="auto" w:fill="FFFFFF"/>
          <w:lang w:eastAsia="en-GB"/>
        </w:rPr>
        <w:t>Powers, J., &amp; Ridge, S. W. (2018). </w:t>
      </w:r>
      <w:r w:rsidRPr="001F41A9">
        <w:rPr>
          <w:rFonts w:ascii="Arial" w:eastAsiaTheme="minorEastAsia" w:hAnsi="Arial" w:cs="Arial"/>
          <w:i/>
          <w:iCs/>
          <w:color w:val="222222"/>
          <w:shd w:val="clear" w:color="auto" w:fill="FFFFFF"/>
          <w:lang w:eastAsia="en-GB"/>
        </w:rPr>
        <w:t>Nature-based learning for young children: Anytime, anywhere, on any budget</w:t>
      </w:r>
      <w:r w:rsidRPr="001F41A9">
        <w:rPr>
          <w:rFonts w:ascii="Arial" w:eastAsiaTheme="minorEastAsia" w:hAnsi="Arial" w:cs="Arial"/>
          <w:color w:val="222222"/>
          <w:shd w:val="clear" w:color="auto" w:fill="FFFFFF"/>
          <w:lang w:eastAsia="en-GB"/>
        </w:rPr>
        <w:t>.</w:t>
      </w:r>
      <w:r w:rsidR="00183E75">
        <w:rPr>
          <w:rFonts w:ascii="Arial" w:eastAsiaTheme="minorEastAsia" w:hAnsi="Arial" w:cs="Arial"/>
          <w:color w:val="222222"/>
          <w:shd w:val="clear" w:color="auto" w:fill="FFFFFF"/>
          <w:lang w:eastAsia="en-GB"/>
        </w:rPr>
        <w:t xml:space="preserve"> St Paul, MN</w:t>
      </w:r>
      <w:r w:rsidR="004316D4">
        <w:rPr>
          <w:rFonts w:ascii="Arial" w:eastAsiaTheme="minorEastAsia" w:hAnsi="Arial" w:cs="Arial"/>
          <w:color w:val="222222"/>
          <w:shd w:val="clear" w:color="auto" w:fill="FFFFFF"/>
          <w:lang w:eastAsia="en-GB"/>
        </w:rPr>
        <w:t xml:space="preserve"> (Minne</w:t>
      </w:r>
      <w:r w:rsidR="00800651">
        <w:rPr>
          <w:rFonts w:ascii="Arial" w:eastAsiaTheme="minorEastAsia" w:hAnsi="Arial" w:cs="Arial"/>
          <w:color w:val="222222"/>
          <w:shd w:val="clear" w:color="auto" w:fill="FFFFFF"/>
          <w:lang w:eastAsia="en-GB"/>
        </w:rPr>
        <w:t>sota), USA:</w:t>
      </w:r>
      <w:r w:rsidRPr="001F41A9">
        <w:rPr>
          <w:rFonts w:ascii="Arial" w:eastAsiaTheme="minorEastAsia" w:hAnsi="Arial" w:cs="Arial"/>
          <w:color w:val="222222"/>
          <w:shd w:val="clear" w:color="auto" w:fill="FFFFFF"/>
          <w:lang w:eastAsia="en-GB"/>
        </w:rPr>
        <w:t xml:space="preserve"> </w:t>
      </w:r>
      <w:r w:rsidRPr="00800651">
        <w:rPr>
          <w:rFonts w:ascii="Arial" w:eastAsiaTheme="minorEastAsia" w:hAnsi="Arial" w:cs="Arial"/>
          <w:shd w:val="clear" w:color="auto" w:fill="FFFFFF"/>
          <w:lang w:eastAsia="en-GB"/>
        </w:rPr>
        <w:t>Redleaf Press</w:t>
      </w:r>
      <w:r w:rsidRPr="001F41A9">
        <w:rPr>
          <w:rFonts w:ascii="Arial" w:eastAsiaTheme="minorEastAsia" w:hAnsi="Arial" w:cs="Arial"/>
          <w:color w:val="222222"/>
          <w:shd w:val="clear" w:color="auto" w:fill="FFFFFF"/>
          <w:lang w:eastAsia="en-GB"/>
        </w:rPr>
        <w:t xml:space="preserve">. </w:t>
      </w:r>
    </w:p>
    <w:p w14:paraId="5AB6F6D8" w14:textId="77777777" w:rsidR="00A52D5C" w:rsidRPr="001F41A9" w:rsidRDefault="00A52D5C" w:rsidP="001F41A9">
      <w:pPr>
        <w:spacing w:after="0" w:line="240" w:lineRule="auto"/>
        <w:rPr>
          <w:rFonts w:ascii="Arial" w:eastAsiaTheme="minorEastAsia" w:hAnsi="Arial" w:cs="Arial"/>
          <w:color w:val="222222"/>
          <w:shd w:val="clear" w:color="auto" w:fill="FFFFFF"/>
          <w:lang w:eastAsia="en-GB"/>
        </w:rPr>
      </w:pPr>
    </w:p>
    <w:p w14:paraId="7F6A981A" w14:textId="77777777" w:rsidR="001F41A9" w:rsidRPr="001F41A9" w:rsidRDefault="001F41A9" w:rsidP="001F41A9">
      <w:pPr>
        <w:spacing w:after="0" w:line="240" w:lineRule="auto"/>
        <w:rPr>
          <w:rFonts w:ascii="Arial" w:eastAsiaTheme="minorEastAsia" w:hAnsi="Arial" w:cs="Arial"/>
          <w:color w:val="222222"/>
          <w:shd w:val="clear" w:color="auto" w:fill="FFFFFF"/>
          <w:lang w:eastAsia="en-GB"/>
        </w:rPr>
      </w:pPr>
    </w:p>
    <w:p w14:paraId="375A0DC4"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Prioletta, J. and Davies, A.W. (2024) “Femmephobia in kindergarten education: Play environments as key sites for the early devaluation of femininity and care,” </w:t>
      </w:r>
      <w:r w:rsidRPr="001F41A9">
        <w:rPr>
          <w:rFonts w:ascii="Arial" w:eastAsia="Times New Roman" w:hAnsi="Arial" w:cs="Arial"/>
          <w:i/>
          <w:iCs/>
          <w:kern w:val="0"/>
          <w:lang w:eastAsia="en-GB"/>
          <w14:ligatures w14:val="none"/>
        </w:rPr>
        <w:t>Contemporary issues in early childhood</w:t>
      </w:r>
      <w:r w:rsidRPr="001F41A9">
        <w:rPr>
          <w:rFonts w:ascii="Arial" w:eastAsia="Times New Roman" w:hAnsi="Arial" w:cs="Arial"/>
          <w:kern w:val="0"/>
          <w:lang w:eastAsia="en-GB"/>
          <w14:ligatures w14:val="none"/>
        </w:rPr>
        <w:t xml:space="preserve">, 25(2), pp. 256–270. Available at: </w:t>
      </w:r>
      <w:hyperlink r:id="rId91" w:history="1">
        <w:r w:rsidRPr="001F41A9">
          <w:rPr>
            <w:rFonts w:ascii="Arial" w:eastAsia="Times New Roman" w:hAnsi="Arial" w:cs="Arial"/>
            <w:color w:val="467886" w:themeColor="hyperlink"/>
            <w:kern w:val="0"/>
            <w:u w:val="single"/>
            <w:lang w:eastAsia="en-GB"/>
            <w14:ligatures w14:val="none"/>
          </w:rPr>
          <w:t>https://doi.org/10.1177/14639491221137902</w:t>
        </w:r>
      </w:hyperlink>
      <w:r w:rsidRPr="001F41A9">
        <w:rPr>
          <w:rFonts w:ascii="Arial" w:eastAsia="Times New Roman" w:hAnsi="Arial" w:cs="Arial"/>
          <w:kern w:val="0"/>
          <w:lang w:eastAsia="en-GB"/>
          <w14:ligatures w14:val="none"/>
        </w:rPr>
        <w:t>. (Accessed: 15 February 2026)</w:t>
      </w:r>
    </w:p>
    <w:p w14:paraId="14CED67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E069142" w14:textId="77777777" w:rsidR="001F41A9" w:rsidRPr="005C104E" w:rsidRDefault="001F41A9" w:rsidP="001F41A9">
      <w:pPr>
        <w:spacing w:after="0" w:line="240" w:lineRule="auto"/>
        <w:rPr>
          <w:rFonts w:ascii="Arial" w:eastAsia="Times New Roman" w:hAnsi="Arial" w:cs="Arial"/>
          <w:kern w:val="0"/>
          <w:lang w:eastAsia="en-GB"/>
          <w14:ligatures w14:val="none"/>
        </w:rPr>
      </w:pPr>
    </w:p>
    <w:p w14:paraId="110ED766" w14:textId="77777777" w:rsidR="005C104E" w:rsidRPr="005C104E" w:rsidRDefault="001F41A9" w:rsidP="005C104E">
      <w:pPr>
        <w:spacing w:after="0" w:line="240" w:lineRule="auto"/>
        <w:rPr>
          <w:rFonts w:ascii="Arial" w:eastAsia="Times New Roman" w:hAnsi="Arial" w:cs="Arial"/>
          <w:kern w:val="0"/>
          <w:lang w:eastAsia="en-GB"/>
          <w14:ligatures w14:val="none"/>
        </w:rPr>
      </w:pPr>
      <w:r w:rsidRPr="005C104E">
        <w:rPr>
          <w:rFonts w:ascii="Arial" w:eastAsia="Times New Roman" w:hAnsi="Arial" w:cs="Arial"/>
          <w:kern w:val="0"/>
          <w:lang w:eastAsia="en-GB"/>
          <w14:ligatures w14:val="none"/>
        </w:rPr>
        <w:t>Rademacher, A.</w:t>
      </w:r>
      <w:r w:rsidR="005C104E" w:rsidRPr="005C104E">
        <w:rPr>
          <w:rFonts w:ascii="Arial" w:eastAsia="Times New Roman" w:hAnsi="Arial" w:cs="Arial"/>
          <w:kern w:val="0"/>
          <w:lang w:eastAsia="en-GB"/>
          <w14:ligatures w14:val="none"/>
        </w:rPr>
        <w:t xml:space="preserve">, </w:t>
      </w:r>
      <w:r w:rsidR="005C104E" w:rsidRPr="005C104E">
        <w:rPr>
          <w:rFonts w:ascii="Arial" w:hAnsi="Arial" w:cs="Arial"/>
          <w:shd w:val="clear" w:color="auto" w:fill="FFFFFF"/>
        </w:rPr>
        <w:t>Bäker, N., von Düring, U., Hiltunen, V., Goagoses, N.</w:t>
      </w:r>
    </w:p>
    <w:p w14:paraId="3CFF7EBF" w14:textId="016A3069" w:rsid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(2025) “The effects of early childhood education and care quality on academic competences in early primary school: A systematic review and meta-analysis: The effects of early childhood education and care quality on academic competences in early primary school: A systematic review and meta-analysis,” </w:t>
      </w:r>
      <w:r w:rsidRPr="001F41A9">
        <w:rPr>
          <w:rFonts w:ascii="Arial" w:eastAsia="Times New Roman" w:hAnsi="Arial" w:cs="Arial"/>
          <w:i/>
          <w:iCs/>
          <w:kern w:val="0"/>
          <w:lang w:eastAsia="en-GB"/>
          <w14:ligatures w14:val="none"/>
        </w:rPr>
        <w:t>European journal of psychology of education</w:t>
      </w:r>
      <w:r w:rsidRPr="001F41A9">
        <w:rPr>
          <w:rFonts w:ascii="Arial" w:eastAsia="Times New Roman" w:hAnsi="Arial" w:cs="Arial"/>
          <w:kern w:val="0"/>
          <w:lang w:eastAsia="en-GB"/>
          <w14:ligatures w14:val="none"/>
        </w:rPr>
        <w:t xml:space="preserve">, 40(4). Available at: </w:t>
      </w:r>
      <w:hyperlink r:id="rId92" w:history="1">
        <w:r w:rsidRPr="001F41A9">
          <w:rPr>
            <w:rFonts w:ascii="Arial" w:eastAsia="Times New Roman" w:hAnsi="Arial" w:cs="Arial"/>
            <w:color w:val="467886" w:themeColor="hyperlink"/>
            <w:kern w:val="0"/>
            <w:u w:val="single"/>
            <w:lang w:eastAsia="en-GB"/>
            <w14:ligatures w14:val="none"/>
          </w:rPr>
          <w:t>https://doi.org/10.1007/s10212-025-01005-w</w:t>
        </w:r>
      </w:hyperlink>
      <w:r w:rsidRPr="001F41A9">
        <w:rPr>
          <w:rFonts w:ascii="Arial" w:eastAsia="Times New Roman" w:hAnsi="Arial" w:cs="Arial"/>
          <w:kern w:val="0"/>
          <w:lang w:eastAsia="en-GB"/>
          <w14:ligatures w14:val="none"/>
        </w:rPr>
        <w:t>. (Accessed: 2 February 2026)</w:t>
      </w:r>
    </w:p>
    <w:p w14:paraId="724E9276" w14:textId="77777777" w:rsidR="00865E70" w:rsidRDefault="00865E70" w:rsidP="001F41A9">
      <w:pPr>
        <w:spacing w:after="0" w:line="240" w:lineRule="auto"/>
        <w:rPr>
          <w:rFonts w:ascii="Arial" w:eastAsia="Times New Roman" w:hAnsi="Arial" w:cs="Arial"/>
          <w:kern w:val="0"/>
          <w:lang w:eastAsia="en-GB"/>
          <w14:ligatures w14:val="none"/>
        </w:rPr>
      </w:pPr>
    </w:p>
    <w:p w14:paraId="493F8301" w14:textId="77777777" w:rsidR="009F69DB" w:rsidRPr="001F41A9" w:rsidRDefault="009F69DB" w:rsidP="001F41A9">
      <w:pPr>
        <w:spacing w:after="0" w:line="240" w:lineRule="auto"/>
        <w:rPr>
          <w:rFonts w:ascii="Arial" w:eastAsia="Times New Roman" w:hAnsi="Arial" w:cs="Arial"/>
          <w:kern w:val="0"/>
          <w:lang w:eastAsia="en-GB"/>
          <w14:ligatures w14:val="none"/>
        </w:rPr>
      </w:pPr>
    </w:p>
    <w:p w14:paraId="2854BEE4"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62BEF9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Rekers, A. and Waters-Davies, J. (2021) </w:t>
      </w:r>
      <w:r w:rsidRPr="001F41A9">
        <w:rPr>
          <w:rFonts w:ascii="Arial" w:eastAsia="Times New Roman" w:hAnsi="Arial" w:cs="Arial"/>
          <w:i/>
          <w:iCs/>
          <w:kern w:val="0"/>
          <w:lang w:eastAsia="en-GB"/>
          <w14:ligatures w14:val="none"/>
        </w:rPr>
        <w:t>‘All of the Wild’: Cultural Formation in Wales Through Outdoor Play at Forest School</w:t>
      </w:r>
      <w:r w:rsidRPr="001F41A9">
        <w:rPr>
          <w:rFonts w:ascii="Arial" w:eastAsia="Times New Roman" w:hAnsi="Arial" w:cs="Arial"/>
          <w:kern w:val="0"/>
          <w:lang w:eastAsia="en-GB"/>
          <w14:ligatures w14:val="none"/>
        </w:rPr>
        <w:t>. Springer.</w:t>
      </w:r>
    </w:p>
    <w:p w14:paraId="6E94627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92D99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Rico, A.P. and Janot, J.B. (2021) “Children’s Right to Play and Its Implementation: A Comparative, International Perspective,” </w:t>
      </w:r>
      <w:r w:rsidRPr="001F41A9">
        <w:rPr>
          <w:rFonts w:ascii="Arial" w:eastAsia="Times New Roman" w:hAnsi="Arial" w:cs="Arial"/>
          <w:i/>
          <w:iCs/>
          <w:kern w:val="0"/>
          <w:lang w:eastAsia="en-GB"/>
          <w14:ligatures w14:val="none"/>
        </w:rPr>
        <w:t xml:space="preserve">Journal of new approaches in educational </w:t>
      </w:r>
      <w:r w:rsidRPr="001F41A9">
        <w:rPr>
          <w:rFonts w:ascii="Arial" w:eastAsia="Times New Roman" w:hAnsi="Arial" w:cs="Arial"/>
          <w:i/>
          <w:iCs/>
          <w:kern w:val="0"/>
          <w:lang w:eastAsia="en-GB"/>
          <w14:ligatures w14:val="none"/>
        </w:rPr>
        <w:lastRenderedPageBreak/>
        <w:t>research</w:t>
      </w:r>
      <w:r w:rsidRPr="001F41A9">
        <w:rPr>
          <w:rFonts w:ascii="Arial" w:eastAsia="Times New Roman" w:hAnsi="Arial" w:cs="Arial"/>
          <w:kern w:val="0"/>
          <w:lang w:eastAsia="en-GB"/>
          <w14:ligatures w14:val="none"/>
        </w:rPr>
        <w:t xml:space="preserve">, 10(2), pp. 279–294. Available at: </w:t>
      </w:r>
      <w:hyperlink r:id="rId93" w:history="1">
        <w:r w:rsidRPr="001F41A9">
          <w:rPr>
            <w:rFonts w:ascii="Arial" w:eastAsia="Times New Roman" w:hAnsi="Arial" w:cs="Arial"/>
            <w:color w:val="467886" w:themeColor="hyperlink"/>
            <w:kern w:val="0"/>
            <w:u w:val="single"/>
            <w:lang w:eastAsia="en-GB"/>
            <w14:ligatures w14:val="none"/>
          </w:rPr>
          <w:t>https://doi.org/10.7821/naer.2021.7.665</w:t>
        </w:r>
      </w:hyperlink>
      <w:r w:rsidRPr="001F41A9">
        <w:rPr>
          <w:rFonts w:ascii="Arial" w:eastAsia="Times New Roman" w:hAnsi="Arial" w:cs="Arial"/>
          <w:kern w:val="0"/>
          <w:lang w:eastAsia="en-GB"/>
          <w14:ligatures w14:val="none"/>
        </w:rPr>
        <w:t>. (Accessed: 4 February 2026)</w:t>
      </w:r>
    </w:p>
    <w:p w14:paraId="15B2EFB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CA41D19"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EFD101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Rinaldi, C. (2021) </w:t>
      </w:r>
      <w:r w:rsidRPr="001F41A9">
        <w:rPr>
          <w:rFonts w:ascii="Arial" w:eastAsia="Times New Roman" w:hAnsi="Arial" w:cs="Arial"/>
          <w:i/>
          <w:iCs/>
          <w:kern w:val="0"/>
          <w:lang w:eastAsia="en-GB"/>
          <w14:ligatures w14:val="none"/>
        </w:rPr>
        <w:t>In dialogue with Reggio Emilia: listening, researching and learning</w:t>
      </w:r>
      <w:r w:rsidRPr="001F41A9">
        <w:rPr>
          <w:rFonts w:ascii="Arial" w:eastAsia="Times New Roman" w:hAnsi="Arial" w:cs="Arial"/>
          <w:kern w:val="0"/>
          <w:lang w:eastAsia="en-GB"/>
          <w14:ligatures w14:val="none"/>
        </w:rPr>
        <w:t>. Second edition. London, England: Routledge.</w:t>
      </w:r>
    </w:p>
    <w:p w14:paraId="1BF7865F" w14:textId="77777777" w:rsidR="0004264A" w:rsidRDefault="0004264A" w:rsidP="001F41A9">
      <w:pPr>
        <w:spacing w:after="0" w:line="240" w:lineRule="auto"/>
        <w:rPr>
          <w:rFonts w:ascii="Arial" w:eastAsia="Times New Roman" w:hAnsi="Arial" w:cs="Arial"/>
          <w:kern w:val="0"/>
          <w:lang w:eastAsia="en-GB"/>
          <w14:ligatures w14:val="none"/>
        </w:rPr>
      </w:pPr>
    </w:p>
    <w:p w14:paraId="5945E341" w14:textId="77777777" w:rsidR="001F41A9" w:rsidRPr="00A52D5C" w:rsidRDefault="001F41A9" w:rsidP="00A52D5C">
      <w:pPr>
        <w:spacing w:after="0" w:line="240" w:lineRule="auto"/>
        <w:rPr>
          <w:rFonts w:ascii="Arial" w:eastAsia="Times New Roman" w:hAnsi="Arial" w:cs="Arial"/>
          <w:kern w:val="0"/>
          <w:lang w:eastAsia="en-GB"/>
          <w14:ligatures w14:val="none"/>
        </w:rPr>
      </w:pPr>
    </w:p>
    <w:p w14:paraId="692C1D10" w14:textId="77777777" w:rsidR="001F41A9" w:rsidRPr="00A52D5C" w:rsidRDefault="001F41A9" w:rsidP="00A52D5C">
      <w:pPr>
        <w:spacing w:after="0" w:line="240" w:lineRule="auto"/>
        <w:rPr>
          <w:rFonts w:ascii="Arial" w:eastAsia="Times New Roman" w:hAnsi="Arial" w:cs="Arial"/>
          <w:kern w:val="0"/>
          <w:lang w:eastAsia="en-GB"/>
          <w14:ligatures w14:val="none"/>
        </w:rPr>
      </w:pPr>
      <w:r w:rsidRPr="00A52D5C">
        <w:rPr>
          <w:rFonts w:ascii="Arial" w:eastAsia="Times New Roman" w:hAnsi="Arial" w:cs="Arial"/>
          <w:kern w:val="0"/>
          <w:lang w:eastAsia="en-GB"/>
          <w14:ligatures w14:val="none"/>
        </w:rPr>
        <w:t>Roberts</w:t>
      </w:r>
      <w:r w:rsidRPr="00A52D5C">
        <w:rPr>
          <w:rFonts w:ascii="Cambria Math" w:eastAsia="Times New Roman" w:hAnsi="Cambria Math" w:cs="Cambria Math"/>
          <w:kern w:val="0"/>
          <w:lang w:eastAsia="en-GB"/>
          <w14:ligatures w14:val="none"/>
        </w:rPr>
        <w:t>‐</w:t>
      </w:r>
      <w:r w:rsidRPr="00A52D5C">
        <w:rPr>
          <w:rFonts w:ascii="Arial" w:eastAsia="Times New Roman" w:hAnsi="Arial" w:cs="Arial"/>
          <w:kern w:val="0"/>
          <w:lang w:eastAsia="en-GB"/>
          <w14:ligatures w14:val="none"/>
        </w:rPr>
        <w:t>Holmes, G., &amp; Bradbury, A. (2016). Governance, accountability and the datafication of early years education in England. </w:t>
      </w:r>
      <w:r w:rsidRPr="00A52D5C">
        <w:rPr>
          <w:rFonts w:ascii="Arial" w:eastAsia="Times New Roman" w:hAnsi="Arial" w:cs="Arial"/>
          <w:i/>
          <w:iCs/>
          <w:kern w:val="0"/>
          <w:lang w:eastAsia="en-GB"/>
          <w14:ligatures w14:val="none"/>
        </w:rPr>
        <w:t>British Educational Research Journal</w:t>
      </w:r>
      <w:r w:rsidRPr="00A52D5C">
        <w:rPr>
          <w:rFonts w:ascii="Arial" w:eastAsia="Times New Roman" w:hAnsi="Arial" w:cs="Arial"/>
          <w:kern w:val="0"/>
          <w:lang w:eastAsia="en-GB"/>
          <w14:ligatures w14:val="none"/>
        </w:rPr>
        <w:t>, </w:t>
      </w:r>
      <w:r w:rsidRPr="00A52D5C">
        <w:rPr>
          <w:rFonts w:ascii="Arial" w:eastAsia="Times New Roman" w:hAnsi="Arial" w:cs="Arial"/>
          <w:i/>
          <w:iCs/>
          <w:kern w:val="0"/>
          <w:lang w:eastAsia="en-GB"/>
          <w14:ligatures w14:val="none"/>
        </w:rPr>
        <w:t>42</w:t>
      </w:r>
      <w:r w:rsidRPr="00A52D5C">
        <w:rPr>
          <w:rFonts w:ascii="Arial" w:eastAsia="Times New Roman" w:hAnsi="Arial" w:cs="Arial"/>
          <w:kern w:val="0"/>
          <w:lang w:eastAsia="en-GB"/>
          <w14:ligatures w14:val="none"/>
        </w:rPr>
        <w:t xml:space="preserve">(4), 600-613. </w:t>
      </w:r>
    </w:p>
    <w:p w14:paraId="21CFB82B" w14:textId="77777777" w:rsidR="0004264A" w:rsidRDefault="0004264A" w:rsidP="001F41A9">
      <w:pPr>
        <w:spacing w:after="0" w:line="240" w:lineRule="auto"/>
        <w:rPr>
          <w:rFonts w:ascii="Arial" w:eastAsia="Times New Roman" w:hAnsi="Arial" w:cs="Arial"/>
          <w:kern w:val="0"/>
          <w:lang w:eastAsia="en-GB"/>
          <w14:ligatures w14:val="none"/>
        </w:rPr>
      </w:pPr>
    </w:p>
    <w:p w14:paraId="7B552402" w14:textId="77777777" w:rsidR="0004264A" w:rsidRDefault="0004264A" w:rsidP="001F41A9">
      <w:pPr>
        <w:spacing w:after="0" w:line="240" w:lineRule="auto"/>
        <w:rPr>
          <w:rFonts w:ascii="Arial" w:eastAsia="Times New Roman" w:hAnsi="Arial" w:cs="Arial"/>
          <w:kern w:val="0"/>
          <w:lang w:eastAsia="en-GB"/>
          <w14:ligatures w14:val="none"/>
        </w:rPr>
      </w:pPr>
    </w:p>
    <w:p w14:paraId="5830B4F3" w14:textId="38D91706"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Rokhshid Ghaziani (2025) “Re-Thinking Biophilic Design for Primary Schools: Exploring Children’s Preferences,” </w:t>
      </w:r>
      <w:r w:rsidRPr="001F41A9">
        <w:rPr>
          <w:rFonts w:ascii="Arial" w:eastAsia="Times New Roman" w:hAnsi="Arial" w:cs="Arial"/>
          <w:i/>
          <w:iCs/>
          <w:kern w:val="0"/>
          <w:lang w:eastAsia="en-GB"/>
          <w14:ligatures w14:val="none"/>
        </w:rPr>
        <w:t>Architecture (Basel)</w:t>
      </w:r>
      <w:r w:rsidRPr="001F41A9">
        <w:rPr>
          <w:rFonts w:ascii="Arial" w:eastAsia="Times New Roman" w:hAnsi="Arial" w:cs="Arial"/>
          <w:kern w:val="0"/>
          <w:lang w:eastAsia="en-GB"/>
          <w14:ligatures w14:val="none"/>
        </w:rPr>
        <w:t xml:space="preserve">, 5(3), p. 42. Available at: </w:t>
      </w:r>
      <w:hyperlink r:id="rId94" w:history="1">
        <w:r w:rsidRPr="001F41A9">
          <w:rPr>
            <w:rFonts w:ascii="Arial" w:eastAsia="Times New Roman" w:hAnsi="Arial" w:cs="Arial"/>
            <w:color w:val="467886" w:themeColor="hyperlink"/>
            <w:kern w:val="0"/>
            <w:u w:val="single"/>
            <w:lang w:eastAsia="en-GB"/>
            <w14:ligatures w14:val="none"/>
          </w:rPr>
          <w:t>https://doi.org/10.3390/architecture5030042</w:t>
        </w:r>
      </w:hyperlink>
      <w:r w:rsidRPr="001F41A9">
        <w:rPr>
          <w:rFonts w:ascii="Arial" w:eastAsia="Times New Roman" w:hAnsi="Arial" w:cs="Arial"/>
          <w:kern w:val="0"/>
          <w:lang w:eastAsia="en-GB"/>
          <w14:ligatures w14:val="none"/>
        </w:rPr>
        <w:t>. (Accessed: 5 February 2026)</w:t>
      </w:r>
    </w:p>
    <w:p w14:paraId="5F9ABA8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F378C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06C7389"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Sandin, B. (2023) </w:t>
      </w:r>
      <w:r w:rsidRPr="001F41A9">
        <w:rPr>
          <w:rFonts w:ascii="Arial" w:eastAsia="Times New Roman" w:hAnsi="Arial" w:cs="Arial"/>
          <w:i/>
          <w:iCs/>
          <w:kern w:val="0"/>
          <w:lang w:eastAsia="en-GB"/>
          <w14:ligatures w14:val="none"/>
        </w:rPr>
        <w:t>The Politics of Children’s Rights and Representation</w:t>
      </w:r>
      <w:r w:rsidRPr="001F41A9">
        <w:rPr>
          <w:rFonts w:ascii="Arial" w:eastAsia="Times New Roman" w:hAnsi="Arial" w:cs="Arial"/>
          <w:kern w:val="0"/>
          <w:lang w:eastAsia="en-GB"/>
          <w14:ligatures w14:val="none"/>
        </w:rPr>
        <w:t xml:space="preserve">. 1st ed. 2023. Edited by Bengt. Sandin et al. Cham: Springer International Publishing. Available at: </w:t>
      </w:r>
      <w:hyperlink r:id="rId95" w:history="1">
        <w:r w:rsidRPr="001F41A9">
          <w:rPr>
            <w:rFonts w:ascii="Arial" w:eastAsia="Times New Roman" w:hAnsi="Arial" w:cs="Arial"/>
            <w:color w:val="467886" w:themeColor="hyperlink"/>
            <w:kern w:val="0"/>
            <w:u w:val="single"/>
            <w:lang w:eastAsia="en-GB"/>
            <w14:ligatures w14:val="none"/>
          </w:rPr>
          <w:t>https://doi.org/10.1007/978-3-031-04480-9</w:t>
        </w:r>
      </w:hyperlink>
      <w:r w:rsidRPr="001F41A9">
        <w:rPr>
          <w:rFonts w:ascii="Arial" w:eastAsia="Times New Roman" w:hAnsi="Arial" w:cs="Arial"/>
          <w:kern w:val="0"/>
          <w:lang w:eastAsia="en-GB"/>
          <w14:ligatures w14:val="none"/>
        </w:rPr>
        <w:t>. (Accessed: 14 February 2026)</w:t>
      </w:r>
    </w:p>
    <w:p w14:paraId="2B990611"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88A95F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7A7EBC3"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Sands, L. and Lee, W. (2024) “Teacher inquiry and learning stories: a site for pedagogical change,” </w:t>
      </w:r>
      <w:r w:rsidRPr="001F41A9">
        <w:rPr>
          <w:rFonts w:ascii="Arial" w:eastAsia="Times New Roman" w:hAnsi="Arial" w:cs="Arial"/>
          <w:i/>
          <w:iCs/>
          <w:kern w:val="0"/>
          <w:lang w:eastAsia="en-GB"/>
          <w14:ligatures w14:val="none"/>
        </w:rPr>
        <w:t>European early childhood education research journal</w:t>
      </w:r>
      <w:r w:rsidRPr="001F41A9">
        <w:rPr>
          <w:rFonts w:ascii="Arial" w:eastAsia="Times New Roman" w:hAnsi="Arial" w:cs="Arial"/>
          <w:kern w:val="0"/>
          <w:lang w:eastAsia="en-GB"/>
          <w14:ligatures w14:val="none"/>
        </w:rPr>
        <w:t xml:space="preserve">, 32(6), pp. 1029–1045. Available at: </w:t>
      </w:r>
      <w:hyperlink r:id="rId96" w:history="1">
        <w:r w:rsidRPr="001F41A9">
          <w:rPr>
            <w:rFonts w:ascii="Arial" w:eastAsia="Times New Roman" w:hAnsi="Arial" w:cs="Arial"/>
            <w:color w:val="467886" w:themeColor="hyperlink"/>
            <w:kern w:val="0"/>
            <w:u w:val="single"/>
            <w:lang w:eastAsia="en-GB"/>
            <w14:ligatures w14:val="none"/>
          </w:rPr>
          <w:t>https://doi.org/10.1080/1350293X.2024.2381118</w:t>
        </w:r>
      </w:hyperlink>
      <w:r w:rsidRPr="001F41A9">
        <w:rPr>
          <w:rFonts w:ascii="Arial" w:eastAsia="Times New Roman" w:hAnsi="Arial" w:cs="Arial"/>
          <w:kern w:val="0"/>
          <w:lang w:eastAsia="en-GB"/>
          <w14:ligatures w14:val="none"/>
        </w:rPr>
        <w:t>. (Accessed: 11 February 2026)</w:t>
      </w:r>
    </w:p>
    <w:p w14:paraId="300C792C"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99164F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09DAA190"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Senent, I.G., Kelley, K. and Abo-Zena, M.M. (2021) “Sustaining curiosity: Reggio-Emilia inspired learning,” </w:t>
      </w:r>
      <w:r w:rsidRPr="001F41A9">
        <w:rPr>
          <w:rFonts w:ascii="Arial" w:eastAsia="Times New Roman" w:hAnsi="Arial" w:cs="Arial"/>
          <w:i/>
          <w:iCs/>
          <w:kern w:val="0"/>
          <w:lang w:eastAsia="en-GB"/>
          <w14:ligatures w14:val="none"/>
        </w:rPr>
        <w:t>Early child development and care</w:t>
      </w:r>
      <w:r w:rsidRPr="001F41A9">
        <w:rPr>
          <w:rFonts w:ascii="Arial" w:eastAsia="Times New Roman" w:hAnsi="Arial" w:cs="Arial"/>
          <w:kern w:val="0"/>
          <w:lang w:eastAsia="en-GB"/>
          <w14:ligatures w14:val="none"/>
        </w:rPr>
        <w:t xml:space="preserve">, 191(7–8), pp. 1247–1258. Available at: </w:t>
      </w:r>
      <w:hyperlink r:id="rId97" w:history="1">
        <w:r w:rsidRPr="001F41A9">
          <w:rPr>
            <w:rFonts w:ascii="Arial" w:eastAsia="Times New Roman" w:hAnsi="Arial" w:cs="Arial"/>
            <w:color w:val="467886" w:themeColor="hyperlink"/>
            <w:kern w:val="0"/>
            <w:u w:val="single"/>
            <w:lang w:eastAsia="en-GB"/>
            <w14:ligatures w14:val="none"/>
          </w:rPr>
          <w:t>https://doi.org/10.1080/03004430.2021.1900835</w:t>
        </w:r>
      </w:hyperlink>
      <w:r w:rsidRPr="001F41A9">
        <w:rPr>
          <w:rFonts w:ascii="Arial" w:eastAsia="Times New Roman" w:hAnsi="Arial" w:cs="Arial"/>
          <w:kern w:val="0"/>
          <w:lang w:eastAsia="en-GB"/>
          <w14:ligatures w14:val="none"/>
        </w:rPr>
        <w:t>. (Accessed: 12 February 2026)</w:t>
      </w:r>
    </w:p>
    <w:p w14:paraId="2374B84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FCE40A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6931DBC"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Seyyed Amir Ghasemtabar (2022) “Reggio Emilia: a postmodern approach to early childhood education,” </w:t>
      </w:r>
      <w:r w:rsidRPr="001F41A9">
        <w:rPr>
          <w:rFonts w:ascii="Arial" w:eastAsia="Times New Roman" w:hAnsi="Arial" w:cs="Arial"/>
          <w:i/>
          <w:iCs/>
          <w:kern w:val="0"/>
          <w:lang w:eastAsia="en-GB"/>
          <w14:ligatures w14:val="none"/>
        </w:rPr>
        <w:t>Pizhūhishʹhā-yi falsafī (Tabrīz.)</w:t>
      </w:r>
      <w:r w:rsidRPr="001F41A9">
        <w:rPr>
          <w:rFonts w:ascii="Arial" w:eastAsia="Times New Roman" w:hAnsi="Arial" w:cs="Arial"/>
          <w:kern w:val="0"/>
          <w:lang w:eastAsia="en-GB"/>
          <w14:ligatures w14:val="none"/>
        </w:rPr>
        <w:t xml:space="preserve">, 16(39), pp. 40–58. Available at: </w:t>
      </w:r>
      <w:hyperlink r:id="rId98" w:history="1">
        <w:r w:rsidRPr="001F41A9">
          <w:rPr>
            <w:rFonts w:ascii="Arial" w:eastAsia="Times New Roman" w:hAnsi="Arial" w:cs="Arial"/>
            <w:color w:val="467886" w:themeColor="hyperlink"/>
            <w:kern w:val="0"/>
            <w:u w:val="single"/>
            <w:lang w:eastAsia="en-GB"/>
            <w14:ligatures w14:val="none"/>
          </w:rPr>
          <w:t>https://doi.org/10.22034/jpiut.2022.52571.3297</w:t>
        </w:r>
      </w:hyperlink>
      <w:r w:rsidRPr="001F41A9">
        <w:rPr>
          <w:rFonts w:ascii="Arial" w:eastAsia="Times New Roman" w:hAnsi="Arial" w:cs="Arial"/>
          <w:kern w:val="0"/>
          <w:lang w:eastAsia="en-GB"/>
          <w14:ligatures w14:val="none"/>
        </w:rPr>
        <w:t>. (Accessed: 14 February 2026)</w:t>
      </w:r>
    </w:p>
    <w:p w14:paraId="44E891AF"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2929BEFE"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190D6A3"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Silva, C. (2019) “The professionalization of early childhood education, care educators and pedagogical coordinators: a key issue of adult education,” </w:t>
      </w:r>
      <w:r w:rsidRPr="001F41A9">
        <w:rPr>
          <w:rFonts w:ascii="Arial" w:eastAsia="Times New Roman" w:hAnsi="Arial" w:cs="Arial"/>
          <w:i/>
          <w:iCs/>
          <w:kern w:val="0"/>
          <w:lang w:eastAsia="en-GB"/>
          <w14:ligatures w14:val="none"/>
        </w:rPr>
        <w:t>Form@re</w:t>
      </w:r>
      <w:r w:rsidRPr="001F41A9">
        <w:rPr>
          <w:rFonts w:ascii="Arial" w:eastAsia="Times New Roman" w:hAnsi="Arial" w:cs="Arial"/>
          <w:kern w:val="0"/>
          <w:lang w:eastAsia="en-GB"/>
          <w14:ligatures w14:val="none"/>
        </w:rPr>
        <w:t xml:space="preserve">, 19(2), p. 377. Available at: </w:t>
      </w:r>
      <w:hyperlink r:id="rId99" w:history="1">
        <w:r w:rsidRPr="001F41A9">
          <w:rPr>
            <w:rFonts w:ascii="Arial" w:eastAsia="Times New Roman" w:hAnsi="Arial" w:cs="Arial"/>
            <w:color w:val="467886" w:themeColor="hyperlink"/>
            <w:kern w:val="0"/>
            <w:u w:val="single"/>
            <w:lang w:eastAsia="en-GB"/>
            <w14:ligatures w14:val="none"/>
          </w:rPr>
          <w:t>https://doi.org/10.13128/formare-25249</w:t>
        </w:r>
      </w:hyperlink>
      <w:r w:rsidRPr="001F41A9">
        <w:rPr>
          <w:rFonts w:ascii="Arial" w:eastAsia="Times New Roman" w:hAnsi="Arial" w:cs="Arial"/>
          <w:kern w:val="0"/>
          <w:lang w:eastAsia="en-GB"/>
          <w14:ligatures w14:val="none"/>
        </w:rPr>
        <w:t>. (Accessed: 8 February 2026)</w:t>
      </w:r>
    </w:p>
    <w:p w14:paraId="6C87062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1304D9D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C250F4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Siraj-Blatchford, I. and Sylva, K. (2004) “Researching pedagogy in English pre-schools,” </w:t>
      </w:r>
      <w:r w:rsidRPr="001F41A9">
        <w:rPr>
          <w:rFonts w:ascii="Arial" w:eastAsia="Times New Roman" w:hAnsi="Arial" w:cs="Arial"/>
          <w:i/>
          <w:iCs/>
          <w:kern w:val="0"/>
          <w:lang w:eastAsia="en-GB"/>
          <w14:ligatures w14:val="none"/>
        </w:rPr>
        <w:t>British educational research journal</w:t>
      </w:r>
      <w:r w:rsidRPr="001F41A9">
        <w:rPr>
          <w:rFonts w:ascii="Arial" w:eastAsia="Times New Roman" w:hAnsi="Arial" w:cs="Arial"/>
          <w:kern w:val="0"/>
          <w:lang w:eastAsia="en-GB"/>
          <w14:ligatures w14:val="none"/>
        </w:rPr>
        <w:t xml:space="preserve">, 30(5), pp. 713–730. Available at: </w:t>
      </w:r>
      <w:hyperlink r:id="rId100" w:history="1">
        <w:r w:rsidRPr="001F41A9">
          <w:rPr>
            <w:rFonts w:ascii="Arial" w:eastAsia="Times New Roman" w:hAnsi="Arial" w:cs="Arial"/>
            <w:color w:val="467886" w:themeColor="hyperlink"/>
            <w:kern w:val="0"/>
            <w:u w:val="single"/>
            <w:lang w:eastAsia="en-GB"/>
            <w14:ligatures w14:val="none"/>
          </w:rPr>
          <w:t>https://doi.org/10.1080/0141192042000234665</w:t>
        </w:r>
      </w:hyperlink>
      <w:r w:rsidRPr="001F41A9">
        <w:rPr>
          <w:rFonts w:ascii="Arial" w:eastAsia="Times New Roman" w:hAnsi="Arial" w:cs="Arial"/>
          <w:kern w:val="0"/>
          <w:lang w:eastAsia="en-GB"/>
          <w14:ligatures w14:val="none"/>
        </w:rPr>
        <w:t>. (Accessed: 3 February 2026)</w:t>
      </w:r>
    </w:p>
    <w:p w14:paraId="74C8D7C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80B198D"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lastRenderedPageBreak/>
        <w:t xml:space="preserve">Smith, M.A., Dunhill, A. and Scott, G.W. (2018) “Fostering children’s relationship with nature: exploring the potential of Forest School,” </w:t>
      </w:r>
      <w:r w:rsidRPr="001F41A9">
        <w:rPr>
          <w:rFonts w:ascii="Arial" w:eastAsia="Times New Roman" w:hAnsi="Arial" w:cs="Arial"/>
          <w:i/>
          <w:iCs/>
          <w:kern w:val="0"/>
          <w:lang w:eastAsia="en-GB"/>
          <w14:ligatures w14:val="none"/>
        </w:rPr>
        <w:t>Education 3-13</w:t>
      </w:r>
      <w:r w:rsidRPr="001F41A9">
        <w:rPr>
          <w:rFonts w:ascii="Arial" w:eastAsia="Times New Roman" w:hAnsi="Arial" w:cs="Arial"/>
          <w:kern w:val="0"/>
          <w:lang w:eastAsia="en-GB"/>
          <w14:ligatures w14:val="none"/>
        </w:rPr>
        <w:t xml:space="preserve">, 46(5), pp. 525–534. Available at: </w:t>
      </w:r>
      <w:hyperlink r:id="rId101" w:history="1">
        <w:r w:rsidRPr="001F41A9">
          <w:rPr>
            <w:rFonts w:ascii="Arial" w:eastAsia="Times New Roman" w:hAnsi="Arial" w:cs="Arial"/>
            <w:color w:val="467886" w:themeColor="hyperlink"/>
            <w:kern w:val="0"/>
            <w:u w:val="single"/>
            <w:lang w:eastAsia="en-GB"/>
            <w14:ligatures w14:val="none"/>
          </w:rPr>
          <w:t>https://doi.org/10.1080/03004279.2017.1298644</w:t>
        </w:r>
      </w:hyperlink>
      <w:r w:rsidRPr="001F41A9">
        <w:rPr>
          <w:rFonts w:ascii="Arial" w:eastAsia="Times New Roman" w:hAnsi="Arial" w:cs="Arial"/>
          <w:kern w:val="0"/>
          <w:lang w:eastAsia="en-GB"/>
          <w14:ligatures w14:val="none"/>
        </w:rPr>
        <w:t>. (Accessed: 9 February 2026)</w:t>
      </w:r>
    </w:p>
    <w:p w14:paraId="3CE026D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E3EE02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2AB833"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Sylva, K. (2010) </w:t>
      </w:r>
      <w:r w:rsidRPr="001F41A9">
        <w:rPr>
          <w:rFonts w:ascii="Arial" w:eastAsia="Times New Roman" w:hAnsi="Arial" w:cs="Arial"/>
          <w:i/>
          <w:iCs/>
          <w:kern w:val="0"/>
          <w:lang w:eastAsia="en-GB"/>
          <w14:ligatures w14:val="none"/>
        </w:rPr>
        <w:t>Early childhood matters: evidence from the effective pre-school and primary education project</w:t>
      </w:r>
      <w:r w:rsidRPr="001F41A9">
        <w:rPr>
          <w:rFonts w:ascii="Arial" w:eastAsia="Times New Roman" w:hAnsi="Arial" w:cs="Arial"/>
          <w:kern w:val="0"/>
          <w:lang w:eastAsia="en-GB"/>
          <w14:ligatures w14:val="none"/>
        </w:rPr>
        <w:t xml:space="preserve">. 1st ed. Abingdon, Oxon, England: Routledge. Available at: </w:t>
      </w:r>
      <w:hyperlink r:id="rId102" w:history="1">
        <w:r w:rsidRPr="001F41A9">
          <w:rPr>
            <w:rFonts w:ascii="Arial" w:eastAsia="Times New Roman" w:hAnsi="Arial" w:cs="Arial"/>
            <w:color w:val="467886" w:themeColor="hyperlink"/>
            <w:kern w:val="0"/>
            <w:u w:val="single"/>
            <w:lang w:eastAsia="en-GB"/>
            <w14:ligatures w14:val="none"/>
          </w:rPr>
          <w:t>https://doi.org/10.4324/9780203862063</w:t>
        </w:r>
      </w:hyperlink>
      <w:r w:rsidRPr="001F41A9">
        <w:rPr>
          <w:rFonts w:ascii="Arial" w:eastAsia="Times New Roman" w:hAnsi="Arial" w:cs="Arial"/>
          <w:kern w:val="0"/>
          <w:lang w:eastAsia="en-GB"/>
          <w14:ligatures w14:val="none"/>
        </w:rPr>
        <w:t>. (Accessed: 29 January 2026)</w:t>
      </w:r>
    </w:p>
    <w:p w14:paraId="7AE949A0"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2BA7BC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Thomas, A. and Lewis, A. (2020) </w:t>
      </w:r>
      <w:r w:rsidRPr="001F41A9">
        <w:rPr>
          <w:rFonts w:ascii="Arial" w:eastAsia="Times New Roman" w:hAnsi="Arial" w:cs="Arial"/>
          <w:i/>
          <w:iCs/>
          <w:kern w:val="0"/>
          <w:lang w:eastAsia="en-GB"/>
          <w14:ligatures w14:val="none"/>
        </w:rPr>
        <w:t>An introduction to the foundation phase: early years curriculum in Wales</w:t>
      </w:r>
      <w:r w:rsidRPr="001F41A9">
        <w:rPr>
          <w:rFonts w:ascii="Arial" w:eastAsia="Times New Roman" w:hAnsi="Arial" w:cs="Arial"/>
          <w:kern w:val="0"/>
          <w:lang w:eastAsia="en-GB"/>
          <w14:ligatures w14:val="none"/>
        </w:rPr>
        <w:t xml:space="preserve">. London, England: Bloomsbury Academic. Available at: </w:t>
      </w:r>
      <w:hyperlink r:id="rId103" w:history="1">
        <w:r w:rsidRPr="001F41A9">
          <w:rPr>
            <w:rFonts w:ascii="Arial" w:eastAsia="Times New Roman" w:hAnsi="Arial" w:cs="Arial"/>
            <w:color w:val="467886" w:themeColor="hyperlink"/>
            <w:kern w:val="0"/>
            <w:u w:val="single"/>
            <w:lang w:eastAsia="en-GB"/>
            <w14:ligatures w14:val="none"/>
          </w:rPr>
          <w:t>https://doi.org/10.5040/9781474264310</w:t>
        </w:r>
      </w:hyperlink>
      <w:r w:rsidRPr="001F41A9">
        <w:rPr>
          <w:rFonts w:ascii="Arial" w:eastAsia="Times New Roman" w:hAnsi="Arial" w:cs="Arial"/>
          <w:kern w:val="0"/>
          <w:lang w:eastAsia="en-GB"/>
          <w14:ligatures w14:val="none"/>
        </w:rPr>
        <w:t>. (Accessed: 14 February 2026)</w:t>
      </w:r>
    </w:p>
    <w:p w14:paraId="272C7145"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F0218F7"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E849EB6"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Tranter, P. (2021) “Urban Playground: How Child-Friendly Planning and Design Can Save Cities by Tim Gill (review),” </w:t>
      </w:r>
      <w:r w:rsidRPr="001F41A9">
        <w:rPr>
          <w:rFonts w:ascii="Arial" w:eastAsia="Times New Roman" w:hAnsi="Arial" w:cs="Arial"/>
          <w:i/>
          <w:iCs/>
          <w:kern w:val="0"/>
          <w:lang w:eastAsia="en-GB"/>
          <w14:ligatures w14:val="none"/>
        </w:rPr>
        <w:t>Children, youth and environments</w:t>
      </w:r>
      <w:r w:rsidRPr="001F41A9">
        <w:rPr>
          <w:rFonts w:ascii="Arial" w:eastAsia="Times New Roman" w:hAnsi="Arial" w:cs="Arial"/>
          <w:kern w:val="0"/>
          <w:lang w:eastAsia="en-GB"/>
          <w14:ligatures w14:val="none"/>
        </w:rPr>
        <w:t xml:space="preserve">, 31(2), pp. 151–153. Available at: </w:t>
      </w:r>
      <w:hyperlink r:id="rId104" w:history="1">
        <w:r w:rsidRPr="001F41A9">
          <w:rPr>
            <w:rFonts w:ascii="Arial" w:eastAsia="Times New Roman" w:hAnsi="Arial" w:cs="Arial"/>
            <w:color w:val="467886" w:themeColor="hyperlink"/>
            <w:kern w:val="0"/>
            <w:u w:val="single"/>
            <w:lang w:eastAsia="en-GB"/>
            <w14:ligatures w14:val="none"/>
          </w:rPr>
          <w:t>https://doi.org/10.1353/cye.2021.a848934</w:t>
        </w:r>
      </w:hyperlink>
      <w:r w:rsidRPr="001F41A9">
        <w:rPr>
          <w:rFonts w:ascii="Arial" w:eastAsia="Times New Roman" w:hAnsi="Arial" w:cs="Arial"/>
          <w:kern w:val="0"/>
          <w:lang w:eastAsia="en-GB"/>
          <w14:ligatures w14:val="none"/>
        </w:rPr>
        <w:t>. (Accessed: 10 February 2026)</w:t>
      </w:r>
    </w:p>
    <w:p w14:paraId="00C9840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DDA1D0A"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398DA15" w14:textId="504C19A4" w:rsidR="001F41A9" w:rsidRPr="000961F1" w:rsidRDefault="001F41A9" w:rsidP="001F41A9">
      <w:pPr>
        <w:spacing w:after="0" w:line="240" w:lineRule="auto"/>
        <w:rPr>
          <w:rFonts w:ascii="Source Sans Pro" w:hAnsi="Source Sans Pro"/>
          <w:color w:val="EE0000"/>
          <w:sz w:val="23"/>
          <w:szCs w:val="23"/>
          <w:shd w:val="clear" w:color="auto" w:fill="FFFFFF"/>
        </w:rPr>
      </w:pPr>
      <w:r w:rsidRPr="001F41A9">
        <w:rPr>
          <w:rFonts w:ascii="Arial" w:eastAsia="Times New Roman" w:hAnsi="Arial" w:cs="Arial"/>
          <w:kern w:val="0"/>
          <w:lang w:eastAsia="en-GB"/>
          <w14:ligatures w14:val="none"/>
        </w:rPr>
        <w:t>Traynor, O.</w:t>
      </w:r>
      <w:r w:rsidR="00FA7BF2">
        <w:rPr>
          <w:rFonts w:ascii="Arial" w:eastAsia="Times New Roman" w:hAnsi="Arial" w:cs="Arial"/>
          <w:kern w:val="0"/>
          <w:lang w:eastAsia="en-GB"/>
          <w14:ligatures w14:val="none"/>
        </w:rPr>
        <w:t>,</w:t>
      </w:r>
      <w:r w:rsidR="00FA7BF2" w:rsidRPr="00FA7BF2">
        <w:rPr>
          <w:rFonts w:ascii="Source Sans Pro" w:hAnsi="Source Sans Pro"/>
          <w:color w:val="EE0000"/>
          <w:sz w:val="23"/>
          <w:szCs w:val="23"/>
          <w:shd w:val="clear" w:color="auto" w:fill="FFFFFF"/>
        </w:rPr>
        <w:t xml:space="preserve"> </w:t>
      </w:r>
      <w:r w:rsidR="00FA7BF2" w:rsidRPr="000961F1">
        <w:rPr>
          <w:rFonts w:ascii="Arial" w:hAnsi="Arial" w:cs="Arial"/>
          <w:shd w:val="clear" w:color="auto" w:fill="FFFFFF"/>
        </w:rPr>
        <w:t>Martin, A., Johnstone, A., Chng, N. R., Kenny, J., McCrorie, P.</w:t>
      </w:r>
      <w:r w:rsidR="000961F1">
        <w:rPr>
          <w:rFonts w:ascii="Source Sans Pro" w:hAnsi="Source Sans Pro"/>
          <w:color w:val="EE0000"/>
          <w:sz w:val="23"/>
          <w:szCs w:val="23"/>
          <w:shd w:val="clear" w:color="auto" w:fill="FFFFFF"/>
        </w:rPr>
        <w:t xml:space="preserve"> </w:t>
      </w:r>
      <w:r w:rsidRPr="001F41A9">
        <w:rPr>
          <w:rFonts w:ascii="Arial" w:eastAsia="Times New Roman" w:hAnsi="Arial" w:cs="Arial"/>
          <w:kern w:val="0"/>
          <w:lang w:eastAsia="en-GB"/>
          <w14:ligatures w14:val="none"/>
        </w:rPr>
        <w:t xml:space="preserve">(2022) “A Low-Cost Method for Understanding How Nature-Based Early Learning and Childcare Impacts Children’s Health and Wellbeing,” </w:t>
      </w:r>
      <w:r w:rsidRPr="001F41A9">
        <w:rPr>
          <w:rFonts w:ascii="Arial" w:eastAsia="Times New Roman" w:hAnsi="Arial" w:cs="Arial"/>
          <w:i/>
          <w:iCs/>
          <w:kern w:val="0"/>
          <w:lang w:eastAsia="en-GB"/>
          <w14:ligatures w14:val="none"/>
        </w:rPr>
        <w:t>Frontiers in psychology</w:t>
      </w:r>
      <w:r w:rsidRPr="001F41A9">
        <w:rPr>
          <w:rFonts w:ascii="Arial" w:eastAsia="Times New Roman" w:hAnsi="Arial" w:cs="Arial"/>
          <w:kern w:val="0"/>
          <w:lang w:eastAsia="en-GB"/>
          <w14:ligatures w14:val="none"/>
        </w:rPr>
        <w:t xml:space="preserve">, 13, p. 889828. Available at: </w:t>
      </w:r>
      <w:hyperlink r:id="rId105" w:history="1">
        <w:r w:rsidRPr="001F41A9">
          <w:rPr>
            <w:rFonts w:ascii="Arial" w:eastAsia="Times New Roman" w:hAnsi="Arial" w:cs="Arial"/>
            <w:color w:val="467886" w:themeColor="hyperlink"/>
            <w:kern w:val="0"/>
            <w:u w:val="single"/>
            <w:lang w:eastAsia="en-GB"/>
            <w14:ligatures w14:val="none"/>
          </w:rPr>
          <w:t>https://doi.org/10.3389/fpsyg.2022.889828</w:t>
        </w:r>
      </w:hyperlink>
      <w:r w:rsidRPr="001F41A9">
        <w:rPr>
          <w:rFonts w:ascii="Arial" w:eastAsia="Times New Roman" w:hAnsi="Arial" w:cs="Arial"/>
          <w:kern w:val="0"/>
          <w:lang w:eastAsia="en-GB"/>
          <w14:ligatures w14:val="none"/>
        </w:rPr>
        <w:t>. (Accessed: 12 February 2026)</w:t>
      </w:r>
    </w:p>
    <w:p w14:paraId="59F3279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EF1D759" w14:textId="77777777" w:rsidR="002F452B" w:rsidRPr="001F41A9" w:rsidRDefault="002F452B" w:rsidP="001F41A9">
      <w:pPr>
        <w:spacing w:after="0" w:line="240" w:lineRule="auto"/>
        <w:rPr>
          <w:rFonts w:ascii="Arial" w:eastAsia="Times New Roman" w:hAnsi="Arial" w:cs="Arial"/>
          <w:kern w:val="0"/>
          <w:lang w:eastAsia="en-GB"/>
          <w14:ligatures w14:val="none"/>
        </w:rPr>
      </w:pPr>
    </w:p>
    <w:p w14:paraId="65856286"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imes New Roman" w:hAnsi="Arial" w:cs="Arial"/>
          <w:spacing w:val="-6"/>
          <w:kern w:val="0"/>
          <w:lang w:eastAsia="en-GB"/>
          <w14:ligatures w14:val="none"/>
        </w:rPr>
        <w:t>UNCRC (1989) Convention on the Rights of the Child. Geneva: United Nations. Available at:  </w:t>
      </w:r>
      <w:hyperlink r:id="rId106" w:history="1">
        <w:r w:rsidRPr="001F41A9">
          <w:rPr>
            <w:rFonts w:ascii="Arial" w:eastAsia="Times New Roman" w:hAnsi="Arial" w:cs="Arial"/>
            <w:color w:val="0071E3"/>
            <w:spacing w:val="-6"/>
            <w:kern w:val="0"/>
            <w:u w:val="single"/>
            <w:lang w:eastAsia="en-GB"/>
            <w14:ligatures w14:val="none"/>
          </w:rPr>
          <w:t>https://www.ohchr.org/en/instruments-mechanisms/instruments/convention-rights-child</w:t>
        </w:r>
      </w:hyperlink>
      <w:r w:rsidRPr="001F41A9">
        <w:rPr>
          <w:rFonts w:eastAsiaTheme="minorEastAsia"/>
          <w:lang w:eastAsia="en-GB"/>
        </w:rPr>
        <w:t xml:space="preserve"> </w:t>
      </w:r>
      <w:r w:rsidRPr="001F41A9">
        <w:rPr>
          <w:rFonts w:ascii="Arial" w:eastAsiaTheme="minorEastAsia" w:hAnsi="Arial" w:cs="Arial"/>
          <w:lang w:eastAsia="en-GB"/>
        </w:rPr>
        <w:t>(Accessed 31 January 2026)</w:t>
      </w:r>
    </w:p>
    <w:p w14:paraId="4921982E"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imes New Roman" w:hAnsi="Arial" w:cs="Arial"/>
          <w:spacing w:val="-6"/>
          <w:kern w:val="0"/>
          <w:lang w:eastAsia="en-GB"/>
          <w14:ligatures w14:val="none"/>
        </w:rPr>
        <w:t xml:space="preserve">United Nations (2005) General Comment No. 7. Geneva: United Nations. Available at: </w:t>
      </w:r>
      <w:hyperlink r:id="rId107" w:history="1">
        <w:r w:rsidRPr="001F41A9">
          <w:rPr>
            <w:rFonts w:ascii="Arial" w:eastAsiaTheme="minorEastAsia" w:hAnsi="Arial" w:cs="Arial"/>
            <w:color w:val="467886" w:themeColor="hyperlink"/>
            <w:u w:val="single"/>
            <w:lang w:eastAsia="en-GB"/>
          </w:rPr>
          <w:t>file:///C:/Users/kater/Downloads/G0644380.pdf</w:t>
        </w:r>
      </w:hyperlink>
      <w:r w:rsidRPr="001F41A9">
        <w:rPr>
          <w:rFonts w:eastAsiaTheme="minorEastAsia"/>
          <w:lang w:eastAsia="en-GB"/>
        </w:rPr>
        <w:t xml:space="preserve">  </w:t>
      </w:r>
      <w:r w:rsidRPr="001F41A9">
        <w:rPr>
          <w:rFonts w:ascii="Arial" w:eastAsiaTheme="minorEastAsia" w:hAnsi="Arial" w:cs="Arial"/>
          <w:lang w:eastAsia="en-GB"/>
        </w:rPr>
        <w:t>(Accessed 31 January 2026)</w:t>
      </w:r>
    </w:p>
    <w:p w14:paraId="28D7ECF6" w14:textId="77777777" w:rsidR="001F41A9" w:rsidRPr="001F41A9" w:rsidRDefault="001F41A9" w:rsidP="001F41A9">
      <w:pPr>
        <w:spacing w:after="180" w:line="240" w:lineRule="auto"/>
        <w:rPr>
          <w:rFonts w:ascii="Arial" w:eastAsia="Times New Roman" w:hAnsi="Arial" w:cs="Arial"/>
          <w:spacing w:val="-6"/>
          <w:kern w:val="0"/>
          <w:lang w:eastAsia="en-GB"/>
          <w14:ligatures w14:val="none"/>
        </w:rPr>
      </w:pPr>
      <w:r w:rsidRPr="001F41A9">
        <w:rPr>
          <w:rFonts w:ascii="Arial" w:eastAsia="Times New Roman" w:hAnsi="Arial" w:cs="Arial"/>
          <w:spacing w:val="-6"/>
          <w:kern w:val="0"/>
          <w:lang w:eastAsia="en-GB"/>
          <w14:ligatures w14:val="none"/>
        </w:rPr>
        <w:t xml:space="preserve">United Nations (2005) General Comment No.26. Geneva: United Nations Available at: </w:t>
      </w:r>
      <w:hyperlink r:id="rId108" w:history="1">
        <w:r w:rsidRPr="001F41A9">
          <w:rPr>
            <w:rFonts w:ascii="Arial" w:eastAsiaTheme="minorEastAsia" w:hAnsi="Arial" w:cs="Arial"/>
            <w:color w:val="467886" w:themeColor="hyperlink"/>
            <w:u w:val="single"/>
            <w:lang w:eastAsia="en-GB"/>
          </w:rPr>
          <w:t>file:///C:/Users/kater/Downloads/G2311760.pdf</w:t>
        </w:r>
      </w:hyperlink>
      <w:r w:rsidRPr="001F41A9">
        <w:rPr>
          <w:rFonts w:ascii="Arial" w:eastAsiaTheme="minorEastAsia" w:hAnsi="Arial" w:cs="Arial"/>
          <w:lang w:eastAsia="en-GB"/>
        </w:rPr>
        <w:t xml:space="preserve"> (Accessed 31 January 2026)</w:t>
      </w:r>
    </w:p>
    <w:p w14:paraId="7EAA6172" w14:textId="60539B47" w:rsidR="001F41A9" w:rsidRPr="001F41A9" w:rsidRDefault="001F41A9" w:rsidP="001F41A9">
      <w:pPr>
        <w:spacing w:after="0" w:line="240" w:lineRule="auto"/>
        <w:rPr>
          <w:rFonts w:ascii="Arial" w:eastAsia="Times New Roman" w:hAnsi="Arial" w:cs="Arial"/>
          <w:kern w:val="0"/>
          <w:lang w:eastAsia="en-GB"/>
          <w14:ligatures w14:val="none"/>
        </w:rPr>
      </w:pPr>
      <w:r w:rsidRPr="006B2359">
        <w:rPr>
          <w:rFonts w:ascii="Arial" w:eastAsia="Times New Roman" w:hAnsi="Arial" w:cs="Arial"/>
          <w:kern w:val="0"/>
          <w:lang w:eastAsia="en-GB"/>
          <w14:ligatures w14:val="none"/>
        </w:rPr>
        <w:t xml:space="preserve">Urban, </w:t>
      </w:r>
      <w:r w:rsidR="00D75118" w:rsidRPr="001F41A9">
        <w:rPr>
          <w:rFonts w:ascii="Arial" w:eastAsia="Times New Roman" w:hAnsi="Arial" w:cs="Arial"/>
          <w:kern w:val="0"/>
          <w:lang w:eastAsia="en-GB"/>
          <w14:ligatures w14:val="none"/>
        </w:rPr>
        <w:t>M</w:t>
      </w:r>
      <w:r w:rsidR="00D75118">
        <w:rPr>
          <w:rFonts w:ascii="Arial" w:eastAsia="Times New Roman" w:hAnsi="Arial" w:cs="Arial"/>
          <w:kern w:val="0"/>
          <w:lang w:eastAsia="en-GB"/>
          <w14:ligatures w14:val="none"/>
        </w:rPr>
        <w:t>.,</w:t>
      </w:r>
      <w:r w:rsidR="00D75118" w:rsidRPr="00A14770">
        <w:rPr>
          <w:rFonts w:ascii="Arial" w:hAnsi="Arial" w:cs="Arial"/>
          <w:shd w:val="clear" w:color="auto" w:fill="FFFFFF"/>
        </w:rPr>
        <w:t xml:space="preserve"> Vandenbroek</w:t>
      </w:r>
      <w:r w:rsidR="00A14770" w:rsidRPr="00A14770">
        <w:rPr>
          <w:rFonts w:ascii="Arial" w:hAnsi="Arial" w:cs="Arial"/>
          <w:shd w:val="clear" w:color="auto" w:fill="FFFFFF"/>
        </w:rPr>
        <w:t>, M., Lazzari, A., Peeters, J., </w:t>
      </w:r>
      <w:r w:rsidR="00A14770" w:rsidRPr="00A14770">
        <w:rPr>
          <w:rFonts w:ascii="Arial" w:hAnsi="Arial" w:cs="Arial"/>
        </w:rPr>
        <w:t>van Laere</w:t>
      </w:r>
      <w:r w:rsidR="00A14770" w:rsidRPr="00A14770">
        <w:rPr>
          <w:rFonts w:ascii="Arial" w:hAnsi="Arial" w:cs="Arial"/>
          <w:shd w:val="clear" w:color="auto" w:fill="FFFFFF"/>
        </w:rPr>
        <w:t>, K.</w:t>
      </w:r>
      <w:r w:rsidRPr="00A14770">
        <w:rPr>
          <w:rFonts w:ascii="Arial" w:eastAsia="Times New Roman" w:hAnsi="Arial" w:cs="Arial"/>
          <w:kern w:val="0"/>
          <w:lang w:eastAsia="en-GB"/>
          <w14:ligatures w14:val="none"/>
        </w:rPr>
        <w:t xml:space="preserve"> </w:t>
      </w:r>
      <w:r w:rsidRPr="001F41A9">
        <w:rPr>
          <w:rFonts w:ascii="Arial" w:eastAsia="Times New Roman" w:hAnsi="Arial" w:cs="Arial"/>
          <w:kern w:val="0"/>
          <w:lang w:eastAsia="en-GB"/>
          <w14:ligatures w14:val="none"/>
        </w:rPr>
        <w:t xml:space="preserve">(2011) </w:t>
      </w:r>
      <w:r w:rsidRPr="001F41A9">
        <w:rPr>
          <w:rFonts w:ascii="Arial" w:eastAsia="Times New Roman" w:hAnsi="Arial" w:cs="Arial"/>
          <w:i/>
          <w:iCs/>
          <w:kern w:val="0"/>
          <w:lang w:eastAsia="en-GB"/>
          <w14:ligatures w14:val="none"/>
        </w:rPr>
        <w:t>Competence Requirements in Early Childhood Education and Care (CoRe)</w:t>
      </w:r>
      <w:r w:rsidRPr="001F41A9">
        <w:rPr>
          <w:rFonts w:ascii="Arial" w:eastAsia="Times New Roman" w:hAnsi="Arial" w:cs="Arial"/>
          <w:kern w:val="0"/>
          <w:lang w:eastAsia="en-GB"/>
          <w14:ligatures w14:val="none"/>
        </w:rPr>
        <w:t>. London/ Ghent: University of East London/ University of Ghent.</w:t>
      </w:r>
    </w:p>
    <w:p w14:paraId="04F4E3B5" w14:textId="77777777" w:rsidR="00FE6D58" w:rsidRDefault="00FE6D58" w:rsidP="001F41A9">
      <w:pPr>
        <w:spacing w:after="0" w:line="240" w:lineRule="auto"/>
        <w:rPr>
          <w:rFonts w:ascii="Arial" w:eastAsia="Times New Roman" w:hAnsi="Arial" w:cs="Arial"/>
          <w:kern w:val="0"/>
          <w:lang w:eastAsia="en-GB"/>
          <w14:ligatures w14:val="none"/>
        </w:rPr>
      </w:pPr>
    </w:p>
    <w:p w14:paraId="31634512" w14:textId="77777777" w:rsidR="00145D0E" w:rsidRPr="001F41A9" w:rsidRDefault="00145D0E" w:rsidP="001F41A9">
      <w:pPr>
        <w:spacing w:after="0" w:line="240" w:lineRule="auto"/>
        <w:rPr>
          <w:rFonts w:ascii="Arial" w:eastAsia="Times New Roman" w:hAnsi="Arial" w:cs="Arial"/>
          <w:kern w:val="0"/>
          <w:lang w:eastAsia="en-GB"/>
          <w14:ligatures w14:val="none"/>
        </w:rPr>
      </w:pPr>
    </w:p>
    <w:p w14:paraId="07121A7B"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Vecchi, V. (2010) </w:t>
      </w:r>
      <w:r w:rsidRPr="001F41A9">
        <w:rPr>
          <w:rFonts w:ascii="Arial" w:eastAsia="Times New Roman" w:hAnsi="Arial" w:cs="Arial"/>
          <w:i/>
          <w:iCs/>
          <w:kern w:val="0"/>
          <w:lang w:eastAsia="en-GB"/>
          <w14:ligatures w14:val="none"/>
        </w:rPr>
        <w:t>Art and creativity in Reggio Emilia: exploring the role and potential of ateliers in early childhood education</w:t>
      </w:r>
      <w:r w:rsidRPr="001F41A9">
        <w:rPr>
          <w:rFonts w:ascii="Arial" w:eastAsia="Times New Roman" w:hAnsi="Arial" w:cs="Arial"/>
          <w:kern w:val="0"/>
          <w:lang w:eastAsia="en-GB"/>
          <w14:ligatures w14:val="none"/>
        </w:rPr>
        <w:t xml:space="preserve">. 1st ed. Abingdon, Oxon, England: Routledge. Available at: </w:t>
      </w:r>
      <w:hyperlink r:id="rId109" w:history="1">
        <w:r w:rsidRPr="001F41A9">
          <w:rPr>
            <w:rFonts w:ascii="Arial" w:eastAsia="Times New Roman" w:hAnsi="Arial" w:cs="Arial"/>
            <w:color w:val="467886" w:themeColor="hyperlink"/>
            <w:kern w:val="0"/>
            <w:u w:val="single"/>
            <w:lang w:eastAsia="en-GB"/>
            <w14:ligatures w14:val="none"/>
          </w:rPr>
          <w:t>https://doi.org/10.4324/9780203854679</w:t>
        </w:r>
      </w:hyperlink>
      <w:r w:rsidRPr="001F41A9">
        <w:rPr>
          <w:rFonts w:ascii="Arial" w:eastAsia="Times New Roman" w:hAnsi="Arial" w:cs="Arial"/>
          <w:kern w:val="0"/>
          <w:lang w:eastAsia="en-GB"/>
          <w14:ligatures w14:val="none"/>
        </w:rPr>
        <w:t>. (Accessed: 11 February 2026)</w:t>
      </w:r>
    </w:p>
    <w:p w14:paraId="5C8E8373" w14:textId="77777777" w:rsidR="001F41A9" w:rsidRPr="001F41A9" w:rsidRDefault="001F41A9" w:rsidP="001F41A9">
      <w:pPr>
        <w:spacing w:before="100" w:beforeAutospacing="1" w:after="100" w:afterAutospacing="1" w:line="240" w:lineRule="auto"/>
        <w:rPr>
          <w:rFonts w:ascii="Arial" w:eastAsiaTheme="minorEastAsia" w:hAnsi="Arial" w:cs="Arial"/>
          <w:color w:val="EE0000"/>
          <w:kern w:val="0"/>
          <w:lang w:eastAsia="en-GB"/>
          <w14:ligatures w14:val="none"/>
        </w:rPr>
      </w:pPr>
    </w:p>
    <w:p w14:paraId="6255B76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lastRenderedPageBreak/>
        <w:t xml:space="preserve">von Au, J. and Jucker, R. (2022) “Outdoor Learning—Why It Should Be High up on the Agenda of Every Educator,” in </w:t>
      </w:r>
      <w:r w:rsidRPr="001F41A9">
        <w:rPr>
          <w:rFonts w:ascii="Arial" w:eastAsia="Times New Roman" w:hAnsi="Arial" w:cs="Arial"/>
          <w:i/>
          <w:iCs/>
          <w:kern w:val="0"/>
          <w:lang w:eastAsia="en-GB"/>
          <w14:ligatures w14:val="none"/>
        </w:rPr>
        <w:t>High-Quality Outdoor Learning</w:t>
      </w:r>
      <w:r w:rsidRPr="001F41A9">
        <w:rPr>
          <w:rFonts w:ascii="Arial" w:eastAsia="Times New Roman" w:hAnsi="Arial" w:cs="Arial"/>
          <w:kern w:val="0"/>
          <w:lang w:eastAsia="en-GB"/>
          <w14:ligatures w14:val="none"/>
        </w:rPr>
        <w:t xml:space="preserve">. Switzerland: Springer International Publishing AG. Available at: </w:t>
      </w:r>
      <w:hyperlink r:id="rId110" w:history="1">
        <w:r w:rsidRPr="001F41A9">
          <w:rPr>
            <w:rFonts w:ascii="Arial" w:eastAsia="Times New Roman" w:hAnsi="Arial" w:cs="Arial"/>
            <w:color w:val="467886" w:themeColor="hyperlink"/>
            <w:kern w:val="0"/>
            <w:u w:val="single"/>
            <w:lang w:eastAsia="en-GB"/>
            <w14:ligatures w14:val="none"/>
          </w:rPr>
          <w:t>https://doi.org/10.1007/9783031041082_1</w:t>
        </w:r>
      </w:hyperlink>
      <w:r w:rsidRPr="001F41A9">
        <w:rPr>
          <w:rFonts w:ascii="Arial" w:eastAsia="Times New Roman" w:hAnsi="Arial" w:cs="Arial"/>
          <w:kern w:val="0"/>
          <w:lang w:eastAsia="en-GB"/>
          <w14:ligatures w14:val="none"/>
        </w:rPr>
        <w:t>. (Accessed: 14 February 2026)</w:t>
      </w:r>
    </w:p>
    <w:p w14:paraId="0D69E87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3074B2F" w14:textId="77777777" w:rsidR="001F41A9" w:rsidRDefault="001F41A9" w:rsidP="001F41A9">
      <w:pPr>
        <w:spacing w:after="0" w:line="240" w:lineRule="auto"/>
        <w:rPr>
          <w:rFonts w:ascii="Arial" w:eastAsia="Times New Roman" w:hAnsi="Arial" w:cs="Arial"/>
          <w:kern w:val="0"/>
          <w:lang w:eastAsia="en-GB"/>
          <w14:ligatures w14:val="none"/>
        </w:rPr>
      </w:pPr>
    </w:p>
    <w:p w14:paraId="7EB6CAFA" w14:textId="77777777" w:rsidR="00475FDF" w:rsidRPr="001F41A9" w:rsidRDefault="00475FDF" w:rsidP="001F41A9">
      <w:pPr>
        <w:spacing w:after="0" w:line="240" w:lineRule="auto"/>
        <w:rPr>
          <w:rFonts w:ascii="Arial" w:eastAsia="Times New Roman" w:hAnsi="Arial" w:cs="Arial"/>
          <w:kern w:val="0"/>
          <w:lang w:eastAsia="en-GB"/>
          <w14:ligatures w14:val="none"/>
        </w:rPr>
      </w:pPr>
    </w:p>
    <w:p w14:paraId="39DC27E3"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von Au, J. and Jucker, R. (2022) “Some Impacts on Health and Wellbeing from School-Based Outdoor Learning,” in </w:t>
      </w:r>
      <w:r w:rsidRPr="001F41A9">
        <w:rPr>
          <w:rFonts w:ascii="Arial" w:eastAsia="Times New Roman" w:hAnsi="Arial" w:cs="Arial"/>
          <w:i/>
          <w:iCs/>
          <w:kern w:val="0"/>
          <w:lang w:eastAsia="en-GB"/>
          <w14:ligatures w14:val="none"/>
        </w:rPr>
        <w:t>High-Quality Outdoor Learning</w:t>
      </w:r>
      <w:r w:rsidRPr="001F41A9">
        <w:rPr>
          <w:rFonts w:ascii="Arial" w:eastAsia="Times New Roman" w:hAnsi="Arial" w:cs="Arial"/>
          <w:kern w:val="0"/>
          <w:lang w:eastAsia="en-GB"/>
          <w14:ligatures w14:val="none"/>
        </w:rPr>
        <w:t xml:space="preserve">. Switzerland: Springer International Publishing AG. Available at: </w:t>
      </w:r>
      <w:hyperlink r:id="rId111" w:history="1">
        <w:r w:rsidRPr="001F41A9">
          <w:rPr>
            <w:rFonts w:ascii="Arial" w:eastAsia="Times New Roman" w:hAnsi="Arial" w:cs="Arial"/>
            <w:color w:val="467886" w:themeColor="hyperlink"/>
            <w:kern w:val="0"/>
            <w:u w:val="single"/>
            <w:lang w:eastAsia="en-GB"/>
            <w14:ligatures w14:val="none"/>
          </w:rPr>
          <w:t>https://doi.org/10.1007/9783031041082_9</w:t>
        </w:r>
      </w:hyperlink>
      <w:r w:rsidRPr="001F41A9">
        <w:rPr>
          <w:rFonts w:ascii="Arial" w:eastAsia="Times New Roman" w:hAnsi="Arial" w:cs="Arial"/>
          <w:kern w:val="0"/>
          <w:lang w:eastAsia="en-GB"/>
          <w14:ligatures w14:val="none"/>
        </w:rPr>
        <w:t>. (Accessed: 14 February 2026)</w:t>
      </w:r>
    </w:p>
    <w:p w14:paraId="4DF2F2D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7C5A6DC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343359EB" w14:textId="0278E031" w:rsid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Von Suchodoletz, A</w:t>
      </w:r>
      <w:r w:rsidRPr="006C56E8">
        <w:rPr>
          <w:rFonts w:ascii="Arial" w:eastAsia="Times New Roman" w:hAnsi="Arial" w:cs="Arial"/>
          <w:kern w:val="0"/>
          <w:lang w:eastAsia="en-GB"/>
          <w14:ligatures w14:val="none"/>
        </w:rPr>
        <w:t>.</w:t>
      </w:r>
      <w:r w:rsidR="00D75118">
        <w:rPr>
          <w:rFonts w:ascii="Arial" w:eastAsia="Times New Roman" w:hAnsi="Arial" w:cs="Arial"/>
          <w:kern w:val="0"/>
          <w:lang w:eastAsia="en-GB"/>
          <w14:ligatures w14:val="none"/>
        </w:rPr>
        <w:t>,</w:t>
      </w:r>
      <w:r w:rsidRPr="006C56E8">
        <w:rPr>
          <w:rFonts w:ascii="Arial" w:eastAsia="Times New Roman" w:hAnsi="Arial" w:cs="Arial"/>
          <w:kern w:val="0"/>
          <w:lang w:eastAsia="en-GB"/>
          <w14:ligatures w14:val="none"/>
        </w:rPr>
        <w:t xml:space="preserve"> </w:t>
      </w:r>
      <w:r w:rsidR="00C51455" w:rsidRPr="006C56E8">
        <w:rPr>
          <w:rFonts w:ascii="Arial" w:hAnsi="Arial" w:cs="Arial"/>
          <w:shd w:val="clear" w:color="auto" w:fill="FFFFFF"/>
        </w:rPr>
        <w:t>Lee, D. S., Henry, J., Tamang, S., Premachandra, B., Yoshikawa, H.</w:t>
      </w:r>
      <w:r w:rsidRPr="006C56E8">
        <w:rPr>
          <w:rFonts w:ascii="Arial" w:eastAsia="Times New Roman" w:hAnsi="Arial" w:cs="Arial"/>
          <w:kern w:val="0"/>
          <w:lang w:eastAsia="en-GB"/>
          <w14:ligatures w14:val="none"/>
        </w:rPr>
        <w:t xml:space="preserve"> </w:t>
      </w:r>
      <w:r w:rsidRPr="001F41A9">
        <w:rPr>
          <w:rFonts w:ascii="Arial" w:eastAsia="Times New Roman" w:hAnsi="Arial" w:cs="Arial"/>
          <w:kern w:val="0"/>
          <w:lang w:eastAsia="en-GB"/>
          <w14:ligatures w14:val="none"/>
        </w:rPr>
        <w:t xml:space="preserve">(2023) “Early childhood education and care quality and associations with child outcomes: A meta-analysis,” </w:t>
      </w:r>
      <w:r w:rsidRPr="001F41A9">
        <w:rPr>
          <w:rFonts w:ascii="Arial" w:eastAsia="Times New Roman" w:hAnsi="Arial" w:cs="Arial"/>
          <w:i/>
          <w:iCs/>
          <w:kern w:val="0"/>
          <w:lang w:eastAsia="en-GB"/>
          <w14:ligatures w14:val="none"/>
        </w:rPr>
        <w:t>PloS one</w:t>
      </w:r>
      <w:r w:rsidRPr="001F41A9">
        <w:rPr>
          <w:rFonts w:ascii="Arial" w:eastAsia="Times New Roman" w:hAnsi="Arial" w:cs="Arial"/>
          <w:kern w:val="0"/>
          <w:lang w:eastAsia="en-GB"/>
          <w14:ligatures w14:val="none"/>
        </w:rPr>
        <w:t xml:space="preserve">, 18(5), p. e0285985. Available at: </w:t>
      </w:r>
      <w:hyperlink r:id="rId112" w:history="1">
        <w:r w:rsidRPr="001F41A9">
          <w:rPr>
            <w:rFonts w:ascii="Arial" w:eastAsia="Times New Roman" w:hAnsi="Arial" w:cs="Arial"/>
            <w:color w:val="467886" w:themeColor="hyperlink"/>
            <w:kern w:val="0"/>
            <w:u w:val="single"/>
            <w:lang w:eastAsia="en-GB"/>
            <w14:ligatures w14:val="none"/>
          </w:rPr>
          <w:t>https://doi.org/10.1371/journal.pone.0285985</w:t>
        </w:r>
      </w:hyperlink>
      <w:r w:rsidRPr="001F41A9">
        <w:rPr>
          <w:rFonts w:ascii="Arial" w:eastAsia="Times New Roman" w:hAnsi="Arial" w:cs="Arial"/>
          <w:kern w:val="0"/>
          <w:lang w:eastAsia="en-GB"/>
          <w14:ligatures w14:val="none"/>
        </w:rPr>
        <w:t>. (Accessed: 3 February 2026)</w:t>
      </w:r>
    </w:p>
    <w:p w14:paraId="5DB426DB" w14:textId="77777777" w:rsidR="008D61D1" w:rsidRPr="001F41A9" w:rsidRDefault="008D61D1" w:rsidP="001F41A9">
      <w:pPr>
        <w:spacing w:after="0" w:line="240" w:lineRule="auto"/>
        <w:rPr>
          <w:rFonts w:ascii="Arial" w:eastAsia="Times New Roman" w:hAnsi="Arial" w:cs="Arial"/>
          <w:kern w:val="0"/>
          <w:lang w:eastAsia="en-GB"/>
          <w14:ligatures w14:val="none"/>
        </w:rPr>
      </w:pPr>
    </w:p>
    <w:p w14:paraId="68C3C68C"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r w:rsidRPr="001F41A9">
        <w:rPr>
          <w:rFonts w:ascii="Arial" w:eastAsia="Times New Roman" w:hAnsi="Arial" w:cs="Arial"/>
          <w:spacing w:val="-6"/>
          <w:kern w:val="0"/>
          <w:lang w:eastAsia="en-GB"/>
          <w14:ligatures w14:val="none"/>
        </w:rPr>
        <w:t xml:space="preserve">Welsh Government (2018) Additional Learning Needs and Education Tribunal (Wales) Act 2018.  Available at: </w:t>
      </w:r>
      <w:hyperlink r:id="rId113" w:history="1">
        <w:r w:rsidRPr="001F41A9">
          <w:rPr>
            <w:rFonts w:ascii="Arial" w:eastAsia="Times New Roman" w:hAnsi="Arial" w:cs="Arial"/>
            <w:color w:val="467886" w:themeColor="hyperlink"/>
            <w:spacing w:val="-6"/>
            <w:kern w:val="0"/>
            <w:u w:val="single"/>
            <w:lang w:eastAsia="en-GB"/>
            <w14:ligatures w14:val="none"/>
          </w:rPr>
          <w:t>https://www.legislation.gov.uk/anaw/2018/2/contents</w:t>
        </w:r>
      </w:hyperlink>
      <w:r w:rsidRPr="001F41A9">
        <w:rPr>
          <w:rFonts w:ascii="Arial" w:eastAsia="Times New Roman" w:hAnsi="Arial" w:cs="Arial"/>
          <w:color w:val="EE0000"/>
          <w:spacing w:val="-6"/>
          <w:kern w:val="0"/>
          <w:u w:val="single"/>
          <w:lang w:eastAsia="en-GB"/>
          <w14:ligatures w14:val="none"/>
        </w:rPr>
        <w:t xml:space="preserve"> </w:t>
      </w:r>
      <w:r w:rsidRPr="001F41A9">
        <w:rPr>
          <w:rFonts w:ascii="Arial" w:eastAsia="Times New Roman" w:hAnsi="Arial" w:cs="Arial"/>
          <w:spacing w:val="-6"/>
          <w:kern w:val="0"/>
          <w:lang w:eastAsia="en-GB"/>
          <w14:ligatures w14:val="none"/>
        </w:rPr>
        <w:t xml:space="preserve">(Accessed: 2 February 2026)   </w:t>
      </w:r>
    </w:p>
    <w:p w14:paraId="39A4DC2D"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r w:rsidRPr="001F41A9">
        <w:rPr>
          <w:rFonts w:ascii="Arial" w:eastAsia="Times New Roman" w:hAnsi="Arial" w:cs="Arial"/>
          <w:spacing w:val="-6"/>
          <w:kern w:val="0"/>
          <w:lang w:eastAsia="en-GB"/>
          <w14:ligatures w14:val="none"/>
        </w:rPr>
        <w:t>Welsh government (2023)</w:t>
      </w:r>
      <w:r w:rsidRPr="001F41A9">
        <w:rPr>
          <w:rFonts w:ascii="Arial" w:eastAsiaTheme="minorEastAsia" w:hAnsi="Arial" w:cs="Arial"/>
          <w:lang w:eastAsia="en-GB"/>
        </w:rPr>
        <w:t xml:space="preserve"> National Minimum Standards for Regulated Childcare for children up to the age of 12 years. Available at:</w:t>
      </w:r>
      <w:r w:rsidRPr="001F41A9">
        <w:rPr>
          <w:rFonts w:ascii="Arial" w:eastAsia="Times New Roman" w:hAnsi="Arial" w:cs="Arial"/>
          <w:spacing w:val="-6"/>
          <w:kern w:val="0"/>
          <w:lang w:eastAsia="en-GB"/>
          <w14:ligatures w14:val="none"/>
        </w:rPr>
        <w:t xml:space="preserve"> </w:t>
      </w:r>
      <w:hyperlink r:id="rId114" w:history="1">
        <w:r w:rsidRPr="001F41A9">
          <w:rPr>
            <w:rFonts w:ascii="Arial" w:eastAsia="Times New Roman" w:hAnsi="Arial" w:cs="Arial"/>
            <w:color w:val="467886" w:themeColor="hyperlink"/>
            <w:spacing w:val="-6"/>
            <w:kern w:val="0"/>
            <w:u w:val="single"/>
            <w:lang w:eastAsia="en-GB"/>
            <w14:ligatures w14:val="none"/>
          </w:rPr>
          <w:t>https://www.gov.wales/sites/default/files/publications/2025-09/national-minimum-standards-for-regulated-childcare.pdf</w:t>
        </w:r>
      </w:hyperlink>
      <w:r w:rsidRPr="001F41A9">
        <w:rPr>
          <w:rFonts w:ascii="Arial" w:eastAsia="Times New Roman" w:hAnsi="Arial" w:cs="Arial"/>
          <w:color w:val="EE0000"/>
          <w:spacing w:val="-6"/>
          <w:kern w:val="0"/>
          <w:lang w:eastAsia="en-GB"/>
          <w14:ligatures w14:val="none"/>
        </w:rPr>
        <w:t xml:space="preserve">  </w:t>
      </w:r>
      <w:r w:rsidRPr="001F41A9">
        <w:rPr>
          <w:rFonts w:ascii="Arial" w:eastAsia="Times New Roman" w:hAnsi="Arial" w:cs="Arial"/>
          <w:spacing w:val="-6"/>
          <w:kern w:val="0"/>
          <w:lang w:eastAsia="en-GB"/>
          <w14:ligatures w14:val="none"/>
        </w:rPr>
        <w:t xml:space="preserve">(Accessed: 3 February 2026) </w:t>
      </w:r>
    </w:p>
    <w:p w14:paraId="049F72BB"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r w:rsidRPr="001F41A9">
        <w:rPr>
          <w:rFonts w:ascii="Arial" w:eastAsia="Times New Roman" w:hAnsi="Arial" w:cs="Arial"/>
          <w:spacing w:val="-6"/>
          <w:kern w:val="0"/>
          <w:lang w:eastAsia="en-GB"/>
          <w14:ligatures w14:val="none"/>
        </w:rPr>
        <w:t xml:space="preserve">Welsh Government (2023a) </w:t>
      </w:r>
      <w:r w:rsidRPr="001F41A9">
        <w:rPr>
          <w:rFonts w:ascii="Arial" w:eastAsiaTheme="minorEastAsia" w:hAnsi="Arial" w:cs="Arial"/>
          <w:lang w:eastAsia="en-GB"/>
        </w:rPr>
        <w:t xml:space="preserve">Teaching and learning in the outdoors: the current state of outdoor learning in schools in Wales. Available at: </w:t>
      </w:r>
      <w:hyperlink r:id="rId115" w:history="1">
        <w:r w:rsidRPr="001F41A9">
          <w:rPr>
            <w:rFonts w:ascii="Arial" w:eastAsia="Times New Roman" w:hAnsi="Arial" w:cs="Arial"/>
            <w:color w:val="467886" w:themeColor="hyperlink"/>
            <w:spacing w:val="-6"/>
            <w:kern w:val="0"/>
            <w:u w:val="single"/>
            <w:lang w:eastAsia="en-GB"/>
            <w14:ligatures w14:val="none"/>
          </w:rPr>
          <w:t>https://hwb.gov.wales/api/storage/177a33a6-7c70-4843-bb63-903e70a04154/teaching-and-learning-in-the-outdoors-the-current-state-of-outdoor-learning-in-schools-in-wales.pdf</w:t>
        </w:r>
      </w:hyperlink>
      <w:r w:rsidRPr="001F41A9">
        <w:rPr>
          <w:rFonts w:ascii="Arial" w:eastAsia="Times New Roman" w:hAnsi="Arial" w:cs="Arial"/>
          <w:color w:val="EE0000"/>
          <w:spacing w:val="-6"/>
          <w:kern w:val="0"/>
          <w:lang w:eastAsia="en-GB"/>
          <w14:ligatures w14:val="none"/>
        </w:rPr>
        <w:t xml:space="preserve"> </w:t>
      </w:r>
      <w:r w:rsidRPr="001F41A9">
        <w:rPr>
          <w:rFonts w:ascii="Arial" w:eastAsia="Times New Roman" w:hAnsi="Arial" w:cs="Arial"/>
          <w:spacing w:val="-6"/>
          <w:kern w:val="0"/>
          <w:lang w:eastAsia="en-GB"/>
          <w14:ligatures w14:val="none"/>
        </w:rPr>
        <w:t xml:space="preserve">(Accessed: 2 February 2026)   </w:t>
      </w:r>
    </w:p>
    <w:p w14:paraId="7401353D" w14:textId="77777777" w:rsidR="001F41A9" w:rsidRPr="001F41A9" w:rsidRDefault="001F41A9" w:rsidP="001F41A9">
      <w:pPr>
        <w:spacing w:before="100" w:beforeAutospacing="1" w:after="100" w:afterAutospacing="1" w:line="240" w:lineRule="auto"/>
        <w:rPr>
          <w:rFonts w:ascii="Arial" w:eastAsia="Times New Roman" w:hAnsi="Arial" w:cs="Arial"/>
          <w:spacing w:val="-6"/>
          <w:kern w:val="0"/>
          <w:lang w:eastAsia="en-GB"/>
          <w14:ligatures w14:val="none"/>
        </w:rPr>
      </w:pPr>
      <w:r w:rsidRPr="001F41A9">
        <w:rPr>
          <w:rFonts w:ascii="Arial" w:eastAsia="Times New Roman" w:hAnsi="Arial" w:cs="Arial"/>
          <w:spacing w:val="-6"/>
          <w:kern w:val="0"/>
          <w:lang w:eastAsia="en-GB"/>
          <w14:ligatures w14:val="none"/>
        </w:rPr>
        <w:t xml:space="preserve">Welsh Government (2024) </w:t>
      </w:r>
      <w:r w:rsidRPr="001F41A9">
        <w:rPr>
          <w:rFonts w:ascii="Arial" w:eastAsiaTheme="minorEastAsia" w:hAnsi="Arial" w:cs="Arial"/>
          <w:lang w:eastAsia="en-GB"/>
        </w:rPr>
        <w:t xml:space="preserve">A curriculum for funded non-maintained nursery settings </w:t>
      </w:r>
      <w:r w:rsidRPr="001F41A9">
        <w:rPr>
          <w:rFonts w:ascii="Arial" w:eastAsia="Times New Roman" w:hAnsi="Arial" w:cs="Arial"/>
          <w:spacing w:val="-6"/>
          <w:kern w:val="0"/>
          <w:lang w:eastAsia="en-GB"/>
          <w14:ligatures w14:val="none"/>
        </w:rPr>
        <w:t xml:space="preserve"> Available at: </w:t>
      </w:r>
      <w:hyperlink r:id="rId116" w:history="1">
        <w:r w:rsidRPr="001F41A9">
          <w:rPr>
            <w:rFonts w:ascii="Arial" w:eastAsia="Times New Roman" w:hAnsi="Arial" w:cs="Arial"/>
            <w:color w:val="467886" w:themeColor="hyperlink"/>
            <w:spacing w:val="-6"/>
            <w:kern w:val="0"/>
            <w:u w:val="single"/>
            <w:lang w:eastAsia="en-GB"/>
            <w14:ligatures w14:val="none"/>
          </w:rPr>
          <w:t>https://hwb.gov.wales/api/storage/1f581142-6b91-41e4-845d-3d6c7765df20/a-curriculum-for-funded-non-maintained-nursery-settings.pdf</w:t>
        </w:r>
      </w:hyperlink>
      <w:r w:rsidRPr="001F41A9">
        <w:rPr>
          <w:rFonts w:ascii="Arial" w:eastAsia="Times New Roman" w:hAnsi="Arial" w:cs="Arial"/>
          <w:color w:val="EE0000"/>
          <w:spacing w:val="-6"/>
          <w:kern w:val="0"/>
          <w:lang w:eastAsia="en-GB"/>
          <w14:ligatures w14:val="none"/>
        </w:rPr>
        <w:t xml:space="preserve"> </w:t>
      </w:r>
      <w:r w:rsidRPr="001F41A9">
        <w:rPr>
          <w:rFonts w:ascii="Arial" w:eastAsia="Times New Roman" w:hAnsi="Arial" w:cs="Arial"/>
          <w:spacing w:val="-6"/>
          <w:kern w:val="0"/>
          <w:lang w:eastAsia="en-GB"/>
          <w14:ligatures w14:val="none"/>
        </w:rPr>
        <w:t xml:space="preserve">(Accessed: 2 February 2026)   </w:t>
      </w:r>
    </w:p>
    <w:p w14:paraId="6D646609"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r w:rsidRPr="001F41A9">
        <w:rPr>
          <w:rFonts w:ascii="Arial" w:eastAsiaTheme="minorEastAsia" w:hAnsi="Arial" w:cs="Arial"/>
          <w:lang w:eastAsia="en-GB"/>
        </w:rPr>
        <w:t xml:space="preserve">Welsh Government (2024) </w:t>
      </w:r>
      <w:r w:rsidRPr="001F41A9">
        <w:rPr>
          <w:rFonts w:ascii="Arial" w:eastAsiaTheme="minorEastAsia" w:hAnsi="Arial" w:cs="Arial"/>
          <w:i/>
          <w:iCs/>
          <w:lang w:eastAsia="en-GB"/>
        </w:rPr>
        <w:t>Frequently asked questions Curriculum for Wales: foundation learning 1 Curriculum for Wales: foundation learning in schools and funded non-maintained nursery settings.</w:t>
      </w:r>
      <w:r w:rsidRPr="001F41A9">
        <w:rPr>
          <w:rFonts w:ascii="Arial" w:eastAsiaTheme="minorEastAsia" w:hAnsi="Arial" w:cs="Arial"/>
          <w:lang w:eastAsia="en-GB"/>
        </w:rPr>
        <w:t xml:space="preserve"> Available at:</w:t>
      </w:r>
      <w:r w:rsidRPr="001F41A9">
        <w:rPr>
          <w:rFonts w:ascii="Arial" w:eastAsia="Times New Roman" w:hAnsi="Arial" w:cs="Arial"/>
          <w:color w:val="EE0000"/>
          <w:spacing w:val="-6"/>
          <w:kern w:val="0"/>
          <w:lang w:eastAsia="en-GB"/>
          <w14:ligatures w14:val="none"/>
        </w:rPr>
        <w:t xml:space="preserve"> </w:t>
      </w:r>
      <w:hyperlink r:id="rId117" w:history="1">
        <w:r w:rsidRPr="001F41A9">
          <w:rPr>
            <w:rFonts w:ascii="Arial" w:eastAsia="Times New Roman" w:hAnsi="Arial" w:cs="Arial"/>
            <w:color w:val="467886" w:themeColor="hyperlink"/>
            <w:spacing w:val="-6"/>
            <w:kern w:val="0"/>
            <w:u w:val="single"/>
            <w:lang w:eastAsia="en-GB"/>
            <w14:ligatures w14:val="none"/>
          </w:rPr>
          <w:t>https://hwb.gov.wales/api/storage/68657fda-7b73-4086-8148-70949556c727/220217-curriculum-planning-and-priorities-guide.pdf</w:t>
        </w:r>
      </w:hyperlink>
      <w:r w:rsidRPr="001F41A9">
        <w:rPr>
          <w:rFonts w:ascii="Arial" w:eastAsia="Times New Roman" w:hAnsi="Arial" w:cs="Arial"/>
          <w:color w:val="EE0000"/>
          <w:spacing w:val="-6"/>
          <w:kern w:val="0"/>
          <w:lang w:eastAsia="en-GB"/>
          <w14:ligatures w14:val="none"/>
        </w:rPr>
        <w:t xml:space="preserve"> </w:t>
      </w:r>
      <w:r w:rsidRPr="001F41A9">
        <w:rPr>
          <w:rFonts w:ascii="Arial" w:eastAsia="Times New Roman" w:hAnsi="Arial" w:cs="Arial"/>
          <w:spacing w:val="-6"/>
          <w:kern w:val="0"/>
          <w:lang w:eastAsia="en-GB"/>
          <w14:ligatures w14:val="none"/>
        </w:rPr>
        <w:t>(Accessed: 2 February 2026)</w:t>
      </w:r>
    </w:p>
    <w:p w14:paraId="2A5A84FC" w14:textId="122504B3" w:rsidR="00D034DA" w:rsidRPr="00544380" w:rsidRDefault="0004264A" w:rsidP="001F41A9">
      <w:pPr>
        <w:spacing w:after="180" w:line="240" w:lineRule="auto"/>
        <w:rPr>
          <w:rFonts w:ascii="Arial" w:eastAsia="Times New Roman" w:hAnsi="Arial" w:cs="Arial"/>
          <w:spacing w:val="-6"/>
          <w:kern w:val="0"/>
          <w:lang w:eastAsia="en-GB"/>
          <w14:ligatures w14:val="none"/>
        </w:rPr>
      </w:pPr>
      <w:r w:rsidRPr="0004264A">
        <w:rPr>
          <w:rFonts w:ascii="Arial" w:eastAsia="Times New Roman" w:hAnsi="Arial" w:cs="Arial"/>
          <w:spacing w:val="-6"/>
          <w:kern w:val="0"/>
          <w:lang w:eastAsia="en-GB"/>
          <w14:ligatures w14:val="none"/>
        </w:rPr>
        <w:t xml:space="preserve">Welsh Government (2024) </w:t>
      </w:r>
      <w:r w:rsidRPr="0004264A">
        <w:rPr>
          <w:rFonts w:ascii="Arial" w:eastAsia="Times New Roman" w:hAnsi="Arial" w:cs="Arial"/>
          <w:i/>
          <w:iCs/>
          <w:spacing w:val="-6"/>
          <w:kern w:val="0"/>
          <w:lang w:eastAsia="en-GB"/>
          <w14:ligatures w14:val="none"/>
        </w:rPr>
        <w:t>Introduction to Curriculum for Wales guidance</w:t>
      </w:r>
      <w:r w:rsidRPr="0004264A">
        <w:rPr>
          <w:rFonts w:ascii="Arial" w:eastAsia="Times New Roman" w:hAnsi="Arial" w:cs="Arial"/>
          <w:spacing w:val="-6"/>
          <w:kern w:val="0"/>
          <w:lang w:eastAsia="en-GB"/>
          <w14:ligatures w14:val="none"/>
        </w:rPr>
        <w:t>. Available at:</w:t>
      </w:r>
      <w:hyperlink r:id="rId118" w:anchor="an-integrated-approach-to-learning-and-teaching" w:history="1">
        <w:r w:rsidR="00842C73" w:rsidRPr="00D0447C">
          <w:rPr>
            <w:rStyle w:val="Hyperlink"/>
            <w:rFonts w:ascii="Arial" w:eastAsia="Times New Roman" w:hAnsi="Arial" w:cs="Arial"/>
            <w:spacing w:val="-6"/>
            <w:kern w:val="0"/>
            <w:lang w:eastAsia="en-GB"/>
            <w14:ligatures w14:val="none"/>
          </w:rPr>
          <w:t>https://hwb.gov.wales/curriculum-for-wales/introduction-to-curriculum-for-wales-guidance/#an-integrated-approach-to-learning-and-teaching</w:t>
        </w:r>
      </w:hyperlink>
      <w:r w:rsidR="001F41A9" w:rsidRPr="001F41A9">
        <w:rPr>
          <w:rFonts w:ascii="Arial" w:eastAsia="Times New Roman" w:hAnsi="Arial" w:cs="Arial"/>
          <w:spacing w:val="-6"/>
          <w:kern w:val="0"/>
          <w:lang w:eastAsia="en-GB"/>
          <w14:ligatures w14:val="none"/>
        </w:rPr>
        <w:t xml:space="preserve"> (Accessed: 2 February 2026)</w:t>
      </w:r>
    </w:p>
    <w:p w14:paraId="6DAC901C" w14:textId="77777777" w:rsidR="001F41A9" w:rsidRPr="001F41A9" w:rsidRDefault="001F41A9" w:rsidP="001F41A9">
      <w:pPr>
        <w:spacing w:line="276" w:lineRule="auto"/>
        <w:rPr>
          <w:rFonts w:eastAsiaTheme="minorEastAsia"/>
          <w:lang w:eastAsia="en-GB"/>
        </w:rPr>
      </w:pPr>
    </w:p>
    <w:p w14:paraId="102176D7"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spacing w:val="-6"/>
          <w:kern w:val="0"/>
          <w:lang w:eastAsia="en-GB"/>
          <w14:ligatures w14:val="none"/>
        </w:rPr>
        <w:lastRenderedPageBreak/>
        <w:t xml:space="preserve">Welsh Government (2025) </w:t>
      </w:r>
      <w:r w:rsidRPr="001F41A9">
        <w:rPr>
          <w:rFonts w:ascii="Arial" w:eastAsia="Times New Roman" w:hAnsi="Arial" w:cs="Arial"/>
          <w:i/>
          <w:iCs/>
          <w:spacing w:val="-6"/>
          <w:kern w:val="0"/>
          <w:lang w:eastAsia="en-GB"/>
          <w14:ligatures w14:val="none"/>
        </w:rPr>
        <w:t>Childcare and Early Years Capital Programme 2025-2028</w:t>
      </w:r>
      <w:r w:rsidRPr="001F41A9">
        <w:rPr>
          <w:rFonts w:ascii="Arial" w:eastAsia="Times New Roman" w:hAnsi="Arial" w:cs="Arial"/>
          <w:spacing w:val="-6"/>
          <w:kern w:val="0"/>
          <w:lang w:eastAsia="en-GB"/>
          <w14:ligatures w14:val="none"/>
        </w:rPr>
        <w:t xml:space="preserve">. Available at: </w:t>
      </w:r>
      <w:hyperlink r:id="rId119" w:history="1">
        <w:r w:rsidRPr="001F41A9">
          <w:rPr>
            <w:rFonts w:ascii="Arial" w:eastAsiaTheme="minorEastAsia" w:hAnsi="Arial" w:cs="Arial"/>
            <w:color w:val="467886" w:themeColor="hyperlink"/>
            <w:u w:val="single"/>
            <w:lang w:eastAsia="en-GB"/>
          </w:rPr>
          <w:t>https://www.gov.wales/childcare-and-early-years-capital-programme-2025-2028-html</w:t>
        </w:r>
      </w:hyperlink>
      <w:r w:rsidRPr="001F41A9">
        <w:rPr>
          <w:rFonts w:ascii="Arial" w:eastAsiaTheme="minorEastAsia" w:hAnsi="Arial" w:cs="Arial"/>
          <w:lang w:eastAsia="en-GB"/>
        </w:rPr>
        <w:t xml:space="preserve"> </w:t>
      </w:r>
      <w:r w:rsidRPr="001F41A9">
        <w:rPr>
          <w:rFonts w:ascii="Arial" w:eastAsia="Times New Roman" w:hAnsi="Arial" w:cs="Arial"/>
          <w:kern w:val="0"/>
          <w:lang w:eastAsia="en-GB"/>
          <w14:ligatures w14:val="none"/>
        </w:rPr>
        <w:t>(Accessed: 14 February 2026)</w:t>
      </w:r>
    </w:p>
    <w:p w14:paraId="6ED8C289" w14:textId="77777777" w:rsidR="001F41A9" w:rsidRPr="001F41A9" w:rsidRDefault="001F41A9" w:rsidP="001F41A9">
      <w:pPr>
        <w:spacing w:after="180" w:line="240" w:lineRule="auto"/>
        <w:rPr>
          <w:rFonts w:ascii="Arial" w:eastAsia="Times New Roman" w:hAnsi="Arial" w:cs="Arial"/>
          <w:i/>
          <w:iCs/>
          <w:spacing w:val="-6"/>
          <w:kern w:val="0"/>
          <w:lang w:eastAsia="en-GB"/>
          <w14:ligatures w14:val="none"/>
        </w:rPr>
      </w:pPr>
    </w:p>
    <w:p w14:paraId="0CABF6F6" w14:textId="77777777" w:rsidR="001F41A9" w:rsidRPr="001F41A9" w:rsidRDefault="001F41A9" w:rsidP="001F41A9">
      <w:pPr>
        <w:spacing w:after="180" w:line="240" w:lineRule="auto"/>
        <w:rPr>
          <w:rFonts w:ascii="Arial" w:eastAsia="Times New Roman" w:hAnsi="Arial" w:cs="Arial"/>
          <w:color w:val="EE0000"/>
          <w:spacing w:val="-6"/>
          <w:kern w:val="0"/>
          <w:lang w:eastAsia="en-GB"/>
          <w14:ligatures w14:val="none"/>
        </w:rPr>
      </w:pPr>
      <w:r w:rsidRPr="001F41A9">
        <w:rPr>
          <w:rFonts w:ascii="Arial" w:eastAsia="Times New Roman" w:hAnsi="Arial" w:cs="Arial"/>
          <w:spacing w:val="-6"/>
          <w:kern w:val="0"/>
          <w:lang w:eastAsia="en-GB"/>
          <w14:ligatures w14:val="none"/>
        </w:rPr>
        <w:t xml:space="preserve">Welsh Government (2025) Childcare Offer for Wales.  Available at: </w:t>
      </w:r>
      <w:hyperlink r:id="rId120" w:history="1">
        <w:r w:rsidRPr="001F41A9">
          <w:rPr>
            <w:rFonts w:ascii="Arial" w:eastAsia="Times New Roman" w:hAnsi="Arial" w:cs="Arial"/>
            <w:color w:val="467886" w:themeColor="hyperlink"/>
            <w:spacing w:val="-6"/>
            <w:kern w:val="0"/>
            <w:u w:val="single"/>
            <w:lang w:eastAsia="en-GB"/>
            <w14:ligatures w14:val="none"/>
          </w:rPr>
          <w:t>https://www.gov.wales/sites/default/files/publications/2025-04/childcare-offer-for-wales-local-authority-guidance-7-april-2025-english.pdf</w:t>
        </w:r>
      </w:hyperlink>
      <w:r w:rsidRPr="001F41A9">
        <w:rPr>
          <w:rFonts w:ascii="Arial" w:eastAsia="Times New Roman" w:hAnsi="Arial" w:cs="Arial"/>
          <w:spacing w:val="-6"/>
          <w:kern w:val="0"/>
          <w:lang w:eastAsia="en-GB"/>
          <w14:ligatures w14:val="none"/>
        </w:rPr>
        <w:t xml:space="preserve"> (Accessed: 2 February 2026)</w:t>
      </w:r>
    </w:p>
    <w:p w14:paraId="3C2DF224"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White, J. (2020) </w:t>
      </w:r>
      <w:r w:rsidRPr="001F41A9">
        <w:rPr>
          <w:rFonts w:ascii="Arial" w:eastAsia="Times New Roman" w:hAnsi="Arial" w:cs="Arial"/>
          <w:i/>
          <w:iCs/>
          <w:kern w:val="0"/>
          <w:lang w:eastAsia="en-GB"/>
          <w14:ligatures w14:val="none"/>
        </w:rPr>
        <w:t>Playing and learning outdoors: the practical guide and sourcebook for excellence in outdoor provision and practice with young children</w:t>
      </w:r>
      <w:r w:rsidRPr="001F41A9">
        <w:rPr>
          <w:rFonts w:ascii="Arial" w:eastAsia="Times New Roman" w:hAnsi="Arial" w:cs="Arial"/>
          <w:kern w:val="0"/>
          <w:lang w:eastAsia="en-GB"/>
          <w14:ligatures w14:val="none"/>
        </w:rPr>
        <w:t>. Third edition. London: Routledge.</w:t>
      </w:r>
    </w:p>
    <w:p w14:paraId="49AF2073"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5E7CBFA8"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Wilson, T. (2025) </w:t>
      </w:r>
      <w:r w:rsidRPr="001F41A9">
        <w:rPr>
          <w:rFonts w:ascii="Arial" w:eastAsia="Times New Roman" w:hAnsi="Arial" w:cs="Arial"/>
          <w:i/>
          <w:iCs/>
          <w:kern w:val="0"/>
          <w:lang w:eastAsia="en-GB"/>
          <w14:ligatures w14:val="none"/>
        </w:rPr>
        <w:t>Working with parents, carers and families in the early years: the essential guide</w:t>
      </w:r>
      <w:r w:rsidRPr="001F41A9">
        <w:rPr>
          <w:rFonts w:ascii="Arial" w:eastAsia="Times New Roman" w:hAnsi="Arial" w:cs="Arial"/>
          <w:kern w:val="0"/>
          <w:lang w:eastAsia="en-GB"/>
          <w14:ligatures w14:val="none"/>
        </w:rPr>
        <w:t xml:space="preserve">. Second edition. London: Routledge. Available at: </w:t>
      </w:r>
      <w:hyperlink r:id="rId121" w:history="1">
        <w:r w:rsidRPr="001F41A9">
          <w:rPr>
            <w:rFonts w:ascii="Arial" w:eastAsia="Times New Roman" w:hAnsi="Arial" w:cs="Arial"/>
            <w:color w:val="467886" w:themeColor="hyperlink"/>
            <w:kern w:val="0"/>
            <w:u w:val="single"/>
            <w:lang w:eastAsia="en-GB"/>
            <w14:ligatures w14:val="none"/>
          </w:rPr>
          <w:t>https://doi.org/10.4324/9781003429562</w:t>
        </w:r>
      </w:hyperlink>
      <w:r w:rsidRPr="001F41A9">
        <w:rPr>
          <w:rFonts w:ascii="Arial" w:eastAsia="Times New Roman" w:hAnsi="Arial" w:cs="Arial"/>
          <w:kern w:val="0"/>
          <w:lang w:eastAsia="en-GB"/>
          <w14:ligatures w14:val="none"/>
        </w:rPr>
        <w:t>. (Accessed: 14 February 2026)</w:t>
      </w:r>
    </w:p>
    <w:p w14:paraId="72D16EBD"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792394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FAC32EE"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Woods, A. (2017) </w:t>
      </w:r>
      <w:r w:rsidRPr="001F41A9">
        <w:rPr>
          <w:rFonts w:ascii="Arial" w:eastAsia="Times New Roman" w:hAnsi="Arial" w:cs="Arial"/>
          <w:i/>
          <w:iCs/>
          <w:kern w:val="0"/>
          <w:lang w:eastAsia="en-GB"/>
          <w14:ligatures w14:val="none"/>
        </w:rPr>
        <w:t>Child-initiated play and learning: planning for possibilities in the early years</w:t>
      </w:r>
      <w:r w:rsidRPr="001F41A9">
        <w:rPr>
          <w:rFonts w:ascii="Arial" w:eastAsia="Times New Roman" w:hAnsi="Arial" w:cs="Arial"/>
          <w:kern w:val="0"/>
          <w:lang w:eastAsia="en-GB"/>
          <w14:ligatures w14:val="none"/>
        </w:rPr>
        <w:t xml:space="preserve">. Second edition. London: Routledge. Available at: </w:t>
      </w:r>
      <w:hyperlink r:id="rId122" w:history="1">
        <w:r w:rsidRPr="001F41A9">
          <w:rPr>
            <w:rFonts w:ascii="Arial" w:eastAsia="Times New Roman" w:hAnsi="Arial" w:cs="Arial"/>
            <w:color w:val="467886" w:themeColor="hyperlink"/>
            <w:kern w:val="0"/>
            <w:u w:val="single"/>
            <w:lang w:eastAsia="en-GB"/>
            <w14:ligatures w14:val="none"/>
          </w:rPr>
          <w:t>https://doi.org/10.4324/9781315541969</w:t>
        </w:r>
      </w:hyperlink>
      <w:r w:rsidRPr="001F41A9">
        <w:rPr>
          <w:rFonts w:ascii="Arial" w:eastAsia="Times New Roman" w:hAnsi="Arial" w:cs="Arial"/>
          <w:kern w:val="0"/>
          <w:lang w:eastAsia="en-GB"/>
          <w14:ligatures w14:val="none"/>
        </w:rPr>
        <w:t>. (Accessed: 14 February 2026)</w:t>
      </w:r>
    </w:p>
    <w:p w14:paraId="3C2AC202"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4F618FC8"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CD5C950" w14:textId="77777777" w:rsidR="001F41A9" w:rsidRPr="001F41A9" w:rsidRDefault="001F41A9" w:rsidP="001F41A9">
      <w:pPr>
        <w:spacing w:after="0" w:line="240" w:lineRule="auto"/>
        <w:rPr>
          <w:rFonts w:ascii="Arial" w:eastAsia="Times New Roman" w:hAnsi="Arial" w:cs="Arial"/>
          <w:kern w:val="0"/>
          <w:lang w:eastAsia="en-GB"/>
          <w14:ligatures w14:val="none"/>
        </w:rPr>
      </w:pPr>
      <w:r w:rsidRPr="001F41A9">
        <w:rPr>
          <w:rFonts w:ascii="Arial" w:eastAsia="Times New Roman" w:hAnsi="Arial" w:cs="Arial"/>
          <w:kern w:val="0"/>
          <w:lang w:eastAsia="en-GB"/>
          <w14:ligatures w14:val="none"/>
        </w:rPr>
        <w:t xml:space="preserve">Yue, Z. and Chen, J. (2023) “Direct, indirect, and vicarious nature experiences collectively predict preadolescents’ self-reported nature connectedness and conservation behaviours,” </w:t>
      </w:r>
      <w:r w:rsidRPr="001F41A9">
        <w:rPr>
          <w:rFonts w:ascii="Arial" w:eastAsia="Times New Roman" w:hAnsi="Arial" w:cs="Arial"/>
          <w:i/>
          <w:iCs/>
          <w:kern w:val="0"/>
          <w:lang w:eastAsia="en-GB"/>
          <w14:ligatures w14:val="none"/>
        </w:rPr>
        <w:t>PeerJ (San Francisco, CA)</w:t>
      </w:r>
      <w:r w:rsidRPr="001F41A9">
        <w:rPr>
          <w:rFonts w:ascii="Arial" w:eastAsia="Times New Roman" w:hAnsi="Arial" w:cs="Arial"/>
          <w:kern w:val="0"/>
          <w:lang w:eastAsia="en-GB"/>
          <w14:ligatures w14:val="none"/>
        </w:rPr>
        <w:t xml:space="preserve">, 11. Available at: </w:t>
      </w:r>
      <w:hyperlink r:id="rId123" w:history="1">
        <w:r w:rsidRPr="001F41A9">
          <w:rPr>
            <w:rFonts w:ascii="Arial" w:eastAsia="Times New Roman" w:hAnsi="Arial" w:cs="Arial"/>
            <w:color w:val="467886" w:themeColor="hyperlink"/>
            <w:kern w:val="0"/>
            <w:u w:val="single"/>
            <w:lang w:eastAsia="en-GB"/>
            <w14:ligatures w14:val="none"/>
          </w:rPr>
          <w:t>https://doi.org/10.7717/peerj.15542</w:t>
        </w:r>
      </w:hyperlink>
      <w:r w:rsidRPr="001F41A9">
        <w:rPr>
          <w:rFonts w:ascii="Arial" w:eastAsia="Times New Roman" w:hAnsi="Arial" w:cs="Arial"/>
          <w:kern w:val="0"/>
          <w:lang w:eastAsia="en-GB"/>
          <w14:ligatures w14:val="none"/>
        </w:rPr>
        <w:t>. (Accessed: 14 February 2026)</w:t>
      </w:r>
    </w:p>
    <w:p w14:paraId="60990436" w14:textId="77777777" w:rsidR="001F41A9" w:rsidRPr="001F41A9" w:rsidRDefault="001F41A9" w:rsidP="001F41A9">
      <w:pPr>
        <w:spacing w:after="0" w:line="240" w:lineRule="auto"/>
        <w:rPr>
          <w:rFonts w:ascii="Arial" w:eastAsia="Times New Roman" w:hAnsi="Arial" w:cs="Arial"/>
          <w:kern w:val="0"/>
          <w:lang w:eastAsia="en-GB"/>
          <w14:ligatures w14:val="none"/>
        </w:rPr>
      </w:pPr>
    </w:p>
    <w:p w14:paraId="69437916" w14:textId="77777777" w:rsidR="001F41A9" w:rsidRPr="001F41A9" w:rsidRDefault="001F41A9" w:rsidP="001F41A9">
      <w:pPr>
        <w:spacing w:after="0" w:line="240" w:lineRule="auto"/>
        <w:rPr>
          <w:rFonts w:ascii="Arial" w:eastAsiaTheme="minorEastAsia" w:hAnsi="Arial" w:cs="Arial"/>
          <w:color w:val="EE0000"/>
          <w:kern w:val="0"/>
          <w:lang w:eastAsia="en-GB"/>
          <w14:ligatures w14:val="none"/>
        </w:rPr>
      </w:pPr>
      <w:r w:rsidRPr="001F41A9">
        <w:rPr>
          <w:rFonts w:ascii="Arial" w:eastAsiaTheme="minorEastAsia" w:hAnsi="Arial" w:cs="Arial"/>
          <w:noProof/>
          <w:color w:val="EE0000"/>
          <w:lang w:eastAsia="en-GB"/>
        </w:rPr>
        <mc:AlternateContent>
          <mc:Choice Requires="wps">
            <w:drawing>
              <wp:inline distT="0" distB="0" distL="0" distR="0" wp14:anchorId="276AABC0" wp14:editId="424BAA22">
                <wp:extent cx="2703195" cy="1270"/>
                <wp:effectExtent l="9525" t="9525" r="11430" b="8255"/>
                <wp:docPr id="158716988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703195"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w:pict>
              <v:rect w14:anchorId="06C480D2" id="Rectangle 1" o:spid="_x0000_s1026" style="width:212.8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" filled="f">
                <o:lock v:ext="edit" aspectratio="t"/>
                <w10:anchorlock/>
              </v:rect>
            </w:pict>
          </mc:Fallback>
        </mc:AlternateContent>
      </w:r>
    </w:p>
    <w:p w14:paraId="5C89294A" w14:textId="77777777" w:rsidR="001F41A9" w:rsidRPr="001F41A9" w:rsidRDefault="001F41A9" w:rsidP="001F41A9">
      <w:pPr>
        <w:spacing w:line="276" w:lineRule="auto"/>
        <w:rPr>
          <w:rFonts w:ascii="Arial" w:eastAsiaTheme="minorEastAsia" w:hAnsi="Arial" w:cs="Arial"/>
          <w:color w:val="EE0000"/>
          <w:lang w:eastAsia="en-GB"/>
        </w:rPr>
      </w:pPr>
    </w:p>
    <w:p w14:paraId="1501F618" w14:textId="77777777" w:rsidR="001F41A9" w:rsidRPr="001F41A9" w:rsidRDefault="001F41A9" w:rsidP="001F41A9">
      <w:pPr>
        <w:spacing w:line="276" w:lineRule="auto"/>
        <w:rPr>
          <w:rFonts w:ascii="Arial" w:eastAsiaTheme="minorEastAsia" w:hAnsi="Arial" w:cs="Arial"/>
          <w:color w:val="EE0000"/>
          <w:lang w:eastAsia="en-GB"/>
        </w:rPr>
      </w:pPr>
    </w:p>
    <w:p w14:paraId="57EA1409" w14:textId="1D56B8E5" w:rsidR="00587E42" w:rsidRPr="00587E42" w:rsidRDefault="00587E42" w:rsidP="00587E42">
      <w:pPr>
        <w:spacing w:after="210" w:line="240" w:lineRule="auto"/>
        <w:rPr>
          <w:rFonts w:ascii="Arial" w:eastAsia="Times New Roman" w:hAnsi="Arial" w:cs="Arial"/>
          <w:spacing w:val="-6"/>
          <w:kern w:val="0"/>
          <w:lang w:eastAsia="en-GB"/>
          <w14:ligatures w14:val="none"/>
        </w:rPr>
      </w:pPr>
      <w:r w:rsidRPr="00587E42">
        <w:rPr>
          <w:rFonts w:ascii="Arial" w:eastAsia="Times New Roman" w:hAnsi="Arial" w:cs="Arial"/>
          <w:b/>
          <w:bCs/>
          <w:spacing w:val="-6"/>
          <w:kern w:val="0"/>
          <w:lang w:eastAsia="en-GB"/>
          <w14:ligatures w14:val="none"/>
        </w:rPr>
        <w:t>References</w:t>
      </w:r>
      <w:r>
        <w:rPr>
          <w:rFonts w:ascii="Arial" w:eastAsia="Times New Roman" w:hAnsi="Arial" w:cs="Arial"/>
          <w:b/>
          <w:bCs/>
          <w:spacing w:val="-6"/>
          <w:kern w:val="0"/>
          <w:lang w:eastAsia="en-GB"/>
          <w14:ligatures w14:val="none"/>
        </w:rPr>
        <w:t xml:space="preserve"> for</w:t>
      </w:r>
      <w:r w:rsidR="006F3F60">
        <w:rPr>
          <w:rFonts w:ascii="Arial" w:eastAsia="Times New Roman" w:hAnsi="Arial" w:cs="Arial"/>
          <w:b/>
          <w:bCs/>
          <w:spacing w:val="-6"/>
          <w:kern w:val="0"/>
          <w:lang w:eastAsia="en-GB"/>
          <w14:ligatures w14:val="none"/>
        </w:rPr>
        <w:t xml:space="preserve"> The Pitch</w:t>
      </w:r>
    </w:p>
    <w:p w14:paraId="4A0F826C" w14:textId="77777777" w:rsidR="00587E42" w:rsidRPr="00587E42" w:rsidRDefault="00587E42" w:rsidP="00587E42">
      <w:pPr>
        <w:shd w:val="clear" w:color="auto" w:fill="FFFFFF"/>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kern w:val="0"/>
          <w:lang w:eastAsia="en-GB"/>
          <w14:ligatures w14:val="none"/>
        </w:rPr>
        <w:br/>
      </w:r>
      <w:r w:rsidRPr="00587E42">
        <w:rPr>
          <w:rFonts w:ascii="Arial" w:eastAsia="Times New Roman" w:hAnsi="Arial" w:cs="Arial"/>
          <w:spacing w:val="-6"/>
          <w:kern w:val="0"/>
          <w:lang w:eastAsia="en-GB"/>
          <w14:ligatures w14:val="none"/>
        </w:rPr>
        <w:t>Arvanitis, A., Touloumakos, A.K. and Barrable, A. (2022) ‘</w:t>
      </w:r>
      <w:r w:rsidRPr="00587E42">
        <w:rPr>
          <w:rFonts w:ascii="Arial" w:eastAsia="Times New Roman" w:hAnsi="Arial" w:cs="Arial"/>
          <w:i/>
          <w:iCs/>
          <w:spacing w:val="-6"/>
          <w:kern w:val="0"/>
          <w:lang w:eastAsia="en-GB"/>
          <w14:ligatures w14:val="none"/>
        </w:rPr>
        <w:t>Parents’ perceptions of UK Forest School: descriptive and evaluative aspects’, Forests,</w:t>
      </w:r>
      <w:r w:rsidRPr="00587E42">
        <w:rPr>
          <w:rFonts w:ascii="Arial" w:eastAsia="Times New Roman" w:hAnsi="Arial" w:cs="Arial"/>
          <w:spacing w:val="-6"/>
          <w:kern w:val="0"/>
          <w:lang w:eastAsia="en-GB"/>
          <w14:ligatures w14:val="none"/>
        </w:rPr>
        <w:t xml:space="preserve"> 13(8), p.1314. Available at: </w:t>
      </w:r>
      <w:hyperlink r:id="rId124" w:history="1">
        <w:r w:rsidRPr="00587E42">
          <w:rPr>
            <w:rFonts w:ascii="Arial" w:eastAsiaTheme="majorEastAsia" w:hAnsi="Arial" w:cs="Arial"/>
            <w:color w:val="0071E3"/>
            <w:spacing w:val="-6"/>
            <w:kern w:val="0"/>
            <w:u w:val="single"/>
            <w:lang w:eastAsia="en-GB"/>
            <w14:ligatures w14:val="none"/>
          </w:rPr>
          <w:t>https://doi.org/10.3390/f13081314</w:t>
        </w:r>
      </w:hyperlink>
      <w:r w:rsidRPr="00587E42">
        <w:rPr>
          <w:rFonts w:ascii="Arial" w:eastAsia="Times New Roman" w:hAnsi="Arial" w:cs="Arial"/>
          <w:spacing w:val="-6"/>
          <w:kern w:val="0"/>
          <w:lang w:eastAsia="en-GB"/>
          <w14:ligatures w14:val="none"/>
        </w:rPr>
        <w:t> (Accessed: 18 February 2026).</w:t>
      </w:r>
    </w:p>
    <w:p w14:paraId="500B4B51" w14:textId="77777777" w:rsidR="00587E42" w:rsidRPr="00587E42" w:rsidRDefault="00587E42" w:rsidP="00587E42">
      <w:pPr>
        <w:spacing w:after="180" w:line="240" w:lineRule="auto"/>
        <w:rPr>
          <w:rFonts w:ascii="Arial" w:eastAsia="Times New Roman" w:hAnsi="Arial" w:cs="Arial"/>
          <w:kern w:val="0"/>
          <w:lang w:eastAsia="en-GB"/>
          <w14:ligatures w14:val="none"/>
        </w:rPr>
      </w:pPr>
      <w:r w:rsidRPr="00587E42">
        <w:rPr>
          <w:rFonts w:ascii="Arial" w:eastAsia="Times New Roman" w:hAnsi="Arial" w:cs="Arial"/>
          <w:kern w:val="0"/>
          <w:lang w:eastAsia="en-GB"/>
          <w14:ligatures w14:val="none"/>
        </w:rPr>
        <w:t xml:space="preserve">Black, M., Akanni, L., Adjei, N.K., Melendez-Torres, G.J., Hargreaves, D. &amp; Taylor-Robinson, D. (2025) Impact of child socioemotional and cognitive development on exam results in adolescence: findings from the UK Millennium Cohort Study. </w:t>
      </w:r>
      <w:r w:rsidRPr="00587E42">
        <w:rPr>
          <w:rFonts w:ascii="Arial" w:eastAsia="Times New Roman" w:hAnsi="Arial" w:cs="Arial"/>
          <w:i/>
          <w:iCs/>
          <w:kern w:val="0"/>
          <w:lang w:eastAsia="en-GB"/>
          <w14:ligatures w14:val="none"/>
        </w:rPr>
        <w:t>Archives of Disease in Childhood,</w:t>
      </w:r>
      <w:r w:rsidRPr="00587E42">
        <w:rPr>
          <w:rFonts w:ascii="Arial" w:eastAsia="Times New Roman" w:hAnsi="Arial" w:cs="Arial"/>
          <w:kern w:val="0"/>
          <w:lang w:eastAsia="en-GB"/>
          <w14:ligatures w14:val="none"/>
        </w:rPr>
        <w:t xml:space="preserve"> 110(8), pp.645–650. Available at: </w:t>
      </w:r>
      <w:hyperlink r:id="rId125" w:history="1">
        <w:r w:rsidRPr="00587E42">
          <w:rPr>
            <w:rFonts w:ascii="Arial" w:eastAsia="Times New Roman" w:hAnsi="Arial" w:cs="Arial"/>
            <w:color w:val="0071E3"/>
            <w:kern w:val="0"/>
            <w:u w:val="single"/>
            <w:lang w:eastAsia="en-GB"/>
            <w14:ligatures w14:val="none"/>
          </w:rPr>
          <w:t>https://doi.org/10.1136/archdischild-2024-327963</w:t>
        </w:r>
      </w:hyperlink>
      <w:r w:rsidRPr="00587E42">
        <w:rPr>
          <w:rFonts w:ascii="Arial" w:eastAsia="Times New Roman" w:hAnsi="Arial" w:cs="Arial"/>
          <w:kern w:val="0"/>
          <w:lang w:eastAsia="en-GB"/>
          <w14:ligatures w14:val="none"/>
        </w:rPr>
        <w:t> (Accessed: 18 February 2026). </w:t>
      </w:r>
    </w:p>
    <w:p w14:paraId="5C553359" w14:textId="77777777" w:rsidR="00587E42" w:rsidRDefault="00587E42" w:rsidP="00587E42">
      <w:pPr>
        <w:spacing w:after="180" w:line="240" w:lineRule="auto"/>
        <w:rPr>
          <w:rFonts w:ascii="Arial" w:hAnsi="Arial" w:cs="Arial"/>
        </w:rPr>
      </w:pPr>
      <w:r w:rsidRPr="00587E42">
        <w:rPr>
          <w:rFonts w:ascii="Arial" w:hAnsi="Arial" w:cs="Arial"/>
          <w:spacing w:val="-6"/>
        </w:rPr>
        <w:t xml:space="preserve">Byrne, D (2025) </w:t>
      </w:r>
      <w:r w:rsidRPr="00587E42">
        <w:rPr>
          <w:rFonts w:ascii="Arial" w:eastAsia="Times New Roman" w:hAnsi="Arial" w:cs="Arial"/>
          <w:kern w:val="36"/>
          <w:lang w:eastAsia="en-GB"/>
          <w14:ligatures w14:val="none"/>
        </w:rPr>
        <w:t>ESG:</w:t>
      </w:r>
      <w:r w:rsidRPr="00587E42">
        <w:rPr>
          <w:rFonts w:ascii="Arial" w:eastAsia="Times New Roman" w:hAnsi="Arial" w:cs="Arial"/>
          <w:i/>
          <w:iCs/>
          <w:kern w:val="36"/>
          <w:lang w:eastAsia="en-GB"/>
          <w14:ligatures w14:val="none"/>
        </w:rPr>
        <w:t xml:space="preserve"> </w:t>
      </w:r>
      <w:r w:rsidRPr="00587E42">
        <w:rPr>
          <w:rFonts w:ascii="Arial" w:eastAsia="Times New Roman" w:hAnsi="Arial" w:cs="Arial"/>
          <w:i/>
          <w:iCs/>
          <w:color w:val="212934"/>
          <w:kern w:val="36"/>
          <w:lang w:eastAsia="en-GB"/>
          <w14:ligatures w14:val="none"/>
        </w:rPr>
        <w:t xml:space="preserve">A comprehensive guide to the main principles. </w:t>
      </w:r>
      <w:r w:rsidRPr="00587E42">
        <w:rPr>
          <w:rFonts w:ascii="Arial" w:eastAsia="Times New Roman" w:hAnsi="Arial" w:cs="Arial"/>
          <w:color w:val="212934"/>
          <w:kern w:val="36"/>
          <w:lang w:eastAsia="en-GB"/>
          <w14:ligatures w14:val="none"/>
        </w:rPr>
        <w:t xml:space="preserve">Corporate Governance Institute. Available at: </w:t>
      </w:r>
      <w:hyperlink r:id="rId126" w:history="1">
        <w:r w:rsidRPr="00587E42">
          <w:rPr>
            <w:rFonts w:ascii="Arial" w:hAnsi="Arial" w:cs="Arial"/>
            <w:color w:val="0000FF"/>
            <w:u w:val="single"/>
          </w:rPr>
          <w:t>ESG: A comprehensive guide | The Corporate Governance Institute</w:t>
        </w:r>
      </w:hyperlink>
      <w:r w:rsidRPr="00587E42">
        <w:rPr>
          <w:rFonts w:ascii="Arial" w:hAnsi="Arial" w:cs="Arial"/>
        </w:rPr>
        <w:t xml:space="preserve"> (Accessed: 19 February 2026)</w:t>
      </w:r>
    </w:p>
    <w:p w14:paraId="77596EAE" w14:textId="77777777" w:rsidR="00A543E7" w:rsidRPr="00587E42" w:rsidRDefault="00A543E7" w:rsidP="00587E42">
      <w:pPr>
        <w:spacing w:after="180" w:line="240" w:lineRule="auto"/>
        <w:rPr>
          <w:rFonts w:ascii="Arial" w:eastAsia="Times New Roman" w:hAnsi="Arial" w:cs="Arial"/>
          <w:kern w:val="0"/>
          <w:lang w:eastAsia="en-GB"/>
          <w14:ligatures w14:val="none"/>
        </w:rPr>
      </w:pPr>
    </w:p>
    <w:p w14:paraId="4B9FBDC4"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lastRenderedPageBreak/>
        <w:t>Care Inspectorate Wales (CIW) (2024-25)</w:t>
      </w:r>
      <w:r w:rsidRPr="00587E42">
        <w:rPr>
          <w:rFonts w:ascii="Arial" w:hAnsi="Arial" w:cs="Arial"/>
        </w:rPr>
        <w:t xml:space="preserve"> </w:t>
      </w:r>
      <w:r w:rsidRPr="00587E42">
        <w:rPr>
          <w:rFonts w:ascii="Arial" w:hAnsi="Arial" w:cs="Arial"/>
          <w:i/>
          <w:iCs/>
        </w:rPr>
        <w:t>Improving social care and childcare in Wales, Chief Inspector’s Annual Report 2024-2025</w:t>
      </w:r>
      <w:r w:rsidRPr="00587E42">
        <w:rPr>
          <w:rFonts w:ascii="Arial" w:hAnsi="Arial" w:cs="Arial"/>
        </w:rPr>
        <w:t>.</w:t>
      </w:r>
      <w:r w:rsidRPr="00587E42">
        <w:rPr>
          <w:rFonts w:ascii="Arial" w:eastAsia="Times New Roman" w:hAnsi="Arial" w:cs="Arial"/>
          <w:spacing w:val="-6"/>
          <w:kern w:val="0"/>
          <w:lang w:eastAsia="en-GB"/>
          <w14:ligatures w14:val="none"/>
        </w:rPr>
        <w:t xml:space="preserve"> CIW: Llandudno Junction. Available at: </w:t>
      </w:r>
      <w:hyperlink r:id="rId127" w:history="1">
        <w:r w:rsidRPr="00587E42">
          <w:rPr>
            <w:rFonts w:ascii="Arial" w:hAnsi="Arial" w:cs="Arial"/>
            <w:color w:val="0000FF"/>
            <w:u w:val="single"/>
          </w:rPr>
          <w:t>251013-CIW-Annual-Report-2024-25-en.pdf</w:t>
        </w:r>
      </w:hyperlink>
      <w:r w:rsidRPr="00587E42">
        <w:rPr>
          <w:rFonts w:ascii="Arial" w:hAnsi="Arial" w:cs="Arial"/>
        </w:rPr>
        <w:t xml:space="preserve"> (Accessed: 29 January 2026)</w:t>
      </w:r>
    </w:p>
    <w:p w14:paraId="4A3FD946" w14:textId="77777777" w:rsidR="00587E42" w:rsidRPr="00587E42" w:rsidRDefault="00587E42" w:rsidP="00587E42">
      <w:pPr>
        <w:shd w:val="clear" w:color="auto" w:fill="FFFFFF"/>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Children &amp; Nature Network (2020) Nature-based early childhood education: positive links to child growth. </w:t>
      </w:r>
      <w:r w:rsidRPr="00587E42">
        <w:rPr>
          <w:rFonts w:ascii="Arial" w:eastAsia="Times New Roman" w:hAnsi="Arial" w:cs="Arial"/>
          <w:i/>
          <w:iCs/>
          <w:spacing w:val="-6"/>
          <w:kern w:val="0"/>
          <w:lang w:eastAsia="en-GB"/>
          <w14:ligatures w14:val="none"/>
        </w:rPr>
        <w:t>Nature &amp; Society Research Digest</w:t>
      </w:r>
      <w:r w:rsidRPr="00587E42">
        <w:rPr>
          <w:rFonts w:ascii="Arial" w:eastAsia="Times New Roman" w:hAnsi="Arial" w:cs="Arial"/>
          <w:spacing w:val="-6"/>
          <w:kern w:val="0"/>
          <w:lang w:eastAsia="en-GB"/>
          <w14:ligatures w14:val="none"/>
        </w:rPr>
        <w:t>. Available at: </w:t>
      </w:r>
      <w:hyperlink r:id="rId128" w:history="1">
        <w:r w:rsidRPr="00587E42">
          <w:rPr>
            <w:rFonts w:ascii="Arial" w:eastAsiaTheme="majorEastAsia" w:hAnsi="Arial" w:cs="Arial"/>
            <w:color w:val="0071E3"/>
            <w:spacing w:val="-6"/>
            <w:kern w:val="0"/>
            <w:u w:val="single"/>
            <w:lang w:eastAsia="en-GB"/>
            <w14:ligatures w14:val="none"/>
          </w:rPr>
          <w:t>https://research.childrenandnature.org/research/nature-based-early-childhood-education-may-support-childrens-growth-in-multiple-areas-of-social-emotional-and-cognitive-development/</w:t>
        </w:r>
      </w:hyperlink>
      <w:r w:rsidRPr="00587E42">
        <w:rPr>
          <w:rFonts w:ascii="Arial" w:eastAsia="Times New Roman" w:hAnsi="Arial" w:cs="Arial"/>
          <w:spacing w:val="-6"/>
          <w:kern w:val="0"/>
          <w:lang w:eastAsia="en-GB"/>
          <w14:ligatures w14:val="none"/>
        </w:rPr>
        <w:t> (Accessed: 18 February 2026).</w:t>
      </w:r>
    </w:p>
    <w:p w14:paraId="0E7F40CD" w14:textId="77777777" w:rsidR="00587E42" w:rsidRPr="00587E42" w:rsidRDefault="00587E42" w:rsidP="00587E42">
      <w:pPr>
        <w:rPr>
          <w:rFonts w:ascii="Arial" w:hAnsi="Arial" w:cs="Arial"/>
          <w:spacing w:val="-6"/>
        </w:rPr>
      </w:pPr>
      <w:r w:rsidRPr="00587E42">
        <w:rPr>
          <w:rFonts w:ascii="Arial" w:hAnsi="Arial" w:cs="Arial"/>
          <w:spacing w:val="-6"/>
        </w:rPr>
        <w:t xml:space="preserve">Coram PACEY (2025) Setting up a Nursery. Available at: </w:t>
      </w:r>
      <w:hyperlink r:id="rId129" w:history="1">
        <w:r w:rsidRPr="00587E42">
          <w:rPr>
            <w:rFonts w:ascii="Arial" w:hAnsi="Arial" w:cs="Arial"/>
            <w:color w:val="0000FF"/>
            <w:u w:val="single"/>
          </w:rPr>
          <w:t>Setting Up A Nursery - Coram PACEY</w:t>
        </w:r>
      </w:hyperlink>
      <w:r w:rsidRPr="00587E42">
        <w:rPr>
          <w:rFonts w:ascii="Arial" w:hAnsi="Arial" w:cs="Arial"/>
        </w:rPr>
        <w:t xml:space="preserve"> </w:t>
      </w:r>
      <w:r w:rsidRPr="00587E42">
        <w:rPr>
          <w:rFonts w:ascii="Arial" w:hAnsi="Arial" w:cs="Arial"/>
          <w:spacing w:val="-6"/>
        </w:rPr>
        <w:t>(Accessed: 18 February 2026).</w:t>
      </w:r>
    </w:p>
    <w:p w14:paraId="42E5C14E" w14:textId="77777777" w:rsidR="00587E42" w:rsidRPr="00587E42" w:rsidRDefault="00587E42" w:rsidP="00587E42">
      <w:pPr>
        <w:spacing w:after="0" w:line="240" w:lineRule="auto"/>
        <w:rPr>
          <w:rFonts w:ascii="Arial" w:eastAsia="Times New Roman" w:hAnsi="Arial" w:cs="Arial"/>
          <w:kern w:val="0"/>
          <w14:ligatures w14:val="none"/>
        </w:rPr>
      </w:pPr>
      <w:r w:rsidRPr="00587E42">
        <w:rPr>
          <w:rFonts w:ascii="Arial" w:eastAsia="Times New Roman" w:hAnsi="Arial" w:cs="Arial"/>
          <w:kern w:val="0"/>
          <w:lang w:eastAsia="en-GB"/>
          <w14:ligatures w14:val="none"/>
        </w:rPr>
        <w:t xml:space="preserve">Dabaja, Z.F. (2022) “The Forest School impact on children: reviewing two decades of research,” </w:t>
      </w:r>
      <w:r w:rsidRPr="00587E42">
        <w:rPr>
          <w:rFonts w:ascii="Arial" w:eastAsia="Times New Roman" w:hAnsi="Arial" w:cs="Arial"/>
          <w:i/>
          <w:iCs/>
          <w:kern w:val="0"/>
          <w:lang w:eastAsia="en-GB"/>
          <w14:ligatures w14:val="none"/>
        </w:rPr>
        <w:t>Education 3-13</w:t>
      </w:r>
      <w:r w:rsidRPr="00587E42">
        <w:rPr>
          <w:rFonts w:ascii="Arial" w:eastAsia="Times New Roman" w:hAnsi="Arial" w:cs="Arial"/>
          <w:kern w:val="0"/>
          <w:lang w:eastAsia="en-GB"/>
          <w14:ligatures w14:val="none"/>
        </w:rPr>
        <w:t xml:space="preserve">, 50(5), pp. 640–653. Available at: </w:t>
      </w:r>
      <w:hyperlink r:id="rId130" w:history="1">
        <w:r w:rsidRPr="00587E42">
          <w:rPr>
            <w:rFonts w:ascii="Arial" w:eastAsia="Times New Roman" w:hAnsi="Arial" w:cs="Arial"/>
            <w:color w:val="0000FF"/>
            <w:kern w:val="0"/>
            <w:u w:val="single"/>
            <w:lang w:eastAsia="en-GB"/>
            <w14:ligatures w14:val="none"/>
          </w:rPr>
          <w:t>https://doi.org/10.1080/03004279.2021.1889013</w:t>
        </w:r>
      </w:hyperlink>
      <w:r w:rsidRPr="00587E42">
        <w:rPr>
          <w:rFonts w:ascii="Arial" w:eastAsia="Times New Roman" w:hAnsi="Arial" w:cs="Arial"/>
          <w:kern w:val="0"/>
          <w:lang w:eastAsia="en-GB"/>
          <w14:ligatures w14:val="none"/>
        </w:rPr>
        <w:t xml:space="preserve">. </w:t>
      </w:r>
      <w:r w:rsidRPr="00587E42">
        <w:rPr>
          <w:rFonts w:ascii="Arial" w:eastAsia="Times New Roman" w:hAnsi="Arial" w:cs="Arial"/>
          <w:kern w:val="0"/>
          <w14:ligatures w14:val="none"/>
        </w:rPr>
        <w:t>(Accessed: 27 January 2026)</w:t>
      </w:r>
    </w:p>
    <w:p w14:paraId="03359618" w14:textId="77777777" w:rsidR="00587E42" w:rsidRPr="00587E42" w:rsidRDefault="00587E42" w:rsidP="00587E42">
      <w:pPr>
        <w:spacing w:after="0" w:line="240" w:lineRule="auto"/>
        <w:rPr>
          <w:rFonts w:ascii="Arial" w:eastAsia="Times New Roman" w:hAnsi="Arial" w:cs="Arial"/>
          <w:kern w:val="0"/>
          <w14:ligatures w14:val="none"/>
        </w:rPr>
      </w:pPr>
    </w:p>
    <w:p w14:paraId="39CBD882" w14:textId="77777777" w:rsidR="00587E42" w:rsidRPr="00587E42" w:rsidRDefault="00587E42" w:rsidP="00587E42">
      <w:pPr>
        <w:spacing w:after="0" w:line="240" w:lineRule="auto"/>
        <w:rPr>
          <w:rFonts w:ascii="Arial" w:hAnsi="Arial" w:cs="Arial"/>
          <w:spacing w:val="-6"/>
        </w:rPr>
      </w:pPr>
      <w:r w:rsidRPr="00587E42">
        <w:rPr>
          <w:rFonts w:ascii="Arial" w:eastAsia="Times New Roman" w:hAnsi="Arial" w:cs="Arial"/>
          <w:kern w:val="0"/>
          <w:lang w:eastAsia="en-GB"/>
          <w14:ligatures w14:val="none"/>
        </w:rPr>
        <w:t xml:space="preserve">Doherty, B., Haugh, H. and Lyon, F. (2014) “Social Enterprises as Hybrid Organizations: A Review and Research Agenda,” </w:t>
      </w:r>
      <w:r w:rsidRPr="00587E42">
        <w:rPr>
          <w:rFonts w:ascii="Arial" w:eastAsia="Times New Roman" w:hAnsi="Arial" w:cs="Arial"/>
          <w:i/>
          <w:iCs/>
          <w:kern w:val="0"/>
          <w:lang w:eastAsia="en-GB"/>
          <w14:ligatures w14:val="none"/>
        </w:rPr>
        <w:t>International journal of management reviews: IJMR</w:t>
      </w:r>
      <w:r w:rsidRPr="00587E42">
        <w:rPr>
          <w:rFonts w:ascii="Arial" w:eastAsia="Times New Roman" w:hAnsi="Arial" w:cs="Arial"/>
          <w:kern w:val="0"/>
          <w:lang w:eastAsia="en-GB"/>
          <w14:ligatures w14:val="none"/>
        </w:rPr>
        <w:t xml:space="preserve">, 16(4), pp. 417–436. Available at: </w:t>
      </w:r>
      <w:hyperlink r:id="rId131" w:history="1">
        <w:r w:rsidRPr="00587E42">
          <w:rPr>
            <w:rFonts w:ascii="Arial" w:eastAsia="Times New Roman" w:hAnsi="Arial" w:cs="Arial"/>
            <w:color w:val="0000FF"/>
            <w:kern w:val="0"/>
            <w:u w:val="single"/>
            <w:lang w:eastAsia="en-GB"/>
            <w14:ligatures w14:val="none"/>
          </w:rPr>
          <w:t>https://doi.org/10.1111/ijmr.12028</w:t>
        </w:r>
      </w:hyperlink>
      <w:r w:rsidRPr="00587E42">
        <w:rPr>
          <w:rFonts w:ascii="Arial" w:eastAsia="Times New Roman" w:hAnsi="Arial" w:cs="Arial"/>
          <w:kern w:val="0"/>
          <w:lang w:eastAsia="en-GB"/>
          <w14:ligatures w14:val="none"/>
        </w:rPr>
        <w:t xml:space="preserve">. </w:t>
      </w:r>
      <w:r w:rsidRPr="00587E42">
        <w:rPr>
          <w:rFonts w:ascii="Arial" w:hAnsi="Arial" w:cs="Arial"/>
          <w:spacing w:val="-6"/>
        </w:rPr>
        <w:t>(Accessed: 19 February 2026).</w:t>
      </w:r>
    </w:p>
    <w:p w14:paraId="5C3DB923" w14:textId="77777777" w:rsidR="00587E42" w:rsidRPr="00587E42" w:rsidRDefault="00587E42" w:rsidP="00587E42">
      <w:pPr>
        <w:spacing w:after="0" w:line="240" w:lineRule="auto"/>
        <w:rPr>
          <w:rFonts w:ascii="Arial" w:hAnsi="Arial" w:cs="Arial"/>
          <w:spacing w:val="-6"/>
        </w:rPr>
      </w:pPr>
    </w:p>
    <w:p w14:paraId="46F45040" w14:textId="77777777" w:rsidR="00587E42" w:rsidRPr="00587E42" w:rsidRDefault="00587E42" w:rsidP="00587E42">
      <w:pPr>
        <w:spacing w:after="180" w:line="240" w:lineRule="auto"/>
        <w:rPr>
          <w:rFonts w:ascii="Arial" w:eastAsia="Times New Roman" w:hAnsi="Arial" w:cs="Arial"/>
          <w:kern w:val="0"/>
          <w:lang w:eastAsia="en-GB"/>
          <w14:ligatures w14:val="none"/>
        </w:rPr>
      </w:pPr>
      <w:r w:rsidRPr="00587E42">
        <w:rPr>
          <w:rFonts w:ascii="Arial" w:eastAsia="Times New Roman" w:hAnsi="Arial" w:cs="Arial"/>
          <w:kern w:val="0"/>
          <w:lang w:eastAsia="en-GB"/>
          <w14:ligatures w14:val="none"/>
        </w:rPr>
        <w:t xml:space="preserve">Fan, L. &amp; Kang, T. (2025) Early childhood trauma and its long-term impact on cognitive and emotional development: a systematic review and meta-analysis. </w:t>
      </w:r>
      <w:r w:rsidRPr="00587E42">
        <w:rPr>
          <w:rFonts w:ascii="Arial" w:eastAsia="Times New Roman" w:hAnsi="Arial" w:cs="Arial"/>
          <w:i/>
          <w:iCs/>
          <w:kern w:val="0"/>
          <w:lang w:eastAsia="en-GB"/>
          <w14:ligatures w14:val="none"/>
        </w:rPr>
        <w:t>Annals of Medicine,</w:t>
      </w:r>
      <w:r w:rsidRPr="00587E42">
        <w:rPr>
          <w:rFonts w:ascii="Arial" w:eastAsia="Times New Roman" w:hAnsi="Arial" w:cs="Arial"/>
          <w:kern w:val="0"/>
          <w:lang w:eastAsia="en-GB"/>
          <w14:ligatures w14:val="none"/>
        </w:rPr>
        <w:t xml:space="preserve"> 57(1), p.2536199. Available at: </w:t>
      </w:r>
      <w:hyperlink r:id="rId132" w:history="1">
        <w:r w:rsidRPr="00587E42">
          <w:rPr>
            <w:rFonts w:ascii="Arial" w:eastAsia="Times New Roman" w:hAnsi="Arial" w:cs="Arial"/>
            <w:color w:val="0071E3"/>
            <w:kern w:val="0"/>
            <w:u w:val="single"/>
            <w:lang w:eastAsia="en-GB"/>
            <w14:ligatures w14:val="none"/>
          </w:rPr>
          <w:t>https://doi.org/10.1080/07853890.2025.2536199</w:t>
        </w:r>
      </w:hyperlink>
      <w:r w:rsidRPr="00587E42">
        <w:rPr>
          <w:rFonts w:ascii="Arial" w:eastAsia="Times New Roman" w:hAnsi="Arial" w:cs="Arial"/>
          <w:kern w:val="0"/>
          <w:lang w:eastAsia="en-GB"/>
          <w14:ligatures w14:val="none"/>
        </w:rPr>
        <w:t> (Accessed: 18 February 2026). </w:t>
      </w:r>
    </w:p>
    <w:p w14:paraId="25B78D9B"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Forest Research (n.d.) Outdoor learning and early years provision in the UK. Available at: </w:t>
      </w:r>
      <w:hyperlink r:id="rId133" w:history="1">
        <w:r w:rsidRPr="00587E42">
          <w:rPr>
            <w:rFonts w:ascii="Arial" w:eastAsiaTheme="majorEastAsia" w:hAnsi="Arial" w:cs="Arial"/>
            <w:color w:val="0071E3"/>
            <w:spacing w:val="-6"/>
            <w:kern w:val="0"/>
            <w:u w:val="single"/>
            <w:lang w:eastAsia="en-GB"/>
            <w14:ligatures w14:val="none"/>
          </w:rPr>
          <w:t>https://www.forestresearch.gov.uk/tools-and-resources/</w:t>
        </w:r>
      </w:hyperlink>
      <w:r w:rsidRPr="00587E42">
        <w:rPr>
          <w:rFonts w:ascii="Arial" w:eastAsia="Times New Roman" w:hAnsi="Arial" w:cs="Arial"/>
          <w:spacing w:val="-6"/>
          <w:kern w:val="0"/>
          <w:lang w:eastAsia="en-GB"/>
          <w14:ligatures w14:val="none"/>
        </w:rPr>
        <w:t> (Accessed: 18 February 2026).</w:t>
      </w:r>
    </w:p>
    <w:p w14:paraId="0DC02B6F"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Forest School Survey (2022) Results from Forest School practitioners reporting increased demand for Forest School provision. Available at: </w:t>
      </w:r>
      <w:hyperlink r:id="rId134" w:history="1">
        <w:r w:rsidRPr="00587E42">
          <w:rPr>
            <w:rFonts w:ascii="Arial" w:eastAsiaTheme="majorEastAsia" w:hAnsi="Arial" w:cs="Arial"/>
            <w:color w:val="0071E3"/>
            <w:spacing w:val="-6"/>
            <w:kern w:val="0"/>
            <w:u w:val="single"/>
            <w:lang w:eastAsia="en-GB"/>
            <w14:ligatures w14:val="none"/>
          </w:rPr>
          <w:t>https://thepracticalforestschool.com/forest-school-survey-2022/</w:t>
        </w:r>
      </w:hyperlink>
      <w:r w:rsidRPr="00587E42">
        <w:rPr>
          <w:rFonts w:ascii="Arial" w:eastAsia="Times New Roman" w:hAnsi="Arial" w:cs="Arial"/>
          <w:spacing w:val="-6"/>
          <w:kern w:val="0"/>
          <w:lang w:eastAsia="en-GB"/>
          <w14:ligatures w14:val="none"/>
        </w:rPr>
        <w:t> (Accessed: 18 February 2026).</w:t>
      </w:r>
    </w:p>
    <w:p w14:paraId="204EF6AD" w14:textId="77777777" w:rsidR="00587E42" w:rsidRPr="00587E42" w:rsidRDefault="00587E42" w:rsidP="00587E42">
      <w:pPr>
        <w:spacing w:after="180" w:line="240" w:lineRule="auto"/>
        <w:rPr>
          <w:rFonts w:ascii="Arial" w:eastAsia="Times New Roman" w:hAnsi="Arial" w:cs="Arial"/>
          <w:spacing w:val="-6"/>
          <w:kern w:val="0"/>
          <w:sz w:val="28"/>
          <w:szCs w:val="28"/>
          <w:lang w:eastAsia="en-GB"/>
          <w14:ligatures w14:val="none"/>
        </w:rPr>
      </w:pPr>
      <w:r w:rsidRPr="00587E42">
        <w:rPr>
          <w:rFonts w:ascii="Arial" w:eastAsia="Times New Roman" w:hAnsi="Arial" w:cs="Arial"/>
          <w:kern w:val="0"/>
          <w:shd w:val="clear" w:color="auto" w:fill="FFFFFF"/>
          <w:lang w:eastAsia="en-GB"/>
          <w14:ligatures w14:val="none"/>
        </w:rPr>
        <w:t>Golubic, V. (2024) 'Between a Rock and a Hard Place: The Analysis of Social Enterprises’ Challenges to Success', Doctor of Philosophy, University of Groningen, [Groningen]. </w:t>
      </w:r>
      <w:hyperlink r:id="rId135" w:history="1">
        <w:r w:rsidRPr="00587E42">
          <w:rPr>
            <w:rFonts w:ascii="Arial" w:eastAsia="Times New Roman" w:hAnsi="Arial" w:cs="Arial"/>
            <w:color w:val="0000FF"/>
            <w:kern w:val="0"/>
            <w:u w:val="single"/>
            <w:shd w:val="clear" w:color="auto" w:fill="FFFFFF"/>
            <w:lang w:eastAsia="en-GB"/>
            <w14:ligatures w14:val="none"/>
          </w:rPr>
          <w:t>https://doi.org/10.33612/diss.1069494370</w:t>
        </w:r>
      </w:hyperlink>
      <w:r w:rsidRPr="00587E42">
        <w:rPr>
          <w:rFonts w:ascii="Arial" w:eastAsia="Times New Roman" w:hAnsi="Arial" w:cs="Arial"/>
          <w:color w:val="666666"/>
          <w:kern w:val="0"/>
          <w:shd w:val="clear" w:color="auto" w:fill="FFFFFF"/>
          <w:lang w:eastAsia="en-GB"/>
          <w14:ligatures w14:val="none"/>
        </w:rPr>
        <w:t xml:space="preserve"> (</w:t>
      </w:r>
      <w:r w:rsidRPr="00587E42">
        <w:rPr>
          <w:rFonts w:ascii="Arial" w:eastAsia="Times New Roman" w:hAnsi="Arial" w:cs="Arial"/>
          <w:spacing w:val="-6"/>
          <w:kern w:val="0"/>
          <w:lang w:eastAsia="en-GB"/>
          <w14:ligatures w14:val="none"/>
        </w:rPr>
        <w:t>Accessed: 19 February 2026).</w:t>
      </w:r>
    </w:p>
    <w:p w14:paraId="105A0AEA"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Groundwork UK (2024). </w:t>
      </w:r>
      <w:r w:rsidRPr="00587E42">
        <w:rPr>
          <w:rFonts w:ascii="Arial" w:eastAsia="Times New Roman" w:hAnsi="Arial" w:cs="Arial"/>
          <w:i/>
          <w:iCs/>
          <w:spacing w:val="-6"/>
          <w:kern w:val="0"/>
          <w:lang w:eastAsia="en-GB"/>
          <w14:ligatures w14:val="none"/>
        </w:rPr>
        <w:t>Tesco Stronger Starts community grants.</w:t>
      </w:r>
      <w:r w:rsidRPr="00587E42">
        <w:rPr>
          <w:rFonts w:ascii="Arial" w:eastAsia="Times New Roman" w:hAnsi="Arial" w:cs="Arial"/>
          <w:spacing w:val="-6"/>
          <w:kern w:val="0"/>
          <w:lang w:eastAsia="en-GB"/>
          <w14:ligatures w14:val="none"/>
        </w:rPr>
        <w:t xml:space="preserve"> Available at:</w:t>
      </w:r>
      <w:r w:rsidRPr="00587E42">
        <w:rPr>
          <w:rFonts w:ascii="Arial" w:eastAsia="Times New Roman" w:hAnsi="Arial" w:cs="Arial"/>
          <w:spacing w:val="-6"/>
          <w:kern w:val="0"/>
          <w:lang w:eastAsia="en-GB"/>
          <w14:ligatures w14:val="none"/>
        </w:rPr>
        <w:br/>
      </w:r>
      <w:hyperlink r:id="rId136" w:history="1">
        <w:r w:rsidRPr="00587E42">
          <w:rPr>
            <w:rFonts w:ascii="Arial" w:eastAsia="Times New Roman" w:hAnsi="Arial" w:cs="Arial"/>
            <w:color w:val="0071E3"/>
            <w:spacing w:val="-6"/>
            <w:kern w:val="0"/>
            <w:u w:val="single"/>
            <w:lang w:eastAsia="en-GB"/>
            <w14:ligatures w14:val="none"/>
          </w:rPr>
          <w:t>https://www.tescostrongerstarts.org.uk</w:t>
        </w:r>
      </w:hyperlink>
      <w:r w:rsidRPr="00587E42">
        <w:rPr>
          <w:rFonts w:ascii="Arial" w:eastAsia="Times New Roman" w:hAnsi="Arial" w:cs="Arial"/>
          <w:spacing w:val="-6"/>
          <w:kern w:val="0"/>
          <w:lang w:eastAsia="en-GB"/>
          <w14:ligatures w14:val="none"/>
        </w:rPr>
        <w:t xml:space="preserve"> (Accessed: 18 February 2026)</w:t>
      </w:r>
    </w:p>
    <w:p w14:paraId="69617218" w14:textId="77777777" w:rsid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color w:val="222222"/>
          <w:kern w:val="0"/>
          <w:shd w:val="clear" w:color="auto" w:fill="FFFFFF"/>
          <w:lang w:eastAsia="en-GB"/>
          <w14:ligatures w14:val="none"/>
        </w:rPr>
        <w:t>Jamburia, G. (2021). </w:t>
      </w:r>
      <w:r w:rsidRPr="00587E42">
        <w:rPr>
          <w:rFonts w:ascii="Arial" w:eastAsia="Times New Roman" w:hAnsi="Arial" w:cs="Arial"/>
          <w:i/>
          <w:iCs/>
          <w:color w:val="222222"/>
          <w:kern w:val="0"/>
          <w:shd w:val="clear" w:color="auto" w:fill="FFFFFF"/>
          <w:lang w:eastAsia="en-GB"/>
          <w14:ligatures w14:val="none"/>
        </w:rPr>
        <w:t>Sustainability of social entrepreneurial business models</w:t>
      </w:r>
      <w:r w:rsidRPr="00587E42">
        <w:rPr>
          <w:rFonts w:ascii="Arial" w:eastAsia="Times New Roman" w:hAnsi="Arial" w:cs="Arial"/>
          <w:color w:val="222222"/>
          <w:kern w:val="0"/>
          <w:shd w:val="clear" w:color="auto" w:fill="FFFFFF"/>
          <w:lang w:eastAsia="en-GB"/>
          <w14:ligatures w14:val="none"/>
        </w:rPr>
        <w:t xml:space="preserve"> (Doctoral dissertation, Université Montpellier). Available at: </w:t>
      </w:r>
      <w:hyperlink r:id="rId137" w:history="1">
        <w:r w:rsidRPr="00587E42">
          <w:rPr>
            <w:rFonts w:ascii="Arial" w:eastAsiaTheme="majorEastAsia" w:hAnsi="Arial" w:cs="Arial"/>
            <w:color w:val="0000FF"/>
            <w:kern w:val="0"/>
            <w:u w:val="single"/>
            <w:lang w:eastAsia="en-GB"/>
            <w14:ligatures w14:val="none"/>
          </w:rPr>
          <w:t>Sustainability of social entrepreneurial business models</w:t>
        </w:r>
      </w:hyperlink>
      <w:r w:rsidRPr="00587E42">
        <w:rPr>
          <w:rFonts w:ascii="Arial" w:eastAsia="Times New Roman" w:hAnsi="Arial" w:cs="Arial"/>
          <w:kern w:val="0"/>
          <w:lang w:eastAsia="en-GB"/>
          <w14:ligatures w14:val="none"/>
        </w:rPr>
        <w:t xml:space="preserve"> </w:t>
      </w:r>
      <w:r w:rsidRPr="00587E42">
        <w:rPr>
          <w:rFonts w:ascii="Arial" w:eastAsia="Times New Roman" w:hAnsi="Arial" w:cs="Arial"/>
          <w:spacing w:val="-6"/>
          <w:kern w:val="0"/>
          <w:lang w:eastAsia="en-GB"/>
          <w14:ligatures w14:val="none"/>
        </w:rPr>
        <w:t>(Accessed: 19 February 2026).</w:t>
      </w:r>
    </w:p>
    <w:p w14:paraId="7310CC66" w14:textId="77777777" w:rsidR="00A543E7" w:rsidRDefault="00A543E7" w:rsidP="00587E42">
      <w:pPr>
        <w:spacing w:after="180" w:line="240" w:lineRule="auto"/>
        <w:rPr>
          <w:rFonts w:ascii="Arial" w:eastAsia="Times New Roman" w:hAnsi="Arial" w:cs="Arial"/>
          <w:spacing w:val="-6"/>
          <w:kern w:val="0"/>
          <w:lang w:eastAsia="en-GB"/>
          <w14:ligatures w14:val="none"/>
        </w:rPr>
      </w:pPr>
    </w:p>
    <w:p w14:paraId="17842362" w14:textId="77777777" w:rsidR="00A543E7" w:rsidRPr="00587E42" w:rsidRDefault="00A543E7" w:rsidP="00587E42">
      <w:pPr>
        <w:spacing w:after="180" w:line="240" w:lineRule="auto"/>
        <w:rPr>
          <w:rFonts w:ascii="Arial" w:eastAsia="Times New Roman" w:hAnsi="Arial" w:cs="Arial"/>
          <w:kern w:val="0"/>
          <w:sz w:val="29"/>
          <w:szCs w:val="29"/>
          <w:lang w:eastAsia="en-GB"/>
          <w14:ligatures w14:val="none"/>
        </w:rPr>
      </w:pPr>
    </w:p>
    <w:p w14:paraId="5A6300AC" w14:textId="77777777" w:rsidR="00587E42" w:rsidRPr="00587E42" w:rsidRDefault="00587E42" w:rsidP="00587E42">
      <w:pPr>
        <w:shd w:val="clear" w:color="auto" w:fill="FFFFFF"/>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lastRenderedPageBreak/>
        <w:t xml:space="preserve">Johnstone, A., Martin, A., Cordovil, R., Fjørtoft, I., Iivonen, S., Jidovtseff, B., Lopes, F., Reilly, J.J., Thomson, H. and Wells, V. (2022) ‘Nature-based early childhood education and children’s social, emotional and cognitive development: a mixed-methods systematic review’, </w:t>
      </w:r>
      <w:r w:rsidRPr="00587E42">
        <w:rPr>
          <w:rFonts w:ascii="Arial" w:eastAsia="Times New Roman" w:hAnsi="Arial" w:cs="Arial"/>
          <w:i/>
          <w:iCs/>
          <w:spacing w:val="-6"/>
          <w:kern w:val="0"/>
          <w:lang w:eastAsia="en-GB"/>
          <w14:ligatures w14:val="none"/>
        </w:rPr>
        <w:t>International Journal of Environmental Research and Public Health,</w:t>
      </w:r>
      <w:r w:rsidRPr="00587E42">
        <w:rPr>
          <w:rFonts w:ascii="Arial" w:eastAsia="Times New Roman" w:hAnsi="Arial" w:cs="Arial"/>
          <w:spacing w:val="-6"/>
          <w:kern w:val="0"/>
          <w:lang w:eastAsia="en-GB"/>
          <w14:ligatures w14:val="none"/>
        </w:rPr>
        <w:t xml:space="preserve"> 19(10), p.5967. Available at: </w:t>
      </w:r>
      <w:hyperlink r:id="rId138" w:history="1">
        <w:r w:rsidRPr="00587E42">
          <w:rPr>
            <w:rFonts w:ascii="Arial" w:eastAsiaTheme="majorEastAsia" w:hAnsi="Arial" w:cs="Arial"/>
            <w:color w:val="0071E3"/>
            <w:spacing w:val="-6"/>
            <w:kern w:val="0"/>
            <w:u w:val="single"/>
            <w:lang w:eastAsia="en-GB"/>
            <w14:ligatures w14:val="none"/>
          </w:rPr>
          <w:t>https://doi.org/10.3390/ijerph19105967</w:t>
        </w:r>
      </w:hyperlink>
      <w:r w:rsidRPr="00587E42">
        <w:rPr>
          <w:rFonts w:ascii="Arial" w:eastAsia="Times New Roman" w:hAnsi="Arial" w:cs="Arial"/>
          <w:spacing w:val="-6"/>
          <w:kern w:val="0"/>
          <w:lang w:eastAsia="en-GB"/>
          <w14:ligatures w14:val="none"/>
        </w:rPr>
        <w:t> (Accessed: 18 February 2026).</w:t>
      </w:r>
    </w:p>
    <w:p w14:paraId="231DAD4A"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Keep Wales Tidy (2024). </w:t>
      </w:r>
      <w:r w:rsidRPr="00587E42">
        <w:rPr>
          <w:rFonts w:ascii="Arial" w:eastAsia="Times New Roman" w:hAnsi="Arial" w:cs="Arial"/>
          <w:i/>
          <w:iCs/>
          <w:spacing w:val="-6"/>
          <w:kern w:val="0"/>
          <w:lang w:eastAsia="en-GB"/>
          <w14:ligatures w14:val="none"/>
        </w:rPr>
        <w:t>Eco-Schools Wales.</w:t>
      </w:r>
      <w:r w:rsidRPr="00587E42">
        <w:rPr>
          <w:rFonts w:ascii="Arial" w:eastAsia="Times New Roman" w:hAnsi="Arial" w:cs="Arial"/>
          <w:spacing w:val="-6"/>
          <w:kern w:val="0"/>
          <w:lang w:eastAsia="en-GB"/>
          <w14:ligatures w14:val="none"/>
        </w:rPr>
        <w:t xml:space="preserve"> Available at:</w:t>
      </w:r>
      <w:r w:rsidRPr="00587E42">
        <w:rPr>
          <w:rFonts w:ascii="Arial" w:eastAsia="Times New Roman" w:hAnsi="Arial" w:cs="Arial"/>
          <w:spacing w:val="-6"/>
          <w:kern w:val="0"/>
          <w:lang w:eastAsia="en-GB"/>
          <w14:ligatures w14:val="none"/>
        </w:rPr>
        <w:br/>
      </w:r>
      <w:hyperlink r:id="rId139" w:history="1">
        <w:r w:rsidRPr="00587E42">
          <w:rPr>
            <w:rFonts w:ascii="Arial" w:eastAsia="Times New Roman" w:hAnsi="Arial" w:cs="Arial"/>
            <w:color w:val="0000FF"/>
            <w:spacing w:val="-6"/>
            <w:kern w:val="0"/>
            <w:u w:val="single"/>
            <w:lang w:eastAsia="en-GB"/>
            <w14:ligatures w14:val="none"/>
          </w:rPr>
          <w:t>https://keepwalestidy.cymru/education/eco-schools/</w:t>
        </w:r>
      </w:hyperlink>
      <w:r w:rsidRPr="00587E42">
        <w:rPr>
          <w:rFonts w:ascii="Arial" w:eastAsia="Times New Roman" w:hAnsi="Arial" w:cs="Arial"/>
          <w:spacing w:val="-6"/>
          <w:kern w:val="0"/>
          <w:lang w:eastAsia="en-GB"/>
          <w14:ligatures w14:val="none"/>
        </w:rPr>
        <w:t xml:space="preserve"> (Accessed: 18 February 2026)</w:t>
      </w:r>
    </w:p>
    <w:p w14:paraId="448DAB73" w14:textId="77777777" w:rsidR="00587E42" w:rsidRPr="00587E42" w:rsidRDefault="00587E42" w:rsidP="00587E42">
      <w:pPr>
        <w:spacing w:after="180" w:line="240" w:lineRule="auto"/>
        <w:rPr>
          <w:rFonts w:ascii="Arial" w:eastAsia="Times New Roman" w:hAnsi="Arial" w:cs="Arial"/>
          <w:kern w:val="0"/>
          <w:lang w:eastAsia="en-GB"/>
          <w14:ligatures w14:val="none"/>
        </w:rPr>
      </w:pPr>
      <w:r w:rsidRPr="00587E42">
        <w:rPr>
          <w:rFonts w:ascii="Arial" w:eastAsia="Times New Roman" w:hAnsi="Arial" w:cs="Arial"/>
          <w:kern w:val="0"/>
          <w:lang w:eastAsia="en-GB"/>
          <w14:ligatures w14:val="none"/>
        </w:rPr>
        <w:t xml:space="preserve">Künzi, M., Gheorghe, D.A., Gallacher, J. &amp; Bauermeister, S. (2024) The impact of early adversity on later life health, lifestyle, and cognition. </w:t>
      </w:r>
      <w:r w:rsidRPr="00587E42">
        <w:rPr>
          <w:rFonts w:ascii="Arial" w:eastAsia="Times New Roman" w:hAnsi="Arial" w:cs="Arial"/>
          <w:i/>
          <w:iCs/>
          <w:kern w:val="0"/>
          <w:lang w:eastAsia="en-GB"/>
          <w14:ligatures w14:val="none"/>
        </w:rPr>
        <w:t>BMC Public Health</w:t>
      </w:r>
      <w:r w:rsidRPr="00587E42">
        <w:rPr>
          <w:rFonts w:ascii="Arial" w:eastAsia="Times New Roman" w:hAnsi="Arial" w:cs="Arial"/>
          <w:kern w:val="0"/>
          <w:lang w:eastAsia="en-GB"/>
          <w14:ligatures w14:val="none"/>
        </w:rPr>
        <w:t>, 24(1), p.3294. Available at: </w:t>
      </w:r>
      <w:hyperlink r:id="rId140" w:history="1">
        <w:r w:rsidRPr="00587E42">
          <w:rPr>
            <w:rFonts w:ascii="Arial" w:eastAsia="Times New Roman" w:hAnsi="Arial" w:cs="Arial"/>
            <w:color w:val="0071E3"/>
            <w:kern w:val="0"/>
            <w:u w:val="single"/>
            <w:lang w:eastAsia="en-GB"/>
            <w14:ligatures w14:val="none"/>
          </w:rPr>
          <w:t>https://doi.org/10.1186/s12889-024-20768-3</w:t>
        </w:r>
      </w:hyperlink>
      <w:r w:rsidRPr="00587E42">
        <w:rPr>
          <w:rFonts w:ascii="Arial" w:eastAsia="Times New Roman" w:hAnsi="Arial" w:cs="Arial"/>
          <w:kern w:val="0"/>
          <w:lang w:eastAsia="en-GB"/>
          <w14:ligatures w14:val="none"/>
        </w:rPr>
        <w:t> (Accessed: 18 February 2026). </w:t>
      </w:r>
    </w:p>
    <w:p w14:paraId="09F74421"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Larimore, R.A. (2019) </w:t>
      </w:r>
      <w:r w:rsidRPr="00587E42">
        <w:rPr>
          <w:rFonts w:ascii="Arial" w:eastAsia="Times New Roman" w:hAnsi="Arial" w:cs="Arial"/>
          <w:i/>
          <w:iCs/>
          <w:color w:val="0F1111"/>
          <w:kern w:val="36"/>
          <w:lang w:eastAsia="en-GB"/>
          <w14:ligatures w14:val="none"/>
        </w:rPr>
        <w:t>Preschool Beyond Walls: Blending Early Learning Childhood Education and Nature-Based Learning.</w:t>
      </w:r>
      <w:r w:rsidRPr="00587E42">
        <w:rPr>
          <w:rFonts w:ascii="Arial" w:eastAsia="Times New Roman" w:hAnsi="Arial" w:cs="Arial"/>
          <w:color w:val="0F1111"/>
          <w:kern w:val="36"/>
          <w:lang w:eastAsia="en-GB"/>
          <w14:ligatures w14:val="none"/>
        </w:rPr>
        <w:t xml:space="preserve"> </w:t>
      </w:r>
      <w:r w:rsidRPr="00587E42">
        <w:rPr>
          <w:rFonts w:ascii="Arial" w:hAnsi="Arial" w:cs="Arial"/>
          <w:b/>
          <w:bCs/>
          <w:color w:val="0F1111"/>
          <w:sz w:val="21"/>
          <w:szCs w:val="21"/>
          <w:shd w:val="clear" w:color="auto" w:fill="FFFFFF"/>
        </w:rPr>
        <w:t> </w:t>
      </w:r>
      <w:r w:rsidRPr="00587E42">
        <w:rPr>
          <w:rFonts w:ascii="Arial" w:hAnsi="Arial" w:cs="Arial"/>
          <w:color w:val="0F1111"/>
          <w:shd w:val="clear" w:color="auto" w:fill="FFFFFF"/>
        </w:rPr>
        <w:t>Lewisville, NC, USA:</w:t>
      </w:r>
      <w:r w:rsidRPr="00587E42">
        <w:rPr>
          <w:rFonts w:ascii="Arial" w:hAnsi="Arial" w:cs="Arial"/>
          <w:b/>
          <w:bCs/>
          <w:color w:val="0F1111"/>
          <w:sz w:val="21"/>
          <w:szCs w:val="21"/>
          <w:shd w:val="clear" w:color="auto" w:fill="FFFFFF"/>
        </w:rPr>
        <w:t xml:space="preserve"> </w:t>
      </w:r>
      <w:r w:rsidRPr="00587E42">
        <w:rPr>
          <w:rFonts w:ascii="Arial" w:hAnsi="Arial" w:cs="Arial"/>
          <w:color w:val="0F1111"/>
          <w:shd w:val="clear" w:color="auto" w:fill="FFFFFF"/>
        </w:rPr>
        <w:t>Gryphon House.</w:t>
      </w:r>
    </w:p>
    <w:p w14:paraId="6DFD684C"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Learning Through Landscapes (2024). </w:t>
      </w:r>
      <w:r w:rsidRPr="00587E42">
        <w:rPr>
          <w:rFonts w:ascii="Arial" w:eastAsia="Times New Roman" w:hAnsi="Arial" w:cs="Arial"/>
          <w:i/>
          <w:iCs/>
          <w:spacing w:val="-6"/>
          <w:kern w:val="0"/>
          <w:lang w:eastAsia="en-GB"/>
          <w14:ligatures w14:val="none"/>
        </w:rPr>
        <w:t>Local School Nature Grants.</w:t>
      </w:r>
      <w:r w:rsidRPr="00587E42">
        <w:rPr>
          <w:rFonts w:ascii="Arial" w:eastAsia="Times New Roman" w:hAnsi="Arial" w:cs="Arial"/>
          <w:spacing w:val="-6"/>
          <w:kern w:val="0"/>
          <w:lang w:eastAsia="en-GB"/>
          <w14:ligatures w14:val="none"/>
        </w:rPr>
        <w:t xml:space="preserve"> Available at:</w:t>
      </w:r>
      <w:r w:rsidRPr="00587E42">
        <w:rPr>
          <w:rFonts w:ascii="Arial" w:eastAsia="Times New Roman" w:hAnsi="Arial" w:cs="Arial"/>
          <w:spacing w:val="-6"/>
          <w:kern w:val="0"/>
          <w:lang w:eastAsia="en-GB"/>
          <w14:ligatures w14:val="none"/>
        </w:rPr>
        <w:br/>
      </w:r>
      <w:hyperlink r:id="rId141" w:history="1">
        <w:r w:rsidRPr="00587E42">
          <w:rPr>
            <w:rFonts w:ascii="Arial" w:eastAsia="Times New Roman" w:hAnsi="Arial" w:cs="Arial"/>
            <w:color w:val="0071E3"/>
            <w:spacing w:val="-6"/>
            <w:kern w:val="0"/>
            <w:u w:val="single"/>
            <w:lang w:eastAsia="en-GB"/>
            <w14:ligatures w14:val="none"/>
          </w:rPr>
          <w:t>https://ltl.org.uk/projects/local-school-nature-grants/</w:t>
        </w:r>
      </w:hyperlink>
      <w:r w:rsidRPr="00587E42">
        <w:rPr>
          <w:rFonts w:ascii="Arial" w:eastAsia="Times New Roman" w:hAnsi="Arial" w:cs="Arial"/>
          <w:spacing w:val="-6"/>
          <w:kern w:val="0"/>
          <w:lang w:eastAsia="en-GB"/>
          <w14:ligatures w14:val="none"/>
        </w:rPr>
        <w:t xml:space="preserve"> (Accessed: 18 February 2026)</w:t>
      </w:r>
    </w:p>
    <w:p w14:paraId="2D97224C"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Louv, R. (2008) </w:t>
      </w:r>
      <w:r w:rsidRPr="00587E42">
        <w:rPr>
          <w:rFonts w:ascii="Arial" w:eastAsia="Times New Roman" w:hAnsi="Arial" w:cs="Arial"/>
          <w:i/>
          <w:iCs/>
          <w:spacing w:val="-6"/>
          <w:kern w:val="0"/>
          <w:lang w:eastAsia="en-GB"/>
          <w14:ligatures w14:val="none"/>
        </w:rPr>
        <w:t>Last child in the woods: Saving our children from nature-deficit disorder</w:t>
      </w:r>
      <w:r w:rsidRPr="00587E42">
        <w:rPr>
          <w:rFonts w:ascii="Arial" w:eastAsia="Times New Roman" w:hAnsi="Arial" w:cs="Arial"/>
          <w:spacing w:val="-6"/>
          <w:kern w:val="0"/>
          <w:lang w:eastAsia="en-GB"/>
          <w14:ligatures w14:val="none"/>
        </w:rPr>
        <w:t>. Chapel Hill, NC: Algonquin Books.</w:t>
      </w:r>
    </w:p>
    <w:p w14:paraId="1A0B8CA9" w14:textId="77777777" w:rsidR="00587E42" w:rsidRPr="00587E42" w:rsidRDefault="00587E42" w:rsidP="00587E42">
      <w:pPr>
        <w:shd w:val="clear" w:color="auto" w:fill="FFFFFF"/>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Natural England (2025) </w:t>
      </w:r>
      <w:r w:rsidRPr="00587E42">
        <w:rPr>
          <w:rFonts w:ascii="Arial" w:eastAsia="Times New Roman" w:hAnsi="Arial" w:cs="Arial"/>
          <w:i/>
          <w:iCs/>
          <w:spacing w:val="-6"/>
          <w:kern w:val="0"/>
          <w:lang w:eastAsia="en-GB"/>
          <w14:ligatures w14:val="none"/>
        </w:rPr>
        <w:t>The Children’s People and Nature Survey for England: 2025 update. Official Statistics.</w:t>
      </w:r>
      <w:r w:rsidRPr="00587E42">
        <w:rPr>
          <w:rFonts w:ascii="Arial" w:eastAsia="Times New Roman" w:hAnsi="Arial" w:cs="Arial"/>
          <w:spacing w:val="-6"/>
          <w:kern w:val="0"/>
          <w:lang w:eastAsia="en-GB"/>
          <w14:ligatures w14:val="none"/>
        </w:rPr>
        <w:t xml:space="preserve"> Available at: </w:t>
      </w:r>
      <w:hyperlink r:id="rId142" w:history="1">
        <w:r w:rsidRPr="00587E42">
          <w:rPr>
            <w:rFonts w:ascii="Arial" w:eastAsiaTheme="majorEastAsia" w:hAnsi="Arial" w:cs="Arial"/>
            <w:color w:val="0071E3"/>
            <w:spacing w:val="-6"/>
            <w:kern w:val="0"/>
            <w:u w:val="single"/>
            <w:lang w:eastAsia="en-GB"/>
            <w14:ligatures w14:val="none"/>
          </w:rPr>
          <w:t>https://www.gov.uk/government/statistics/the-childrens-people-and-nature-survey-for-england-2025-update/the-childrens-people-and-nature-survey-for-england-2025-update</w:t>
        </w:r>
      </w:hyperlink>
      <w:r w:rsidRPr="00587E42">
        <w:rPr>
          <w:rFonts w:ascii="Arial" w:eastAsia="Times New Roman" w:hAnsi="Arial" w:cs="Arial"/>
          <w:spacing w:val="-6"/>
          <w:kern w:val="0"/>
          <w:lang w:eastAsia="en-GB"/>
          <w14:ligatures w14:val="none"/>
        </w:rPr>
        <w:t> (Accessed: 18 February 2026).</w:t>
      </w:r>
    </w:p>
    <w:p w14:paraId="481FFB12"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Reggio Children (2019) </w:t>
      </w:r>
      <w:r w:rsidRPr="00587E42">
        <w:rPr>
          <w:rFonts w:ascii="Arial" w:eastAsia="Times New Roman" w:hAnsi="Arial" w:cs="Arial"/>
          <w:i/>
          <w:iCs/>
          <w:spacing w:val="-6"/>
          <w:kern w:val="0"/>
          <w:lang w:eastAsia="en-GB"/>
          <w14:ligatures w14:val="none"/>
        </w:rPr>
        <w:t>Reggio Emilia approach: principles and values.</w:t>
      </w:r>
      <w:r w:rsidRPr="00587E42">
        <w:rPr>
          <w:rFonts w:ascii="Arial" w:eastAsia="Times New Roman" w:hAnsi="Arial" w:cs="Arial"/>
          <w:spacing w:val="-6"/>
          <w:kern w:val="0"/>
          <w:lang w:eastAsia="en-GB"/>
          <w14:ligatures w14:val="none"/>
        </w:rPr>
        <w:t xml:space="preserve"> Reggio Emilia: Reggio Children S.r.l. Available at: </w:t>
      </w:r>
      <w:hyperlink r:id="rId143" w:history="1">
        <w:r w:rsidRPr="00587E42">
          <w:rPr>
            <w:rFonts w:ascii="Arial" w:eastAsiaTheme="majorEastAsia" w:hAnsi="Arial" w:cs="Arial"/>
            <w:color w:val="0071E3"/>
            <w:spacing w:val="-6"/>
            <w:kern w:val="0"/>
            <w:u w:val="single"/>
            <w:lang w:eastAsia="en-GB"/>
            <w14:ligatures w14:val="none"/>
          </w:rPr>
          <w:t>https://www.reggiochildren.it/en/reggio-emilia-approach/</w:t>
        </w:r>
      </w:hyperlink>
      <w:r w:rsidRPr="00587E42">
        <w:rPr>
          <w:rFonts w:ascii="Arial" w:eastAsia="Times New Roman" w:hAnsi="Arial" w:cs="Arial"/>
          <w:spacing w:val="-6"/>
          <w:kern w:val="0"/>
          <w:lang w:eastAsia="en-GB"/>
          <w14:ligatures w14:val="none"/>
        </w:rPr>
        <w:t> </w:t>
      </w:r>
      <w:hyperlink r:id="rId144" w:history="1">
        <w:r w:rsidRPr="00587E42">
          <w:rPr>
            <w:rFonts w:ascii="Arial" w:eastAsiaTheme="majorEastAsia" w:hAnsi="Arial" w:cs="Arial"/>
            <w:color w:val="0000FF"/>
            <w:kern w:val="0"/>
            <w:u w:val="single"/>
            <w:lang w:eastAsia="en-GB"/>
            <w14:ligatures w14:val="none"/>
          </w:rPr>
          <w:t>Reggio Children - Values</w:t>
        </w:r>
      </w:hyperlink>
      <w:r w:rsidRPr="00587E42">
        <w:rPr>
          <w:rFonts w:ascii="Arial" w:eastAsia="Times New Roman" w:hAnsi="Arial" w:cs="Arial"/>
          <w:spacing w:val="-6"/>
          <w:kern w:val="0"/>
          <w:lang w:eastAsia="en-GB"/>
          <w14:ligatures w14:val="none"/>
        </w:rPr>
        <w:t xml:space="preserve"> (Accessed: 18 February 2026).</w:t>
      </w:r>
    </w:p>
    <w:p w14:paraId="0DEFCCEA" w14:textId="77777777" w:rsidR="00587E42" w:rsidRPr="00587E42" w:rsidRDefault="00587E42" w:rsidP="00587E42">
      <w:pPr>
        <w:shd w:val="clear" w:color="auto" w:fill="FFFFFF"/>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Sacu, S., Hermann, A., Banaschewski, T., Gerchen, M.F. &amp; Holz, N.E. (2025) The long-term correlates of developmental stress on whole-brain functional connectivity during emotion regulation. </w:t>
      </w:r>
      <w:r w:rsidRPr="00587E42">
        <w:rPr>
          <w:rFonts w:ascii="Arial" w:eastAsia="Times New Roman" w:hAnsi="Arial" w:cs="Arial"/>
          <w:i/>
          <w:iCs/>
          <w:spacing w:val="-6"/>
          <w:kern w:val="0"/>
          <w:lang w:eastAsia="en-GB"/>
          <w14:ligatures w14:val="none"/>
        </w:rPr>
        <w:t>Translational Psychiatry,</w:t>
      </w:r>
      <w:r w:rsidRPr="00587E42">
        <w:rPr>
          <w:rFonts w:ascii="Arial" w:eastAsia="Times New Roman" w:hAnsi="Arial" w:cs="Arial"/>
          <w:spacing w:val="-6"/>
          <w:kern w:val="0"/>
          <w:lang w:eastAsia="en-GB"/>
          <w14:ligatures w14:val="none"/>
        </w:rPr>
        <w:t xml:space="preserve"> 15, Article 152. Available at: </w:t>
      </w:r>
      <w:hyperlink r:id="rId145" w:history="1">
        <w:r w:rsidRPr="00587E42">
          <w:rPr>
            <w:rFonts w:ascii="Arial" w:eastAsia="Times New Roman" w:hAnsi="Arial" w:cs="Arial"/>
            <w:color w:val="0071E3"/>
            <w:spacing w:val="-6"/>
            <w:kern w:val="0"/>
            <w:u w:val="single"/>
            <w:lang w:eastAsia="en-GB"/>
            <w14:ligatures w14:val="none"/>
          </w:rPr>
          <w:t>https://doi.org/10.1038/s41398-025-03374-8</w:t>
        </w:r>
      </w:hyperlink>
      <w:r w:rsidRPr="00587E42">
        <w:rPr>
          <w:rFonts w:ascii="Arial" w:eastAsia="Times New Roman" w:hAnsi="Arial" w:cs="Arial"/>
          <w:spacing w:val="-6"/>
          <w:kern w:val="0"/>
          <w:lang w:eastAsia="en-GB"/>
          <w14:ligatures w14:val="none"/>
        </w:rPr>
        <w:t> (Accessed: 18 February 2026). </w:t>
      </w:r>
    </w:p>
    <w:p w14:paraId="4394EBA6"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The Children’s People and Nature Survey for England (2023) Children’s People and Nature Survey 2023 update. GOV.UK Official Statistics. Available at: </w:t>
      </w:r>
      <w:hyperlink r:id="rId146" w:history="1">
        <w:r w:rsidRPr="00587E42">
          <w:rPr>
            <w:rFonts w:ascii="Arial" w:eastAsiaTheme="majorEastAsia" w:hAnsi="Arial" w:cs="Arial"/>
            <w:color w:val="0071E3"/>
            <w:spacing w:val="-6"/>
            <w:kern w:val="0"/>
            <w:u w:val="single"/>
            <w:lang w:eastAsia="en-GB"/>
            <w14:ligatures w14:val="none"/>
          </w:rPr>
          <w:t>https://www.gov.uk/government/statistics/the-childrens-people-and-nature-survey-for-england-2023-update/the-childrens-people-and-nature-survey-for-england-2023-update</w:t>
        </w:r>
      </w:hyperlink>
      <w:r w:rsidRPr="00587E42">
        <w:rPr>
          <w:rFonts w:ascii="Arial" w:eastAsia="Times New Roman" w:hAnsi="Arial" w:cs="Arial"/>
          <w:spacing w:val="-6"/>
          <w:kern w:val="0"/>
          <w:lang w:eastAsia="en-GB"/>
          <w14:ligatures w14:val="none"/>
        </w:rPr>
        <w:t> (Accessed: 18 February 2026).</w:t>
      </w:r>
    </w:p>
    <w:p w14:paraId="43211373" w14:textId="77777777" w:rsidR="00587E42" w:rsidRPr="00587E42" w:rsidRDefault="00587E42" w:rsidP="00587E42">
      <w:pPr>
        <w:spacing w:after="180" w:line="240" w:lineRule="auto"/>
        <w:rPr>
          <w:rFonts w:ascii="Arial" w:eastAsia="Times New Roman" w:hAnsi="Arial" w:cs="Arial"/>
          <w:kern w:val="0"/>
          <w:lang w:eastAsia="en-GB"/>
          <w14:ligatures w14:val="none"/>
        </w:rPr>
      </w:pPr>
      <w:r w:rsidRPr="00587E42">
        <w:rPr>
          <w:rFonts w:ascii="Arial" w:eastAsia="Times New Roman" w:hAnsi="Arial" w:cs="Arial"/>
          <w:spacing w:val="-6"/>
          <w:kern w:val="0"/>
          <w:lang w:eastAsia="en-GB"/>
          <w14:ligatures w14:val="none"/>
        </w:rPr>
        <w:t xml:space="preserve">The Forest School Association (2011) </w:t>
      </w:r>
      <w:r w:rsidRPr="00587E42">
        <w:rPr>
          <w:rFonts w:ascii="Arial" w:eastAsia="Times New Roman" w:hAnsi="Arial" w:cs="Arial"/>
          <w:i/>
          <w:iCs/>
          <w:spacing w:val="-6"/>
          <w:kern w:val="0"/>
          <w:lang w:eastAsia="en-GB"/>
          <w14:ligatures w14:val="none"/>
        </w:rPr>
        <w:t>Full Principals and Criteria for Good Practice.</w:t>
      </w:r>
      <w:r w:rsidRPr="00587E42">
        <w:rPr>
          <w:rFonts w:ascii="Arial" w:eastAsia="Times New Roman" w:hAnsi="Arial" w:cs="Arial"/>
          <w:spacing w:val="-6"/>
          <w:kern w:val="0"/>
          <w:lang w:eastAsia="en-GB"/>
          <w14:ligatures w14:val="none"/>
        </w:rPr>
        <w:t xml:space="preserve"> Available at: </w:t>
      </w:r>
      <w:hyperlink r:id="rId147" w:history="1">
        <w:r w:rsidRPr="00587E42">
          <w:rPr>
            <w:rFonts w:ascii="Arial" w:eastAsiaTheme="majorEastAsia" w:hAnsi="Arial" w:cs="Arial"/>
            <w:color w:val="0000FF"/>
            <w:kern w:val="0"/>
            <w:u w:val="single"/>
            <w:lang w:eastAsia="en-GB"/>
            <w14:ligatures w14:val="none"/>
          </w:rPr>
          <w:t>Full principles and criteria for good practice | Forest School Association</w:t>
        </w:r>
      </w:hyperlink>
      <w:r w:rsidRPr="00587E42">
        <w:rPr>
          <w:rFonts w:ascii="Arial" w:eastAsia="Times New Roman" w:hAnsi="Arial" w:cs="Arial"/>
          <w:kern w:val="0"/>
          <w:lang w:eastAsia="en-GB"/>
          <w14:ligatures w14:val="none"/>
        </w:rPr>
        <w:t xml:space="preserve"> (Accessed: 19 February 2026)</w:t>
      </w:r>
    </w:p>
    <w:p w14:paraId="66F3FBF1" w14:textId="77777777" w:rsidR="00587E42" w:rsidRPr="00587E42" w:rsidRDefault="00587E42" w:rsidP="00587E42">
      <w:pPr>
        <w:spacing w:line="240" w:lineRule="auto"/>
        <w:rPr>
          <w:rFonts w:ascii="Arial" w:hAnsi="Arial" w:cs="Arial"/>
          <w:lang w:eastAsia="en-GB"/>
        </w:rPr>
      </w:pPr>
      <w:r w:rsidRPr="00587E42">
        <w:rPr>
          <w:rFonts w:ascii="Arial" w:hAnsi="Arial" w:cs="Arial"/>
          <w:lang w:eastAsia="en-GB"/>
        </w:rPr>
        <w:t xml:space="preserve">Thomas, A., Boulton, P. (2025) </w:t>
      </w:r>
      <w:r w:rsidRPr="00587E42">
        <w:rPr>
          <w:rFonts w:ascii="Arial" w:eastAsia="Times New Roman" w:hAnsi="Arial" w:cs="Arial"/>
          <w:i/>
          <w:iCs/>
          <w:color w:val="0F1111"/>
          <w:kern w:val="36"/>
          <w:lang w:eastAsia="en-GB"/>
          <w14:ligatures w14:val="none"/>
        </w:rPr>
        <w:t>Elevating Early Childhood Outdoor Pedagogy: Harnessing Schemas and Embracing Loose Parts.</w:t>
      </w:r>
      <w:r w:rsidRPr="00587E42">
        <w:rPr>
          <w:rFonts w:ascii="Arial" w:eastAsia="Times New Roman" w:hAnsi="Arial" w:cs="Arial"/>
          <w:color w:val="0F1111"/>
          <w:kern w:val="36"/>
          <w:lang w:eastAsia="en-GB"/>
          <w14:ligatures w14:val="none"/>
        </w:rPr>
        <w:t xml:space="preserve"> Switzerland: Springer Nature/Palgrave Macmillan.</w:t>
      </w:r>
    </w:p>
    <w:p w14:paraId="39152C3C" w14:textId="77777777" w:rsidR="00587E42" w:rsidRPr="00587E42" w:rsidRDefault="00587E42" w:rsidP="00587E42">
      <w:pPr>
        <w:keepNext/>
        <w:keepLines/>
        <w:shd w:val="clear" w:color="auto" w:fill="FFFFFF"/>
        <w:spacing w:after="150"/>
        <w:textAlignment w:val="baseline"/>
        <w:outlineLvl w:val="0"/>
        <w:rPr>
          <w:rFonts w:ascii="Arial" w:eastAsiaTheme="majorEastAsia" w:hAnsi="Arial" w:cs="Arial"/>
        </w:rPr>
      </w:pPr>
      <w:r w:rsidRPr="00587E42">
        <w:rPr>
          <w:rFonts w:ascii="Arial" w:eastAsia="Times New Roman" w:hAnsi="Arial" w:cs="Arial"/>
          <w:spacing w:val="-6"/>
          <w:kern w:val="0"/>
          <w:lang w:eastAsia="en-GB"/>
          <w14:ligatures w14:val="none"/>
        </w:rPr>
        <w:lastRenderedPageBreak/>
        <w:t xml:space="preserve">Thomas, G. (2024) </w:t>
      </w:r>
      <w:r w:rsidRPr="00587E42">
        <w:rPr>
          <w:rFonts w:ascii="Arial" w:eastAsia="Times New Roman" w:hAnsi="Arial" w:cs="Arial"/>
          <w:i/>
          <w:iCs/>
          <w:kern w:val="36"/>
          <w:lang w:eastAsia="en-GB"/>
          <w14:ligatures w14:val="none"/>
        </w:rPr>
        <w:t xml:space="preserve">Their future: our priority? Childcare in Wales. </w:t>
      </w:r>
      <w:r w:rsidRPr="00587E42">
        <w:rPr>
          <w:rFonts w:ascii="Arial" w:eastAsia="Times New Roman" w:hAnsi="Arial" w:cs="Arial"/>
          <w:kern w:val="36"/>
          <w:lang w:eastAsia="en-GB"/>
          <w14:ligatures w14:val="none"/>
        </w:rPr>
        <w:t xml:space="preserve">Cardiff: Welsh Government, Senedd Research. Available at: </w:t>
      </w:r>
      <w:hyperlink r:id="rId148" w:history="1">
        <w:r w:rsidRPr="00587E42">
          <w:rPr>
            <w:rFonts w:ascii="Arial" w:eastAsiaTheme="majorEastAsia" w:hAnsi="Arial" w:cs="Arial"/>
            <w:color w:val="0000FF"/>
            <w:u w:val="single"/>
          </w:rPr>
          <w:t>Their future: our priority? Childcare in Wales</w:t>
        </w:r>
      </w:hyperlink>
      <w:r w:rsidRPr="00587E42">
        <w:rPr>
          <w:rFonts w:ascii="Arial" w:eastAsiaTheme="majorEastAsia" w:hAnsi="Arial" w:cs="Arial"/>
          <w:color w:val="0F4761" w:themeColor="accent1" w:themeShade="BF"/>
        </w:rPr>
        <w:t xml:space="preserve"> </w:t>
      </w:r>
      <w:r w:rsidRPr="00587E42">
        <w:rPr>
          <w:rFonts w:ascii="Arial" w:eastAsiaTheme="majorEastAsia" w:hAnsi="Arial" w:cs="Arial"/>
        </w:rPr>
        <w:t>(Accessed: 22 February 2026)</w:t>
      </w:r>
    </w:p>
    <w:p w14:paraId="7C4ED1E9" w14:textId="77777777" w:rsidR="00587E42" w:rsidRPr="00587E42" w:rsidRDefault="00587E42" w:rsidP="00587E42">
      <w:pPr>
        <w:spacing w:after="180" w:line="240" w:lineRule="auto"/>
        <w:rPr>
          <w:rFonts w:ascii="Arial" w:eastAsia="Times New Roman" w:hAnsi="Arial" w:cs="Arial"/>
          <w:kern w:val="0"/>
          <w:lang w:eastAsia="en-GB"/>
          <w14:ligatures w14:val="none"/>
        </w:rPr>
      </w:pPr>
      <w:r w:rsidRPr="00587E42">
        <w:rPr>
          <w:rFonts w:ascii="Arial" w:eastAsia="Times New Roman" w:hAnsi="Arial" w:cs="Arial"/>
          <w:kern w:val="0"/>
          <w:lang w:eastAsia="en-GB"/>
          <w14:ligatures w14:val="none"/>
        </w:rPr>
        <w:t xml:space="preserve">Tseliou, F., Riglin, L., Thapar, A.K., Heron, J., Dennison, C.A., Armitage, J.M., Thapar, A., Rice, F. &amp; Collishaw, S. (2024) Childhood correlates and young adult outcomes of trajectories of emotional problems from childhood to adolescence. </w:t>
      </w:r>
      <w:r w:rsidRPr="00587E42">
        <w:rPr>
          <w:rFonts w:ascii="Arial" w:eastAsia="Times New Roman" w:hAnsi="Arial" w:cs="Arial"/>
          <w:i/>
          <w:iCs/>
          <w:kern w:val="0"/>
          <w:lang w:eastAsia="en-GB"/>
          <w14:ligatures w14:val="none"/>
        </w:rPr>
        <w:t>Psychological Medicine,</w:t>
      </w:r>
      <w:r w:rsidRPr="00587E42">
        <w:rPr>
          <w:rFonts w:ascii="Arial" w:eastAsia="Times New Roman" w:hAnsi="Arial" w:cs="Arial"/>
          <w:kern w:val="0"/>
          <w:lang w:eastAsia="en-GB"/>
          <w14:ligatures w14:val="none"/>
        </w:rPr>
        <w:t xml:space="preserve"> advance online publication. Available at: </w:t>
      </w:r>
      <w:hyperlink r:id="rId149" w:history="1">
        <w:r w:rsidRPr="00587E42">
          <w:rPr>
            <w:rFonts w:ascii="Arial" w:eastAsia="Times New Roman" w:hAnsi="Arial" w:cs="Arial"/>
            <w:color w:val="0071E3"/>
            <w:kern w:val="0"/>
            <w:u w:val="single"/>
            <w:lang w:eastAsia="en-GB"/>
            <w14:ligatures w14:val="none"/>
          </w:rPr>
          <w:t>https://doi.org/10.1017/S0033291724000631</w:t>
        </w:r>
      </w:hyperlink>
      <w:r w:rsidRPr="00587E42">
        <w:rPr>
          <w:rFonts w:ascii="Arial" w:eastAsia="Times New Roman" w:hAnsi="Arial" w:cs="Arial"/>
          <w:kern w:val="0"/>
          <w:lang w:eastAsia="en-GB"/>
          <w14:ligatures w14:val="none"/>
        </w:rPr>
        <w:t> (Accessed: 18 March 2024). </w:t>
      </w:r>
    </w:p>
    <w:p w14:paraId="76D7C8DC"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UNCRC (1989) </w:t>
      </w:r>
      <w:r w:rsidRPr="00587E42">
        <w:rPr>
          <w:rFonts w:ascii="Arial" w:eastAsia="Times New Roman" w:hAnsi="Arial" w:cs="Arial"/>
          <w:i/>
          <w:iCs/>
          <w:spacing w:val="-6"/>
          <w:kern w:val="0"/>
          <w:lang w:eastAsia="en-GB"/>
          <w14:ligatures w14:val="none"/>
        </w:rPr>
        <w:t>Convention on the Rights of the Child.</w:t>
      </w:r>
      <w:r w:rsidRPr="00587E42">
        <w:rPr>
          <w:rFonts w:ascii="Arial" w:eastAsia="Times New Roman" w:hAnsi="Arial" w:cs="Arial"/>
          <w:spacing w:val="-6"/>
          <w:kern w:val="0"/>
          <w:lang w:eastAsia="en-GB"/>
          <w14:ligatures w14:val="none"/>
        </w:rPr>
        <w:t xml:space="preserve"> Geneva: United Nations. Available at:  </w:t>
      </w:r>
      <w:hyperlink r:id="rId150" w:history="1">
        <w:r w:rsidRPr="00587E42">
          <w:rPr>
            <w:rFonts w:ascii="Arial" w:eastAsia="Times New Roman" w:hAnsi="Arial" w:cs="Arial"/>
            <w:color w:val="0071E3"/>
            <w:spacing w:val="-6"/>
            <w:kern w:val="0"/>
            <w:u w:val="single"/>
            <w:lang w:eastAsia="en-GB"/>
            <w14:ligatures w14:val="none"/>
          </w:rPr>
          <w:t>https://www.ohchr.org/en/instruments-mechanisms/instruments/convention-rights-child</w:t>
        </w:r>
      </w:hyperlink>
      <w:r w:rsidRPr="00587E42">
        <w:rPr>
          <w:rFonts w:ascii="Arial" w:hAnsi="Arial" w:cs="Arial"/>
        </w:rPr>
        <w:t xml:space="preserve"> (Accessed 31 January 2026)</w:t>
      </w:r>
    </w:p>
    <w:p w14:paraId="4F418B72" w14:textId="77777777" w:rsidR="00587E42" w:rsidRPr="00587E42" w:rsidRDefault="00587E42" w:rsidP="00587E42">
      <w:pPr>
        <w:spacing w:after="224" w:line="240" w:lineRule="auto"/>
        <w:rPr>
          <w:rFonts w:ascii="Arial" w:eastAsia="Times New Roman" w:hAnsi="Arial" w:cs="Arial"/>
          <w:spacing w:val="-6"/>
          <w:kern w:val="0"/>
          <w:sz w:val="28"/>
          <w:szCs w:val="28"/>
          <w:lang w:eastAsia="en-GB"/>
          <w14:ligatures w14:val="none"/>
        </w:rPr>
      </w:pPr>
      <w:r w:rsidRPr="00587E42">
        <w:rPr>
          <w:rFonts w:ascii="Arial" w:eastAsia="Times New Roman" w:hAnsi="Arial" w:cs="Arial"/>
          <w:spacing w:val="-6"/>
          <w:kern w:val="0"/>
          <w:lang w:eastAsia="en-GB"/>
          <w14:ligatures w14:val="none"/>
        </w:rPr>
        <w:t xml:space="preserve">United Nations- Regional Information Centre for Western Europe (2015) </w:t>
      </w:r>
      <w:r w:rsidRPr="00587E42">
        <w:rPr>
          <w:rFonts w:ascii="Arial" w:eastAsia="Times New Roman" w:hAnsi="Arial" w:cs="Arial"/>
          <w:i/>
          <w:iCs/>
          <w:spacing w:val="-6"/>
          <w:kern w:val="0"/>
          <w:lang w:eastAsia="en-GB"/>
          <w14:ligatures w14:val="none"/>
        </w:rPr>
        <w:t>Sustainable Development Goals.</w:t>
      </w:r>
      <w:r w:rsidRPr="00587E42">
        <w:rPr>
          <w:rFonts w:ascii="Arial" w:eastAsia="Times New Roman" w:hAnsi="Arial" w:cs="Arial"/>
          <w:spacing w:val="-6"/>
          <w:kern w:val="0"/>
          <w:lang w:eastAsia="en-GB"/>
          <w14:ligatures w14:val="none"/>
        </w:rPr>
        <w:t xml:space="preserve"> Available at:</w:t>
      </w:r>
      <w:r w:rsidRPr="00587E42">
        <w:rPr>
          <w:rFonts w:ascii="Arial" w:eastAsia="Times New Roman" w:hAnsi="Arial" w:cs="Arial"/>
          <w:spacing w:val="-6"/>
          <w:kern w:val="0"/>
          <w:sz w:val="28"/>
          <w:szCs w:val="28"/>
          <w:lang w:eastAsia="en-GB"/>
          <w14:ligatures w14:val="none"/>
        </w:rPr>
        <w:t xml:space="preserve"> </w:t>
      </w:r>
      <w:hyperlink r:id="rId151" w:history="1">
        <w:r w:rsidRPr="00587E42">
          <w:rPr>
            <w:rFonts w:ascii="Arial" w:eastAsiaTheme="majorEastAsia" w:hAnsi="Arial" w:cs="Arial"/>
            <w:color w:val="0000FF"/>
            <w:kern w:val="0"/>
            <w:u w:val="single"/>
            <w:lang w:eastAsia="en-GB"/>
            <w14:ligatures w14:val="none"/>
          </w:rPr>
          <w:t>United Nations Sustainable Development Goals (SDGs)</w:t>
        </w:r>
      </w:hyperlink>
      <w:r w:rsidRPr="00587E42">
        <w:rPr>
          <w:rFonts w:ascii="Arial" w:eastAsia="Times New Roman" w:hAnsi="Arial" w:cs="Arial"/>
          <w:kern w:val="0"/>
          <w:lang w:eastAsia="en-GB"/>
          <w14:ligatures w14:val="none"/>
        </w:rPr>
        <w:t xml:space="preserve"> (accessed: 20 February 2026)</w:t>
      </w:r>
    </w:p>
    <w:p w14:paraId="208F6111" w14:textId="77777777" w:rsidR="00587E42" w:rsidRPr="00587E42" w:rsidRDefault="00587E42" w:rsidP="00587E42">
      <w:pPr>
        <w:rPr>
          <w:rFonts w:ascii="Arial" w:hAnsi="Arial" w:cs="Arial"/>
          <w:spacing w:val="-6"/>
          <w:shd w:val="clear" w:color="auto" w:fill="FFFFFF"/>
        </w:rPr>
      </w:pPr>
      <w:r w:rsidRPr="00587E42">
        <w:rPr>
          <w:rFonts w:ascii="Arial" w:hAnsi="Arial" w:cs="Arial"/>
          <w:spacing w:val="-6"/>
          <w:shd w:val="clear" w:color="auto" w:fill="FFFFFF"/>
        </w:rPr>
        <w:t>University of Oxford (2025</w:t>
      </w:r>
      <w:r w:rsidRPr="00587E42">
        <w:rPr>
          <w:rFonts w:ascii="Arial" w:hAnsi="Arial" w:cs="Arial"/>
          <w:i/>
          <w:iCs/>
          <w:spacing w:val="-6"/>
          <w:shd w:val="clear" w:color="auto" w:fill="FFFFFF"/>
        </w:rPr>
        <w:t>) Impact case study: Transforming early education policy and practice through EPPSE research</w:t>
      </w:r>
      <w:r w:rsidRPr="00587E42">
        <w:rPr>
          <w:rFonts w:ascii="Arial" w:hAnsi="Arial" w:cs="Arial"/>
          <w:spacing w:val="-6"/>
          <w:shd w:val="clear" w:color="auto" w:fill="FFFFFF"/>
        </w:rPr>
        <w:t>. University of Oxford. Available at: </w:t>
      </w:r>
      <w:hyperlink r:id="rId152" w:history="1">
        <w:r w:rsidRPr="00587E42">
          <w:rPr>
            <w:rFonts w:ascii="Arial" w:hAnsi="Arial" w:cs="Arial"/>
            <w:color w:val="0071E3"/>
            <w:spacing w:val="-6"/>
            <w:u w:val="single"/>
            <w:shd w:val="clear" w:color="auto" w:fill="FFFFFF"/>
          </w:rPr>
          <w:t>https://www.education.ox.ac.uk/wp-content/uploads/2025/11/Impact-case-study-University-of-Oxford-23-Transforming-Early-Education-Policy-and-Practice.pdf</w:t>
        </w:r>
      </w:hyperlink>
      <w:r w:rsidRPr="00587E42">
        <w:rPr>
          <w:rFonts w:ascii="Arial" w:hAnsi="Arial" w:cs="Arial"/>
          <w:spacing w:val="-6"/>
          <w:shd w:val="clear" w:color="auto" w:fill="FFFFFF"/>
        </w:rPr>
        <w:t> (Accessed: 17 February 2026). </w:t>
      </w:r>
    </w:p>
    <w:p w14:paraId="378B9C0C" w14:textId="77777777" w:rsidR="00587E42" w:rsidRPr="00587E42" w:rsidRDefault="00587E42" w:rsidP="00587E42">
      <w:pPr>
        <w:shd w:val="clear" w:color="auto" w:fill="FFFFFF"/>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Weale, S. (2025) ‘</w:t>
      </w:r>
      <w:r w:rsidRPr="00587E42">
        <w:rPr>
          <w:rFonts w:ascii="Arial" w:eastAsia="Times New Roman" w:hAnsi="Arial" w:cs="Arial"/>
          <w:i/>
          <w:iCs/>
          <w:spacing w:val="-6"/>
          <w:kern w:val="0"/>
          <w:lang w:eastAsia="en-GB"/>
          <w14:ligatures w14:val="none"/>
        </w:rPr>
        <w:t>Third of children do not play outdoors after school, UK research finds’,</w:t>
      </w:r>
      <w:r w:rsidRPr="00587E42">
        <w:rPr>
          <w:rFonts w:ascii="Arial" w:eastAsia="Times New Roman" w:hAnsi="Arial" w:cs="Arial"/>
          <w:spacing w:val="-6"/>
          <w:kern w:val="0"/>
          <w:lang w:eastAsia="en-GB"/>
          <w14:ligatures w14:val="none"/>
        </w:rPr>
        <w:t xml:space="preserve"> The Guardian, 29 August. Available at: </w:t>
      </w:r>
      <w:hyperlink r:id="rId153" w:history="1">
        <w:r w:rsidRPr="00587E42">
          <w:rPr>
            <w:rFonts w:ascii="Arial" w:eastAsiaTheme="majorEastAsia" w:hAnsi="Arial" w:cs="Arial"/>
            <w:color w:val="0071E3"/>
            <w:spacing w:val="-6"/>
            <w:kern w:val="0"/>
            <w:u w:val="single"/>
            <w:lang w:eastAsia="en-GB"/>
            <w14:ligatures w14:val="none"/>
          </w:rPr>
          <w:t>https://www.theguardian.com/society/2025/aug/29/children-uk-outdoors-play-society-school-research</w:t>
        </w:r>
      </w:hyperlink>
      <w:r w:rsidRPr="00587E42">
        <w:rPr>
          <w:rFonts w:ascii="Arial" w:eastAsia="Times New Roman" w:hAnsi="Arial" w:cs="Arial"/>
          <w:spacing w:val="-6"/>
          <w:kern w:val="0"/>
          <w:lang w:eastAsia="en-GB"/>
          <w14:ligatures w14:val="none"/>
        </w:rPr>
        <w:t> (Accessed: 18 February 2026).</w:t>
      </w:r>
    </w:p>
    <w:p w14:paraId="01EE4E28" w14:textId="77777777" w:rsidR="00587E42" w:rsidRPr="00587E42" w:rsidRDefault="00587E42" w:rsidP="00587E42">
      <w:pPr>
        <w:shd w:val="clear" w:color="auto" w:fill="FFFFFF"/>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Weale, S., Adams, R. and Bannerman, L. (2024) ‘</w:t>
      </w:r>
      <w:r w:rsidRPr="00587E42">
        <w:rPr>
          <w:rFonts w:ascii="Arial" w:eastAsia="Times New Roman" w:hAnsi="Arial" w:cs="Arial"/>
          <w:i/>
          <w:iCs/>
          <w:spacing w:val="-6"/>
          <w:kern w:val="0"/>
          <w:lang w:eastAsia="en-GB"/>
          <w14:ligatures w14:val="none"/>
        </w:rPr>
        <w:t>Children facing brutal loss of time and space for play’,</w:t>
      </w:r>
      <w:r w:rsidRPr="00587E42">
        <w:rPr>
          <w:rFonts w:ascii="Arial" w:eastAsia="Times New Roman" w:hAnsi="Arial" w:cs="Arial"/>
          <w:spacing w:val="-6"/>
          <w:kern w:val="0"/>
          <w:lang w:eastAsia="en-GB"/>
          <w14:ligatures w14:val="none"/>
        </w:rPr>
        <w:t xml:space="preserve"> The Guardian, 17 June. Available at: </w:t>
      </w:r>
      <w:hyperlink r:id="rId154" w:history="1">
        <w:r w:rsidRPr="00587E42">
          <w:rPr>
            <w:rFonts w:ascii="Arial" w:eastAsiaTheme="majorEastAsia" w:hAnsi="Arial" w:cs="Arial"/>
            <w:color w:val="0071E3"/>
            <w:spacing w:val="-6"/>
            <w:kern w:val="0"/>
            <w:u w:val="single"/>
            <w:lang w:eastAsia="en-GB"/>
            <w14:ligatures w14:val="none"/>
          </w:rPr>
          <w:t>https://www.theguardian.com/education/article/2024/jun/17/children-facing-brutal-loss-time-space-play-state-schools</w:t>
        </w:r>
      </w:hyperlink>
      <w:r w:rsidRPr="00587E42">
        <w:rPr>
          <w:rFonts w:ascii="Arial" w:eastAsia="Times New Roman" w:hAnsi="Arial" w:cs="Arial"/>
          <w:spacing w:val="-6"/>
          <w:kern w:val="0"/>
          <w:lang w:eastAsia="en-GB"/>
          <w14:ligatures w14:val="none"/>
        </w:rPr>
        <w:t> (Accessed: 18 February 2026).</w:t>
      </w:r>
    </w:p>
    <w:p w14:paraId="2E39072F" w14:textId="77777777" w:rsidR="00587E42" w:rsidRPr="00587E42" w:rsidRDefault="00587E42" w:rsidP="00587E42">
      <w:pPr>
        <w:spacing w:after="180" w:line="240" w:lineRule="auto"/>
        <w:rPr>
          <w:rFonts w:ascii="Arial" w:eastAsia="Times New Roman" w:hAnsi="Arial" w:cs="Arial"/>
          <w:color w:val="EE0000"/>
          <w:spacing w:val="-6"/>
          <w:kern w:val="0"/>
          <w:lang w:eastAsia="en-GB"/>
          <w14:ligatures w14:val="none"/>
        </w:rPr>
      </w:pPr>
      <w:r w:rsidRPr="00587E42">
        <w:rPr>
          <w:rFonts w:ascii="Arial" w:eastAsia="Times New Roman" w:hAnsi="Arial" w:cs="Arial"/>
          <w:spacing w:val="-6"/>
          <w:kern w:val="0"/>
          <w:lang w:eastAsia="en-GB"/>
          <w14:ligatures w14:val="none"/>
        </w:rPr>
        <w:t xml:space="preserve">Welsh Government (2018) </w:t>
      </w:r>
      <w:r w:rsidRPr="00587E42">
        <w:rPr>
          <w:rFonts w:ascii="Arial" w:eastAsia="Times New Roman" w:hAnsi="Arial" w:cs="Arial"/>
          <w:i/>
          <w:iCs/>
          <w:spacing w:val="-6"/>
          <w:kern w:val="0"/>
          <w:lang w:eastAsia="en-GB"/>
          <w14:ligatures w14:val="none"/>
        </w:rPr>
        <w:t>Additional Learning Needs and Education Tribunal (Wales) Act 2018.</w:t>
      </w:r>
      <w:r w:rsidRPr="00587E42">
        <w:rPr>
          <w:rFonts w:ascii="Arial" w:eastAsia="Times New Roman" w:hAnsi="Arial" w:cs="Arial"/>
          <w:spacing w:val="-6"/>
          <w:kern w:val="0"/>
          <w:lang w:eastAsia="en-GB"/>
          <w14:ligatures w14:val="none"/>
        </w:rPr>
        <w:t xml:space="preserve">  Available at: </w:t>
      </w:r>
      <w:hyperlink r:id="rId155" w:history="1">
        <w:r w:rsidRPr="00587E42">
          <w:rPr>
            <w:rFonts w:ascii="Arial" w:eastAsia="Times New Roman" w:hAnsi="Arial" w:cs="Arial"/>
            <w:color w:val="0000FF"/>
            <w:spacing w:val="-6"/>
            <w:kern w:val="0"/>
            <w:u w:val="single"/>
            <w:lang w:eastAsia="en-GB"/>
            <w14:ligatures w14:val="none"/>
          </w:rPr>
          <w:t>https://www.legislation.gov.uk/anaw/2018/2/contents</w:t>
        </w:r>
      </w:hyperlink>
      <w:r w:rsidRPr="00587E42">
        <w:rPr>
          <w:rFonts w:ascii="Arial" w:eastAsia="Times New Roman" w:hAnsi="Arial" w:cs="Arial"/>
          <w:color w:val="EE0000"/>
          <w:spacing w:val="-6"/>
          <w:kern w:val="0"/>
          <w:u w:val="single"/>
          <w:lang w:eastAsia="en-GB"/>
          <w14:ligatures w14:val="none"/>
        </w:rPr>
        <w:t xml:space="preserve"> </w:t>
      </w:r>
      <w:r w:rsidRPr="00587E42">
        <w:rPr>
          <w:rFonts w:ascii="Arial" w:eastAsia="Times New Roman" w:hAnsi="Arial" w:cs="Arial"/>
          <w:spacing w:val="-6"/>
          <w:kern w:val="0"/>
          <w:lang w:eastAsia="en-GB"/>
          <w14:ligatures w14:val="none"/>
        </w:rPr>
        <w:t xml:space="preserve">(Accessed: 2 February 2026)   </w:t>
      </w:r>
    </w:p>
    <w:p w14:paraId="5CD567D2" w14:textId="77777777" w:rsidR="00587E42" w:rsidRPr="00587E42" w:rsidRDefault="00587E42" w:rsidP="00587E42">
      <w:pPr>
        <w:spacing w:after="180" w:line="240" w:lineRule="auto"/>
        <w:rPr>
          <w:rFonts w:ascii="Arial" w:eastAsia="Times New Roman" w:hAnsi="Arial" w:cs="Arial"/>
          <w:color w:val="EE0000"/>
          <w:spacing w:val="-6"/>
          <w:kern w:val="0"/>
          <w14:ligatures w14:val="none"/>
        </w:rPr>
      </w:pPr>
      <w:r w:rsidRPr="00587E42">
        <w:rPr>
          <w:rFonts w:ascii="Arial" w:eastAsia="Times New Roman" w:hAnsi="Arial" w:cs="Arial"/>
          <w:spacing w:val="-6"/>
          <w:kern w:val="0"/>
          <w14:ligatures w14:val="none"/>
        </w:rPr>
        <w:t xml:space="preserve">Welsh Government (2022) </w:t>
      </w:r>
      <w:r w:rsidRPr="00587E42">
        <w:rPr>
          <w:rFonts w:ascii="Arial" w:eastAsia="Times New Roman" w:hAnsi="Arial" w:cs="Arial"/>
          <w:i/>
          <w:iCs/>
          <w:spacing w:val="-6"/>
          <w:kern w:val="0"/>
          <w14:ligatures w14:val="none"/>
        </w:rPr>
        <w:t>Developing a Vision for Curriculum Design</w:t>
      </w:r>
      <w:r w:rsidRPr="00587E42">
        <w:rPr>
          <w:rFonts w:ascii="Arial" w:eastAsia="Times New Roman" w:hAnsi="Arial" w:cs="Arial"/>
          <w:spacing w:val="-6"/>
          <w:kern w:val="0"/>
          <w14:ligatures w14:val="none"/>
        </w:rPr>
        <w:t xml:space="preserve">, Available at: </w:t>
      </w:r>
      <w:hyperlink r:id="rId156" w:anchor="curriculum-design-and-the-four-purposes" w:history="1">
        <w:r w:rsidRPr="00587E42">
          <w:rPr>
            <w:rFonts w:ascii="Arial" w:hAnsi="Arial" w:cs="Arial"/>
            <w:color w:val="0000FF"/>
            <w:u w:val="single"/>
          </w:rPr>
          <w:t>Developing a vision for curriculum design - Hwb</w:t>
        </w:r>
      </w:hyperlink>
      <w:r w:rsidRPr="00587E42">
        <w:rPr>
          <w:rFonts w:ascii="Arial" w:hAnsi="Arial" w:cs="Arial"/>
        </w:rPr>
        <w:t xml:space="preserve"> (Accessed: 20 February 2026)</w:t>
      </w:r>
    </w:p>
    <w:p w14:paraId="01FCDAA7" w14:textId="77777777" w:rsidR="00587E42" w:rsidRPr="00587E42" w:rsidRDefault="00587E42" w:rsidP="00587E42">
      <w:pPr>
        <w:shd w:val="clear" w:color="auto" w:fill="FFFFFF"/>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Welsh Government (2022) </w:t>
      </w:r>
      <w:r w:rsidRPr="00587E42">
        <w:rPr>
          <w:rFonts w:ascii="Arial" w:eastAsia="Times New Roman" w:hAnsi="Arial" w:cs="Arial"/>
          <w:i/>
          <w:iCs/>
          <w:spacing w:val="-6"/>
          <w:kern w:val="0"/>
          <w:lang w:eastAsia="en-GB"/>
          <w14:ligatures w14:val="none"/>
        </w:rPr>
        <w:t>Research into Childcare Sufficiency Assessments (CSAs).</w:t>
      </w:r>
      <w:r w:rsidRPr="00587E42">
        <w:rPr>
          <w:rFonts w:ascii="Arial" w:eastAsia="Times New Roman" w:hAnsi="Arial" w:cs="Arial"/>
          <w:spacing w:val="-6"/>
          <w:kern w:val="0"/>
          <w:lang w:eastAsia="en-GB"/>
          <w14:ligatures w14:val="none"/>
        </w:rPr>
        <w:t xml:space="preserve"> Available at: </w:t>
      </w:r>
      <w:hyperlink r:id="rId157" w:history="1">
        <w:r w:rsidRPr="00587E42">
          <w:rPr>
            <w:rFonts w:ascii="Arial" w:eastAsiaTheme="majorEastAsia" w:hAnsi="Arial" w:cs="Arial"/>
            <w:color w:val="0071E3"/>
            <w:spacing w:val="-6"/>
            <w:kern w:val="0"/>
            <w:u w:val="single"/>
            <w:lang w:eastAsia="en-GB"/>
            <w14:ligatures w14:val="none"/>
          </w:rPr>
          <w:t>https://www.gov.wales/research-childcare-sufficiency-assessments-csas-html</w:t>
        </w:r>
      </w:hyperlink>
      <w:r w:rsidRPr="00587E42">
        <w:rPr>
          <w:rFonts w:ascii="Arial" w:eastAsia="Times New Roman" w:hAnsi="Arial" w:cs="Arial"/>
          <w:spacing w:val="-6"/>
          <w:kern w:val="0"/>
          <w:lang w:eastAsia="en-GB"/>
          <w14:ligatures w14:val="none"/>
        </w:rPr>
        <w:t> (Accessed: 18 February 2026).</w:t>
      </w:r>
    </w:p>
    <w:p w14:paraId="5C5CF9B4"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Welsh Government (2022–2027) Childcare Sufficiency Assessments for Wales: Overview of findings. Available at: </w:t>
      </w:r>
      <w:hyperlink r:id="rId158" w:history="1">
        <w:r w:rsidRPr="00587E42">
          <w:rPr>
            <w:rFonts w:ascii="Arial" w:eastAsiaTheme="majorEastAsia" w:hAnsi="Arial" w:cs="Arial"/>
            <w:color w:val="0071E3"/>
            <w:spacing w:val="-6"/>
            <w:kern w:val="0"/>
            <w:u w:val="single"/>
            <w:lang w:eastAsia="en-GB"/>
            <w14:ligatures w14:val="none"/>
          </w:rPr>
          <w:t>https://www.gov.wales/overview-key-themes-2022-2027-childcare-sufficiency-assessments</w:t>
        </w:r>
      </w:hyperlink>
      <w:r w:rsidRPr="00587E42">
        <w:rPr>
          <w:rFonts w:ascii="Arial" w:eastAsia="Times New Roman" w:hAnsi="Arial" w:cs="Arial"/>
          <w:spacing w:val="-6"/>
          <w:kern w:val="0"/>
          <w:lang w:eastAsia="en-GB"/>
          <w14:ligatures w14:val="none"/>
        </w:rPr>
        <w:t> (Accessed: 18 February 2026).</w:t>
      </w:r>
    </w:p>
    <w:p w14:paraId="75E461B4" w14:textId="77777777" w:rsidR="00587E42" w:rsidRPr="00587E42" w:rsidRDefault="00587E42" w:rsidP="00587E42">
      <w:pPr>
        <w:shd w:val="clear" w:color="auto" w:fill="FFFFFF"/>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Welsh Government (2023) </w:t>
      </w:r>
      <w:r w:rsidRPr="00587E42">
        <w:rPr>
          <w:rFonts w:ascii="Arial" w:eastAsia="Times New Roman" w:hAnsi="Arial" w:cs="Arial"/>
          <w:i/>
          <w:iCs/>
          <w:spacing w:val="-6"/>
          <w:kern w:val="0"/>
          <w:lang w:eastAsia="en-GB"/>
          <w14:ligatures w14:val="none"/>
        </w:rPr>
        <w:t>Overview of key themes in the 2022 to 2027 Childcare Sufficiency Assessments</w:t>
      </w:r>
      <w:r w:rsidRPr="00587E42">
        <w:rPr>
          <w:rFonts w:ascii="Arial" w:eastAsia="Times New Roman" w:hAnsi="Arial" w:cs="Arial"/>
          <w:spacing w:val="-6"/>
          <w:kern w:val="0"/>
          <w:lang w:eastAsia="en-GB"/>
          <w14:ligatures w14:val="none"/>
        </w:rPr>
        <w:t>. Available at: </w:t>
      </w:r>
      <w:hyperlink r:id="rId159" w:history="1">
        <w:r w:rsidRPr="00587E42">
          <w:rPr>
            <w:rFonts w:ascii="Arial" w:eastAsiaTheme="majorEastAsia" w:hAnsi="Arial" w:cs="Arial"/>
            <w:color w:val="0071E3"/>
            <w:spacing w:val="-6"/>
            <w:kern w:val="0"/>
            <w:u w:val="single"/>
            <w:lang w:eastAsia="en-GB"/>
            <w14:ligatures w14:val="none"/>
          </w:rPr>
          <w:t>https://www.gov.wales/overview-key-themes-2022-2027-childcare-sufficiency-assessments</w:t>
        </w:r>
      </w:hyperlink>
      <w:r w:rsidRPr="00587E42">
        <w:rPr>
          <w:rFonts w:ascii="Arial" w:eastAsia="Times New Roman" w:hAnsi="Arial" w:cs="Arial"/>
          <w:spacing w:val="-6"/>
          <w:kern w:val="0"/>
          <w:lang w:eastAsia="en-GB"/>
          <w14:ligatures w14:val="none"/>
        </w:rPr>
        <w:t> (Accessed: 18 February 2026).</w:t>
      </w:r>
    </w:p>
    <w:p w14:paraId="55853C23" w14:textId="77777777" w:rsidR="00587E42" w:rsidRPr="00587E42" w:rsidRDefault="00587E42" w:rsidP="00587E42">
      <w:pPr>
        <w:spacing w:after="180" w:line="240" w:lineRule="auto"/>
        <w:rPr>
          <w:rFonts w:ascii="Arial" w:eastAsia="Times New Roman" w:hAnsi="Arial" w:cs="Arial"/>
          <w:spacing w:val="-6"/>
          <w:kern w:val="0"/>
          <w14:ligatures w14:val="none"/>
        </w:rPr>
      </w:pPr>
      <w:r w:rsidRPr="00587E42">
        <w:rPr>
          <w:rFonts w:ascii="Arial" w:eastAsia="Times New Roman" w:hAnsi="Arial" w:cs="Arial"/>
          <w:spacing w:val="-6"/>
          <w:kern w:val="0"/>
          <w14:ligatures w14:val="none"/>
        </w:rPr>
        <w:lastRenderedPageBreak/>
        <w:t xml:space="preserve">Welsh Government (2023a) </w:t>
      </w:r>
      <w:r w:rsidRPr="00587E42">
        <w:rPr>
          <w:rFonts w:ascii="Arial" w:hAnsi="Arial" w:cs="Arial"/>
          <w:i/>
          <w:iCs/>
        </w:rPr>
        <w:t>Teaching and learning in the outdoors: the current state of outdoor learning in schools in Wales</w:t>
      </w:r>
      <w:r w:rsidRPr="00587E42">
        <w:rPr>
          <w:rFonts w:ascii="Arial" w:hAnsi="Arial" w:cs="Arial"/>
        </w:rPr>
        <w:t xml:space="preserve">. Available at: </w:t>
      </w:r>
      <w:hyperlink r:id="rId160" w:history="1">
        <w:r w:rsidRPr="00587E42">
          <w:rPr>
            <w:rFonts w:ascii="Arial" w:eastAsia="Times New Roman" w:hAnsi="Arial" w:cs="Arial"/>
            <w:color w:val="0000FF"/>
            <w:spacing w:val="-6"/>
            <w:kern w:val="0"/>
            <w:u w:val="single"/>
            <w:lang w:eastAsia="en-GB"/>
            <w14:ligatures w14:val="none"/>
          </w:rPr>
          <w:t>https://hwb.gov.wales/api/storage/177a33a6-7c70-4843-bb63-903e70a04154/teaching-and-learning-in-the-outdoors-the-current-state-of-outdoor-learning-in-schools-in-wales.pdf</w:t>
        </w:r>
      </w:hyperlink>
      <w:r w:rsidRPr="00587E42">
        <w:rPr>
          <w:rFonts w:ascii="Arial" w:eastAsia="Times New Roman" w:hAnsi="Arial" w:cs="Arial"/>
          <w:color w:val="EE0000"/>
          <w:spacing w:val="-6"/>
          <w:kern w:val="0"/>
          <w14:ligatures w14:val="none"/>
        </w:rPr>
        <w:t xml:space="preserve"> </w:t>
      </w:r>
      <w:r w:rsidRPr="00587E42">
        <w:rPr>
          <w:rFonts w:ascii="Arial" w:eastAsia="Times New Roman" w:hAnsi="Arial" w:cs="Arial"/>
          <w:spacing w:val="-6"/>
          <w:kern w:val="0"/>
          <w14:ligatures w14:val="none"/>
        </w:rPr>
        <w:t xml:space="preserve">(Accessed: 2 February 2026)   </w:t>
      </w:r>
    </w:p>
    <w:p w14:paraId="7360ED65" w14:textId="77777777" w:rsidR="00587E42" w:rsidRPr="00587E42" w:rsidRDefault="00587E42" w:rsidP="00587E42">
      <w:pPr>
        <w:spacing w:after="180" w:line="240" w:lineRule="auto"/>
        <w:rPr>
          <w:rFonts w:ascii="Arial" w:eastAsia="Times New Roman" w:hAnsi="Arial" w:cs="Arial"/>
          <w:color w:val="EE0000"/>
          <w:spacing w:val="-6"/>
          <w:kern w:val="0"/>
          <w14:ligatures w14:val="none"/>
        </w:rPr>
      </w:pPr>
      <w:r w:rsidRPr="00587E42">
        <w:rPr>
          <w:rFonts w:ascii="Arial" w:eastAsia="Times New Roman" w:hAnsi="Arial" w:cs="Arial"/>
          <w:spacing w:val="-6"/>
          <w:kern w:val="0"/>
          <w14:ligatures w14:val="none"/>
        </w:rPr>
        <w:t xml:space="preserve">Welsh Government (2025) Childcare Offer for Wales.  Available at: </w:t>
      </w:r>
      <w:hyperlink r:id="rId161" w:history="1">
        <w:r w:rsidRPr="00587E42">
          <w:rPr>
            <w:rFonts w:ascii="Arial" w:eastAsia="Times New Roman" w:hAnsi="Arial" w:cs="Arial"/>
            <w:color w:val="0000FF"/>
            <w:spacing w:val="-6"/>
            <w:kern w:val="0"/>
            <w:u w:val="single"/>
            <w:lang w:eastAsia="en-GB"/>
            <w14:ligatures w14:val="none"/>
          </w:rPr>
          <w:t>https://www.gov.wales/sites/default/files/publications/2025-04/childcare-offer-for-wales-local-authority-guidance-7-april-2025-english.pdf</w:t>
        </w:r>
      </w:hyperlink>
      <w:r w:rsidRPr="00587E42">
        <w:rPr>
          <w:rFonts w:ascii="Arial" w:eastAsia="Times New Roman" w:hAnsi="Arial" w:cs="Arial"/>
          <w:spacing w:val="-6"/>
          <w:kern w:val="0"/>
          <w14:ligatures w14:val="none"/>
        </w:rPr>
        <w:t xml:space="preserve"> (Accessed: 2 February 2026)</w:t>
      </w:r>
    </w:p>
    <w:p w14:paraId="68801DFF" w14:textId="77777777" w:rsidR="00587E42" w:rsidRPr="00587E42" w:rsidRDefault="00587E42" w:rsidP="00587E42">
      <w:pPr>
        <w:shd w:val="clear" w:color="auto" w:fill="FFFFFF"/>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Welsh Government (2025</w:t>
      </w:r>
      <w:r w:rsidRPr="00587E42">
        <w:rPr>
          <w:rFonts w:ascii="Arial" w:eastAsia="Times New Roman" w:hAnsi="Arial" w:cs="Arial"/>
          <w:i/>
          <w:iCs/>
          <w:spacing w:val="-6"/>
          <w:kern w:val="0"/>
          <w:lang w:eastAsia="en-GB"/>
          <w14:ligatures w14:val="none"/>
        </w:rPr>
        <w:t>) Flying Start childcare exceeds expansion targets in Wales.</w:t>
      </w:r>
      <w:r w:rsidRPr="00587E42">
        <w:rPr>
          <w:rFonts w:ascii="Arial" w:eastAsia="Times New Roman" w:hAnsi="Arial" w:cs="Arial"/>
          <w:spacing w:val="-6"/>
          <w:kern w:val="0"/>
          <w:lang w:eastAsia="en-GB"/>
          <w14:ligatures w14:val="none"/>
        </w:rPr>
        <w:t xml:space="preserve"> Welsh Government News Release, 9 July. Available at: </w:t>
      </w:r>
      <w:hyperlink r:id="rId162" w:history="1">
        <w:r w:rsidRPr="00587E42">
          <w:rPr>
            <w:rFonts w:ascii="Arial" w:eastAsiaTheme="majorEastAsia" w:hAnsi="Arial" w:cs="Arial"/>
            <w:color w:val="0071E3"/>
            <w:spacing w:val="-6"/>
            <w:kern w:val="0"/>
            <w:u w:val="single"/>
            <w:lang w:eastAsia="en-GB"/>
            <w14:ligatures w14:val="none"/>
          </w:rPr>
          <w:t>https://media.service.gov.wales/news/flying-start-childcare-exceeds-expansion-targets-in-wales</w:t>
        </w:r>
      </w:hyperlink>
      <w:r w:rsidRPr="00587E42">
        <w:rPr>
          <w:rFonts w:ascii="Arial" w:eastAsia="Times New Roman" w:hAnsi="Arial" w:cs="Arial"/>
          <w:spacing w:val="-6"/>
          <w:kern w:val="0"/>
          <w:lang w:eastAsia="en-GB"/>
          <w14:ligatures w14:val="none"/>
        </w:rPr>
        <w:t> (Accessed: 18 February 2026).</w:t>
      </w:r>
    </w:p>
    <w:p w14:paraId="160BA578" w14:textId="77777777" w:rsidR="00587E42" w:rsidRPr="00587E42" w:rsidRDefault="00587E42" w:rsidP="00587E42">
      <w:pPr>
        <w:rPr>
          <w:rFonts w:ascii="Arial" w:hAnsi="Arial" w:cs="Arial"/>
          <w:spacing w:val="-6"/>
        </w:rPr>
      </w:pPr>
      <w:r w:rsidRPr="00587E42">
        <w:rPr>
          <w:rFonts w:ascii="Arial" w:eastAsia="Times New Roman" w:hAnsi="Arial" w:cs="Arial"/>
          <w:spacing w:val="-6"/>
          <w:kern w:val="0"/>
          <w14:ligatures w14:val="none"/>
        </w:rPr>
        <w:t>Welsh Government (2025) Flying Start Programme (Guidance)</w:t>
      </w:r>
      <w:r w:rsidRPr="00587E42">
        <w:t xml:space="preserve"> </w:t>
      </w:r>
      <w:r w:rsidRPr="00587E42">
        <w:rPr>
          <w:rFonts w:ascii="Arial" w:hAnsi="Arial" w:cs="Arial"/>
        </w:rPr>
        <w:t xml:space="preserve">Available at: </w:t>
      </w:r>
      <w:hyperlink r:id="rId163" w:history="1">
        <w:r w:rsidRPr="00587E42">
          <w:rPr>
            <w:rFonts w:ascii="Arial" w:hAnsi="Arial" w:cs="Arial"/>
            <w:color w:val="0000FF"/>
            <w:u w:val="single"/>
          </w:rPr>
          <w:t>Flying Start programme | GOV.WALES</w:t>
        </w:r>
      </w:hyperlink>
      <w:r w:rsidRPr="00587E42">
        <w:rPr>
          <w:rFonts w:ascii="Arial" w:hAnsi="Arial" w:cs="Arial"/>
        </w:rPr>
        <w:t xml:space="preserve"> </w:t>
      </w:r>
      <w:r w:rsidRPr="00587E42">
        <w:rPr>
          <w:rFonts w:ascii="Arial" w:hAnsi="Arial" w:cs="Arial"/>
          <w:spacing w:val="-6"/>
        </w:rPr>
        <w:t>(Accessed: 18 February 2026).</w:t>
      </w:r>
    </w:p>
    <w:p w14:paraId="57D79A4D"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Welsh Government (2025). </w:t>
      </w:r>
      <w:r w:rsidRPr="00587E42">
        <w:rPr>
          <w:rFonts w:ascii="Arial" w:eastAsia="Times New Roman" w:hAnsi="Arial" w:cs="Arial"/>
          <w:i/>
          <w:iCs/>
          <w:spacing w:val="-6"/>
          <w:kern w:val="0"/>
          <w:lang w:eastAsia="en-GB"/>
          <w14:ligatures w14:val="none"/>
        </w:rPr>
        <w:t>Forestry grants and woodland creation funding in Wales.</w:t>
      </w:r>
      <w:r w:rsidRPr="00587E42">
        <w:rPr>
          <w:rFonts w:ascii="Arial" w:eastAsia="Times New Roman" w:hAnsi="Arial" w:cs="Arial"/>
          <w:spacing w:val="-6"/>
          <w:kern w:val="0"/>
          <w:lang w:eastAsia="en-GB"/>
          <w14:ligatures w14:val="none"/>
        </w:rPr>
        <w:t xml:space="preserve"> Available at: </w:t>
      </w:r>
      <w:hyperlink r:id="rId164" w:history="1">
        <w:r w:rsidRPr="00587E42">
          <w:rPr>
            <w:rFonts w:ascii="Arial" w:eastAsia="Times New Roman" w:hAnsi="Arial" w:cs="Arial"/>
            <w:color w:val="0000FF"/>
            <w:spacing w:val="-6"/>
            <w:kern w:val="0"/>
            <w:u w:val="single"/>
            <w:lang w:eastAsia="en-GB"/>
            <w14:ligatures w14:val="none"/>
          </w:rPr>
          <w:t>https://www.gov.wales/forestry-grants</w:t>
        </w:r>
      </w:hyperlink>
      <w:r w:rsidRPr="00587E42">
        <w:rPr>
          <w:rFonts w:ascii="Arial" w:eastAsia="Times New Roman" w:hAnsi="Arial" w:cs="Arial"/>
          <w:color w:val="0071E3"/>
          <w:spacing w:val="-6"/>
          <w:kern w:val="0"/>
          <w:u w:val="single"/>
          <w:lang w:eastAsia="en-GB"/>
          <w14:ligatures w14:val="none"/>
        </w:rPr>
        <w:t xml:space="preserve"> </w:t>
      </w:r>
      <w:r w:rsidRPr="00587E42">
        <w:rPr>
          <w:rFonts w:ascii="Arial" w:eastAsia="Times New Roman" w:hAnsi="Arial" w:cs="Arial"/>
          <w:spacing w:val="-6"/>
          <w:kern w:val="0"/>
          <w:lang w:eastAsia="en-GB"/>
          <w14:ligatures w14:val="none"/>
        </w:rPr>
        <w:t>(Accessed: 18 February 2026)</w:t>
      </w:r>
    </w:p>
    <w:p w14:paraId="05474E2C"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Welsh Government (2026a). </w:t>
      </w:r>
      <w:r w:rsidRPr="00587E42">
        <w:rPr>
          <w:rFonts w:ascii="Arial" w:eastAsia="Times New Roman" w:hAnsi="Arial" w:cs="Arial"/>
          <w:i/>
          <w:iCs/>
          <w:spacing w:val="-6"/>
          <w:kern w:val="0"/>
          <w:lang w:eastAsia="en-GB"/>
          <w14:ligatures w14:val="none"/>
        </w:rPr>
        <w:t>Woodland Creation Planning Scheme: Rules booklet.</w:t>
      </w:r>
      <w:r w:rsidRPr="00587E42">
        <w:rPr>
          <w:rFonts w:ascii="Arial" w:eastAsia="Times New Roman" w:hAnsi="Arial" w:cs="Arial"/>
          <w:spacing w:val="-6"/>
          <w:kern w:val="0"/>
          <w:lang w:eastAsia="en-GB"/>
          <w14:ligatures w14:val="none"/>
        </w:rPr>
        <w:t xml:space="preserve"> Available at: </w:t>
      </w:r>
      <w:hyperlink r:id="rId165" w:history="1">
        <w:r w:rsidRPr="00587E42">
          <w:rPr>
            <w:rFonts w:ascii="Arial" w:eastAsia="Times New Roman" w:hAnsi="Arial" w:cs="Arial"/>
            <w:color w:val="0000FF"/>
            <w:spacing w:val="-6"/>
            <w:kern w:val="0"/>
            <w:u w:val="single"/>
            <w:lang w:eastAsia="en-GB"/>
            <w14:ligatures w14:val="none"/>
          </w:rPr>
          <w:t>https://www.gov.wales/woodland-creation-planning-scheme-january-2026-rules-booklet-html</w:t>
        </w:r>
      </w:hyperlink>
      <w:r w:rsidRPr="00587E42">
        <w:rPr>
          <w:rFonts w:ascii="Arial" w:eastAsia="Times New Roman" w:hAnsi="Arial" w:cs="Arial"/>
          <w:color w:val="0071E3"/>
          <w:spacing w:val="-6"/>
          <w:kern w:val="0"/>
          <w:u w:val="single"/>
          <w:lang w:eastAsia="en-GB"/>
          <w14:ligatures w14:val="none"/>
        </w:rPr>
        <w:t xml:space="preserve"> </w:t>
      </w:r>
      <w:r w:rsidRPr="00587E42">
        <w:rPr>
          <w:rFonts w:ascii="Arial" w:eastAsia="Times New Roman" w:hAnsi="Arial" w:cs="Arial"/>
          <w:spacing w:val="-6"/>
          <w:kern w:val="0"/>
          <w:lang w:eastAsia="en-GB"/>
          <w14:ligatures w14:val="none"/>
        </w:rPr>
        <w:t>(Accessed: 18 February 2026)</w:t>
      </w:r>
    </w:p>
    <w:p w14:paraId="1B8EAB6E"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Welsh Government (2026b). </w:t>
      </w:r>
      <w:r w:rsidRPr="00587E42">
        <w:rPr>
          <w:rFonts w:ascii="Arial" w:eastAsia="Times New Roman" w:hAnsi="Arial" w:cs="Arial"/>
          <w:i/>
          <w:iCs/>
          <w:spacing w:val="-6"/>
          <w:kern w:val="0"/>
          <w:lang w:eastAsia="en-GB"/>
          <w14:ligatures w14:val="none"/>
        </w:rPr>
        <w:t>Woodland Creation Grant.</w:t>
      </w:r>
      <w:r w:rsidRPr="00587E42">
        <w:rPr>
          <w:rFonts w:ascii="Arial" w:eastAsia="Times New Roman" w:hAnsi="Arial" w:cs="Arial"/>
          <w:spacing w:val="-6"/>
          <w:kern w:val="0"/>
          <w:lang w:eastAsia="en-GB"/>
          <w14:ligatures w14:val="none"/>
        </w:rPr>
        <w:t xml:space="preserve"> Available at: </w:t>
      </w:r>
      <w:hyperlink r:id="rId166" w:history="1">
        <w:r w:rsidRPr="00587E42">
          <w:rPr>
            <w:rFonts w:ascii="Arial" w:eastAsia="Times New Roman" w:hAnsi="Arial" w:cs="Arial"/>
            <w:color w:val="0000FF"/>
            <w:spacing w:val="-6"/>
            <w:kern w:val="0"/>
            <w:u w:val="single"/>
            <w:lang w:eastAsia="en-GB"/>
            <w14:ligatures w14:val="none"/>
          </w:rPr>
          <w:t>https://businesswales.gov.wales/ruralaffairswales/grants-and-funding/woodland-and-forestry/woodland-creation-grant</w:t>
        </w:r>
      </w:hyperlink>
      <w:r w:rsidRPr="00587E42">
        <w:rPr>
          <w:rFonts w:ascii="Arial" w:eastAsia="Times New Roman" w:hAnsi="Arial" w:cs="Arial"/>
          <w:color w:val="0071E3"/>
          <w:spacing w:val="-6"/>
          <w:kern w:val="0"/>
          <w:u w:val="single"/>
          <w:lang w:eastAsia="en-GB"/>
          <w14:ligatures w14:val="none"/>
        </w:rPr>
        <w:t xml:space="preserve"> </w:t>
      </w:r>
      <w:r w:rsidRPr="00587E42">
        <w:rPr>
          <w:rFonts w:ascii="Arial" w:eastAsia="Times New Roman" w:hAnsi="Arial" w:cs="Arial"/>
          <w:spacing w:val="-6"/>
          <w:kern w:val="0"/>
          <w:lang w:eastAsia="en-GB"/>
          <w14:ligatures w14:val="none"/>
        </w:rPr>
        <w:t xml:space="preserve"> </w:t>
      </w:r>
      <w:r w:rsidRPr="00587E42">
        <w:rPr>
          <w:rFonts w:ascii="Arial" w:eastAsia="Times New Roman" w:hAnsi="Arial" w:cs="Arial"/>
          <w:spacing w:val="-6"/>
          <w:kern w:val="0"/>
          <w:u w:val="single"/>
          <w:lang w:eastAsia="en-GB"/>
          <w14:ligatures w14:val="none"/>
        </w:rPr>
        <w:t>(</w:t>
      </w:r>
      <w:r w:rsidRPr="00587E42">
        <w:rPr>
          <w:rFonts w:ascii="Arial" w:eastAsia="Times New Roman" w:hAnsi="Arial" w:cs="Arial"/>
          <w:spacing w:val="-6"/>
          <w:kern w:val="0"/>
          <w:lang w:eastAsia="en-GB"/>
          <w14:ligatures w14:val="none"/>
        </w:rPr>
        <w:t>Accessed: 18 February 2026)</w:t>
      </w:r>
    </w:p>
    <w:p w14:paraId="4B534C57"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Welsh Government (2026c). </w:t>
      </w:r>
      <w:r w:rsidRPr="00587E42">
        <w:rPr>
          <w:rFonts w:ascii="Arial" w:eastAsia="Times New Roman" w:hAnsi="Arial" w:cs="Arial"/>
          <w:i/>
          <w:iCs/>
          <w:spacing w:val="-6"/>
          <w:kern w:val="0"/>
          <w:lang w:eastAsia="en-GB"/>
          <w14:ligatures w14:val="none"/>
        </w:rPr>
        <w:t>Small Grants – Woodland Creation Scheme</w:t>
      </w:r>
      <w:r w:rsidRPr="00587E42">
        <w:rPr>
          <w:rFonts w:ascii="Arial" w:eastAsia="Times New Roman" w:hAnsi="Arial" w:cs="Arial"/>
          <w:spacing w:val="-6"/>
          <w:kern w:val="0"/>
          <w:lang w:eastAsia="en-GB"/>
          <w14:ligatures w14:val="none"/>
        </w:rPr>
        <w:t>. Available at:</w:t>
      </w:r>
      <w:r w:rsidRPr="00587E42">
        <w:rPr>
          <w:rFonts w:ascii="Arial" w:eastAsia="Times New Roman" w:hAnsi="Arial" w:cs="Arial"/>
          <w:spacing w:val="-6"/>
          <w:kern w:val="0"/>
          <w:lang w:eastAsia="en-GB"/>
          <w14:ligatures w14:val="none"/>
        </w:rPr>
        <w:br/>
      </w:r>
      <w:hyperlink r:id="rId167" w:history="1">
        <w:r w:rsidRPr="00587E42">
          <w:rPr>
            <w:rFonts w:ascii="Arial" w:eastAsia="Times New Roman" w:hAnsi="Arial" w:cs="Arial"/>
            <w:color w:val="0071E3"/>
            <w:spacing w:val="-6"/>
            <w:kern w:val="0"/>
            <w:u w:val="single"/>
            <w:lang w:eastAsia="en-GB"/>
            <w14:ligatures w14:val="none"/>
          </w:rPr>
          <w:t>https://www.gov.wales/small-grants-woodland-creation-scheme</w:t>
        </w:r>
      </w:hyperlink>
      <w:r w:rsidRPr="00587E42">
        <w:rPr>
          <w:rFonts w:ascii="Arial" w:eastAsia="Times New Roman" w:hAnsi="Arial" w:cs="Arial"/>
          <w:spacing w:val="-6"/>
          <w:kern w:val="0"/>
          <w:lang w:eastAsia="en-GB"/>
          <w14:ligatures w14:val="none"/>
        </w:rPr>
        <w:t xml:space="preserve"> (Accessed: 18 February 2026)</w:t>
      </w:r>
    </w:p>
    <w:p w14:paraId="55A473FB" w14:textId="77777777" w:rsidR="00587E42" w:rsidRPr="00587E42" w:rsidRDefault="00587E42" w:rsidP="00587E42">
      <w:pPr>
        <w:spacing w:after="180" w:line="240" w:lineRule="auto"/>
        <w:rPr>
          <w:rFonts w:ascii="Arial" w:eastAsia="Times New Roman" w:hAnsi="Arial" w:cs="Arial"/>
          <w:spacing w:val="-6"/>
          <w:kern w:val="0"/>
          <w:lang w:eastAsia="en-GB"/>
          <w14:ligatures w14:val="none"/>
        </w:rPr>
      </w:pPr>
      <w:r w:rsidRPr="00587E42">
        <w:rPr>
          <w:rFonts w:ascii="Arial" w:eastAsia="Times New Roman" w:hAnsi="Arial" w:cs="Arial"/>
          <w:spacing w:val="-6"/>
          <w:kern w:val="0"/>
          <w:lang w:eastAsia="en-GB"/>
          <w14:ligatures w14:val="none"/>
        </w:rPr>
        <w:t xml:space="preserve">Welsh Government (2026d). </w:t>
      </w:r>
      <w:r w:rsidRPr="00587E42">
        <w:rPr>
          <w:rFonts w:ascii="Arial" w:eastAsia="Times New Roman" w:hAnsi="Arial" w:cs="Arial"/>
          <w:i/>
          <w:iCs/>
          <w:spacing w:val="-6"/>
          <w:kern w:val="0"/>
          <w:lang w:eastAsia="en-GB"/>
          <w14:ligatures w14:val="none"/>
        </w:rPr>
        <w:t>Small Grants – Environment (Landscape and Pollinators).</w:t>
      </w:r>
      <w:r w:rsidRPr="00587E42">
        <w:rPr>
          <w:rFonts w:ascii="Arial" w:eastAsia="Times New Roman" w:hAnsi="Arial" w:cs="Arial"/>
          <w:spacing w:val="-6"/>
          <w:kern w:val="0"/>
          <w:lang w:eastAsia="en-GB"/>
          <w14:ligatures w14:val="none"/>
        </w:rPr>
        <w:t xml:space="preserve"> Available at: </w:t>
      </w:r>
      <w:hyperlink r:id="rId168" w:history="1">
        <w:r w:rsidRPr="00587E42">
          <w:rPr>
            <w:rFonts w:ascii="Arial" w:eastAsia="Times New Roman" w:hAnsi="Arial" w:cs="Arial"/>
            <w:color w:val="0071E3"/>
            <w:spacing w:val="-6"/>
            <w:kern w:val="0"/>
            <w:u w:val="single"/>
            <w:lang w:eastAsia="en-GB"/>
            <w14:ligatures w14:val="none"/>
          </w:rPr>
          <w:t>https://www.gov.wales/small-grants-environment-landscape-and-pollinators-general-rules-booklet-2026-html</w:t>
        </w:r>
      </w:hyperlink>
      <w:r w:rsidRPr="00587E42">
        <w:rPr>
          <w:rFonts w:ascii="Arial" w:eastAsia="Times New Roman" w:hAnsi="Arial" w:cs="Arial"/>
          <w:spacing w:val="-6"/>
          <w:kern w:val="0"/>
          <w:lang w:eastAsia="en-GB"/>
          <w14:ligatures w14:val="none"/>
        </w:rPr>
        <w:t xml:space="preserve"> (Accessed: 18 February 2026)</w:t>
      </w:r>
    </w:p>
    <w:p w14:paraId="21023DE0" w14:textId="77777777" w:rsidR="00587E42" w:rsidRPr="00587E42" w:rsidRDefault="00587E42" w:rsidP="00587E42">
      <w:pPr>
        <w:keepNext/>
        <w:keepLines/>
        <w:shd w:val="clear" w:color="auto" w:fill="FFFFFF"/>
        <w:spacing w:after="0" w:line="240" w:lineRule="auto"/>
        <w:outlineLvl w:val="0"/>
        <w:rPr>
          <w:rFonts w:ascii="Arial" w:eastAsia="Times New Roman" w:hAnsi="Arial" w:cs="Arial"/>
          <w:color w:val="0F1111"/>
          <w:kern w:val="36"/>
          <w:lang w:eastAsia="en-GB"/>
          <w14:ligatures w14:val="none"/>
        </w:rPr>
      </w:pPr>
      <w:r w:rsidRPr="00587E42">
        <w:rPr>
          <w:rFonts w:ascii="Arial" w:eastAsiaTheme="majorEastAsia" w:hAnsi="Arial" w:cs="Arial"/>
          <w:color w:val="0F1111"/>
          <w:shd w:val="clear" w:color="auto" w:fill="FFFFFF"/>
        </w:rPr>
        <w:t>Wiedel-Lubinski, M. (2025)</w:t>
      </w:r>
      <w:r w:rsidRPr="00587E42">
        <w:rPr>
          <w:rFonts w:ascii="Arial" w:eastAsiaTheme="majorEastAsia" w:hAnsi="Arial" w:cs="Arial"/>
          <w:i/>
          <w:iCs/>
          <w:color w:val="0F1111"/>
          <w:shd w:val="clear" w:color="auto" w:fill="FFFFFF"/>
        </w:rPr>
        <w:t xml:space="preserve"> </w:t>
      </w:r>
      <w:r w:rsidRPr="00587E42">
        <w:rPr>
          <w:rFonts w:ascii="Arial" w:eastAsia="Times New Roman" w:hAnsi="Arial" w:cs="Arial"/>
          <w:i/>
          <w:iCs/>
          <w:color w:val="0F1111"/>
          <w:kern w:val="36"/>
          <w:lang w:eastAsia="en-GB"/>
          <w14:ligatures w14:val="none"/>
        </w:rPr>
        <w:t>Nature-Based Early Childhood Education: How Emergent Curriculum and Nature Play Support Learning.</w:t>
      </w:r>
      <w:r w:rsidRPr="00587E42">
        <w:rPr>
          <w:rFonts w:ascii="Arial" w:eastAsia="Times New Roman" w:hAnsi="Arial" w:cs="Arial"/>
          <w:color w:val="0F1111"/>
          <w:kern w:val="36"/>
          <w:lang w:eastAsia="en-GB"/>
          <w14:ligatures w14:val="none"/>
        </w:rPr>
        <w:t xml:space="preserve"> Washington: The National Association for the Education of Young Children (NAEYC).</w:t>
      </w:r>
    </w:p>
    <w:p w14:paraId="6E0C7E1C" w14:textId="77777777" w:rsidR="00587E42" w:rsidRPr="00587E42" w:rsidRDefault="00587E42" w:rsidP="00587E42"/>
    <w:p w14:paraId="57E8A0E5" w14:textId="77777777" w:rsidR="001F41A9" w:rsidRPr="001F41A9" w:rsidRDefault="001F41A9" w:rsidP="001F41A9">
      <w:pPr>
        <w:spacing w:line="276" w:lineRule="auto"/>
        <w:rPr>
          <w:rFonts w:ascii="Arial" w:eastAsiaTheme="minorEastAsia" w:hAnsi="Arial" w:cs="Arial"/>
          <w:color w:val="EE0000"/>
          <w:lang w:eastAsia="en-GB"/>
        </w:rPr>
      </w:pPr>
    </w:p>
    <w:p w14:paraId="125194DC" w14:textId="77777777" w:rsidR="001F41A9" w:rsidRPr="001F41A9" w:rsidRDefault="001F41A9" w:rsidP="001F41A9">
      <w:pPr>
        <w:spacing w:line="276" w:lineRule="auto"/>
        <w:rPr>
          <w:rFonts w:ascii="Arial" w:eastAsiaTheme="minorEastAsia" w:hAnsi="Arial" w:cs="Arial"/>
          <w:color w:val="EE0000"/>
          <w:lang w:eastAsia="en-GB"/>
        </w:rPr>
      </w:pPr>
    </w:p>
    <w:p w14:paraId="5EC87A09" w14:textId="77777777" w:rsidR="001F41A9" w:rsidRPr="001F41A9" w:rsidRDefault="001F41A9" w:rsidP="001F41A9">
      <w:pPr>
        <w:spacing w:line="276" w:lineRule="auto"/>
        <w:rPr>
          <w:rFonts w:ascii="Arial" w:eastAsiaTheme="minorEastAsia" w:hAnsi="Arial" w:cs="Arial"/>
          <w:color w:val="EE0000"/>
          <w:lang w:eastAsia="en-GB"/>
        </w:rPr>
      </w:pPr>
    </w:p>
    <w:p w14:paraId="4BFE9B5D" w14:textId="77777777" w:rsidR="001F41A9" w:rsidRPr="001F41A9" w:rsidRDefault="001F41A9" w:rsidP="001F41A9">
      <w:pPr>
        <w:spacing w:line="276" w:lineRule="auto"/>
        <w:rPr>
          <w:rFonts w:ascii="Arial" w:eastAsiaTheme="minorEastAsia" w:hAnsi="Arial" w:cs="Arial"/>
          <w:color w:val="EE0000"/>
          <w:lang w:eastAsia="en-GB"/>
        </w:rPr>
      </w:pPr>
    </w:p>
    <w:p w14:paraId="019B0E70" w14:textId="77777777" w:rsidR="001F41A9" w:rsidRPr="001F41A9" w:rsidRDefault="001F41A9" w:rsidP="001F41A9">
      <w:pPr>
        <w:spacing w:line="276" w:lineRule="auto"/>
        <w:rPr>
          <w:rFonts w:ascii="Arial" w:eastAsiaTheme="minorEastAsia" w:hAnsi="Arial" w:cs="Arial"/>
          <w:color w:val="EE0000"/>
          <w:lang w:eastAsia="en-GB"/>
        </w:rPr>
      </w:pPr>
    </w:p>
    <w:p w14:paraId="34859563" w14:textId="77777777" w:rsidR="001F41A9" w:rsidRPr="001F41A9" w:rsidRDefault="001F41A9" w:rsidP="001F41A9">
      <w:pPr>
        <w:spacing w:line="276" w:lineRule="auto"/>
        <w:rPr>
          <w:rFonts w:ascii="Arial" w:eastAsiaTheme="minorEastAsia" w:hAnsi="Arial" w:cs="Arial"/>
          <w:color w:val="EE0000"/>
          <w:lang w:eastAsia="en-GB"/>
        </w:rPr>
      </w:pPr>
    </w:p>
    <w:p w14:paraId="03C0C160" w14:textId="77777777" w:rsidR="001F41A9" w:rsidRPr="001F41A9" w:rsidRDefault="001F41A9" w:rsidP="001F41A9">
      <w:pPr>
        <w:spacing w:line="276" w:lineRule="auto"/>
        <w:rPr>
          <w:rFonts w:ascii="Arial" w:eastAsiaTheme="minorEastAsia" w:hAnsi="Arial" w:cs="Arial"/>
          <w:color w:val="EE0000"/>
          <w:lang w:eastAsia="en-GB"/>
        </w:rPr>
      </w:pPr>
    </w:p>
    <w:p w14:paraId="14C726A7" w14:textId="77777777" w:rsidR="001F41A9" w:rsidRPr="001F41A9" w:rsidRDefault="001F41A9" w:rsidP="001F41A9">
      <w:pPr>
        <w:spacing w:line="276" w:lineRule="auto"/>
        <w:rPr>
          <w:rFonts w:ascii="Arial" w:eastAsiaTheme="minorEastAsia" w:hAnsi="Arial" w:cs="Arial"/>
          <w:color w:val="EE0000"/>
          <w:lang w:eastAsia="en-GB"/>
        </w:rPr>
      </w:pPr>
    </w:p>
    <w:p w14:paraId="37229B4A" w14:textId="77777777" w:rsidR="001F41A9" w:rsidRPr="001F41A9" w:rsidRDefault="001F41A9" w:rsidP="001F41A9">
      <w:pPr>
        <w:spacing w:line="276" w:lineRule="auto"/>
        <w:rPr>
          <w:rFonts w:ascii="Arial" w:eastAsiaTheme="minorEastAsia" w:hAnsi="Arial" w:cs="Arial"/>
          <w:color w:val="EE0000"/>
          <w:lang w:eastAsia="en-GB"/>
        </w:rPr>
      </w:pPr>
    </w:p>
    <w:p w14:paraId="45AC3412" w14:textId="77777777" w:rsidR="001F41A9" w:rsidRPr="001F41A9" w:rsidRDefault="001F41A9" w:rsidP="001F41A9">
      <w:pPr>
        <w:spacing w:line="276" w:lineRule="auto"/>
        <w:rPr>
          <w:rFonts w:ascii="Arial" w:eastAsiaTheme="minorEastAsia" w:hAnsi="Arial" w:cs="Arial"/>
          <w:color w:val="EE0000"/>
          <w:lang w:eastAsia="en-GB"/>
        </w:rPr>
      </w:pPr>
    </w:p>
    <w:p w14:paraId="7A5671F3" w14:textId="77777777" w:rsidR="001F41A9" w:rsidRPr="001F41A9" w:rsidRDefault="001F41A9" w:rsidP="001F41A9">
      <w:pPr>
        <w:spacing w:line="276" w:lineRule="auto"/>
        <w:rPr>
          <w:rFonts w:ascii="Arial" w:eastAsiaTheme="minorEastAsia" w:hAnsi="Arial" w:cs="Arial"/>
          <w:color w:val="EE0000"/>
          <w:lang w:eastAsia="en-GB"/>
        </w:rPr>
      </w:pPr>
    </w:p>
    <w:p w14:paraId="615E6831" w14:textId="77777777" w:rsidR="001F41A9" w:rsidRPr="001F41A9" w:rsidRDefault="001F41A9" w:rsidP="001F41A9">
      <w:pPr>
        <w:spacing w:line="276" w:lineRule="auto"/>
        <w:rPr>
          <w:rFonts w:ascii="Arial" w:eastAsiaTheme="minorEastAsia" w:hAnsi="Arial" w:cs="Arial"/>
          <w:color w:val="EE0000"/>
          <w:lang w:eastAsia="en-GB"/>
        </w:rPr>
      </w:pPr>
    </w:p>
    <w:p w14:paraId="7DD015CF" w14:textId="77777777" w:rsidR="001F41A9" w:rsidRPr="001F41A9" w:rsidRDefault="001F41A9" w:rsidP="001F41A9">
      <w:pPr>
        <w:spacing w:line="276" w:lineRule="auto"/>
        <w:rPr>
          <w:rFonts w:ascii="Arial" w:eastAsiaTheme="minorEastAsia" w:hAnsi="Arial" w:cs="Arial"/>
          <w:color w:val="EE0000"/>
          <w:lang w:eastAsia="en-GB"/>
        </w:rPr>
      </w:pPr>
    </w:p>
    <w:p w14:paraId="32E1A9A0" w14:textId="77777777" w:rsidR="001F41A9" w:rsidRPr="001F41A9" w:rsidRDefault="001F41A9" w:rsidP="001F41A9">
      <w:pPr>
        <w:spacing w:line="276" w:lineRule="auto"/>
        <w:rPr>
          <w:rFonts w:ascii="Arial" w:eastAsiaTheme="minorEastAsia" w:hAnsi="Arial" w:cs="Arial"/>
          <w:color w:val="EE0000"/>
          <w:lang w:eastAsia="en-GB"/>
        </w:rPr>
      </w:pPr>
    </w:p>
    <w:p w14:paraId="163529AE" w14:textId="77777777" w:rsidR="001F41A9" w:rsidRPr="001F41A9" w:rsidRDefault="001F41A9" w:rsidP="001F41A9">
      <w:pPr>
        <w:spacing w:after="242" w:line="240" w:lineRule="auto"/>
        <w:rPr>
          <w:rFonts w:ascii="Arial" w:eastAsia="Times New Roman" w:hAnsi="Arial" w:cs="Arial"/>
          <w:spacing w:val="-6"/>
          <w:kern w:val="0"/>
          <w:lang w:eastAsia="en-GB"/>
          <w14:ligatures w14:val="none"/>
        </w:rPr>
      </w:pPr>
      <w:r w:rsidRPr="001F41A9">
        <w:rPr>
          <w:rFonts w:ascii="TimesNewRomanPS-BoldMT" w:eastAsia="Times New Roman" w:hAnsi="TimesNewRomanPS-BoldMT" w:cs="Times New Roman"/>
          <w:b/>
          <w:bCs/>
          <w:spacing w:val="-6"/>
          <w:kern w:val="0"/>
          <w:sz w:val="36"/>
          <w:szCs w:val="36"/>
          <w:lang w:eastAsia="en-GB"/>
          <w14:ligatures w14:val="none"/>
        </w:rPr>
        <w:br/>
      </w:r>
    </w:p>
    <w:p w14:paraId="108CC7CA" w14:textId="77777777" w:rsidR="001F41A9" w:rsidRPr="001F41A9" w:rsidRDefault="001F41A9" w:rsidP="001F41A9">
      <w:pPr>
        <w:spacing w:line="276" w:lineRule="auto"/>
        <w:rPr>
          <w:rFonts w:ascii="Arial" w:eastAsiaTheme="minorEastAsia" w:hAnsi="Arial" w:cs="Arial"/>
          <w:color w:val="EE0000"/>
          <w:lang w:eastAsia="en-GB"/>
        </w:rPr>
      </w:pPr>
    </w:p>
    <w:p w14:paraId="641885B2" w14:textId="3DADF24C" w:rsidR="003317E8" w:rsidRDefault="003317E8"/>
    <w:p w14:paraId="4AE1303B" w14:textId="27282930" w:rsidR="00D91E31" w:rsidRDefault="00D91E31"/>
    <w:p w14:paraId="278D61DD" w14:textId="7CF36122" w:rsidR="00D15AB7" w:rsidRDefault="00D15AB7"/>
    <w:p w14:paraId="5599A45A" w14:textId="7B3D5B57" w:rsidR="00630035" w:rsidRDefault="00630035"/>
    <w:p w14:paraId="5EC73D70" w14:textId="50A57465" w:rsidR="00630035" w:rsidRDefault="00630035"/>
    <w:p w14:paraId="1E14546C" w14:textId="4CCF123A" w:rsidR="00522838" w:rsidRDefault="00522838"/>
    <w:p w14:paraId="60CA9E52" w14:textId="005A5C53" w:rsidR="00630035" w:rsidRDefault="00630035"/>
    <w:p w14:paraId="430667D7" w14:textId="27215094" w:rsidR="00097C90" w:rsidRDefault="00097C90"/>
    <w:p w14:paraId="115DA708" w14:textId="2BC46625" w:rsidR="00403F09" w:rsidRDefault="00403F09"/>
    <w:p w14:paraId="2906FE99" w14:textId="1DA68EA8" w:rsidR="00EC52A9" w:rsidRDefault="00EC52A9"/>
    <w:sectPr w:rsidR="00EC52A9" w:rsidSect="00102036">
      <w:footerReference w:type="default" r:id="rId1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222EE" w14:textId="77777777" w:rsidR="00986A9B" w:rsidRDefault="00986A9B" w:rsidP="00B94676">
      <w:pPr>
        <w:spacing w:after="0" w:line="240" w:lineRule="auto"/>
      </w:pPr>
      <w:r>
        <w:separator/>
      </w:r>
    </w:p>
  </w:endnote>
  <w:endnote w:type="continuationSeparator" w:id="0">
    <w:p w14:paraId="38AF60F1" w14:textId="77777777" w:rsidR="00986A9B" w:rsidRDefault="00986A9B" w:rsidP="00B94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reaming Outloud Script Pro">
    <w:charset w:val="00"/>
    <w:family w:val="script"/>
    <w:pitch w:val="variable"/>
    <w:sig w:usb0="800000EF" w:usb1="0000000A" w:usb2="00000008" w:usb3="00000000" w:csb0="00000001" w:csb1="00000000"/>
  </w:font>
  <w:font w:name="Abadi">
    <w:charset w:val="00"/>
    <w:family w:val="swiss"/>
    <w:pitch w:val="variable"/>
    <w:sig w:usb0="80000003" w:usb1="00000000" w:usb2="00000000" w:usb3="00000000" w:csb0="00000093" w:csb1="00000000"/>
  </w:font>
  <w:font w:name="HP Simplified Jpan">
    <w:panose1 w:val="020B0500000000000000"/>
    <w:charset w:val="80"/>
    <w:family w:val="swiss"/>
    <w:pitch w:val="variable"/>
    <w:sig w:usb0="E00002FF" w:usb1="38CFEDFA" w:usb2="00000012" w:usb3="00000000" w:csb0="0016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TimesNewRomanPS-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4779160"/>
      <w:docPartObj>
        <w:docPartGallery w:val="Page Numbers (Bottom of Page)"/>
        <w:docPartUnique/>
      </w:docPartObj>
    </w:sdtPr>
    <w:sdtEndPr>
      <w:rPr>
        <w:noProof/>
      </w:rPr>
    </w:sdtEndPr>
    <w:sdtContent>
      <w:p w14:paraId="2EEF8E33" w14:textId="03B955C4" w:rsidR="00B94676" w:rsidRDefault="00B946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6E6F54" w14:textId="77777777" w:rsidR="00B94676" w:rsidRDefault="00B94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0CF38" w14:textId="77777777" w:rsidR="00986A9B" w:rsidRDefault="00986A9B" w:rsidP="00B94676">
      <w:pPr>
        <w:spacing w:after="0" w:line="240" w:lineRule="auto"/>
      </w:pPr>
      <w:r>
        <w:separator/>
      </w:r>
    </w:p>
  </w:footnote>
  <w:footnote w:type="continuationSeparator" w:id="0">
    <w:p w14:paraId="54656806" w14:textId="77777777" w:rsidR="00986A9B" w:rsidRDefault="00986A9B" w:rsidP="00B946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8A272A"/>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7763693B"/>
    <w:multiLevelType w:val="multilevel"/>
    <w:tmpl w:val="7FD21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778936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7534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7E8"/>
    <w:rsid w:val="00005731"/>
    <w:rsid w:val="00015574"/>
    <w:rsid w:val="00027843"/>
    <w:rsid w:val="00030B72"/>
    <w:rsid w:val="0004264A"/>
    <w:rsid w:val="000443A9"/>
    <w:rsid w:val="00052930"/>
    <w:rsid w:val="000961F1"/>
    <w:rsid w:val="00097C90"/>
    <w:rsid w:val="000A1DE7"/>
    <w:rsid w:val="000A295B"/>
    <w:rsid w:val="000B7E5B"/>
    <w:rsid w:val="000D73A1"/>
    <w:rsid w:val="000F133A"/>
    <w:rsid w:val="000F20C5"/>
    <w:rsid w:val="00102036"/>
    <w:rsid w:val="00122D89"/>
    <w:rsid w:val="00126BDB"/>
    <w:rsid w:val="0012738C"/>
    <w:rsid w:val="00127F89"/>
    <w:rsid w:val="00145D0E"/>
    <w:rsid w:val="00157686"/>
    <w:rsid w:val="00174992"/>
    <w:rsid w:val="00177246"/>
    <w:rsid w:val="00183E75"/>
    <w:rsid w:val="0019014F"/>
    <w:rsid w:val="001A79AF"/>
    <w:rsid w:val="001C214F"/>
    <w:rsid w:val="001D0268"/>
    <w:rsid w:val="001E5883"/>
    <w:rsid w:val="001F41A9"/>
    <w:rsid w:val="00284630"/>
    <w:rsid w:val="002969DA"/>
    <w:rsid w:val="002C0A5B"/>
    <w:rsid w:val="002E5F62"/>
    <w:rsid w:val="002F452B"/>
    <w:rsid w:val="003317E8"/>
    <w:rsid w:val="003510F3"/>
    <w:rsid w:val="003B2A40"/>
    <w:rsid w:val="003C3D51"/>
    <w:rsid w:val="003D4153"/>
    <w:rsid w:val="00403F09"/>
    <w:rsid w:val="004316D4"/>
    <w:rsid w:val="0043723B"/>
    <w:rsid w:val="004427C5"/>
    <w:rsid w:val="00475FDF"/>
    <w:rsid w:val="0047737F"/>
    <w:rsid w:val="00481C41"/>
    <w:rsid w:val="004A12D7"/>
    <w:rsid w:val="004B6528"/>
    <w:rsid w:val="004D1247"/>
    <w:rsid w:val="004D54A4"/>
    <w:rsid w:val="004D6A49"/>
    <w:rsid w:val="00520448"/>
    <w:rsid w:val="00522838"/>
    <w:rsid w:val="00534F16"/>
    <w:rsid w:val="00544380"/>
    <w:rsid w:val="00587E42"/>
    <w:rsid w:val="005A37B6"/>
    <w:rsid w:val="005C104E"/>
    <w:rsid w:val="005D0BDF"/>
    <w:rsid w:val="00630035"/>
    <w:rsid w:val="006443E5"/>
    <w:rsid w:val="006A1217"/>
    <w:rsid w:val="006B2359"/>
    <w:rsid w:val="006C2FF2"/>
    <w:rsid w:val="006C56E8"/>
    <w:rsid w:val="006C6BB3"/>
    <w:rsid w:val="006F3F60"/>
    <w:rsid w:val="00703F5D"/>
    <w:rsid w:val="00705AFF"/>
    <w:rsid w:val="00707DA8"/>
    <w:rsid w:val="007347D0"/>
    <w:rsid w:val="0074576F"/>
    <w:rsid w:val="007516E6"/>
    <w:rsid w:val="007902A8"/>
    <w:rsid w:val="007E642A"/>
    <w:rsid w:val="00800651"/>
    <w:rsid w:val="00805943"/>
    <w:rsid w:val="00841CFD"/>
    <w:rsid w:val="00842C73"/>
    <w:rsid w:val="00865E70"/>
    <w:rsid w:val="00867A81"/>
    <w:rsid w:val="00875E28"/>
    <w:rsid w:val="008D61D1"/>
    <w:rsid w:val="008F091F"/>
    <w:rsid w:val="008F5C16"/>
    <w:rsid w:val="009111B8"/>
    <w:rsid w:val="009338F8"/>
    <w:rsid w:val="00986A9B"/>
    <w:rsid w:val="009B2A67"/>
    <w:rsid w:val="009C240C"/>
    <w:rsid w:val="009C3666"/>
    <w:rsid w:val="009C3D90"/>
    <w:rsid w:val="009C48B0"/>
    <w:rsid w:val="009D0500"/>
    <w:rsid w:val="009F69DB"/>
    <w:rsid w:val="00A14770"/>
    <w:rsid w:val="00A51A26"/>
    <w:rsid w:val="00A52D5C"/>
    <w:rsid w:val="00A543E7"/>
    <w:rsid w:val="00A5652C"/>
    <w:rsid w:val="00A93E36"/>
    <w:rsid w:val="00AA7B1E"/>
    <w:rsid w:val="00AC4BEB"/>
    <w:rsid w:val="00AD2B69"/>
    <w:rsid w:val="00B1273A"/>
    <w:rsid w:val="00B13C31"/>
    <w:rsid w:val="00B3557B"/>
    <w:rsid w:val="00B94676"/>
    <w:rsid w:val="00BC581A"/>
    <w:rsid w:val="00C452CA"/>
    <w:rsid w:val="00C51455"/>
    <w:rsid w:val="00C51F46"/>
    <w:rsid w:val="00C717B8"/>
    <w:rsid w:val="00CA2B04"/>
    <w:rsid w:val="00CA786D"/>
    <w:rsid w:val="00CE1D0E"/>
    <w:rsid w:val="00CE45C1"/>
    <w:rsid w:val="00D034DA"/>
    <w:rsid w:val="00D15AB7"/>
    <w:rsid w:val="00D20432"/>
    <w:rsid w:val="00D223A9"/>
    <w:rsid w:val="00D47E22"/>
    <w:rsid w:val="00D55D21"/>
    <w:rsid w:val="00D62AA4"/>
    <w:rsid w:val="00D75118"/>
    <w:rsid w:val="00D84560"/>
    <w:rsid w:val="00D851F8"/>
    <w:rsid w:val="00D91E31"/>
    <w:rsid w:val="00DB3FB3"/>
    <w:rsid w:val="00DE68DE"/>
    <w:rsid w:val="00E04F3E"/>
    <w:rsid w:val="00E05504"/>
    <w:rsid w:val="00E068AB"/>
    <w:rsid w:val="00E22B49"/>
    <w:rsid w:val="00E42732"/>
    <w:rsid w:val="00EC19A8"/>
    <w:rsid w:val="00EC52A9"/>
    <w:rsid w:val="00EC7BD7"/>
    <w:rsid w:val="00ED45F0"/>
    <w:rsid w:val="00EF0E00"/>
    <w:rsid w:val="00F6042E"/>
    <w:rsid w:val="00F9197E"/>
    <w:rsid w:val="00F929A7"/>
    <w:rsid w:val="00FA7BF2"/>
    <w:rsid w:val="00FB64FF"/>
    <w:rsid w:val="00FE07B4"/>
    <w:rsid w:val="00FE6D58"/>
    <w:rsid w:val="00FF22A2"/>
    <w:rsid w:val="00FF7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94CA4"/>
  <w15:chartTrackingRefBased/>
  <w15:docId w15:val="{DA60338F-7503-49A1-AAA3-D81FCA75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7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17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17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17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17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17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7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7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7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7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17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17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17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7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7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7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7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7E8"/>
    <w:rPr>
      <w:rFonts w:eastAsiaTheme="majorEastAsia" w:cstheme="majorBidi"/>
      <w:color w:val="272727" w:themeColor="text1" w:themeTint="D8"/>
    </w:rPr>
  </w:style>
  <w:style w:type="paragraph" w:styleId="Title">
    <w:name w:val="Title"/>
    <w:basedOn w:val="Normal"/>
    <w:next w:val="Normal"/>
    <w:link w:val="TitleChar"/>
    <w:uiPriority w:val="10"/>
    <w:qFormat/>
    <w:rsid w:val="003317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7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7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7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7E8"/>
    <w:pPr>
      <w:spacing w:before="160"/>
      <w:jc w:val="center"/>
    </w:pPr>
    <w:rPr>
      <w:i/>
      <w:iCs/>
      <w:color w:val="404040" w:themeColor="text1" w:themeTint="BF"/>
    </w:rPr>
  </w:style>
  <w:style w:type="character" w:customStyle="1" w:styleId="QuoteChar">
    <w:name w:val="Quote Char"/>
    <w:basedOn w:val="DefaultParagraphFont"/>
    <w:link w:val="Quote"/>
    <w:uiPriority w:val="29"/>
    <w:rsid w:val="003317E8"/>
    <w:rPr>
      <w:i/>
      <w:iCs/>
      <w:color w:val="404040" w:themeColor="text1" w:themeTint="BF"/>
    </w:rPr>
  </w:style>
  <w:style w:type="paragraph" w:styleId="ListParagraph">
    <w:name w:val="List Paragraph"/>
    <w:basedOn w:val="Normal"/>
    <w:uiPriority w:val="34"/>
    <w:qFormat/>
    <w:rsid w:val="003317E8"/>
    <w:pPr>
      <w:ind w:left="720"/>
      <w:contextualSpacing/>
    </w:pPr>
  </w:style>
  <w:style w:type="character" w:styleId="IntenseEmphasis">
    <w:name w:val="Intense Emphasis"/>
    <w:basedOn w:val="DefaultParagraphFont"/>
    <w:uiPriority w:val="21"/>
    <w:qFormat/>
    <w:rsid w:val="003317E8"/>
    <w:rPr>
      <w:i/>
      <w:iCs/>
      <w:color w:val="0F4761" w:themeColor="accent1" w:themeShade="BF"/>
    </w:rPr>
  </w:style>
  <w:style w:type="paragraph" w:styleId="IntenseQuote">
    <w:name w:val="Intense Quote"/>
    <w:basedOn w:val="Normal"/>
    <w:next w:val="Normal"/>
    <w:link w:val="IntenseQuoteChar"/>
    <w:uiPriority w:val="30"/>
    <w:qFormat/>
    <w:rsid w:val="003317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7E8"/>
    <w:rPr>
      <w:i/>
      <w:iCs/>
      <w:color w:val="0F4761" w:themeColor="accent1" w:themeShade="BF"/>
    </w:rPr>
  </w:style>
  <w:style w:type="character" w:styleId="IntenseReference">
    <w:name w:val="Intense Reference"/>
    <w:basedOn w:val="DefaultParagraphFont"/>
    <w:uiPriority w:val="32"/>
    <w:qFormat/>
    <w:rsid w:val="003317E8"/>
    <w:rPr>
      <w:b/>
      <w:bCs/>
      <w:smallCaps/>
      <w:color w:val="0F4761" w:themeColor="accent1" w:themeShade="BF"/>
      <w:spacing w:val="5"/>
    </w:rPr>
  </w:style>
  <w:style w:type="numbering" w:customStyle="1" w:styleId="NoList1">
    <w:name w:val="No List1"/>
    <w:next w:val="NoList"/>
    <w:uiPriority w:val="99"/>
    <w:semiHidden/>
    <w:unhideWhenUsed/>
    <w:rsid w:val="001F41A9"/>
  </w:style>
  <w:style w:type="paragraph" w:customStyle="1" w:styleId="p1">
    <w:name w:val="p1"/>
    <w:basedOn w:val="Normal"/>
    <w:rsid w:val="001F41A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unhideWhenUsed/>
    <w:rsid w:val="001F41A9"/>
    <w:rPr>
      <w:color w:val="467886" w:themeColor="hyperlink"/>
      <w:u w:val="single"/>
    </w:rPr>
  </w:style>
  <w:style w:type="character" w:styleId="UnresolvedMention">
    <w:name w:val="Unresolved Mention"/>
    <w:basedOn w:val="DefaultParagraphFont"/>
    <w:uiPriority w:val="99"/>
    <w:semiHidden/>
    <w:unhideWhenUsed/>
    <w:rsid w:val="001F41A9"/>
    <w:rPr>
      <w:color w:val="605E5C"/>
      <w:shd w:val="clear" w:color="auto" w:fill="E1DFDD"/>
    </w:rPr>
  </w:style>
  <w:style w:type="character" w:styleId="Emphasis">
    <w:name w:val="Emphasis"/>
    <w:basedOn w:val="DefaultParagraphFont"/>
    <w:uiPriority w:val="20"/>
    <w:qFormat/>
    <w:rsid w:val="001F41A9"/>
    <w:rPr>
      <w:i/>
      <w:iCs/>
    </w:rPr>
  </w:style>
  <w:style w:type="paragraph" w:styleId="Header">
    <w:name w:val="header"/>
    <w:basedOn w:val="Normal"/>
    <w:link w:val="HeaderChar"/>
    <w:uiPriority w:val="99"/>
    <w:unhideWhenUsed/>
    <w:rsid w:val="001F41A9"/>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1F41A9"/>
    <w:rPr>
      <w:rFonts w:eastAsiaTheme="minorEastAsia"/>
      <w:lang w:eastAsia="en-GB"/>
    </w:rPr>
  </w:style>
  <w:style w:type="paragraph" w:styleId="Footer">
    <w:name w:val="footer"/>
    <w:basedOn w:val="Normal"/>
    <w:link w:val="FooterChar"/>
    <w:uiPriority w:val="99"/>
    <w:unhideWhenUsed/>
    <w:rsid w:val="001F41A9"/>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1F41A9"/>
    <w:rPr>
      <w:rFonts w:eastAsiaTheme="minorEastAsia"/>
      <w:lang w:eastAsia="en-GB"/>
    </w:rPr>
  </w:style>
  <w:style w:type="paragraph" w:styleId="NormalWeb">
    <w:name w:val="Normal (Web)"/>
    <w:basedOn w:val="Normal"/>
    <w:uiPriority w:val="99"/>
    <w:unhideWhenUsed/>
    <w:rsid w:val="001F41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hwb.gov.wales/api/storage/68657fda-7b73-4086-8148-70949556c727/220217-curriculum-planning-and-priorities-guide.pdf" TargetMode="External"/><Relationship Id="rId21" Type="http://schemas.openxmlformats.org/officeDocument/2006/relationships/hyperlink" Target="https://doi.org/10.4324/9780203816011" TargetMode="External"/><Relationship Id="rId42" Type="http://schemas.openxmlformats.org/officeDocument/2006/relationships/hyperlink" Target="https://doi.org/10.1787/eba0711e-en" TargetMode="External"/><Relationship Id="rId63" Type="http://schemas.openxmlformats.org/officeDocument/2006/relationships/hyperlink" Target="https://doi.org/10.3389/fpsyg.2019.00766" TargetMode="External"/><Relationship Id="rId84" Type="http://schemas.openxmlformats.org/officeDocument/2006/relationships/hyperlink" Target="https://doi.org/10.1080/03004430.2015.1029245" TargetMode="External"/><Relationship Id="rId138" Type="http://schemas.openxmlformats.org/officeDocument/2006/relationships/hyperlink" Target="https://doi.org/10.3390/ijerph19105967" TargetMode="External"/><Relationship Id="rId159" Type="http://schemas.openxmlformats.org/officeDocument/2006/relationships/hyperlink" Target="https://www.gov.wales/overview-key-themes-2022-2027-childcare-sufficiency-assessments" TargetMode="External"/><Relationship Id="rId170" Type="http://schemas.openxmlformats.org/officeDocument/2006/relationships/fontTable" Target="fontTable.xml"/><Relationship Id="rId107" Type="http://schemas.openxmlformats.org/officeDocument/2006/relationships/hyperlink" Target="file:///C:/Users/kater/Downloads/G0644380.pdf" TargetMode="External"/><Relationship Id="rId11" Type="http://schemas.openxmlformats.org/officeDocument/2006/relationships/image" Target="media/image5.jpeg"/><Relationship Id="rId32" Type="http://schemas.openxmlformats.org/officeDocument/2006/relationships/hyperlink" Target="https://doi.org/10.1080/1350293X.2024.2334873" TargetMode="External"/><Relationship Id="rId53" Type="http://schemas.openxmlformats.org/officeDocument/2006/relationships/hyperlink" Target="https://doi.org/10.1080/00131911.2013.781576" TargetMode="External"/><Relationship Id="rId74" Type="http://schemas.openxmlformats.org/officeDocument/2006/relationships/hyperlink" Target="https://doi.org/10.3262/ZPB1901089" TargetMode="External"/><Relationship Id="rId128" Type="http://schemas.openxmlformats.org/officeDocument/2006/relationships/hyperlink" Target="https://research.childrenandnature.org/research/nature-based-early-childhood-education-may-support-childrens-growth-in-multiple-areas-of-social-emotional-and-cognitive-development/" TargetMode="External"/><Relationship Id="rId149" Type="http://schemas.openxmlformats.org/officeDocument/2006/relationships/hyperlink" Target="https://doi.org/10.1017/S0033291724000631" TargetMode="External"/><Relationship Id="rId5" Type="http://schemas.openxmlformats.org/officeDocument/2006/relationships/footnotes" Target="footnotes.xml"/><Relationship Id="rId95" Type="http://schemas.openxmlformats.org/officeDocument/2006/relationships/hyperlink" Target="https://doi.org/10.1007/978-3-031-04480-9" TargetMode="External"/><Relationship Id="rId160" Type="http://schemas.openxmlformats.org/officeDocument/2006/relationships/hyperlink" Target="https://hwb.gov.wales/api/storage/177a33a6-7c70-4843-bb63-903e70a04154/teaching-and-learning-in-the-outdoors-the-current-state-of-outdoor-learning-in-schools-in-wales.pdf" TargetMode="External"/><Relationship Id="rId22" Type="http://schemas.openxmlformats.org/officeDocument/2006/relationships/hyperlink" Target="https://doi.org/10.1016/j.ijer.2012.06.002" TargetMode="External"/><Relationship Id="rId43" Type="http://schemas.openxmlformats.org/officeDocument/2006/relationships/hyperlink" Target="https://estyn.gov.wales/improvement-resources/provision-of-high-quality-experiential-play-opportunities/" TargetMode="External"/><Relationship Id="rId64" Type="http://schemas.openxmlformats.org/officeDocument/2006/relationships/hyperlink" Target="https://doi.org/10.1080/09575146.2021.1915962" TargetMode="External"/><Relationship Id="rId118" Type="http://schemas.openxmlformats.org/officeDocument/2006/relationships/hyperlink" Target="https://hwb.gov.wales/curriculum-for-wales/introduction-to-curriculum-for-wales-guidance/" TargetMode="External"/><Relationship Id="rId139" Type="http://schemas.openxmlformats.org/officeDocument/2006/relationships/hyperlink" Target="https://keepwalestidy.cymru/education/eco-schools/" TargetMode="External"/><Relationship Id="rId85" Type="http://schemas.openxmlformats.org/officeDocument/2006/relationships/hyperlink" Target="https://doi.org/10.1016/j.lcsi.2024.100853" TargetMode="External"/><Relationship Id="rId150" Type="http://schemas.openxmlformats.org/officeDocument/2006/relationships/hyperlink" Target="https://www.ohchr.org/en/instruments-mechanisms/instruments/convention-rights-child" TargetMode="External"/><Relationship Id="rId171" Type="http://schemas.openxmlformats.org/officeDocument/2006/relationships/theme" Target="theme/theme1.xml"/><Relationship Id="rId12" Type="http://schemas.openxmlformats.org/officeDocument/2006/relationships/image" Target="media/image6.jpeg"/><Relationship Id="rId33" Type="http://schemas.openxmlformats.org/officeDocument/2006/relationships/hyperlink" Target="https://www.cpoms.co.uk/breaking-down-the-keeping-learners-safe-guidance-for-wales/" TargetMode="External"/><Relationship Id="rId108" Type="http://schemas.openxmlformats.org/officeDocument/2006/relationships/hyperlink" Target="file:///C:/Users/kater/Downloads/G2311760.pdf" TargetMode="External"/><Relationship Id="rId129" Type="http://schemas.openxmlformats.org/officeDocument/2006/relationships/hyperlink" Target="https://www.corampacey.org.uk/careers-in-childcare/setting-up-a-nursery/" TargetMode="External"/><Relationship Id="rId54" Type="http://schemas.openxmlformats.org/officeDocument/2006/relationships/hyperlink" Target="https://doi.org/10.5040/9781472541208" TargetMode="External"/><Relationship Id="rId70" Type="http://schemas.openxmlformats.org/officeDocument/2006/relationships/hyperlink" Target="https://doi.org/10.21024/PNUEDI.29.4.201912.475" TargetMode="External"/><Relationship Id="rId75" Type="http://schemas.openxmlformats.org/officeDocument/2006/relationships/hyperlink" Target="https://doi.org/10.4000/teth.539" TargetMode="External"/><Relationship Id="rId91" Type="http://schemas.openxmlformats.org/officeDocument/2006/relationships/hyperlink" Target="https://doi.org/10.1177/14639491221137902" TargetMode="External"/><Relationship Id="rId96" Type="http://schemas.openxmlformats.org/officeDocument/2006/relationships/hyperlink" Target="https://doi.org/10.1080/1350293X.2024.2381118" TargetMode="External"/><Relationship Id="rId140" Type="http://schemas.openxmlformats.org/officeDocument/2006/relationships/hyperlink" Target="https://doi.org/10.1186/s12889-024-20768-3" TargetMode="External"/><Relationship Id="rId145" Type="http://schemas.openxmlformats.org/officeDocument/2006/relationships/hyperlink" Target="https://doi.org/10.1038/s41398-025-03374-8" TargetMode="External"/><Relationship Id="rId161" Type="http://schemas.openxmlformats.org/officeDocument/2006/relationships/hyperlink" Target="https://www.gov.wales/sites/default/files/publications/2025-04/childcare-offer-for-wales-local-authority-guidance-7-april-2025-english.pdf" TargetMode="External"/><Relationship Id="rId166" Type="http://schemas.openxmlformats.org/officeDocument/2006/relationships/hyperlink" Target="https://businesswales.gov.wales/ruralaffairswales/grants-and-funding/woodland-and-forestry/woodland-creation-grant"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doi.org/10.3390/su14063524" TargetMode="External"/><Relationship Id="rId28" Type="http://schemas.openxmlformats.org/officeDocument/2006/relationships/hyperlink" Target="https://journals.sfu.ca/iccps/index.php/childhoods/article/view/109/pdf" TargetMode="External"/><Relationship Id="rId49" Type="http://schemas.openxmlformats.org/officeDocument/2006/relationships/hyperlink" Target="https://doi.org/10.1080/03004279.2023.2280720" TargetMode="External"/><Relationship Id="rId114" Type="http://schemas.openxmlformats.org/officeDocument/2006/relationships/hyperlink" Target="https://www.gov.wales/sites/default/files/publications/2025-09/national-minimum-standards-for-regulated-childcare.pdf" TargetMode="External"/><Relationship Id="rId119" Type="http://schemas.openxmlformats.org/officeDocument/2006/relationships/hyperlink" Target="https://www.gov.wales/childcare-and-early-years-capital-programme-2025-2028-html" TargetMode="External"/><Relationship Id="rId44" Type="http://schemas.openxmlformats.org/officeDocument/2006/relationships/hyperlink" Target="https://estyn.gov.wales/improvement-resources/purposeful-improvement-processes-and-effective-style-of-leadership-which-is-having-a-positive-impact-on-aspects-of-provision-and-well-being/" TargetMode="External"/><Relationship Id="rId60" Type="http://schemas.openxmlformats.org/officeDocument/2006/relationships/hyperlink" Target="https://doi.org/10.1080/09575146.2023.2179023" TargetMode="External"/><Relationship Id="rId65" Type="http://schemas.openxmlformats.org/officeDocument/2006/relationships/hyperlink" Target="https://doi.org/10.3390/books978-3-7258-1608-8" TargetMode="External"/><Relationship Id="rId81" Type="http://schemas.openxmlformats.org/officeDocument/2006/relationships/hyperlink" Target="https://doi.org/10.1177/1463949121995917" TargetMode="External"/><Relationship Id="rId86" Type="http://schemas.openxmlformats.org/officeDocument/2006/relationships/hyperlink" Target="https://doi.org/10.1515/9783110539356" TargetMode="External"/><Relationship Id="rId130" Type="http://schemas.openxmlformats.org/officeDocument/2006/relationships/hyperlink" Target="https://doi.org/10.1080/03004279.2021.1889013" TargetMode="External"/><Relationship Id="rId135" Type="http://schemas.openxmlformats.org/officeDocument/2006/relationships/hyperlink" Target="https://doi.org/10.33612/diss.1069494370" TargetMode="External"/><Relationship Id="rId151" Type="http://schemas.openxmlformats.org/officeDocument/2006/relationships/hyperlink" Target="https://unric.org/en/united-nations-sustainable-development-goals/" TargetMode="External"/><Relationship Id="rId156" Type="http://schemas.openxmlformats.org/officeDocument/2006/relationships/hyperlink" Target="https://hwb.gov.wales/curriculum-for-wales/designing-your-curriculum/developing-a-vision-for-curriculum-design/" TargetMode="External"/><Relationship Id="rId13" Type="http://schemas.openxmlformats.org/officeDocument/2006/relationships/image" Target="media/image7.jpeg"/><Relationship Id="rId18" Type="http://schemas.openxmlformats.org/officeDocument/2006/relationships/hyperlink" Target="https://doi.org/10.1136/bmjgh-2023-012827" TargetMode="External"/><Relationship Id="rId39" Type="http://schemas.openxmlformats.org/officeDocument/2006/relationships/hyperlink" Target="https://doi.org/10.1787/6e563bae-en" TargetMode="External"/><Relationship Id="rId109" Type="http://schemas.openxmlformats.org/officeDocument/2006/relationships/hyperlink" Target="https://doi.org/10.4324/9780203854679" TargetMode="External"/><Relationship Id="rId34" Type="http://schemas.openxmlformats.org/officeDocument/2006/relationships/hyperlink" Target="https://doi.org/10.12688/wellcomeopenres.22851.1" TargetMode="External"/><Relationship Id="rId50" Type="http://schemas.openxmlformats.org/officeDocument/2006/relationships/hyperlink" Target="https://doi.org/10.32920/22557499.v1" TargetMode="External"/><Relationship Id="rId55" Type="http://schemas.openxmlformats.org/officeDocument/2006/relationships/hyperlink" Target="https://doi.org/10.1080/21594937.2022.2152531" TargetMode="External"/><Relationship Id="rId76" Type="http://schemas.openxmlformats.org/officeDocument/2006/relationships/hyperlink" Target="https://doi.org/10.21608/psjer.2023.178248.1009" TargetMode="External"/><Relationship Id="rId97" Type="http://schemas.openxmlformats.org/officeDocument/2006/relationships/hyperlink" Target="https://doi.org/10.1080/03004430.2021.1900835" TargetMode="External"/><Relationship Id="rId104" Type="http://schemas.openxmlformats.org/officeDocument/2006/relationships/hyperlink" Target="https://doi.org/10.1353/cye.2021.a848934" TargetMode="External"/><Relationship Id="rId120" Type="http://schemas.openxmlformats.org/officeDocument/2006/relationships/hyperlink" Target="https://www.gov.wales/sites/default/files/publications/2025-04/childcare-offer-for-wales-local-authority-guidance-7-april-2025-english.pdf" TargetMode="External"/><Relationship Id="rId125" Type="http://schemas.openxmlformats.org/officeDocument/2006/relationships/hyperlink" Target="https://doi.org/10.1136/archdischild-2024-327963" TargetMode="External"/><Relationship Id="rId141" Type="http://schemas.openxmlformats.org/officeDocument/2006/relationships/hyperlink" Target="https://ltl.org.uk/projects/local-school-nature-grants/" TargetMode="External"/><Relationship Id="rId146" Type="http://schemas.openxmlformats.org/officeDocument/2006/relationships/hyperlink" Target="https://www.gov.uk/government/statistics/the-childrens-people-and-nature-survey-for-england-2023-update/the-childrens-people-and-nature-survey-for-england-2023-update" TargetMode="External"/><Relationship Id="rId167" Type="http://schemas.openxmlformats.org/officeDocument/2006/relationships/hyperlink" Target="https://www.gov.wales/small-grants-woodland-creation-scheme" TargetMode="External"/><Relationship Id="rId7" Type="http://schemas.openxmlformats.org/officeDocument/2006/relationships/image" Target="media/image1.jpeg"/><Relationship Id="rId71" Type="http://schemas.openxmlformats.org/officeDocument/2006/relationships/hyperlink" Target="https://doi.org/10.1007/s43545-024-00873-1" TargetMode="External"/><Relationship Id="rId92" Type="http://schemas.openxmlformats.org/officeDocument/2006/relationships/hyperlink" Target="https://doi.org/10.1007/s10212-025-01005-w" TargetMode="External"/><Relationship Id="rId162" Type="http://schemas.openxmlformats.org/officeDocument/2006/relationships/hyperlink" Target="https://media.service.gov.wales/news/flying-start-childcare-exceeds-expansion-targets-in-wales" TargetMode="External"/><Relationship Id="rId2" Type="http://schemas.openxmlformats.org/officeDocument/2006/relationships/styles" Target="styles.xml"/><Relationship Id="rId29" Type="http://schemas.openxmlformats.org/officeDocument/2006/relationships/hyperlink" Target="https://doi.org/10.1007/s13158-022-00320-3" TargetMode="External"/><Relationship Id="rId24" Type="http://schemas.openxmlformats.org/officeDocument/2006/relationships/hyperlink" Target="https://doi.org/10.4135/9781473972414" TargetMode="External"/><Relationship Id="rId40" Type="http://schemas.openxmlformats.org/officeDocument/2006/relationships/hyperlink" Target="https://doi.org/10.1080/13504622.2011.572162" TargetMode="External"/><Relationship Id="rId45" Type="http://schemas.openxmlformats.org/officeDocument/2006/relationships/hyperlink" Target="https://estyn.gov.wales/app/uploads/2021/11/Guidance-handbook-for-inspecting-care-and-education-in-regulated-non-school-settings-eligible-for-funding-for-part-time-education.pdf" TargetMode="External"/><Relationship Id="rId66" Type="http://schemas.openxmlformats.org/officeDocument/2006/relationships/hyperlink" Target="https://doi.org/10.1080/14733285.2024.2308008" TargetMode="External"/><Relationship Id="rId87" Type="http://schemas.openxmlformats.org/officeDocument/2006/relationships/hyperlink" Target="https://doi.org/10.4135/9781446222386" TargetMode="External"/><Relationship Id="rId110" Type="http://schemas.openxmlformats.org/officeDocument/2006/relationships/hyperlink" Target="https://doi.org/10.1007/9783031041082_1" TargetMode="External"/><Relationship Id="rId115" Type="http://schemas.openxmlformats.org/officeDocument/2006/relationships/hyperlink" Target="https://hwb.gov.wales/api/storage/177a33a6-7c70-4843-bb63-903e70a04154/teaching-and-learning-in-the-outdoors-the-current-state-of-outdoor-learning-in-schools-in-wales.pdf" TargetMode="External"/><Relationship Id="rId131" Type="http://schemas.openxmlformats.org/officeDocument/2006/relationships/hyperlink" Target="https://doi.org/10.1111/ijmr.12028" TargetMode="External"/><Relationship Id="rId136" Type="http://schemas.openxmlformats.org/officeDocument/2006/relationships/hyperlink" Target="https://www.tescostrongerstarts.org.uk/" TargetMode="External"/><Relationship Id="rId157" Type="http://schemas.openxmlformats.org/officeDocument/2006/relationships/hyperlink" Target="https://www.gov.wales/research-childcare-sufficiency-assessments-csas-html" TargetMode="External"/><Relationship Id="rId61" Type="http://schemas.openxmlformats.org/officeDocument/2006/relationships/hyperlink" Target="https://hwb.gov.wales/curriculum-for-wales/introduction-to-curriculum-for-wales-guidance/" TargetMode="External"/><Relationship Id="rId82" Type="http://schemas.openxmlformats.org/officeDocument/2006/relationships/hyperlink" Target="https://doi.org/10.4102/sajce.v9i1.757" TargetMode="External"/><Relationship Id="rId152" Type="http://schemas.openxmlformats.org/officeDocument/2006/relationships/hyperlink" Target="https://www.education.ox.ac.uk/wp-content/uploads/2025/11/Impact-case-study-University-of-Oxford-23-Transforming-Early-Education-Policy-and-Practice.pdf" TargetMode="External"/><Relationship Id="rId19" Type="http://schemas.openxmlformats.org/officeDocument/2006/relationships/hyperlink" Target="https://doi.org/10.1080/1350293X.2014.890351" TargetMode="External"/><Relationship Id="rId14" Type="http://schemas.openxmlformats.org/officeDocument/2006/relationships/image" Target="media/image8.jpeg"/><Relationship Id="rId30" Type="http://schemas.openxmlformats.org/officeDocument/2006/relationships/hyperlink" Target="https://doi.org/10.3389/fpsyg.2021.774740" TargetMode="External"/><Relationship Id="rId35" Type="http://schemas.openxmlformats.org/officeDocument/2006/relationships/hyperlink" Target="https://doi.org/10.4018/978-1-7998-5089-2" TargetMode="External"/><Relationship Id="rId56" Type="http://schemas.openxmlformats.org/officeDocument/2006/relationships/hyperlink" Target="https://doi.org/10.1177/21582440221091260" TargetMode="External"/><Relationship Id="rId77" Type="http://schemas.openxmlformats.org/officeDocument/2006/relationships/hyperlink" Target="https://ora.ox.ac.uk/objects/uuid:80ebb78d-e09f-42af-a6f2145487318c62/download_file?file_format=pdf&amp;safe_filename=Quality%2Bof%2BEarly%2BChildhood%2BEducation%2Band%2BCare%2Bfor%2BChildren%2Bunder%2BThree%2BSound%2BFoundations.pdf&amp;type_of_work=Book+section" TargetMode="External"/><Relationship Id="rId100" Type="http://schemas.openxmlformats.org/officeDocument/2006/relationships/hyperlink" Target="https://doi.org/10.1080/0141192042000234665" TargetMode="External"/><Relationship Id="rId105" Type="http://schemas.openxmlformats.org/officeDocument/2006/relationships/hyperlink" Target="https://doi.org/10.3389/fpsyg.2022.889828" TargetMode="External"/><Relationship Id="rId126" Type="http://schemas.openxmlformats.org/officeDocument/2006/relationships/hyperlink" Target="https://www.thecorporategovernanceinstitute.com/insights/guides/esg-a-comprehensive-guide-to-environmental-social-and-governance-principles/" TargetMode="External"/><Relationship Id="rId147" Type="http://schemas.openxmlformats.org/officeDocument/2006/relationships/hyperlink" Target="https://forestschoolassociation.org/full-principles-and-criteria-for-good-practice/" TargetMode="External"/><Relationship Id="rId168" Type="http://schemas.openxmlformats.org/officeDocument/2006/relationships/hyperlink" Target="https://www.gov.wales/small-grants-environment-landscape-and-pollinators-general-rules-booklet-2026-html" TargetMode="External"/><Relationship Id="rId8" Type="http://schemas.openxmlformats.org/officeDocument/2006/relationships/image" Target="media/image2.jpeg"/><Relationship Id="rId51" Type="http://schemas.openxmlformats.org/officeDocument/2006/relationships/hyperlink" Target="https://doi.org/10.1007/s12310-017-9220-9" TargetMode="External"/><Relationship Id="rId72" Type="http://schemas.openxmlformats.org/officeDocument/2006/relationships/hyperlink" Target="https://www.legislation.gov.uk/anaw/2015/2/contents" TargetMode="External"/><Relationship Id="rId93" Type="http://schemas.openxmlformats.org/officeDocument/2006/relationships/hyperlink" Target="https://doi.org/10.7821/naer.2021.7.665" TargetMode="External"/><Relationship Id="rId98" Type="http://schemas.openxmlformats.org/officeDocument/2006/relationships/hyperlink" Target="https://doi.org/10.22034/jpiut.2022.52571.3297" TargetMode="External"/><Relationship Id="rId121" Type="http://schemas.openxmlformats.org/officeDocument/2006/relationships/hyperlink" Target="https://doi.org/10.4324/9781003429562" TargetMode="External"/><Relationship Id="rId142" Type="http://schemas.openxmlformats.org/officeDocument/2006/relationships/hyperlink" Target="https://www.gov.uk/government/statistics/the-childrens-people-and-nature-survey-for-england-2025-update/the-childrens-people-and-nature-survey-for-england-2025-update" TargetMode="External"/><Relationship Id="rId163" Type="http://schemas.openxmlformats.org/officeDocument/2006/relationships/hyperlink" Target="https://www.gov.wales/flying-start-programme" TargetMode="External"/><Relationship Id="rId3" Type="http://schemas.openxmlformats.org/officeDocument/2006/relationships/settings" Target="settings.xml"/><Relationship Id="rId25" Type="http://schemas.openxmlformats.org/officeDocument/2006/relationships/hyperlink" Target="https://doi.org/10.3390/jintelligence13050052" TargetMode="External"/><Relationship Id="rId46" Type="http://schemas.openxmlformats.org/officeDocument/2006/relationships/hyperlink" Target="https://doi.org/10.1016/j.tsc.2020.100686" TargetMode="External"/><Relationship Id="rId67" Type="http://schemas.openxmlformats.org/officeDocument/2006/relationships/hyperlink" Target="https://doi.org/10.1080/00131881.2023.2285762" TargetMode="External"/><Relationship Id="rId116" Type="http://schemas.openxmlformats.org/officeDocument/2006/relationships/hyperlink" Target="https://hwb.gov.wales/api/storage/1f581142-6b91-41e4-845d-3d6c7765df20/a-curriculum-for-funded-non-maintained-nursery-settings.pdf" TargetMode="External"/><Relationship Id="rId137" Type="http://schemas.openxmlformats.org/officeDocument/2006/relationships/hyperlink" Target="https://theses.hal.science/tel-03692847v1/file/JAMBURIA_2021_archivage.pdf" TargetMode="External"/><Relationship Id="rId158" Type="http://schemas.openxmlformats.org/officeDocument/2006/relationships/hyperlink" Target="https://www.gov.wales/overview-key-themes-2022-2027-childcare-sufficiency-assessments" TargetMode="External"/><Relationship Id="rId20" Type="http://schemas.openxmlformats.org/officeDocument/2006/relationships/hyperlink" Target="https://doi.org/10.1177/1741143212462702" TargetMode="External"/><Relationship Id="rId41" Type="http://schemas.openxmlformats.org/officeDocument/2006/relationships/hyperlink" Target="https://doi.org/10.23965/AJEC.42.2.01" TargetMode="External"/><Relationship Id="rId62" Type="http://schemas.openxmlformats.org/officeDocument/2006/relationships/hyperlink" Target="https://doi.org/10.21307/jelpp-2018-008" TargetMode="External"/><Relationship Id="rId83" Type="http://schemas.openxmlformats.org/officeDocument/2006/relationships/hyperlink" Target="https://doi.org/10.3389/fpubh.2023.1165991" TargetMode="External"/><Relationship Id="rId88" Type="http://schemas.openxmlformats.org/officeDocument/2006/relationships/hyperlink" Target="https://doi.org/10.1080/09575140600759997" TargetMode="External"/><Relationship Id="rId111" Type="http://schemas.openxmlformats.org/officeDocument/2006/relationships/hyperlink" Target="https://doi.org/10.1007/9783031041082_9" TargetMode="External"/><Relationship Id="rId132" Type="http://schemas.openxmlformats.org/officeDocument/2006/relationships/hyperlink" Target="https://doi.org/10.1080/07853890.2025.2536199" TargetMode="External"/><Relationship Id="rId153" Type="http://schemas.openxmlformats.org/officeDocument/2006/relationships/hyperlink" Target="https://www.theguardian.com/society/2025/aug/29/children-uk-outdoors-play-society-school-research" TargetMode="External"/><Relationship Id="rId15" Type="http://schemas.openxmlformats.org/officeDocument/2006/relationships/image" Target="media/image9.jpeg"/><Relationship Id="rId36" Type="http://schemas.openxmlformats.org/officeDocument/2006/relationships/hyperlink" Target="https://doi.org/10.1080/03004430.2020.1764947" TargetMode="External"/><Relationship Id="rId57" Type="http://schemas.openxmlformats.org/officeDocument/2006/relationships/hyperlink" Target="https://doi.org/10.1080/00131881.2024.2371352" TargetMode="External"/><Relationship Id="rId106" Type="http://schemas.openxmlformats.org/officeDocument/2006/relationships/hyperlink" Target="https://www.ohchr.org/en/instruments-mechanisms/instruments/convention-rights-child" TargetMode="External"/><Relationship Id="rId127" Type="http://schemas.openxmlformats.org/officeDocument/2006/relationships/hyperlink" Target="https://www.careinspectorate.wales/sites/default/files/2025-10/251013-CIW-Annual-Report-2024-25-en.pdf" TargetMode="External"/><Relationship Id="rId10" Type="http://schemas.openxmlformats.org/officeDocument/2006/relationships/image" Target="media/image4.jpeg"/><Relationship Id="rId31" Type="http://schemas.openxmlformats.org/officeDocument/2006/relationships/hyperlink" Target="https://doi.org/10.1007/s10805-021-09402-8" TargetMode="External"/><Relationship Id="rId52" Type="http://schemas.openxmlformats.org/officeDocument/2006/relationships/hyperlink" Target="https://doi.org/10.4324/9781003108658" TargetMode="External"/><Relationship Id="rId73" Type="http://schemas.openxmlformats.org/officeDocument/2006/relationships/hyperlink" Target="https://doi.org/10.1017/S0047279416000647" TargetMode="External"/><Relationship Id="rId78" Type="http://schemas.openxmlformats.org/officeDocument/2006/relationships/hyperlink" Target="http://www.jstor.org/stable/resrep73258.1" TargetMode="External"/><Relationship Id="rId94" Type="http://schemas.openxmlformats.org/officeDocument/2006/relationships/hyperlink" Target="https://doi.org/10.3390/architecture5030042" TargetMode="External"/><Relationship Id="rId99" Type="http://schemas.openxmlformats.org/officeDocument/2006/relationships/hyperlink" Target="https://doi.org/10.13128/formare-25249" TargetMode="External"/><Relationship Id="rId101" Type="http://schemas.openxmlformats.org/officeDocument/2006/relationships/hyperlink" Target="https://doi.org/10.1080/03004279.2017.1298644" TargetMode="External"/><Relationship Id="rId122" Type="http://schemas.openxmlformats.org/officeDocument/2006/relationships/hyperlink" Target="https://doi.org/10.4324/9781315541969" TargetMode="External"/><Relationship Id="rId143" Type="http://schemas.openxmlformats.org/officeDocument/2006/relationships/hyperlink" Target="https://www.reggiochildren.it/en/reggio-emilia-approach/" TargetMode="External"/><Relationship Id="rId148" Type="http://schemas.openxmlformats.org/officeDocument/2006/relationships/hyperlink" Target="https://research.senedd.wales/research-articles/their-future-our-priority-childcare-in-wales/" TargetMode="External"/><Relationship Id="rId164" Type="http://schemas.openxmlformats.org/officeDocument/2006/relationships/hyperlink" Target="https://www.gov.wales/forestry-grants" TargetMode="External"/><Relationship Id="rId16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doi.org/10.3390/jintelligence13050052" TargetMode="External"/><Relationship Id="rId47" Type="http://schemas.openxmlformats.org/officeDocument/2006/relationships/hyperlink" Target="https://doi.org/10.14393/OBv3n3.a2019-51704" TargetMode="External"/><Relationship Id="rId68" Type="http://schemas.openxmlformats.org/officeDocument/2006/relationships/hyperlink" Target="https://doi.org/10.1080/00131911.2023.2222235" TargetMode="External"/><Relationship Id="rId89" Type="http://schemas.openxmlformats.org/officeDocument/2006/relationships/hyperlink" Target="https://doi.org/10.1080/00094056.2024.2425271" TargetMode="External"/><Relationship Id="rId112" Type="http://schemas.openxmlformats.org/officeDocument/2006/relationships/hyperlink" Target="https://doi.org/10.1371/journal.pone.0285985" TargetMode="External"/><Relationship Id="rId133" Type="http://schemas.openxmlformats.org/officeDocument/2006/relationships/hyperlink" Target="https://www.forestresearch.gov.uk/tools-and-resources/" TargetMode="External"/><Relationship Id="rId154" Type="http://schemas.openxmlformats.org/officeDocument/2006/relationships/hyperlink" Target="https://www.theguardian.com/education/article/2024/jun/17/children-facing-brutal-loss-time-space-play-state-schools" TargetMode="External"/><Relationship Id="rId16" Type="http://schemas.openxmlformats.org/officeDocument/2006/relationships/image" Target="media/image10.jpeg"/><Relationship Id="rId37" Type="http://schemas.openxmlformats.org/officeDocument/2006/relationships/hyperlink" Target="https://doi.org/10.1080/03004279.2021.1889013" TargetMode="External"/><Relationship Id="rId58" Type="http://schemas.openxmlformats.org/officeDocument/2006/relationships/hyperlink" Target="https://doi.org/10.1080/00131911.2018.1388612" TargetMode="External"/><Relationship Id="rId79" Type="http://schemas.openxmlformats.org/officeDocument/2006/relationships/hyperlink" Target="https://doi.org/10.1177/1463949115627895" TargetMode="External"/><Relationship Id="rId102" Type="http://schemas.openxmlformats.org/officeDocument/2006/relationships/hyperlink" Target="https://doi.org/10.4324/9780203862063" TargetMode="External"/><Relationship Id="rId123" Type="http://schemas.openxmlformats.org/officeDocument/2006/relationships/hyperlink" Target="https://doi.org/10.7717/peerj.15542" TargetMode="External"/><Relationship Id="rId144" Type="http://schemas.openxmlformats.org/officeDocument/2006/relationships/hyperlink" Target="https://www.reggiochildren.it/en/reggio-emilia-approach/valori-en/" TargetMode="External"/><Relationship Id="rId90" Type="http://schemas.openxmlformats.org/officeDocument/2006/relationships/hyperlink" Target="https://doi.org/10.21879/faeeba2358-0194.2018.v27.n51.p105-120" TargetMode="External"/><Relationship Id="rId165" Type="http://schemas.openxmlformats.org/officeDocument/2006/relationships/hyperlink" Target="https://www.gov.wales/woodland-creation-planning-scheme-january-2026-rules-booklet-html" TargetMode="External"/><Relationship Id="rId27" Type="http://schemas.openxmlformats.org/officeDocument/2006/relationships/hyperlink" Target="https://www.careinspectorate.wales/sites/default/files/2025-10/251013-CIW-Annual-Report-2024-25-en.pdf" TargetMode="External"/><Relationship Id="rId48" Type="http://schemas.openxmlformats.org/officeDocument/2006/relationships/hyperlink" Target="https://doi.org/10.3390/su17177629" TargetMode="External"/><Relationship Id="rId69" Type="http://schemas.openxmlformats.org/officeDocument/2006/relationships/hyperlink" Target="https://doi.org/10.1002/berj.3953" TargetMode="External"/><Relationship Id="rId113" Type="http://schemas.openxmlformats.org/officeDocument/2006/relationships/hyperlink" Target="https://www.legislation.gov.uk/anaw/2018/2/contents" TargetMode="External"/><Relationship Id="rId134" Type="http://schemas.openxmlformats.org/officeDocument/2006/relationships/hyperlink" Target="https://thepracticalforestschool.com/forest-school-survey-2022/" TargetMode="External"/><Relationship Id="rId80" Type="http://schemas.openxmlformats.org/officeDocument/2006/relationships/hyperlink" Target="http://search.ebscohost.com/login.aspx?direct=true&amp;scope=site&amp;db=nlebk&amp;db=nlabk&amp;AN=1780725" TargetMode="External"/><Relationship Id="rId155" Type="http://schemas.openxmlformats.org/officeDocument/2006/relationships/hyperlink" Target="https://www.legislation.gov.uk/anaw/2018/2/contents" TargetMode="External"/><Relationship Id="rId17" Type="http://schemas.openxmlformats.org/officeDocument/2006/relationships/image" Target="media/image11.jpeg"/><Relationship Id="rId38" Type="http://schemas.openxmlformats.org/officeDocument/2006/relationships/hyperlink" Target="https://doi.org/10.1080/13540602.2014.937959" TargetMode="External"/><Relationship Id="rId59" Type="http://schemas.openxmlformats.org/officeDocument/2006/relationships/hyperlink" Target="https://doi.org/10.1080/00131911.2010.488049" TargetMode="External"/><Relationship Id="rId103" Type="http://schemas.openxmlformats.org/officeDocument/2006/relationships/hyperlink" Target="https://doi.org/10.5040/9781474264310" TargetMode="External"/><Relationship Id="rId124" Type="http://schemas.openxmlformats.org/officeDocument/2006/relationships/hyperlink" Target="https://doi.org/10.3390/f130813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37</Pages>
  <Words>12785</Words>
  <Characters>72876</Characters>
  <Application>Microsoft Office Word</Application>
  <DocSecurity>0</DocSecurity>
  <Lines>607</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Rowlands (2315485)</dc:creator>
  <cp:keywords/>
  <dc:description/>
  <cp:lastModifiedBy>Kate Rowlands (2315485)</cp:lastModifiedBy>
  <cp:revision>2</cp:revision>
  <cp:lastPrinted>2026-02-23T16:21:00Z</cp:lastPrinted>
  <dcterms:created xsi:type="dcterms:W3CDTF">2026-02-27T13:08:00Z</dcterms:created>
  <dcterms:modified xsi:type="dcterms:W3CDTF">2026-02-27T13:08:00Z</dcterms:modified>
</cp:coreProperties>
</file>