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4E640" w14:textId="77777777" w:rsidR="00286ED8" w:rsidRPr="00322D09" w:rsidRDefault="005719CC">
      <w:pPr>
        <w:spacing w:before="2400" w:after="480"/>
        <w:jc w:val="center"/>
        <w:rPr>
          <w:color w:val="1F497D" w:themeColor="text2"/>
        </w:rPr>
      </w:pPr>
      <w:r w:rsidRPr="00322D09">
        <w:rPr>
          <w:b/>
          <w:color w:val="1F497D" w:themeColor="text2"/>
          <w:sz w:val="26"/>
        </w:rPr>
        <w:t>BMHP6026 – Digital Transformation in the Health and Care Professions</w:t>
      </w:r>
    </w:p>
    <w:p w14:paraId="72320DBC" w14:textId="77777777" w:rsidR="00286ED8" w:rsidRPr="00322D09" w:rsidRDefault="005719CC">
      <w:pPr>
        <w:spacing w:before="360" w:after="840"/>
        <w:jc w:val="center"/>
        <w:rPr>
          <w:color w:val="1F497D" w:themeColor="text2"/>
        </w:rPr>
      </w:pPr>
      <w:r w:rsidRPr="00322D09">
        <w:rPr>
          <w:b/>
          <w:color w:val="1F497D" w:themeColor="text2"/>
          <w:sz w:val="32"/>
        </w:rPr>
        <w:t>A Critical Evaluation of Oxevision as a Digital Innovation in UK Inpatient Mental Health Care</w:t>
      </w:r>
    </w:p>
    <w:p w14:paraId="670A27DA" w14:textId="482437ED" w:rsidR="00B9797F" w:rsidRPr="00932F46" w:rsidRDefault="005719CC" w:rsidP="00BB19C0">
      <w:pPr>
        <w:pStyle w:val="Heading2"/>
        <w:rPr>
          <w:b w:val="0"/>
          <w:bCs w:val="0"/>
        </w:rPr>
      </w:pPr>
      <w:r w:rsidRPr="00624595">
        <w:t>Assessment</w:t>
      </w:r>
      <w:r w:rsidRPr="00624595">
        <w:t>:</w:t>
      </w:r>
      <w:r w:rsidRPr="00932F46">
        <w:rPr>
          <w:b w:val="0"/>
          <w:bCs w:val="0"/>
        </w:rPr>
        <w:t xml:space="preserve"> </w:t>
      </w:r>
      <w:r w:rsidRPr="00932F46">
        <w:rPr>
          <w:b w:val="0"/>
          <w:bCs w:val="0"/>
        </w:rPr>
        <w:t>Component 1 – Written Report</w:t>
      </w:r>
      <w:r w:rsidRPr="00932F46">
        <w:rPr>
          <w:b w:val="0"/>
          <w:bCs w:val="0"/>
        </w:rPr>
        <w:br/>
      </w:r>
      <w:r w:rsidRPr="00624595">
        <w:t>Student name:</w:t>
      </w:r>
      <w:r w:rsidRPr="00932F46">
        <w:rPr>
          <w:b w:val="0"/>
          <w:bCs w:val="0"/>
        </w:rPr>
        <w:t xml:space="preserve"> </w:t>
      </w:r>
      <w:r w:rsidR="00A52208" w:rsidRPr="00932F46">
        <w:rPr>
          <w:b w:val="0"/>
          <w:bCs w:val="0"/>
        </w:rPr>
        <w:t xml:space="preserve"> Sadaf Hassan</w:t>
      </w:r>
      <w:r w:rsidRPr="00932F46">
        <w:rPr>
          <w:b w:val="0"/>
          <w:bCs w:val="0"/>
        </w:rPr>
        <w:br/>
      </w:r>
      <w:r w:rsidRPr="00624595">
        <w:t>Student number:</w:t>
      </w:r>
      <w:r w:rsidRPr="00932F46">
        <w:rPr>
          <w:b w:val="0"/>
          <w:bCs w:val="0"/>
        </w:rPr>
        <w:t xml:space="preserve"> </w:t>
      </w:r>
      <w:r w:rsidR="00A52208" w:rsidRPr="00932F46">
        <w:rPr>
          <w:b w:val="0"/>
          <w:bCs w:val="0"/>
        </w:rPr>
        <w:t>2247725</w:t>
      </w:r>
      <w:r w:rsidRPr="00932F46">
        <w:rPr>
          <w:b w:val="0"/>
          <w:bCs w:val="0"/>
        </w:rPr>
        <w:br/>
      </w:r>
      <w:r w:rsidR="00A52208" w:rsidRPr="00624595">
        <w:t>Lecturer:</w:t>
      </w:r>
      <w:r w:rsidR="00A52208" w:rsidRPr="00932F46">
        <w:rPr>
          <w:b w:val="0"/>
          <w:bCs w:val="0"/>
        </w:rPr>
        <w:t xml:space="preserve">  Martin</w:t>
      </w:r>
      <w:r w:rsidR="00A52208" w:rsidRPr="00932F46">
        <w:rPr>
          <w:b w:val="0"/>
          <w:bCs w:val="0"/>
        </w:rPr>
        <w:t xml:space="preserve"> Svejda</w:t>
      </w:r>
      <w:r w:rsidRPr="00932F46">
        <w:rPr>
          <w:b w:val="0"/>
          <w:bCs w:val="0"/>
        </w:rPr>
        <w:br/>
      </w:r>
      <w:proofErr w:type="spellStart"/>
      <w:r w:rsidR="00B9797F" w:rsidRPr="00624595">
        <w:t>Programme</w:t>
      </w:r>
      <w:proofErr w:type="spellEnd"/>
      <w:r w:rsidR="00B9797F" w:rsidRPr="00624595">
        <w:t>:</w:t>
      </w:r>
      <w:r w:rsidR="00B9797F" w:rsidRPr="00932F46">
        <w:rPr>
          <w:b w:val="0"/>
          <w:bCs w:val="0"/>
        </w:rPr>
        <w:t xml:space="preserve"> BSc (Hons) Health and Social Care</w:t>
      </w:r>
    </w:p>
    <w:p w14:paraId="07873F94" w14:textId="77777777" w:rsidR="00B9797F" w:rsidRDefault="00B9797F" w:rsidP="00B9797F">
      <w:pPr>
        <w:spacing w:before="760"/>
        <w:rPr>
          <w:b/>
        </w:rPr>
      </w:pPr>
    </w:p>
    <w:p w14:paraId="3192742F" w14:textId="77777777" w:rsidR="006228FC" w:rsidRDefault="006228FC" w:rsidP="00B9797F">
      <w:pPr>
        <w:spacing w:before="760"/>
        <w:rPr>
          <w:b/>
        </w:rPr>
      </w:pPr>
    </w:p>
    <w:p w14:paraId="793C94B5" w14:textId="77777777" w:rsidR="006228FC" w:rsidRDefault="006228FC" w:rsidP="00B9797F">
      <w:pPr>
        <w:spacing w:before="760"/>
        <w:rPr>
          <w:b/>
        </w:rPr>
      </w:pPr>
    </w:p>
    <w:p w14:paraId="42A06646" w14:textId="77777777" w:rsidR="006228FC" w:rsidRDefault="006228FC" w:rsidP="00B9797F">
      <w:pPr>
        <w:spacing w:before="760"/>
        <w:rPr>
          <w:b/>
        </w:rPr>
      </w:pPr>
    </w:p>
    <w:p w14:paraId="0545DDDC" w14:textId="0BA7D1C1" w:rsidR="00286ED8" w:rsidRDefault="00286ED8">
      <w:pPr>
        <w:spacing w:before="760"/>
      </w:pPr>
    </w:p>
    <w:p w14:paraId="5616B4B5" w14:textId="77777777" w:rsidR="002106F6" w:rsidRDefault="002106F6">
      <w:pPr>
        <w:spacing w:before="760"/>
      </w:pPr>
    </w:p>
    <w:p w14:paraId="645CFE70" w14:textId="77777777" w:rsidR="007866FF" w:rsidRPr="00963EDC" w:rsidRDefault="00213D60" w:rsidP="002106F6">
      <w:pPr>
        <w:pStyle w:val="Title"/>
        <w:rPr>
          <w:b/>
          <w:bCs/>
        </w:rPr>
      </w:pPr>
      <w:r w:rsidRPr="00963EDC">
        <w:rPr>
          <w:b/>
          <w:bCs/>
        </w:rPr>
        <w:lastRenderedPageBreak/>
        <w:t xml:space="preserve">Report: </w:t>
      </w:r>
      <w:proofErr w:type="spellStart"/>
      <w:r w:rsidRPr="00963EDC">
        <w:rPr>
          <w:b/>
          <w:bCs/>
        </w:rPr>
        <w:t>Oxevision</w:t>
      </w:r>
      <w:proofErr w:type="spellEnd"/>
      <w:r w:rsidRPr="00963EDC">
        <w:rPr>
          <w:b/>
          <w:bCs/>
        </w:rPr>
        <w:t xml:space="preserve"> in UK inpatient mental health care</w:t>
      </w:r>
    </w:p>
    <w:p w14:paraId="0EBAFD5E" w14:textId="77777777" w:rsidR="002106F6" w:rsidRDefault="002106F6" w:rsidP="0063060B">
      <w:pPr>
        <w:pStyle w:val="Heading2"/>
      </w:pPr>
    </w:p>
    <w:p w14:paraId="5E99ED65" w14:textId="62DB2A7A" w:rsidR="007866FF" w:rsidRDefault="00213D60" w:rsidP="00963EDC">
      <w:pPr>
        <w:pStyle w:val="Heading2"/>
        <w:numPr>
          <w:ilvl w:val="0"/>
          <w:numId w:val="10"/>
        </w:numPr>
      </w:pPr>
      <w:r w:rsidRPr="0063060B">
        <w:t>Introduction</w:t>
      </w:r>
    </w:p>
    <w:p w14:paraId="04E8679A" w14:textId="77777777" w:rsidR="00963EDC" w:rsidRPr="00963EDC" w:rsidRDefault="00963EDC" w:rsidP="00963EDC"/>
    <w:p w14:paraId="52352C4F" w14:textId="77777777" w:rsidR="007866FF" w:rsidRPr="00D51A8C" w:rsidRDefault="00213D60" w:rsidP="007671E2">
      <w:pPr>
        <w:spacing w:after="160" w:line="360" w:lineRule="auto"/>
        <w:jc w:val="both"/>
        <w:rPr>
          <w:rFonts w:cs="Arial"/>
        </w:rPr>
      </w:pPr>
      <w:r w:rsidRPr="00D51A8C">
        <w:rPr>
          <w:rFonts w:cs="Arial"/>
        </w:rPr>
        <w:t>Digital transformation is central to current NHS policy, including the move from analogue to digital services in England (Department of Health and Social Care, 2025). Yet installing a new system does not, by itself, improve care. A useful evaluation must ask what changes for patients and staff, whether the evidence supports claimed benefits, and what the service gives up in return. This report examines Oxevision, a digital monitoring system introduced in some UK inpatient mental health services. It considers its effects on staff, everyday service delivery, patients and the wider community, with particular attention to safety, dignity and the quality of evidence.</w:t>
      </w:r>
    </w:p>
    <w:p w14:paraId="5CF1ACC3" w14:textId="77777777" w:rsidR="007866FF" w:rsidRPr="00D51A8C" w:rsidRDefault="00213D60" w:rsidP="007671E2">
      <w:pPr>
        <w:spacing w:after="160" w:line="360" w:lineRule="auto"/>
        <w:jc w:val="both"/>
        <w:rPr>
          <w:rFonts w:cs="Arial"/>
        </w:rPr>
      </w:pPr>
      <w:r w:rsidRPr="00D51A8C">
        <w:rPr>
          <w:rFonts w:cs="Arial"/>
        </w:rPr>
        <w:t>Oxevision uses infrared-sensitive camera technology to provide information about movement and contact-free estimates of pulse and breathing rate (Dewa et al., 2023). It may reduce the need to interrupt patients during night-time observations. However, monitoring bedrooms raises questions about consent, privacy and trust. These concerns are not separate from safety: a patient who feels watched or distressed may experience care differently from one who welcomes fewer checks. Griffiths et al. (2024) identified nine UK studies involving Oxevision, eight reporting conflicts of interest, while only one was rated high quality. The Care Quality Commission (CQC, 2025) also found important evidence gaps. Oxevision is therefore worth examining as an implemented innovation, not treating as a proven improvement.</w:t>
      </w:r>
    </w:p>
    <w:p w14:paraId="625060E4" w14:textId="7ADA4C76" w:rsidR="00963EDC" w:rsidRDefault="00FA16BA" w:rsidP="005C153B">
      <w:pPr>
        <w:pStyle w:val="Heading2"/>
      </w:pPr>
      <w:r>
        <w:t>2.</w:t>
      </w:r>
      <w:r w:rsidR="00213D60" w:rsidRPr="00D51A8C">
        <w:t xml:space="preserve">Overview of </w:t>
      </w:r>
      <w:r w:rsidR="0091628E" w:rsidRPr="00D51A8C">
        <w:t>Digital</w:t>
      </w:r>
      <w:r w:rsidR="00213D60" w:rsidRPr="00D51A8C">
        <w:t xml:space="preserve"> Innovation</w:t>
      </w:r>
    </w:p>
    <w:p w14:paraId="02F5ABBC" w14:textId="77777777" w:rsidR="00963EDC" w:rsidRPr="00963EDC" w:rsidRDefault="00963EDC" w:rsidP="00963EDC"/>
    <w:p w14:paraId="73C024E5" w14:textId="77777777" w:rsidR="007866FF" w:rsidRPr="00D51A8C" w:rsidRDefault="00213D60" w:rsidP="007671E2">
      <w:pPr>
        <w:spacing w:after="160" w:line="360" w:lineRule="auto"/>
        <w:jc w:val="both"/>
        <w:rPr>
          <w:rFonts w:cs="Arial"/>
        </w:rPr>
      </w:pPr>
      <w:r w:rsidRPr="00D51A8C">
        <w:rPr>
          <w:rFonts w:cs="Arial"/>
        </w:rPr>
        <w:t xml:space="preserve">Oxevision assists observation; it does not provide mental health treatment. During the night, for example, staff may be able to check selected information without opening a bedroom door and waking someone. Dewa et al. (2023) explored how staff and patients experienced passive monitoring in a high-secure forensic hospital. Their findings help explain how the system may be used, but a high-secure ward is not the same as an acute admission ward. Staffing arrangements, patient needs and observation practices differ, so the findings should not be presented as proof that every </w:t>
      </w:r>
      <w:proofErr w:type="gramStart"/>
      <w:r w:rsidRPr="00D51A8C">
        <w:rPr>
          <w:rFonts w:cs="Arial"/>
        </w:rPr>
        <w:t>ward</w:t>
      </w:r>
      <w:proofErr w:type="gramEnd"/>
      <w:r w:rsidRPr="00D51A8C">
        <w:rPr>
          <w:rFonts w:cs="Arial"/>
        </w:rPr>
        <w:t xml:space="preserve"> will benefit.</w:t>
      </w:r>
    </w:p>
    <w:p w14:paraId="2D545AE8" w14:textId="77777777" w:rsidR="007866FF" w:rsidRPr="00D51A8C" w:rsidRDefault="00213D60" w:rsidP="007671E2">
      <w:pPr>
        <w:spacing w:after="160" w:line="360" w:lineRule="auto"/>
        <w:jc w:val="both"/>
        <w:rPr>
          <w:rFonts w:cs="Arial"/>
        </w:rPr>
      </w:pPr>
      <w:r w:rsidRPr="00D51A8C">
        <w:rPr>
          <w:rFonts w:cs="Arial"/>
        </w:rPr>
        <w:lastRenderedPageBreak/>
        <w:t>Implementation changes clinical practice as well as equipment. Staff need to know which readings they can use, how to respond to alerts and when they must enter a room to assess a patient directly. NHS England (2025a) advises that decisions about digital monitoring should be individualised, recorded and consistent with human rights. In practice, this places responsibility on the clinical team, not the device. A ward that installs Oxevision without revising its observation procedures may have more information but no clearer decisions.</w:t>
      </w:r>
    </w:p>
    <w:p w14:paraId="1830378C" w14:textId="77777777" w:rsidR="007866FF" w:rsidRPr="00D51A8C" w:rsidRDefault="00213D60" w:rsidP="007671E2">
      <w:pPr>
        <w:spacing w:after="160" w:line="360" w:lineRule="auto"/>
        <w:jc w:val="both"/>
        <w:rPr>
          <w:rFonts w:cs="Arial"/>
        </w:rPr>
      </w:pPr>
      <w:r w:rsidRPr="00D51A8C">
        <w:rPr>
          <w:rFonts w:cs="Arial"/>
        </w:rPr>
        <w:t>A movement alert, for instance, may prompt a nurse to check a patient, but it cannot explain why that person is moving. Equally, an apparently normal breathing-rate estimate says little about fear, suicidal thoughts or the need for reassurance. The distinction between physical readings and emotional wellbeing matters in mental health care, where conversation and observation together inform risk assessment. NHS England's (2024) Culture of Care Standards emphasise relationships and respect. Oxevision would be more convincing as an innovation if independent evaluations examined not only technical readings, but also clinical decisions, patient feedback and whether staff had enough time for meaningful contact.</w:t>
      </w:r>
    </w:p>
    <w:p w14:paraId="0CCFB15B" w14:textId="68C4FF4A" w:rsidR="007866FF" w:rsidRDefault="00FA16BA" w:rsidP="00FA16BA">
      <w:pPr>
        <w:pStyle w:val="Heading2"/>
      </w:pPr>
      <w:r>
        <w:t>2.</w:t>
      </w:r>
      <w:r w:rsidR="00213D60" w:rsidRPr="00D51A8C">
        <w:t>Impact on the Workforce</w:t>
      </w:r>
    </w:p>
    <w:p w14:paraId="554C5352" w14:textId="77777777" w:rsidR="00FA16BA" w:rsidRPr="00FA16BA" w:rsidRDefault="00FA16BA" w:rsidP="00FA16BA">
      <w:pPr>
        <w:pStyle w:val="ListParagraph"/>
      </w:pPr>
    </w:p>
    <w:p w14:paraId="16D3AC14" w14:textId="77777777" w:rsidR="007866FF" w:rsidRPr="00D51A8C" w:rsidRDefault="00213D60" w:rsidP="007671E2">
      <w:pPr>
        <w:spacing w:after="160" w:line="360" w:lineRule="auto"/>
        <w:jc w:val="both"/>
        <w:rPr>
          <w:rFonts w:cs="Arial"/>
        </w:rPr>
      </w:pPr>
      <w:r w:rsidRPr="00D51A8C">
        <w:rPr>
          <w:rFonts w:cs="Arial"/>
        </w:rPr>
        <w:t>For staff, the immediate attraction is the possibility of making some routine observations without repeatedly entering bedrooms. Dewa et al. (2023) recorded positive views about monitoring and decision-making in a high-secure service. These accounts should be taken seriously, but they measure perceived usefulness rather than reliable reductions in workload. Griffiths et al. (2024) found a weak effectiveness evidence base, often involving studies with declared conflicts of interest. Both findings can be true: staff may value the device while its overall effect on staffing time remains uncertain. Independent measurements are needed before services describe it as a workforce-saving intervention.</w:t>
      </w:r>
    </w:p>
    <w:p w14:paraId="517D41B3" w14:textId="77777777" w:rsidR="007866FF" w:rsidRPr="00D51A8C" w:rsidRDefault="00213D60" w:rsidP="007671E2">
      <w:pPr>
        <w:spacing w:after="160" w:line="360" w:lineRule="auto"/>
        <w:jc w:val="both"/>
        <w:rPr>
          <w:rFonts w:cs="Arial"/>
        </w:rPr>
      </w:pPr>
      <w:r w:rsidRPr="00D51A8C">
        <w:rPr>
          <w:rFonts w:cs="Arial"/>
        </w:rPr>
        <w:t xml:space="preserve">Digital observation also creates tasks. Staff must check whether readings are plausible, respond to alerts, document actions and recognise when direct assessment is still necessary. Poorly configured alerts or unclear escalation rules could increase pressure rather than reduce it. NHS England (2025a) requires staff training and appropriate governance, while its digital maturity assessment recognises that organisations vary in readiness to adopt technology (NHS England, n.d.). A service should therefore test staff </w:t>
      </w:r>
      <w:r w:rsidRPr="00D51A8C">
        <w:rPr>
          <w:rFonts w:cs="Arial"/>
        </w:rPr>
        <w:lastRenderedPageBreak/>
        <w:t>confidence and the reliability of local processes before wider use, including during shifts staffed by temporary workers.</w:t>
      </w:r>
    </w:p>
    <w:p w14:paraId="4D4E3FFA" w14:textId="77777777" w:rsidR="007866FF" w:rsidRPr="00D51A8C" w:rsidRDefault="00213D60" w:rsidP="007671E2">
      <w:pPr>
        <w:spacing w:after="160" w:line="360" w:lineRule="auto"/>
        <w:jc w:val="both"/>
        <w:rPr>
          <w:rFonts w:cs="Arial"/>
        </w:rPr>
      </w:pPr>
      <w:r w:rsidRPr="00D51A8C">
        <w:rPr>
          <w:rFonts w:cs="Arial"/>
        </w:rPr>
        <w:t>There is a risk that managers interpret fewer room entries as evidence that fewer staff are required. This would conflict with the relational approach set out in NHS England's (2024) Culture of Care Standards. A brief bedside conversation might reveal distress that a remote reading cannot capture. On the other hand, if reduced interruptions free staff to spend more time supporting patients who want contact, that could be a genuine improvement. The outcome depends on what staff do with the time, not simply on whether a task becomes quicker. Evaluations should therefore examine the quality of patient contact, staff wellbeing and safety alongside the number of observations completed.</w:t>
      </w:r>
    </w:p>
    <w:p w14:paraId="4DF92C64" w14:textId="77777777" w:rsidR="007866FF" w:rsidRDefault="00213D60" w:rsidP="0063060B">
      <w:pPr>
        <w:pStyle w:val="Heading2"/>
      </w:pPr>
      <w:r w:rsidRPr="00D51A8C">
        <w:t>4. Impact on Service Delivery</w:t>
      </w:r>
    </w:p>
    <w:p w14:paraId="74E2AC72" w14:textId="77777777" w:rsidR="00FA16BA" w:rsidRPr="00FA16BA" w:rsidRDefault="00FA16BA" w:rsidP="00FA16BA"/>
    <w:p w14:paraId="6B28D89C" w14:textId="77777777" w:rsidR="007866FF" w:rsidRPr="00D51A8C" w:rsidRDefault="00213D60" w:rsidP="007671E2">
      <w:pPr>
        <w:spacing w:after="160" w:line="360" w:lineRule="auto"/>
        <w:jc w:val="both"/>
        <w:rPr>
          <w:rFonts w:cs="Arial"/>
        </w:rPr>
      </w:pPr>
      <w:r w:rsidRPr="00D51A8C">
        <w:rPr>
          <w:rFonts w:cs="Arial"/>
        </w:rPr>
        <w:t>Service delivery may improve if staff can undertake selected night-time checks without disturbing sleep. Dewa et al. (2023) describe sleep disruption as a concern with conventional observation, and the CQC (2025) recognises a possible benefit from contactless monitoring. Yet uninterrupted sleep is only one outcome. Wards also need reliable readings, timely responses to deterioration and opportunities for direct engagement. CQC guidance distinguishes clinical monitoring from continuous surveillance, which is not the intended purpose of these systems (CQC, 2025). This distinction needs to be reflected in ward policies and explained clearly to patients.</w:t>
      </w:r>
    </w:p>
    <w:p w14:paraId="190AC22C" w14:textId="77777777" w:rsidR="007866FF" w:rsidRDefault="00213D60" w:rsidP="007671E2">
      <w:pPr>
        <w:spacing w:after="160" w:line="360" w:lineRule="auto"/>
        <w:jc w:val="both"/>
        <w:rPr>
          <w:rFonts w:cs="Arial"/>
        </w:rPr>
      </w:pPr>
      <w:r w:rsidRPr="00D51A8C">
        <w:rPr>
          <w:rFonts w:cs="Arial"/>
        </w:rPr>
        <w:t>Ndebele et al. (2024) reported a 44% relative difference in bedroom self-harm incidents and a 48% relative difference in bedroom ligature incidents when wards using vision-based monitoring were compared with control wards. These headline figures require care. The correction to Griffiths et al. (2024) clarifies that the reported 44% comparison is different from the 22% reduction observed within the monitored wards themselves (Griffiths et al., 2025). The study was non-randomised; staffing, case mix or other safety measures may have affected the results. The systematic review also judged all seven Oxevision effectiveness studies it assessed to be low quality and to report conflicts of interest (Griffiths et al., 2024). The figures suggest a possible benefit, but they cannot establish cause and effect.</w:t>
      </w:r>
    </w:p>
    <w:p w14:paraId="5C22CECE" w14:textId="77777777" w:rsidR="00FA16BA" w:rsidRDefault="00FA16BA" w:rsidP="007671E2">
      <w:pPr>
        <w:spacing w:after="160" w:line="360" w:lineRule="auto"/>
        <w:jc w:val="both"/>
        <w:rPr>
          <w:rFonts w:cs="Arial"/>
        </w:rPr>
      </w:pPr>
    </w:p>
    <w:p w14:paraId="3285F73D" w14:textId="77777777" w:rsidR="00FA16BA" w:rsidRPr="00D51A8C" w:rsidRDefault="00FA16BA" w:rsidP="007671E2">
      <w:pPr>
        <w:spacing w:after="160" w:line="360" w:lineRule="auto"/>
        <w:jc w:val="both"/>
        <w:rPr>
          <w:rFonts w:cs="Arial"/>
        </w:rPr>
      </w:pPr>
    </w:p>
    <w:p w14:paraId="4CC7E23B" w14:textId="77777777" w:rsidR="00286ED8" w:rsidRDefault="005719CC" w:rsidP="0063060B">
      <w:pPr>
        <w:pStyle w:val="Title"/>
      </w:pPr>
      <w:r>
        <w:lastRenderedPageBreak/>
        <w:t xml:space="preserve">Table 1. Interpretation of the main evidence on </w:t>
      </w:r>
      <w:proofErr w:type="spellStart"/>
      <w:r>
        <w:t>Oxevision</w:t>
      </w:r>
      <w:proofErr w:type="spellEnd"/>
    </w:p>
    <w:p w14:paraId="293F3578" w14:textId="77777777" w:rsidR="0078000D" w:rsidRPr="0078000D" w:rsidRDefault="0078000D" w:rsidP="0078000D"/>
    <w:tbl>
      <w:tblPr>
        <w:tblStyle w:val="TableGrid"/>
        <w:tblW w:w="0" w:type="auto"/>
        <w:jc w:val="center"/>
        <w:tblLook w:val="04A0" w:firstRow="1" w:lastRow="0" w:firstColumn="1" w:lastColumn="0" w:noHBand="0" w:noVBand="1"/>
      </w:tblPr>
      <w:tblGrid>
        <w:gridCol w:w="2166"/>
        <w:gridCol w:w="3273"/>
        <w:gridCol w:w="3417"/>
      </w:tblGrid>
      <w:tr w:rsidR="00286ED8" w:rsidRPr="004B43C8" w14:paraId="1AE20BBB" w14:textId="77777777">
        <w:trPr>
          <w:jc w:val="center"/>
        </w:trPr>
        <w:tc>
          <w:tcPr>
            <w:tcW w:w="2304" w:type="dxa"/>
            <w:vAlign w:val="center"/>
          </w:tcPr>
          <w:p w14:paraId="2B3EDFE1" w14:textId="77777777" w:rsidR="00286ED8" w:rsidRPr="004B43C8" w:rsidRDefault="005719CC">
            <w:pPr>
              <w:keepNext/>
              <w:keepLines/>
              <w:spacing w:before="40" w:after="40" w:line="276" w:lineRule="auto"/>
              <w:rPr>
                <w:rStyle w:val="Strong"/>
              </w:rPr>
            </w:pPr>
            <w:r w:rsidRPr="004B43C8">
              <w:rPr>
                <w:rStyle w:val="Strong"/>
              </w:rPr>
              <w:t>Evidence</w:t>
            </w:r>
          </w:p>
        </w:tc>
        <w:tc>
          <w:tcPr>
            <w:tcW w:w="3528" w:type="dxa"/>
            <w:vAlign w:val="center"/>
          </w:tcPr>
          <w:p w14:paraId="261F8A8A" w14:textId="77777777" w:rsidR="00286ED8" w:rsidRPr="004B43C8" w:rsidRDefault="005719CC">
            <w:pPr>
              <w:keepNext/>
              <w:keepLines/>
              <w:spacing w:before="40" w:after="40" w:line="276" w:lineRule="auto"/>
              <w:rPr>
                <w:rStyle w:val="Strong"/>
              </w:rPr>
            </w:pPr>
            <w:r w:rsidRPr="004B43C8">
              <w:rPr>
                <w:rStyle w:val="Strong"/>
              </w:rPr>
              <w:t>Reported finding</w:t>
            </w:r>
          </w:p>
        </w:tc>
        <w:tc>
          <w:tcPr>
            <w:tcW w:w="3672" w:type="dxa"/>
            <w:vAlign w:val="center"/>
          </w:tcPr>
          <w:p w14:paraId="231294C5" w14:textId="77777777" w:rsidR="00286ED8" w:rsidRPr="004B43C8" w:rsidRDefault="005719CC">
            <w:pPr>
              <w:keepNext/>
              <w:keepLines/>
              <w:spacing w:before="40" w:after="40" w:line="276" w:lineRule="auto"/>
              <w:rPr>
                <w:rStyle w:val="Strong"/>
              </w:rPr>
            </w:pPr>
            <w:r w:rsidRPr="004B43C8">
              <w:rPr>
                <w:rStyle w:val="Strong"/>
              </w:rPr>
              <w:t>Why caution is needed</w:t>
            </w:r>
          </w:p>
        </w:tc>
      </w:tr>
      <w:tr w:rsidR="00286ED8" w:rsidRPr="004B43C8" w14:paraId="41AB15DF" w14:textId="77777777">
        <w:trPr>
          <w:jc w:val="center"/>
        </w:trPr>
        <w:tc>
          <w:tcPr>
            <w:tcW w:w="2304" w:type="dxa"/>
            <w:vAlign w:val="center"/>
          </w:tcPr>
          <w:p w14:paraId="6CE8C751" w14:textId="77777777" w:rsidR="00286ED8" w:rsidRPr="004B43C8" w:rsidRDefault="005719CC">
            <w:pPr>
              <w:keepNext/>
              <w:keepLines/>
              <w:spacing w:before="40" w:after="40" w:line="276" w:lineRule="auto"/>
              <w:rPr>
                <w:rStyle w:val="Strong"/>
              </w:rPr>
            </w:pPr>
            <w:r w:rsidRPr="004B43C8">
              <w:rPr>
                <w:rStyle w:val="Strong"/>
              </w:rPr>
              <w:t>Ndebele et al. (2024)</w:t>
            </w:r>
          </w:p>
        </w:tc>
        <w:tc>
          <w:tcPr>
            <w:tcW w:w="3528" w:type="dxa"/>
            <w:vAlign w:val="center"/>
          </w:tcPr>
          <w:p w14:paraId="39336C15" w14:textId="77777777" w:rsidR="00286ED8" w:rsidRPr="004B43C8" w:rsidRDefault="005719CC">
            <w:pPr>
              <w:keepNext/>
              <w:keepLines/>
              <w:spacing w:before="40" w:after="40" w:line="276" w:lineRule="auto"/>
              <w:rPr>
                <w:rStyle w:val="Strong"/>
              </w:rPr>
            </w:pPr>
            <w:r w:rsidRPr="004B43C8">
              <w:rPr>
                <w:rStyle w:val="Strong"/>
              </w:rPr>
              <w:t>44% relative difference in bedroom self-harm; 48% in bedroom ligatures</w:t>
            </w:r>
          </w:p>
        </w:tc>
        <w:tc>
          <w:tcPr>
            <w:tcW w:w="3672" w:type="dxa"/>
            <w:vAlign w:val="center"/>
          </w:tcPr>
          <w:p w14:paraId="04C62CA3" w14:textId="77777777" w:rsidR="00286ED8" w:rsidRPr="004B43C8" w:rsidRDefault="005719CC">
            <w:pPr>
              <w:keepNext/>
              <w:keepLines/>
              <w:spacing w:before="40" w:after="40" w:line="276" w:lineRule="auto"/>
              <w:rPr>
                <w:rStyle w:val="Strong"/>
              </w:rPr>
            </w:pPr>
            <w:r w:rsidRPr="004B43C8">
              <w:rPr>
                <w:rStyle w:val="Strong"/>
              </w:rPr>
              <w:t>Non-</w:t>
            </w:r>
            <w:proofErr w:type="spellStart"/>
            <w:r w:rsidRPr="004B43C8">
              <w:rPr>
                <w:rStyle w:val="Strong"/>
              </w:rPr>
              <w:t>randomised</w:t>
            </w:r>
            <w:proofErr w:type="spellEnd"/>
            <w:r w:rsidRPr="004B43C8">
              <w:rPr>
                <w:rStyle w:val="Strong"/>
              </w:rPr>
              <w:t xml:space="preserve"> comparison; other ward differences may matter.</w:t>
            </w:r>
          </w:p>
        </w:tc>
      </w:tr>
      <w:tr w:rsidR="00286ED8" w:rsidRPr="004B43C8" w14:paraId="410563A0" w14:textId="77777777">
        <w:trPr>
          <w:jc w:val="center"/>
        </w:trPr>
        <w:tc>
          <w:tcPr>
            <w:tcW w:w="2304" w:type="dxa"/>
            <w:vAlign w:val="center"/>
          </w:tcPr>
          <w:p w14:paraId="5B72EFBD" w14:textId="77777777" w:rsidR="00286ED8" w:rsidRPr="004B43C8" w:rsidRDefault="005719CC">
            <w:pPr>
              <w:keepNext/>
              <w:keepLines/>
              <w:spacing w:before="40" w:after="40" w:line="276" w:lineRule="auto"/>
              <w:rPr>
                <w:rStyle w:val="Strong"/>
              </w:rPr>
            </w:pPr>
            <w:r w:rsidRPr="004B43C8">
              <w:rPr>
                <w:rStyle w:val="Strong"/>
              </w:rPr>
              <w:t>Griffiths et al. (2024, 2025)</w:t>
            </w:r>
          </w:p>
        </w:tc>
        <w:tc>
          <w:tcPr>
            <w:tcW w:w="3528" w:type="dxa"/>
            <w:vAlign w:val="center"/>
          </w:tcPr>
          <w:p w14:paraId="63641CCB" w14:textId="77777777" w:rsidR="00286ED8" w:rsidRPr="004B43C8" w:rsidRDefault="005719CC">
            <w:pPr>
              <w:keepNext/>
              <w:keepLines/>
              <w:spacing w:before="40" w:after="40" w:line="276" w:lineRule="auto"/>
              <w:rPr>
                <w:rStyle w:val="Strong"/>
              </w:rPr>
            </w:pPr>
            <w:r w:rsidRPr="004B43C8">
              <w:rPr>
                <w:rStyle w:val="Strong"/>
              </w:rPr>
              <w:t xml:space="preserve">22% reduction within monitored </w:t>
            </w:r>
            <w:proofErr w:type="gramStart"/>
            <w:r w:rsidRPr="004B43C8">
              <w:rPr>
                <w:rStyle w:val="Strong"/>
              </w:rPr>
              <w:t>wards</w:t>
            </w:r>
            <w:proofErr w:type="gramEnd"/>
            <w:r w:rsidRPr="004B43C8">
              <w:rPr>
                <w:rStyle w:val="Strong"/>
              </w:rPr>
              <w:t xml:space="preserve"> is distinct from the 44% comparison</w:t>
            </w:r>
          </w:p>
        </w:tc>
        <w:tc>
          <w:tcPr>
            <w:tcW w:w="3672" w:type="dxa"/>
            <w:vAlign w:val="center"/>
          </w:tcPr>
          <w:p w14:paraId="12B1909C" w14:textId="77777777" w:rsidR="00286ED8" w:rsidRPr="004B43C8" w:rsidRDefault="005719CC">
            <w:pPr>
              <w:keepNext/>
              <w:keepLines/>
              <w:spacing w:before="40" w:after="40" w:line="276" w:lineRule="auto"/>
              <w:rPr>
                <w:rStyle w:val="Strong"/>
              </w:rPr>
            </w:pPr>
            <w:r w:rsidRPr="004B43C8">
              <w:rPr>
                <w:rStyle w:val="Strong"/>
              </w:rPr>
              <w:t>Low-quality effectiveness studies; conflicts of interest.</w:t>
            </w:r>
          </w:p>
        </w:tc>
      </w:tr>
      <w:tr w:rsidR="00286ED8" w:rsidRPr="004B43C8" w14:paraId="5A607823" w14:textId="77777777">
        <w:trPr>
          <w:jc w:val="center"/>
        </w:trPr>
        <w:tc>
          <w:tcPr>
            <w:tcW w:w="2304" w:type="dxa"/>
            <w:vAlign w:val="center"/>
          </w:tcPr>
          <w:p w14:paraId="06CBB863" w14:textId="77777777" w:rsidR="00286ED8" w:rsidRPr="004B43C8" w:rsidRDefault="005719CC">
            <w:pPr>
              <w:keepLines/>
              <w:spacing w:before="40" w:after="40" w:line="276" w:lineRule="auto"/>
              <w:rPr>
                <w:rStyle w:val="Strong"/>
              </w:rPr>
            </w:pPr>
            <w:r w:rsidRPr="004B43C8">
              <w:rPr>
                <w:rStyle w:val="Strong"/>
              </w:rPr>
              <w:t>PLOS Digital Health Editors (2026)</w:t>
            </w:r>
          </w:p>
        </w:tc>
        <w:tc>
          <w:tcPr>
            <w:tcW w:w="3528" w:type="dxa"/>
            <w:vAlign w:val="center"/>
          </w:tcPr>
          <w:p w14:paraId="506D5779" w14:textId="77777777" w:rsidR="00286ED8" w:rsidRPr="004B43C8" w:rsidRDefault="005719CC">
            <w:pPr>
              <w:keepLines/>
              <w:spacing w:before="40" w:after="40" w:line="276" w:lineRule="auto"/>
              <w:rPr>
                <w:rStyle w:val="Strong"/>
              </w:rPr>
            </w:pPr>
            <w:r w:rsidRPr="004B43C8">
              <w:rPr>
                <w:rStyle w:val="Strong"/>
              </w:rPr>
              <w:t>Published economic evaluation retracted</w:t>
            </w:r>
          </w:p>
        </w:tc>
        <w:tc>
          <w:tcPr>
            <w:tcW w:w="3672" w:type="dxa"/>
            <w:vAlign w:val="center"/>
          </w:tcPr>
          <w:p w14:paraId="0DC1AEED" w14:textId="77777777" w:rsidR="00286ED8" w:rsidRPr="004B43C8" w:rsidRDefault="005719CC">
            <w:pPr>
              <w:keepLines/>
              <w:spacing w:before="40" w:after="40" w:line="276" w:lineRule="auto"/>
              <w:rPr>
                <w:rStyle w:val="Strong"/>
              </w:rPr>
            </w:pPr>
            <w:r w:rsidRPr="004B43C8">
              <w:rPr>
                <w:rStyle w:val="Strong"/>
              </w:rPr>
              <w:t>Cost-effectiveness cannot be assumed from that model.</w:t>
            </w:r>
          </w:p>
        </w:tc>
      </w:tr>
    </w:tbl>
    <w:p w14:paraId="1DFBB12A" w14:textId="77777777" w:rsidR="0078000D" w:rsidRDefault="0078000D" w:rsidP="007671E2">
      <w:pPr>
        <w:keepLines/>
        <w:spacing w:before="120" w:after="160" w:line="360" w:lineRule="auto"/>
        <w:jc w:val="both"/>
        <w:rPr>
          <w:rFonts w:cs="Arial"/>
        </w:rPr>
      </w:pPr>
    </w:p>
    <w:p w14:paraId="41EDBFD7" w14:textId="78F3045F" w:rsidR="007866FF" w:rsidRPr="00D51A8C" w:rsidRDefault="00213D60" w:rsidP="007671E2">
      <w:pPr>
        <w:keepLines/>
        <w:spacing w:before="120" w:after="160" w:line="360" w:lineRule="auto"/>
        <w:jc w:val="both"/>
        <w:rPr>
          <w:rFonts w:cs="Arial"/>
        </w:rPr>
      </w:pPr>
      <w:r w:rsidRPr="00D51A8C">
        <w:rPr>
          <w:rFonts w:cs="Arial"/>
        </w:rPr>
        <w:t xml:space="preserve">The financial case is even less secure. An economic evaluation of Oxevision was retracted in 2026 because its model inputs and assumptions could not be adequately supported or checked (PLOS Digital Health Editors, 2026). This does not mean the technology cannot save money. It means commissioners cannot rely on that paper as proof. Any local business case should include equipment, maintenance, training and governance costs, and should check for unintended work such as duplicated documentation. A fair evaluation would compare similar </w:t>
      </w:r>
      <w:proofErr w:type="gramStart"/>
      <w:r w:rsidRPr="00D51A8C">
        <w:rPr>
          <w:rFonts w:cs="Arial"/>
        </w:rPr>
        <w:t>wards</w:t>
      </w:r>
      <w:proofErr w:type="gramEnd"/>
      <w:r w:rsidRPr="00D51A8C">
        <w:rPr>
          <w:rFonts w:cs="Arial"/>
        </w:rPr>
        <w:t xml:space="preserve"> over time, report patient experience and safety outcomes, and make the assumptions behind costs open to scrutiny.</w:t>
      </w:r>
    </w:p>
    <w:p w14:paraId="58E56EE0" w14:textId="77777777" w:rsidR="007866FF" w:rsidRDefault="00213D60" w:rsidP="004B43C8">
      <w:pPr>
        <w:pStyle w:val="Heading2"/>
      </w:pPr>
      <w:r w:rsidRPr="00D51A8C">
        <w:t>5. Impact on Patients and Service Users</w:t>
      </w:r>
    </w:p>
    <w:p w14:paraId="331BC2C6" w14:textId="77777777" w:rsidR="0078000D" w:rsidRPr="0078000D" w:rsidRDefault="0078000D" w:rsidP="0078000D"/>
    <w:p w14:paraId="74DB640F" w14:textId="77777777" w:rsidR="007866FF" w:rsidRPr="00D51A8C" w:rsidRDefault="00213D60" w:rsidP="007671E2">
      <w:pPr>
        <w:spacing w:after="160" w:line="360" w:lineRule="auto"/>
        <w:jc w:val="both"/>
        <w:rPr>
          <w:rFonts w:cs="Arial"/>
        </w:rPr>
      </w:pPr>
      <w:r w:rsidRPr="00D51A8C">
        <w:rPr>
          <w:rFonts w:cs="Arial"/>
        </w:rPr>
        <w:t>For patients, Oxevision may bring two very different experiences. Someone who finds frequent night checks unsettling could welcome fewer interruptions. Another patient, particularly someone with previous trauma or paranoia, may find a camera in a bedroom frightening. The CQC (2025) identifies consent, privacy, data protection and possible psychological harm as key concerns. These issues affect whether care feels safe, even where a monitoring system is intended to prevent physical injury. Patients may also feel unable to challenge a decision while admitted, making the way staff explain and review monitoring especially important.</w:t>
      </w:r>
    </w:p>
    <w:p w14:paraId="1F9A87BD" w14:textId="77777777" w:rsidR="007866FF" w:rsidRPr="00D51A8C" w:rsidRDefault="00213D60" w:rsidP="007671E2">
      <w:pPr>
        <w:spacing w:after="160" w:line="360" w:lineRule="auto"/>
        <w:jc w:val="both"/>
        <w:rPr>
          <w:rFonts w:cs="Arial"/>
        </w:rPr>
      </w:pPr>
      <w:r w:rsidRPr="00D51A8C">
        <w:rPr>
          <w:rFonts w:cs="Arial"/>
        </w:rPr>
        <w:t xml:space="preserve">The debate in the published literature reflects this tension. Porter and Edwards (2026) criticised the attention given to surveillance, consent and potential harm in discussion of </w:t>
      </w:r>
      <w:r w:rsidRPr="00D51A8C">
        <w:rPr>
          <w:rFonts w:cs="Arial"/>
        </w:rPr>
        <w:lastRenderedPageBreak/>
        <w:t>Oxevision. Dewa et al. (2026) responded that their earlier study did describe anxiety, paranoia and privacy concerns and did not suggest replacing physical observations. Reading the two contributions together shows why it is important to separate a study's reported experiences from a recommendation to expand the technology. Future research should include patients who oppose monitoring, not only those comfortable participating in an evaluation.</w:t>
      </w:r>
    </w:p>
    <w:p w14:paraId="065633E8" w14:textId="77777777" w:rsidR="007866FF" w:rsidRPr="00D51A8C" w:rsidRDefault="00213D60" w:rsidP="007671E2">
      <w:pPr>
        <w:spacing w:after="160" w:line="360" w:lineRule="auto"/>
        <w:jc w:val="both"/>
        <w:rPr>
          <w:rFonts w:cs="Arial"/>
        </w:rPr>
      </w:pPr>
      <w:r w:rsidRPr="00D51A8C">
        <w:rPr>
          <w:rFonts w:cs="Arial"/>
        </w:rPr>
        <w:t>A ward-wide policy cannot replace a decision about an individual patient. NHS England (2025a) expects an assessment of capacity, consent, proportionality and the least restrictive option. Explanations may need to be adapted for patients with communication difficulties, and the decision must be reviewed if a person's circumstances change. Where capacity is lacking, a lawful decision-making process is required rather than assuming agreement. The Health Research Authority (2024) also described concerns over how images and anonymity were presented during review of an Oxevision-related study. That finding does not make all clinical monitoring unlawful, but it underlines the need for accurate information about data handling.</w:t>
      </w:r>
    </w:p>
    <w:p w14:paraId="34120161" w14:textId="77777777" w:rsidR="007866FF" w:rsidRPr="00D51A8C" w:rsidRDefault="00213D60" w:rsidP="007671E2">
      <w:pPr>
        <w:spacing w:after="160" w:line="360" w:lineRule="auto"/>
        <w:jc w:val="both"/>
        <w:rPr>
          <w:rFonts w:cs="Arial"/>
        </w:rPr>
      </w:pPr>
      <w:r w:rsidRPr="00D51A8C">
        <w:rPr>
          <w:rFonts w:cs="Arial"/>
        </w:rPr>
        <w:t>Information governance is part of this discussion, not a separate technical issue. The Information Commissioner's Office (ICO, 2024) explains that people should understand how their health information is used. NHS England (2025b) provides a framework for organisations to assess data-security practice. Under the Data Protection Act 2018 and UK GDPR, services must identify a lawful basis and handle sensitive data fairly, transparently and proportionately. Patients need understandable answers about what is collected, who can access it, retention and complaints. When those answers are unclear, an apparently useful device may weaken the trust on which therapeutic care depends.</w:t>
      </w:r>
    </w:p>
    <w:p w14:paraId="31CBC5A0" w14:textId="77777777" w:rsidR="007866FF" w:rsidRDefault="00213D60" w:rsidP="004B43C8">
      <w:pPr>
        <w:pStyle w:val="Heading2"/>
      </w:pPr>
      <w:r w:rsidRPr="00D51A8C">
        <w:t>6. Impact on the Community</w:t>
      </w:r>
    </w:p>
    <w:p w14:paraId="245A9185" w14:textId="77777777" w:rsidR="0078000D" w:rsidRPr="0078000D" w:rsidRDefault="0078000D" w:rsidP="0078000D"/>
    <w:p w14:paraId="7169475D" w14:textId="77777777" w:rsidR="007866FF" w:rsidRPr="00D51A8C" w:rsidRDefault="00213D60" w:rsidP="007671E2">
      <w:pPr>
        <w:spacing w:after="160" w:line="360" w:lineRule="auto"/>
        <w:jc w:val="both"/>
        <w:rPr>
          <w:rFonts w:cs="Arial"/>
        </w:rPr>
      </w:pPr>
      <w:r w:rsidRPr="00D51A8C">
        <w:rPr>
          <w:rFonts w:cs="Arial"/>
        </w:rPr>
        <w:t>The effects of bedroom monitoring extend beyond the patient and the ward. Relatives may feel reassured by extra safety measures, particularly after previous serious incidents. Families may also ask whether the device means fewer face-to-face checks or whether sensitive information is secure. These are reasonable questions because the value of a safety intervention depends on more than incident figures. Services need to explain what Oxevision can and cannot detect and how families or advocates can raise concerns, while respecting the patient's wishes and confidentiality.</w:t>
      </w:r>
    </w:p>
    <w:p w14:paraId="6EE3BC7C" w14:textId="77777777" w:rsidR="007866FF" w:rsidRPr="00D51A8C" w:rsidRDefault="00213D60" w:rsidP="007671E2">
      <w:pPr>
        <w:spacing w:after="160" w:line="360" w:lineRule="auto"/>
        <w:jc w:val="both"/>
        <w:rPr>
          <w:rFonts w:cs="Arial"/>
        </w:rPr>
      </w:pPr>
      <w:r w:rsidRPr="00D51A8C">
        <w:rPr>
          <w:rFonts w:cs="Arial"/>
        </w:rPr>
        <w:lastRenderedPageBreak/>
        <w:t>Co-production could make these discussions more meaningful. NHS England (2025a) expects people with lived experience to be involved in procurement, implementation and evaluation. Yet Griffiths et al. (2024) found limited lived-experience involvement across much of the surveillance-technology research they reviewed. This gap matters: asking patients for feedback after equipment has been installed gives them less influence than involving them when decisions are still open. An effective process would include patients who are critical of monitoring and use their concerns to shape information, review arrangements and measures of acceptability.</w:t>
      </w:r>
    </w:p>
    <w:p w14:paraId="31C2CB12" w14:textId="77777777" w:rsidR="007866FF" w:rsidRPr="00D51A8C" w:rsidRDefault="00213D60" w:rsidP="007671E2">
      <w:pPr>
        <w:spacing w:after="160" w:line="360" w:lineRule="auto"/>
        <w:jc w:val="both"/>
        <w:rPr>
          <w:rFonts w:cs="Arial"/>
        </w:rPr>
      </w:pPr>
      <w:r w:rsidRPr="00D51A8C">
        <w:rPr>
          <w:rFonts w:cs="Arial"/>
        </w:rPr>
        <w:t>There is also an equality question. NHS England (2023) highlights accessibility and trust as parts of inclusive digital healthcare. For Oxevision, exclusion may arise when services overlook communication needs, cultural expectations of bedroom privacy or experiences of coercion. A patient may not need to operate the device to be affected unequally by it. NHS organisations may also have different resources for training and oversight. Before extending the system, services should consider who experiences the benefits, who could be harmed and whether complaints and alternatives are genuinely accessible. This is a more useful test of community impact than assuming that introducing the same technology everywhere produces equal care.</w:t>
      </w:r>
    </w:p>
    <w:p w14:paraId="18F54C48" w14:textId="77777777" w:rsidR="007866FF" w:rsidRPr="00D51A8C" w:rsidRDefault="00213D60" w:rsidP="004B43C8">
      <w:pPr>
        <w:pStyle w:val="Heading2"/>
      </w:pPr>
      <w:r w:rsidRPr="00D51A8C">
        <w:t>7. Conclusion and Recommendations</w:t>
      </w:r>
    </w:p>
    <w:p w14:paraId="157C185C" w14:textId="77777777" w:rsidR="007866FF" w:rsidRPr="00D51A8C" w:rsidRDefault="00213D60" w:rsidP="007671E2">
      <w:pPr>
        <w:spacing w:after="160" w:line="360" w:lineRule="auto"/>
        <w:jc w:val="both"/>
        <w:rPr>
          <w:rFonts w:cs="Arial"/>
        </w:rPr>
      </w:pPr>
      <w:r w:rsidRPr="00D51A8C">
        <w:rPr>
          <w:rFonts w:cs="Arial"/>
        </w:rPr>
        <w:t>Oxevision has been introduced into UK inpatient mental health care, but implementation and proven benefit are not the same thing. Contact-free checks may protect sleep and offer useful information to staff. The evidence does not yet show that these benefits are consistent across wards or that they outweigh all risks. In particular, the non-randomised findings of Ndebele et al. (2024), quality concerns raised by Griffiths et al. (2024) and the retracted cost evaluation support a cautious interpretation.</w:t>
      </w:r>
    </w:p>
    <w:p w14:paraId="54BF4FB9" w14:textId="77777777" w:rsidR="007866FF" w:rsidRPr="00D51A8C" w:rsidRDefault="00213D60" w:rsidP="007671E2">
      <w:pPr>
        <w:spacing w:after="160" w:line="360" w:lineRule="auto"/>
        <w:jc w:val="both"/>
        <w:rPr>
          <w:rFonts w:cs="Arial"/>
        </w:rPr>
      </w:pPr>
      <w:r w:rsidRPr="00D51A8C">
        <w:rPr>
          <w:rFonts w:cs="Arial"/>
        </w:rPr>
        <w:t>The priority should be to use Oxevision only where an individual assessment shows it is appropriate, with informed discussion, clear recording and regular review. Staff must be trained to question readings and maintain direct therapeutic contact; monitoring should not be used to justify reducing that contact. Independent evaluations should include safety, sleep, staffing, patient experience, equality and full costs, with people who have experienced inpatient care involved in deciding what counts as a good outcome. On the current evidence, Oxevision is best regarded as an additional observation tool whose value needs to be demonstrated in practice, not assumed from its availability.</w:t>
      </w:r>
    </w:p>
    <w:p w14:paraId="4A623EED" w14:textId="77777777" w:rsidR="007866FF" w:rsidRDefault="00213D60">
      <w:pPr>
        <w:spacing w:after="160" w:line="360" w:lineRule="auto"/>
        <w:jc w:val="both"/>
      </w:pPr>
      <w:r>
        <w:br w:type="page"/>
      </w:r>
    </w:p>
    <w:p w14:paraId="3614F851" w14:textId="77777777" w:rsidR="007866FF" w:rsidRDefault="00213D60">
      <w:pPr>
        <w:pStyle w:val="Heading1"/>
        <w:pageBreakBefore/>
        <w:spacing w:before="240" w:after="100"/>
        <w:rPr>
          <w:rStyle w:val="SubtleReference"/>
          <w:rFonts w:ascii="Arial" w:hAnsi="Arial" w:cs="Arial"/>
          <w:sz w:val="40"/>
          <w:szCs w:val="40"/>
        </w:rPr>
      </w:pPr>
      <w:r w:rsidRPr="004B43C8">
        <w:rPr>
          <w:rStyle w:val="SubtleReference"/>
          <w:rFonts w:ascii="Arial" w:hAnsi="Arial" w:cs="Arial"/>
          <w:sz w:val="40"/>
          <w:szCs w:val="40"/>
        </w:rPr>
        <w:lastRenderedPageBreak/>
        <w:t>Reference List</w:t>
      </w:r>
    </w:p>
    <w:p w14:paraId="62A051E0" w14:textId="77777777" w:rsidR="004B43C8" w:rsidRPr="004B43C8" w:rsidRDefault="004B43C8" w:rsidP="004B43C8"/>
    <w:p w14:paraId="5D871CAE" w14:textId="77777777" w:rsidR="007866FF" w:rsidRDefault="00213D60">
      <w:pPr>
        <w:spacing w:after="100" w:line="360" w:lineRule="auto"/>
        <w:ind w:left="374" w:hanging="374"/>
        <w:jc w:val="both"/>
      </w:pPr>
      <w:r>
        <w:t>Care Quality Commission (CQC) (2025) Exploring evidence regarding vision-based monitoring in inpatient mental health units. Available at: https://www.cqc.org.uk/about-us/transparency/external-reports-research/vbms (Accessed: 15 October 2026).</w:t>
      </w:r>
    </w:p>
    <w:p w14:paraId="23643693" w14:textId="77777777" w:rsidR="007866FF" w:rsidRDefault="00213D60">
      <w:pPr>
        <w:spacing w:after="100" w:line="360" w:lineRule="auto"/>
        <w:ind w:left="374" w:hanging="374"/>
        <w:jc w:val="both"/>
      </w:pPr>
      <w:r>
        <w:t>Department of Health and Social Care (2025) Fit for the future: 10 Year Health Plan for England. London: Department of Health and Social Care. Available at: https://www.gov.uk/government/publications/10-year-health-plan-for-england-fit-for-the-future (Accessed: 15 October 2026).</w:t>
      </w:r>
    </w:p>
    <w:p w14:paraId="568E6670" w14:textId="77777777" w:rsidR="007866FF" w:rsidRDefault="00213D60">
      <w:pPr>
        <w:spacing w:after="100" w:line="360" w:lineRule="auto"/>
        <w:ind w:left="374" w:hanging="374"/>
        <w:jc w:val="both"/>
      </w:pPr>
      <w:r>
        <w:t>Dewa, L.H., Broyd, J., Hira, R., Dudley, A., Hafferty, J.D., Bates, R. and Aylin, P. (2023) ‘A service evaluation of passive remote monitoring technology for patients in a high-secure forensic psychiatric hospital: a qualitative study’, BMC Psychiatry, 23, article 946. https://doi.org/10.1186/s12888-023-05437-w.</w:t>
      </w:r>
    </w:p>
    <w:p w14:paraId="2FFCCA01" w14:textId="77777777" w:rsidR="007866FF" w:rsidRDefault="00213D60">
      <w:pPr>
        <w:spacing w:after="100" w:line="360" w:lineRule="auto"/>
        <w:ind w:left="374" w:hanging="374"/>
        <w:jc w:val="both"/>
      </w:pPr>
      <w:r>
        <w:t>Dewa, L.H., Hafferty, J.D., Bates, R., Towers, K. and Aylin, P. (2026) ‘A response to “Surveillance is not safety: a response to Dewa and colleagues’ paper about passive remote monitoring technology (Oxevision)”’, BMC Psychiatry, 26, article 434. https://doi.org/10.1186/s12888-026-08174-y.</w:t>
      </w:r>
    </w:p>
    <w:p w14:paraId="0FDE50BF" w14:textId="77777777" w:rsidR="007866FF" w:rsidRDefault="00213D60">
      <w:pPr>
        <w:spacing w:after="100" w:line="360" w:lineRule="auto"/>
        <w:ind w:left="374" w:hanging="374"/>
        <w:jc w:val="both"/>
      </w:pPr>
      <w:r>
        <w:t>Griffiths, J.L., Saunders, K.R.K., Foye, U., Greenburgh, A., Regan, C., Cooper, R.E., Powell, R., Thomas, E., Brennan, G., Rojas-García, A., Lloyd-Evans, B., Johnson, S. and Simpson, A. (2024) ‘The use and impact of surveillance-based technology initiatives in inpatient and acute mental health settings: a systematic review’, BMC Medicine, 22, article 564. https://doi.org/10.1186/s12916-024-03673-9.</w:t>
      </w:r>
    </w:p>
    <w:p w14:paraId="5ECC74B2" w14:textId="77777777" w:rsidR="007866FF" w:rsidRDefault="00213D60">
      <w:pPr>
        <w:spacing w:after="100" w:line="360" w:lineRule="auto"/>
        <w:ind w:left="374" w:hanging="374"/>
        <w:jc w:val="both"/>
      </w:pPr>
      <w:r>
        <w:t>Griffiths, J.L., Saunders, K.R.K., Foye, U., Greenburgh, A., Regan, C., Cooper, R.E., Powell, R., Thomas, E., Brennan, G., Rojas-García, A., Lloyd-Evans, B., Johnson, S. and Simpson, A. (2025) ‘Correction to: The use and impact of surveillance-based technology initiatives in inpatient and acute mental health settings: a systematic review’, BMC Medicine, 23, article 141. https://doi.org/10.1186/s12916-025-03979-2.</w:t>
      </w:r>
    </w:p>
    <w:p w14:paraId="64A5AB2D" w14:textId="77777777" w:rsidR="007866FF" w:rsidRDefault="00213D60">
      <w:pPr>
        <w:spacing w:after="100" w:line="360" w:lineRule="auto"/>
        <w:ind w:left="374" w:hanging="374"/>
        <w:jc w:val="both"/>
      </w:pPr>
      <w:r>
        <w:t>Health Research Authority (HRA) (2024) Our response to concerns raised about the Inpatient Safety in Mental Health study. Available at: https://www.hra.nhs.uk/about-us/news-updates/our-response-concerns-raised-about-inpatient-safety-mental-health-study/ (Accessed: 15 October 2026).</w:t>
      </w:r>
    </w:p>
    <w:p w14:paraId="42A4C75F" w14:textId="77777777" w:rsidR="007866FF" w:rsidRDefault="00213D60">
      <w:pPr>
        <w:spacing w:after="100" w:line="360" w:lineRule="auto"/>
        <w:ind w:left="374" w:hanging="374"/>
        <w:jc w:val="both"/>
      </w:pPr>
      <w:r>
        <w:lastRenderedPageBreak/>
        <w:t>Information Commissioner’s Office (ICO) (2024) Transparency in health and social care. Available at: https://ico.org.uk/for-organisations/uk-gdpr-guidance-and-resources/data-protection-principles/transparency-in-health-and-social-care/ (Accessed: 15 October 2026).</w:t>
      </w:r>
    </w:p>
    <w:p w14:paraId="4681622D" w14:textId="77777777" w:rsidR="007866FF" w:rsidRDefault="00213D60">
      <w:pPr>
        <w:spacing w:after="100" w:line="360" w:lineRule="auto"/>
        <w:ind w:left="374" w:hanging="374"/>
        <w:jc w:val="both"/>
      </w:pPr>
      <w:r>
        <w:t>Ndebele, F., Wright, K., Gandhi, V. and Bayley, D. (2024) ‘Non-contact monitoring to support care in acute inpatient mental health’, Journal of Mental Health, 33(3), pp. 320–325. https://doi.org/10.1080/09638237.2023.2245882.</w:t>
      </w:r>
    </w:p>
    <w:p w14:paraId="6CA029F1" w14:textId="77777777" w:rsidR="007866FF" w:rsidRDefault="00213D60">
      <w:pPr>
        <w:spacing w:after="100" w:line="360" w:lineRule="auto"/>
        <w:ind w:left="374" w:hanging="374"/>
        <w:jc w:val="both"/>
      </w:pPr>
      <w:r>
        <w:t>NHS England (2023) Inclusive digital healthcare: a framework for NHS action on digital inclusion. Available at: https://www.england.nhs.uk/long-read/inclusive-digital-healthcare-a-framework-for-nhs-action-on-digital-inclusion/ (Accessed: 15 October 2026).</w:t>
      </w:r>
    </w:p>
    <w:p w14:paraId="5775FB56" w14:textId="77777777" w:rsidR="007866FF" w:rsidRDefault="00213D60">
      <w:pPr>
        <w:spacing w:after="100" w:line="360" w:lineRule="auto"/>
        <w:ind w:left="374" w:hanging="374"/>
        <w:jc w:val="both"/>
      </w:pPr>
      <w:r>
        <w:t>NHS England (2024) Culture of care standards for mental health inpatient services. Available at: https://www.england.nhs.uk/publication/culture-of-care-standards-for-mental-health-inpatient-services/ (Accessed: 15 October 2026).</w:t>
      </w:r>
    </w:p>
    <w:p w14:paraId="6437E496" w14:textId="77777777" w:rsidR="007866FF" w:rsidRDefault="00213D60">
      <w:pPr>
        <w:spacing w:after="100" w:line="360" w:lineRule="auto"/>
        <w:ind w:left="374" w:hanging="374"/>
        <w:jc w:val="both"/>
      </w:pPr>
      <w:r>
        <w:t>NHS England (2025a) Principles for using digital technologies in mental health inpatient treatment and care. Available at: https://www.england.nhs.uk/long-read/principles-for-using-digital-technologies-in-mental-health-inpatient-treatment-and-care/ (Accessed: 15 October 2026).</w:t>
      </w:r>
    </w:p>
    <w:p w14:paraId="4F49403C" w14:textId="77777777" w:rsidR="007866FF" w:rsidRDefault="00213D60">
      <w:pPr>
        <w:spacing w:after="100" w:line="360" w:lineRule="auto"/>
        <w:ind w:left="374" w:hanging="374"/>
        <w:jc w:val="both"/>
      </w:pPr>
      <w:r>
        <w:t>NHS England (2025b) Data Security and Protection Toolkit. Version 8.0.0. Available at: https://standards.nhs.uk/published-standards/data-security-and-protection-toolkit (Accessed: 15 October 2026).</w:t>
      </w:r>
    </w:p>
    <w:p w14:paraId="48320D4C" w14:textId="77777777" w:rsidR="007866FF" w:rsidRDefault="00213D60">
      <w:pPr>
        <w:spacing w:after="100" w:line="360" w:lineRule="auto"/>
        <w:ind w:left="374" w:hanging="374"/>
        <w:jc w:val="both"/>
      </w:pPr>
      <w:r>
        <w:t>NHS England (n.d.) Digital maturity assessment. Available at: https://www.england.nhs.uk/digitaltechnology/digitising-the-frontline/digital-maturity-assessment/ (Accessed: 15 October 2026).</w:t>
      </w:r>
    </w:p>
    <w:p w14:paraId="4334EBBC" w14:textId="77777777" w:rsidR="007866FF" w:rsidRDefault="00213D60">
      <w:pPr>
        <w:spacing w:after="100" w:line="360" w:lineRule="auto"/>
        <w:ind w:left="374" w:hanging="374"/>
        <w:jc w:val="both"/>
      </w:pPr>
      <w:r>
        <w:t>PLOS Digital Health Editors (2026) ‘Retraction: Economic impact of a vision-based patient monitoring system across five NHS mental health trusts’, PLOS Digital Health, 5(7), e0001592. https://doi.org/10.1371/journal.pdig.0001592.</w:t>
      </w:r>
    </w:p>
    <w:p w14:paraId="60445DF1" w14:textId="77777777" w:rsidR="007866FF" w:rsidRDefault="00213D60">
      <w:pPr>
        <w:spacing w:after="100" w:line="360" w:lineRule="auto"/>
        <w:ind w:left="374" w:hanging="374"/>
        <w:jc w:val="both"/>
      </w:pPr>
      <w:r>
        <w:t>Porter, H. and Edwards, B.M. (2026) ‘Surveillance is not safety: a response to Dewa and colleagues’ paper about passive remote monitoring technology (Oxevision)’, BMC Psychiatry, 26, article 433. https://doi.org/10.1186/s12888-026-08173-z.</w:t>
      </w:r>
    </w:p>
    <w:sectPr w:rsidR="007866FF" w:rsidSect="00034616">
      <w:footerReference w:type="default" r:id="rId8"/>
      <w:pgSz w:w="12240" w:h="15840"/>
      <w:pgMar w:top="1152" w:right="1800" w:bottom="1152"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449D5" w14:textId="77777777" w:rsidR="009276BB" w:rsidRDefault="009276BB">
      <w:pPr>
        <w:spacing w:after="0" w:line="240" w:lineRule="auto"/>
      </w:pPr>
      <w:r>
        <w:separator/>
      </w:r>
    </w:p>
  </w:endnote>
  <w:endnote w:type="continuationSeparator" w:id="0">
    <w:p w14:paraId="71B8BAD7" w14:textId="77777777" w:rsidR="009276BB" w:rsidRDefault="009276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79EC1" w14:textId="77777777" w:rsidR="007866FF" w:rsidRDefault="00213D60">
    <w:pPr>
      <w:pStyle w:val="Footer"/>
      <w:jc w:val="center"/>
    </w:pPr>
    <w:r>
      <w:t xml:space="preserve">BMHP6026 | Component </w:t>
    </w:r>
    <w:proofErr w:type="gramStart"/>
    <w:r>
      <w:t>1  ·</w:t>
    </w:r>
    <w:proofErr w:type="gramEnd"/>
    <w:r>
      <w:t xml:space="preserve">  Page </w:t>
    </w:r>
    <w:r>
      <w:fldChar w:fldCharType="begin"/>
    </w:r>
    <w:r>
      <w:instrText xml:space="preserve"> PAGE </w:instrText>
    </w:r>
    <w:r w:rsidR="004E6B2F">
      <w:fldChar w:fldCharType="separate"/>
    </w:r>
    <w:r w:rsidR="004E6B2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E816DA" w14:textId="77777777" w:rsidR="009276BB" w:rsidRDefault="009276BB">
      <w:pPr>
        <w:spacing w:after="0" w:line="240" w:lineRule="auto"/>
      </w:pPr>
      <w:r>
        <w:separator/>
      </w:r>
    </w:p>
  </w:footnote>
  <w:footnote w:type="continuationSeparator" w:id="0">
    <w:p w14:paraId="3E6B31D9" w14:textId="77777777" w:rsidR="009276BB" w:rsidRDefault="009276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625A6F33"/>
    <w:multiLevelType w:val="hybridMultilevel"/>
    <w:tmpl w:val="5FD86C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1162508">
    <w:abstractNumId w:val="8"/>
  </w:num>
  <w:num w:numId="2" w16cid:durableId="1143231283">
    <w:abstractNumId w:val="6"/>
  </w:num>
  <w:num w:numId="3" w16cid:durableId="537663464">
    <w:abstractNumId w:val="5"/>
  </w:num>
  <w:num w:numId="4" w16cid:durableId="2113894653">
    <w:abstractNumId w:val="4"/>
  </w:num>
  <w:num w:numId="5" w16cid:durableId="1907254425">
    <w:abstractNumId w:val="7"/>
  </w:num>
  <w:num w:numId="6" w16cid:durableId="703948940">
    <w:abstractNumId w:val="3"/>
  </w:num>
  <w:num w:numId="7" w16cid:durableId="1911109010">
    <w:abstractNumId w:val="2"/>
  </w:num>
  <w:num w:numId="8" w16cid:durableId="1789352462">
    <w:abstractNumId w:val="1"/>
  </w:num>
  <w:num w:numId="9" w16cid:durableId="253706507">
    <w:abstractNumId w:val="0"/>
  </w:num>
  <w:num w:numId="10" w16cid:durableId="174432705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E4BC6"/>
    <w:rsid w:val="00120682"/>
    <w:rsid w:val="0015074B"/>
    <w:rsid w:val="002106F6"/>
    <w:rsid w:val="00213D60"/>
    <w:rsid w:val="00216C97"/>
    <w:rsid w:val="00286ED8"/>
    <w:rsid w:val="0029639D"/>
    <w:rsid w:val="0030463C"/>
    <w:rsid w:val="00322D09"/>
    <w:rsid w:val="00326F90"/>
    <w:rsid w:val="00352003"/>
    <w:rsid w:val="003561D4"/>
    <w:rsid w:val="004B43C8"/>
    <w:rsid w:val="004E6B2F"/>
    <w:rsid w:val="005719CC"/>
    <w:rsid w:val="005C153B"/>
    <w:rsid w:val="006228FC"/>
    <w:rsid w:val="00624595"/>
    <w:rsid w:val="0063060B"/>
    <w:rsid w:val="007671E2"/>
    <w:rsid w:val="0078000D"/>
    <w:rsid w:val="007866FF"/>
    <w:rsid w:val="007B22DD"/>
    <w:rsid w:val="0091628E"/>
    <w:rsid w:val="009276BB"/>
    <w:rsid w:val="00932F46"/>
    <w:rsid w:val="00963EDC"/>
    <w:rsid w:val="00A514F3"/>
    <w:rsid w:val="00A52208"/>
    <w:rsid w:val="00AA1D8D"/>
    <w:rsid w:val="00B47730"/>
    <w:rsid w:val="00B9797F"/>
    <w:rsid w:val="00BB19C0"/>
    <w:rsid w:val="00BC5B4F"/>
    <w:rsid w:val="00CB0664"/>
    <w:rsid w:val="00D51A8C"/>
    <w:rsid w:val="00E770A8"/>
    <w:rsid w:val="00EF3B93"/>
    <w:rsid w:val="00F37D33"/>
    <w:rsid w:val="00FA16BA"/>
    <w:rsid w:val="00FB457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5F1F34"/>
  <w14:defaultImageDpi w14:val="300"/>
  <w15:docId w15:val="{FE43EB66-0185-4D0B-82EC-DA0D2A775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pPr>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2812</Words>
  <Characters>16031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Oxevision – Component 1 Report (Proofread Revision)</vt:lpstr>
    </vt:vector>
  </TitlesOfParts>
  <Manager/>
  <Company/>
  <LinksUpToDate>false</LinksUpToDate>
  <CharactersWithSpaces>18806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Oxevision – Component 1 Report (Proofread Revision)</dc:title>
  <dc:subject>Digital transformation in inpatient mental health care</dc:subject>
  <dc:creator>python-docx</dc:creator>
  <cp:keywords/>
  <dc:description>generated by python-docx</dc:description>
  <cp:lastModifiedBy>sadaf saeed</cp:lastModifiedBy>
  <cp:revision>2</cp:revision>
  <dcterms:created xsi:type="dcterms:W3CDTF">2026-10-18T19:18:00Z</dcterms:created>
  <dcterms:modified xsi:type="dcterms:W3CDTF">2026-10-18T19:18:00Z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fdd8a3a31afe52a8242ee42f34d63ecda06c047bcb9f7607d1c4916bf9592d59</vt:lpwstr>
  </property>
</Properties>
</file>