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3BC90F" w14:textId="77777777" w:rsidR="00E1195B" w:rsidRDefault="00E1195B" w:rsidP="00E1195B">
      <w:r>
        <w:rPr>
          <w:noProof/>
        </w:rPr>
        <w:drawing>
          <wp:inline distT="0" distB="0" distL="0" distR="0" wp14:anchorId="4C230D76" wp14:editId="2D4A252B">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A9D01F8" w14:textId="77777777" w:rsidR="00E1195B" w:rsidRDefault="00E1195B" w:rsidP="00E1195B"/>
    <w:p w14:paraId="14613F71" w14:textId="77777777" w:rsidR="00E1195B" w:rsidRDefault="00E1195B" w:rsidP="00E1195B"/>
    <w:p w14:paraId="71CB9C4D" w14:textId="77777777" w:rsidR="00E1195B" w:rsidRDefault="00E1195B" w:rsidP="00E1195B"/>
    <w:p w14:paraId="2B383667" w14:textId="77777777" w:rsidR="00E1195B" w:rsidRDefault="00E1195B" w:rsidP="00E1195B"/>
    <w:p w14:paraId="268BCDA2" w14:textId="77777777" w:rsidR="00E1195B" w:rsidRDefault="00E1195B" w:rsidP="00E1195B"/>
    <w:p w14:paraId="5C5C8CE0" w14:textId="17782304" w:rsidR="00E1195B" w:rsidRDefault="00E1195B" w:rsidP="00E1195B">
      <w:pPr>
        <w:jc w:val="both"/>
        <w:rPr>
          <w:rFonts w:asciiTheme="minorBidi" w:hAnsiTheme="minorBidi"/>
          <w:sz w:val="28"/>
          <w:szCs w:val="28"/>
        </w:rPr>
      </w:pPr>
      <w:r>
        <w:rPr>
          <w:rFonts w:asciiTheme="minorBidi" w:hAnsiTheme="minorBidi"/>
          <w:sz w:val="28"/>
          <w:szCs w:val="28"/>
        </w:rPr>
        <w:t xml:space="preserve">Name: </w:t>
      </w:r>
      <w:r w:rsidR="0077287A">
        <w:rPr>
          <w:rFonts w:asciiTheme="minorBidi" w:hAnsiTheme="minorBidi"/>
          <w:sz w:val="28"/>
          <w:szCs w:val="28"/>
        </w:rPr>
        <w:t>Khadija Abouelela</w:t>
      </w:r>
    </w:p>
    <w:p w14:paraId="65956316" w14:textId="7B6BFC44" w:rsidR="00E1195B" w:rsidRDefault="00E1195B" w:rsidP="00E1195B">
      <w:pPr>
        <w:jc w:val="both"/>
        <w:rPr>
          <w:rFonts w:asciiTheme="minorBidi" w:hAnsiTheme="minorBidi"/>
          <w:sz w:val="28"/>
          <w:szCs w:val="28"/>
        </w:rPr>
      </w:pPr>
      <w:r>
        <w:rPr>
          <w:rFonts w:asciiTheme="minorBidi" w:hAnsiTheme="minorBidi"/>
          <w:sz w:val="28"/>
          <w:szCs w:val="28"/>
        </w:rPr>
        <w:t xml:space="preserve">Student ID: </w:t>
      </w:r>
      <w:r w:rsidR="0077287A">
        <w:rPr>
          <w:rFonts w:asciiTheme="minorBidi" w:hAnsiTheme="minorBidi"/>
          <w:sz w:val="28"/>
          <w:szCs w:val="28"/>
        </w:rPr>
        <w:t>2521456</w:t>
      </w:r>
    </w:p>
    <w:p w14:paraId="2F072A8B" w14:textId="02E18574" w:rsidR="00E1195B" w:rsidRDefault="00E1195B" w:rsidP="00E1195B">
      <w:pPr>
        <w:jc w:val="both"/>
        <w:rPr>
          <w:rFonts w:asciiTheme="minorBidi" w:hAnsiTheme="minorBidi"/>
          <w:sz w:val="28"/>
          <w:szCs w:val="28"/>
        </w:rPr>
      </w:pPr>
      <w:r>
        <w:rPr>
          <w:rFonts w:asciiTheme="minorBidi" w:hAnsiTheme="minorBidi"/>
          <w:sz w:val="28"/>
          <w:szCs w:val="28"/>
        </w:rPr>
        <w:t xml:space="preserve">Module Code: </w:t>
      </w:r>
      <w:r w:rsidR="0077287A">
        <w:rPr>
          <w:rFonts w:asciiTheme="minorBidi" w:hAnsiTheme="minorBidi"/>
          <w:sz w:val="28"/>
          <w:szCs w:val="28"/>
        </w:rPr>
        <w:t>LCH4007</w:t>
      </w:r>
    </w:p>
    <w:p w14:paraId="40F7F162" w14:textId="77777777" w:rsidR="00E1195B" w:rsidRDefault="00E1195B" w:rsidP="00E1195B">
      <w:pPr>
        <w:jc w:val="both"/>
        <w:rPr>
          <w:rFonts w:asciiTheme="minorBidi" w:hAnsiTheme="minorBidi"/>
          <w:sz w:val="28"/>
          <w:szCs w:val="28"/>
        </w:rPr>
      </w:pPr>
      <w:r>
        <w:rPr>
          <w:rFonts w:asciiTheme="minorBidi" w:hAnsiTheme="minorBidi"/>
          <w:sz w:val="28"/>
          <w:szCs w:val="28"/>
        </w:rPr>
        <w:t xml:space="preserve">Module: </w:t>
      </w:r>
    </w:p>
    <w:p w14:paraId="02F4231C" w14:textId="170B80A8" w:rsidR="00E1195B" w:rsidRDefault="00E1195B" w:rsidP="00E1195B">
      <w:pPr>
        <w:jc w:val="both"/>
        <w:rPr>
          <w:rFonts w:asciiTheme="minorBidi" w:hAnsiTheme="minorBidi"/>
          <w:sz w:val="28"/>
          <w:szCs w:val="28"/>
        </w:rPr>
      </w:pPr>
      <w:r>
        <w:rPr>
          <w:rFonts w:asciiTheme="minorBidi" w:hAnsiTheme="minorBidi"/>
          <w:sz w:val="28"/>
          <w:szCs w:val="28"/>
        </w:rPr>
        <w:t xml:space="preserve">Lecturer: </w:t>
      </w:r>
      <w:r w:rsidR="0077287A">
        <w:rPr>
          <w:rFonts w:asciiTheme="minorBidi" w:hAnsiTheme="minorBidi"/>
          <w:sz w:val="28"/>
          <w:szCs w:val="28"/>
        </w:rPr>
        <w:t>Paul</w:t>
      </w:r>
    </w:p>
    <w:p w14:paraId="6AF388DD" w14:textId="77777777" w:rsidR="00E1195B" w:rsidRDefault="00E1195B" w:rsidP="00E1195B">
      <w:pPr>
        <w:jc w:val="both"/>
        <w:rPr>
          <w:rFonts w:asciiTheme="minorBidi" w:hAnsiTheme="minorBidi"/>
          <w:sz w:val="28"/>
          <w:szCs w:val="28"/>
        </w:rPr>
      </w:pPr>
    </w:p>
    <w:p w14:paraId="1BD68020" w14:textId="77777777" w:rsidR="00E1195B" w:rsidRDefault="00E1195B" w:rsidP="00E1195B">
      <w:pPr>
        <w:jc w:val="both"/>
        <w:rPr>
          <w:rFonts w:asciiTheme="minorBidi" w:hAnsiTheme="minorBidi"/>
          <w:sz w:val="28"/>
          <w:szCs w:val="28"/>
        </w:rPr>
      </w:pPr>
    </w:p>
    <w:p w14:paraId="0EFDFD02" w14:textId="77777777" w:rsidR="00E1195B" w:rsidRDefault="00E1195B" w:rsidP="00E1195B">
      <w:pPr>
        <w:jc w:val="both"/>
        <w:rPr>
          <w:rFonts w:asciiTheme="minorBidi" w:hAnsiTheme="minorBidi"/>
          <w:sz w:val="28"/>
          <w:szCs w:val="28"/>
        </w:rPr>
      </w:pPr>
    </w:p>
    <w:p w14:paraId="40DFDDBD" w14:textId="77777777" w:rsidR="00E1195B" w:rsidRDefault="00E1195B" w:rsidP="00E1195B">
      <w:pPr>
        <w:jc w:val="both"/>
        <w:rPr>
          <w:rFonts w:asciiTheme="minorBidi" w:hAnsiTheme="minorBidi"/>
          <w:sz w:val="28"/>
          <w:szCs w:val="28"/>
        </w:rPr>
      </w:pPr>
    </w:p>
    <w:p w14:paraId="674A7559" w14:textId="77777777" w:rsidR="00E1195B" w:rsidRDefault="00E1195B" w:rsidP="00E1195B">
      <w:pPr>
        <w:jc w:val="both"/>
        <w:rPr>
          <w:rFonts w:asciiTheme="minorBidi" w:hAnsiTheme="minorBidi"/>
          <w:sz w:val="28"/>
          <w:szCs w:val="28"/>
        </w:rPr>
      </w:pPr>
    </w:p>
    <w:p w14:paraId="2E84C16F" w14:textId="77777777" w:rsidR="00E1195B" w:rsidRDefault="00E1195B" w:rsidP="00E1195B">
      <w:pPr>
        <w:jc w:val="both"/>
        <w:rPr>
          <w:rFonts w:asciiTheme="minorBidi" w:hAnsiTheme="minorBidi"/>
          <w:sz w:val="28"/>
          <w:szCs w:val="28"/>
        </w:rPr>
      </w:pPr>
    </w:p>
    <w:p w14:paraId="35FD7A98" w14:textId="77777777" w:rsidR="00E1195B" w:rsidRDefault="00E1195B" w:rsidP="00E1195B">
      <w:pPr>
        <w:jc w:val="both"/>
        <w:rPr>
          <w:rFonts w:asciiTheme="minorBidi" w:hAnsiTheme="minorBidi"/>
          <w:sz w:val="28"/>
          <w:szCs w:val="28"/>
        </w:rPr>
      </w:pPr>
    </w:p>
    <w:p w14:paraId="5854E6B2" w14:textId="77777777" w:rsidR="00E1195B" w:rsidRDefault="00E1195B" w:rsidP="00E1195B">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Submitted on:    </w:t>
      </w:r>
    </w:p>
    <w:p w14:paraId="1995ADC6" w14:textId="77777777" w:rsidR="00E1195B" w:rsidRDefault="00E1195B" w:rsidP="001A7F28">
      <w:pPr>
        <w:spacing w:line="360" w:lineRule="auto"/>
        <w:rPr>
          <w:rFonts w:ascii="Arial" w:hAnsi="Arial" w:cs="Arial"/>
          <w:color w:val="212B32"/>
        </w:rPr>
      </w:pPr>
    </w:p>
    <w:p w14:paraId="70FD9B3D" w14:textId="77777777" w:rsidR="00E1195B" w:rsidRDefault="00E1195B" w:rsidP="001A7F28">
      <w:pPr>
        <w:spacing w:line="360" w:lineRule="auto"/>
        <w:rPr>
          <w:rFonts w:ascii="Arial" w:hAnsi="Arial" w:cs="Arial"/>
          <w:color w:val="212B32"/>
        </w:rPr>
      </w:pPr>
    </w:p>
    <w:p w14:paraId="52874E7B" w14:textId="77777777" w:rsidR="00E1195B" w:rsidRDefault="00E1195B" w:rsidP="001A7F28">
      <w:pPr>
        <w:spacing w:line="360" w:lineRule="auto"/>
        <w:rPr>
          <w:rFonts w:ascii="Arial" w:hAnsi="Arial" w:cs="Arial"/>
          <w:color w:val="212B32"/>
        </w:rPr>
      </w:pPr>
    </w:p>
    <w:p w14:paraId="6ECFAAA0" w14:textId="30900EB2" w:rsidR="0077287A" w:rsidRDefault="0077287A" w:rsidP="001A7F28">
      <w:pPr>
        <w:spacing w:line="360" w:lineRule="auto"/>
        <w:rPr>
          <w:sz w:val="22"/>
          <w:szCs w:val="22"/>
        </w:rPr>
      </w:pPr>
    </w:p>
    <w:sdt>
      <w:sdtPr>
        <w:rPr>
          <w:rFonts w:asciiTheme="minorHAnsi" w:eastAsiaTheme="minorEastAsia" w:hAnsiTheme="minorHAnsi" w:cstheme="minorBidi"/>
          <w:bCs w:val="0"/>
          <w:color w:val="auto"/>
          <w:kern w:val="2"/>
          <w:sz w:val="20"/>
          <w:szCs w:val="22"/>
          <w:lang w:val="en-GB" w:eastAsia="zh-CN"/>
          <w14:ligatures w14:val="standardContextual"/>
        </w:rPr>
        <w:id w:val="100920263"/>
        <w:docPartObj>
          <w:docPartGallery w:val="Table of Contents"/>
          <w:docPartUnique/>
        </w:docPartObj>
      </w:sdtPr>
      <w:sdtEndPr>
        <w:rPr>
          <w:rFonts w:eastAsiaTheme="minorHAnsi" w:cs="Segoe UI"/>
          <w:b/>
          <w:bCs/>
          <w:i/>
          <w:iCs/>
          <w:noProof/>
          <w:szCs w:val="20"/>
          <w:lang w:eastAsia="en-US"/>
        </w:rPr>
      </w:sdtEndPr>
      <w:sdtContent>
        <w:p w14:paraId="6ED7A041" w14:textId="77777777" w:rsidR="0077287A" w:rsidRPr="002976D4" w:rsidRDefault="0077287A" w:rsidP="0077287A">
          <w:pPr>
            <w:pStyle w:val="TOCHeading"/>
            <w:rPr>
              <w:color w:val="156082" w:themeColor="accent1"/>
            </w:rPr>
          </w:pPr>
          <w:r w:rsidRPr="002976D4">
            <w:rPr>
              <w:color w:val="156082" w:themeColor="accent1"/>
            </w:rPr>
            <w:t>Table of Contents</w:t>
          </w:r>
        </w:p>
        <w:p w14:paraId="612BD473" w14:textId="77777777" w:rsidR="0077287A" w:rsidRPr="0077287A" w:rsidRDefault="0077287A" w:rsidP="0077287A">
          <w:pPr>
            <w:pStyle w:val="TOC1"/>
            <w:tabs>
              <w:tab w:val="right" w:leader="dot" w:pos="9016"/>
            </w:tabs>
            <w:spacing w:line="276" w:lineRule="auto"/>
            <w:rPr>
              <w:rFonts w:cs="Segoe UI"/>
              <w:noProof/>
              <w:sz w:val="20"/>
              <w:szCs w:val="20"/>
            </w:rPr>
          </w:pPr>
          <w:r w:rsidRPr="0077287A">
            <w:rPr>
              <w:rFonts w:cs="Segoe UI"/>
              <w:sz w:val="20"/>
              <w:szCs w:val="20"/>
            </w:rPr>
            <w:fldChar w:fldCharType="begin"/>
          </w:r>
          <w:r w:rsidRPr="0077287A">
            <w:rPr>
              <w:rFonts w:cs="Segoe UI"/>
              <w:sz w:val="20"/>
              <w:szCs w:val="20"/>
            </w:rPr>
            <w:instrText xml:space="preserve"> TOC \o "1-3" \h \z \u </w:instrText>
          </w:r>
          <w:r w:rsidRPr="0077287A">
            <w:rPr>
              <w:rFonts w:cs="Segoe UI"/>
              <w:sz w:val="20"/>
              <w:szCs w:val="20"/>
            </w:rPr>
            <w:fldChar w:fldCharType="separate"/>
          </w:r>
          <w:hyperlink w:anchor="_Toc212100517" w:history="1">
            <w:r w:rsidRPr="0077287A">
              <w:rPr>
                <w:rStyle w:val="Hyperlink"/>
                <w:rFonts w:cs="Segoe UI"/>
                <w:noProof/>
                <w:sz w:val="20"/>
                <w:szCs w:val="20"/>
                <w:u w:val="none"/>
              </w:rPr>
              <w:t>1: Written Report</w:t>
            </w:r>
            <w:r w:rsidRPr="0077287A">
              <w:rPr>
                <w:rFonts w:cs="Segoe UI"/>
                <w:noProof/>
                <w:webHidden/>
                <w:sz w:val="20"/>
                <w:szCs w:val="20"/>
              </w:rPr>
              <w:tab/>
            </w:r>
            <w:r w:rsidRPr="0077287A">
              <w:rPr>
                <w:rFonts w:cs="Segoe UI"/>
                <w:noProof/>
                <w:webHidden/>
                <w:sz w:val="20"/>
                <w:szCs w:val="20"/>
              </w:rPr>
              <w:fldChar w:fldCharType="begin"/>
            </w:r>
            <w:r w:rsidRPr="0077287A">
              <w:rPr>
                <w:rFonts w:cs="Segoe UI"/>
                <w:noProof/>
                <w:webHidden/>
                <w:sz w:val="20"/>
                <w:szCs w:val="20"/>
              </w:rPr>
              <w:instrText xml:space="preserve"> PAGEREF _Toc212100517 \h </w:instrText>
            </w:r>
            <w:r w:rsidRPr="0077287A">
              <w:rPr>
                <w:rFonts w:cs="Segoe UI"/>
                <w:noProof/>
                <w:webHidden/>
                <w:sz w:val="20"/>
                <w:szCs w:val="20"/>
              </w:rPr>
            </w:r>
            <w:r w:rsidRPr="0077287A">
              <w:rPr>
                <w:rFonts w:cs="Segoe UI"/>
                <w:noProof/>
                <w:webHidden/>
                <w:sz w:val="20"/>
                <w:szCs w:val="20"/>
              </w:rPr>
              <w:fldChar w:fldCharType="separate"/>
            </w:r>
            <w:r w:rsidRPr="0077287A">
              <w:rPr>
                <w:rFonts w:cs="Segoe UI"/>
                <w:noProof/>
                <w:webHidden/>
                <w:sz w:val="20"/>
                <w:szCs w:val="20"/>
              </w:rPr>
              <w:t>3</w:t>
            </w:r>
            <w:r w:rsidRPr="0077287A">
              <w:rPr>
                <w:rFonts w:cs="Segoe UI"/>
                <w:noProof/>
                <w:webHidden/>
                <w:sz w:val="20"/>
                <w:szCs w:val="20"/>
              </w:rPr>
              <w:fldChar w:fldCharType="end"/>
            </w:r>
          </w:hyperlink>
        </w:p>
        <w:p w14:paraId="69821CC3" w14:textId="77777777" w:rsidR="0077287A" w:rsidRPr="0077287A" w:rsidRDefault="0077287A" w:rsidP="0077287A">
          <w:pPr>
            <w:pStyle w:val="TOC2"/>
            <w:tabs>
              <w:tab w:val="right" w:leader="dot" w:pos="9016"/>
            </w:tabs>
            <w:spacing w:line="276" w:lineRule="auto"/>
            <w:rPr>
              <w:rFonts w:cs="Segoe UI"/>
              <w:i/>
              <w:iCs/>
              <w:noProof/>
              <w:szCs w:val="20"/>
            </w:rPr>
          </w:pPr>
          <w:hyperlink w:anchor="_Toc212100518" w:history="1">
            <w:r w:rsidRPr="0077287A">
              <w:rPr>
                <w:rStyle w:val="Hyperlink"/>
                <w:rFonts w:cs="Segoe UI"/>
                <w:i/>
                <w:iCs/>
                <w:noProof/>
                <w:szCs w:val="20"/>
                <w:u w:val="none"/>
              </w:rPr>
              <w:t>1.1 Introduction</w:t>
            </w:r>
            <w:r w:rsidRPr="0077287A">
              <w:rPr>
                <w:rFonts w:cs="Segoe UI"/>
                <w:i/>
                <w:iCs/>
                <w:noProof/>
                <w:webHidden/>
                <w:szCs w:val="20"/>
              </w:rPr>
              <w:tab/>
            </w:r>
            <w:r w:rsidRPr="0077287A">
              <w:rPr>
                <w:rFonts w:cs="Segoe UI"/>
                <w:i/>
                <w:iCs/>
                <w:noProof/>
                <w:webHidden/>
                <w:szCs w:val="20"/>
              </w:rPr>
              <w:fldChar w:fldCharType="begin"/>
            </w:r>
            <w:r w:rsidRPr="0077287A">
              <w:rPr>
                <w:rFonts w:cs="Segoe UI"/>
                <w:i/>
                <w:iCs/>
                <w:noProof/>
                <w:webHidden/>
                <w:szCs w:val="20"/>
              </w:rPr>
              <w:instrText xml:space="preserve"> PAGEREF _Toc212100518 \h </w:instrText>
            </w:r>
            <w:r w:rsidRPr="0077287A">
              <w:rPr>
                <w:rFonts w:cs="Segoe UI"/>
                <w:i/>
                <w:iCs/>
                <w:noProof/>
                <w:webHidden/>
                <w:szCs w:val="20"/>
              </w:rPr>
            </w:r>
            <w:r w:rsidRPr="0077287A">
              <w:rPr>
                <w:rFonts w:cs="Segoe UI"/>
                <w:i/>
                <w:iCs/>
                <w:noProof/>
                <w:webHidden/>
                <w:szCs w:val="20"/>
              </w:rPr>
              <w:fldChar w:fldCharType="separate"/>
            </w:r>
            <w:r w:rsidRPr="0077287A">
              <w:rPr>
                <w:rFonts w:cs="Segoe UI"/>
                <w:i/>
                <w:iCs/>
                <w:noProof/>
                <w:webHidden/>
                <w:szCs w:val="20"/>
              </w:rPr>
              <w:t>3</w:t>
            </w:r>
            <w:r w:rsidRPr="0077287A">
              <w:rPr>
                <w:rFonts w:cs="Segoe UI"/>
                <w:i/>
                <w:iCs/>
                <w:noProof/>
                <w:webHidden/>
                <w:szCs w:val="20"/>
              </w:rPr>
              <w:fldChar w:fldCharType="end"/>
            </w:r>
          </w:hyperlink>
        </w:p>
        <w:p w14:paraId="3F964EA4" w14:textId="1C8DB043" w:rsidR="0077287A" w:rsidRPr="0077287A" w:rsidRDefault="0077287A" w:rsidP="0077287A">
          <w:pPr>
            <w:pStyle w:val="TOC2"/>
            <w:tabs>
              <w:tab w:val="right" w:leader="dot" w:pos="9016"/>
            </w:tabs>
            <w:spacing w:line="276" w:lineRule="auto"/>
            <w:rPr>
              <w:rFonts w:cs="Segoe UI"/>
              <w:i/>
              <w:iCs/>
              <w:noProof/>
              <w:szCs w:val="20"/>
            </w:rPr>
          </w:pPr>
          <w:hyperlink w:anchor="_Toc212100519" w:history="1">
            <w:r w:rsidRPr="0077287A">
              <w:rPr>
                <w:rStyle w:val="Hyperlink"/>
                <w:rFonts w:cs="Segoe UI"/>
                <w:i/>
                <w:iCs/>
                <w:noProof/>
                <w:szCs w:val="20"/>
                <w:u w:val="none"/>
              </w:rPr>
              <w:t>1.2 Overview of PMS and Menopause</w:t>
            </w:r>
            <w:r w:rsidRPr="0077287A">
              <w:rPr>
                <w:rFonts w:cs="Segoe UI"/>
                <w:i/>
                <w:iCs/>
                <w:noProof/>
                <w:webHidden/>
                <w:szCs w:val="20"/>
              </w:rPr>
              <w:tab/>
            </w:r>
            <w:r w:rsidRPr="0077287A">
              <w:rPr>
                <w:rFonts w:cs="Segoe UI"/>
                <w:i/>
                <w:iCs/>
                <w:noProof/>
                <w:webHidden/>
                <w:szCs w:val="20"/>
              </w:rPr>
              <w:fldChar w:fldCharType="begin"/>
            </w:r>
            <w:r w:rsidRPr="0077287A">
              <w:rPr>
                <w:rFonts w:cs="Segoe UI"/>
                <w:i/>
                <w:iCs/>
                <w:noProof/>
                <w:webHidden/>
                <w:szCs w:val="20"/>
              </w:rPr>
              <w:instrText xml:space="preserve"> PAGEREF _Toc212100519 \h </w:instrText>
            </w:r>
            <w:r w:rsidRPr="0077287A">
              <w:rPr>
                <w:rFonts w:cs="Segoe UI"/>
                <w:i/>
                <w:iCs/>
                <w:noProof/>
                <w:webHidden/>
                <w:szCs w:val="20"/>
              </w:rPr>
            </w:r>
            <w:r w:rsidRPr="0077287A">
              <w:rPr>
                <w:rFonts w:cs="Segoe UI"/>
                <w:i/>
                <w:iCs/>
                <w:noProof/>
                <w:webHidden/>
                <w:szCs w:val="20"/>
              </w:rPr>
              <w:fldChar w:fldCharType="separate"/>
            </w:r>
            <w:r w:rsidRPr="0077287A">
              <w:rPr>
                <w:rFonts w:cs="Segoe UI"/>
                <w:i/>
                <w:iCs/>
                <w:noProof/>
                <w:webHidden/>
                <w:szCs w:val="20"/>
              </w:rPr>
              <w:t>3</w:t>
            </w:r>
            <w:r w:rsidRPr="0077287A">
              <w:rPr>
                <w:rFonts w:cs="Segoe UI"/>
                <w:i/>
                <w:iCs/>
                <w:noProof/>
                <w:webHidden/>
                <w:szCs w:val="20"/>
              </w:rPr>
              <w:fldChar w:fldCharType="end"/>
            </w:r>
          </w:hyperlink>
        </w:p>
        <w:p w14:paraId="0453AF57" w14:textId="188D4FF2" w:rsidR="0077287A" w:rsidRPr="0077287A" w:rsidRDefault="0077287A" w:rsidP="0077287A">
          <w:pPr>
            <w:pStyle w:val="TOC2"/>
            <w:tabs>
              <w:tab w:val="right" w:leader="dot" w:pos="9016"/>
            </w:tabs>
            <w:spacing w:line="276" w:lineRule="auto"/>
            <w:rPr>
              <w:rFonts w:cs="Segoe UI"/>
              <w:i/>
              <w:iCs/>
              <w:noProof/>
              <w:szCs w:val="20"/>
            </w:rPr>
          </w:pPr>
          <w:hyperlink w:anchor="_Toc212100520" w:history="1">
            <w:r w:rsidRPr="0077287A">
              <w:rPr>
                <w:rStyle w:val="Hyperlink"/>
                <w:rFonts w:cs="Segoe UI"/>
                <w:i/>
                <w:iCs/>
                <w:noProof/>
                <w:szCs w:val="20"/>
                <w:u w:val="none"/>
              </w:rPr>
              <w:t>1.3 Evaluating information sources</w:t>
            </w:r>
            <w:r w:rsidRPr="0077287A">
              <w:rPr>
                <w:rFonts w:cs="Segoe UI"/>
                <w:i/>
                <w:iCs/>
                <w:noProof/>
                <w:webHidden/>
                <w:szCs w:val="20"/>
              </w:rPr>
              <w:tab/>
              <w:t>4</w:t>
            </w:r>
          </w:hyperlink>
        </w:p>
        <w:p w14:paraId="197A5434" w14:textId="717D6073" w:rsidR="0077287A" w:rsidRPr="0077287A" w:rsidRDefault="0077287A" w:rsidP="0077287A">
          <w:pPr>
            <w:pStyle w:val="TOC2"/>
            <w:tabs>
              <w:tab w:val="right" w:leader="dot" w:pos="9016"/>
            </w:tabs>
            <w:spacing w:line="276" w:lineRule="auto"/>
            <w:rPr>
              <w:rFonts w:cs="Segoe UI"/>
              <w:i/>
              <w:iCs/>
              <w:noProof/>
              <w:szCs w:val="20"/>
            </w:rPr>
          </w:pPr>
          <w:hyperlink w:anchor="_Toc212100521" w:history="1">
            <w:r w:rsidRPr="0077287A">
              <w:rPr>
                <w:rStyle w:val="Hyperlink"/>
                <w:rFonts w:cs="Segoe UI"/>
                <w:i/>
                <w:iCs/>
                <w:noProof/>
                <w:szCs w:val="20"/>
                <w:u w:val="none"/>
              </w:rPr>
              <w:t>1.4 Research methodologies</w:t>
            </w:r>
            <w:r w:rsidRPr="0077287A">
              <w:rPr>
                <w:rFonts w:cs="Segoe UI"/>
                <w:i/>
                <w:iCs/>
                <w:noProof/>
                <w:webHidden/>
                <w:szCs w:val="20"/>
              </w:rPr>
              <w:tab/>
              <w:t>6</w:t>
            </w:r>
          </w:hyperlink>
        </w:p>
        <w:p w14:paraId="47B0C5F1" w14:textId="072D2898" w:rsidR="0077287A" w:rsidRPr="0077287A" w:rsidRDefault="0077287A" w:rsidP="0077287A">
          <w:pPr>
            <w:pStyle w:val="TOC2"/>
            <w:tabs>
              <w:tab w:val="right" w:leader="dot" w:pos="9016"/>
            </w:tabs>
            <w:spacing w:line="276" w:lineRule="auto"/>
            <w:ind w:left="0"/>
            <w:rPr>
              <w:rFonts w:cs="Segoe UI"/>
              <w:i/>
              <w:iCs/>
              <w:szCs w:val="20"/>
            </w:rPr>
          </w:pPr>
          <w:r w:rsidRPr="0077287A">
            <w:rPr>
              <w:rFonts w:cs="Segoe UI"/>
              <w:i/>
              <w:iCs/>
              <w:szCs w:val="20"/>
            </w:rPr>
            <w:t xml:space="preserve">    1.5 Data collection.….………………………………………………………………………………………….……7</w:t>
          </w:r>
        </w:p>
        <w:p w14:paraId="7DC8AE58" w14:textId="7083D305" w:rsidR="0077287A" w:rsidRPr="0077287A" w:rsidRDefault="0077287A" w:rsidP="0077287A">
          <w:pPr>
            <w:spacing w:line="276" w:lineRule="auto"/>
            <w:rPr>
              <w:rFonts w:ascii="Segoe UI" w:hAnsi="Segoe UI" w:cs="Segoe UI"/>
              <w:b/>
              <w:bCs/>
              <w:i/>
              <w:iCs/>
              <w:sz w:val="20"/>
              <w:szCs w:val="20"/>
              <w:lang w:eastAsia="zh-CN"/>
            </w:rPr>
          </w:pPr>
          <w:r w:rsidRPr="0077287A">
            <w:rPr>
              <w:rFonts w:ascii="Segoe UI" w:hAnsi="Segoe UI" w:cs="Segoe UI"/>
              <w:b/>
              <w:bCs/>
              <w:i/>
              <w:iCs/>
              <w:sz w:val="20"/>
              <w:szCs w:val="20"/>
              <w:lang w:eastAsia="zh-CN"/>
            </w:rPr>
            <w:t xml:space="preserve">    1.6 Conclusion……………………………………………………………………………………………………..….7</w:t>
          </w:r>
          <w:r w:rsidRPr="0077287A">
            <w:rPr>
              <w:rFonts w:ascii="Segoe UI" w:hAnsi="Segoe UI" w:cs="Segoe UI"/>
              <w:b/>
              <w:bCs/>
              <w:i/>
              <w:iCs/>
              <w:noProof/>
              <w:sz w:val="20"/>
              <w:szCs w:val="20"/>
            </w:rPr>
            <w:fldChar w:fldCharType="end"/>
          </w:r>
        </w:p>
      </w:sdtContent>
    </w:sdt>
    <w:p w14:paraId="1AABC5DA" w14:textId="77777777" w:rsidR="0077287A" w:rsidRDefault="0077287A" w:rsidP="001A7F28">
      <w:pPr>
        <w:spacing w:line="360" w:lineRule="auto"/>
        <w:rPr>
          <w:sz w:val="22"/>
          <w:szCs w:val="22"/>
        </w:rPr>
      </w:pPr>
    </w:p>
    <w:p w14:paraId="775F578D" w14:textId="7D1A71FD" w:rsidR="0077287A" w:rsidRDefault="0077287A" w:rsidP="0077287A">
      <w:pPr>
        <w:tabs>
          <w:tab w:val="left" w:pos="1141"/>
        </w:tabs>
        <w:spacing w:line="360" w:lineRule="auto"/>
        <w:rPr>
          <w:sz w:val="22"/>
          <w:szCs w:val="22"/>
        </w:rPr>
      </w:pPr>
      <w:r>
        <w:rPr>
          <w:sz w:val="22"/>
          <w:szCs w:val="22"/>
        </w:rPr>
        <w:tab/>
      </w:r>
    </w:p>
    <w:p w14:paraId="0E3A4ADE" w14:textId="77777777" w:rsidR="0077287A" w:rsidRDefault="0077287A" w:rsidP="001A7F28">
      <w:pPr>
        <w:spacing w:line="360" w:lineRule="auto"/>
        <w:rPr>
          <w:sz w:val="22"/>
          <w:szCs w:val="22"/>
        </w:rPr>
      </w:pPr>
    </w:p>
    <w:p w14:paraId="38036EE9" w14:textId="77777777" w:rsidR="0077287A" w:rsidRDefault="0077287A" w:rsidP="001A7F28">
      <w:pPr>
        <w:spacing w:line="360" w:lineRule="auto"/>
        <w:rPr>
          <w:sz w:val="22"/>
          <w:szCs w:val="22"/>
        </w:rPr>
      </w:pPr>
    </w:p>
    <w:p w14:paraId="25904EB5" w14:textId="77777777" w:rsidR="0077287A" w:rsidRDefault="0077287A" w:rsidP="001A7F28">
      <w:pPr>
        <w:spacing w:line="360" w:lineRule="auto"/>
        <w:rPr>
          <w:sz w:val="22"/>
          <w:szCs w:val="22"/>
        </w:rPr>
      </w:pPr>
    </w:p>
    <w:p w14:paraId="1D327D8E" w14:textId="77777777" w:rsidR="0077287A" w:rsidRDefault="0077287A" w:rsidP="001A7F28">
      <w:pPr>
        <w:spacing w:line="360" w:lineRule="auto"/>
        <w:rPr>
          <w:sz w:val="22"/>
          <w:szCs w:val="22"/>
        </w:rPr>
      </w:pPr>
    </w:p>
    <w:p w14:paraId="78F53BB4" w14:textId="77777777" w:rsidR="0077287A" w:rsidRDefault="0077287A" w:rsidP="001A7F28">
      <w:pPr>
        <w:spacing w:line="360" w:lineRule="auto"/>
        <w:rPr>
          <w:sz w:val="22"/>
          <w:szCs w:val="22"/>
        </w:rPr>
      </w:pPr>
    </w:p>
    <w:p w14:paraId="710CE8B9" w14:textId="77777777" w:rsidR="0077287A" w:rsidRDefault="0077287A" w:rsidP="001A7F28">
      <w:pPr>
        <w:spacing w:line="360" w:lineRule="auto"/>
        <w:rPr>
          <w:sz w:val="22"/>
          <w:szCs w:val="22"/>
        </w:rPr>
      </w:pPr>
    </w:p>
    <w:p w14:paraId="6494843D" w14:textId="77777777" w:rsidR="0077287A" w:rsidRDefault="0077287A" w:rsidP="001A7F28">
      <w:pPr>
        <w:spacing w:line="360" w:lineRule="auto"/>
        <w:rPr>
          <w:sz w:val="22"/>
          <w:szCs w:val="22"/>
        </w:rPr>
      </w:pPr>
    </w:p>
    <w:p w14:paraId="51184CCC" w14:textId="77777777" w:rsidR="0077287A" w:rsidRDefault="0077287A" w:rsidP="001A7F28">
      <w:pPr>
        <w:spacing w:line="360" w:lineRule="auto"/>
        <w:rPr>
          <w:sz w:val="22"/>
          <w:szCs w:val="22"/>
        </w:rPr>
      </w:pPr>
    </w:p>
    <w:p w14:paraId="3FAEFCEB" w14:textId="77777777" w:rsidR="0077287A" w:rsidRDefault="0077287A" w:rsidP="001A7F28">
      <w:pPr>
        <w:spacing w:line="360" w:lineRule="auto"/>
        <w:rPr>
          <w:sz w:val="22"/>
          <w:szCs w:val="22"/>
        </w:rPr>
      </w:pPr>
    </w:p>
    <w:p w14:paraId="52F10D3F" w14:textId="77777777" w:rsidR="0077287A" w:rsidRDefault="0077287A" w:rsidP="001A7F28">
      <w:pPr>
        <w:spacing w:line="360" w:lineRule="auto"/>
        <w:rPr>
          <w:sz w:val="22"/>
          <w:szCs w:val="22"/>
        </w:rPr>
      </w:pPr>
    </w:p>
    <w:p w14:paraId="08F1B591" w14:textId="77777777" w:rsidR="0077287A" w:rsidRDefault="0077287A" w:rsidP="001A7F28">
      <w:pPr>
        <w:spacing w:line="360" w:lineRule="auto"/>
        <w:rPr>
          <w:sz w:val="22"/>
          <w:szCs w:val="22"/>
        </w:rPr>
      </w:pPr>
    </w:p>
    <w:p w14:paraId="169E595A" w14:textId="77777777" w:rsidR="0077287A" w:rsidRDefault="0077287A" w:rsidP="001A7F28">
      <w:pPr>
        <w:spacing w:line="360" w:lineRule="auto"/>
        <w:rPr>
          <w:sz w:val="22"/>
          <w:szCs w:val="22"/>
        </w:rPr>
      </w:pPr>
    </w:p>
    <w:p w14:paraId="684114D6" w14:textId="77777777" w:rsidR="0077287A" w:rsidRDefault="0077287A" w:rsidP="001A7F28">
      <w:pPr>
        <w:spacing w:line="360" w:lineRule="auto"/>
        <w:rPr>
          <w:sz w:val="22"/>
          <w:szCs w:val="22"/>
        </w:rPr>
      </w:pPr>
    </w:p>
    <w:p w14:paraId="79164E95" w14:textId="77777777" w:rsidR="0077287A" w:rsidRDefault="0077287A" w:rsidP="001A7F28">
      <w:pPr>
        <w:spacing w:line="360" w:lineRule="auto"/>
        <w:rPr>
          <w:sz w:val="22"/>
          <w:szCs w:val="22"/>
        </w:rPr>
      </w:pPr>
    </w:p>
    <w:p w14:paraId="6EA35187" w14:textId="77777777" w:rsidR="0077287A" w:rsidRDefault="0077287A" w:rsidP="001A7F28">
      <w:pPr>
        <w:spacing w:line="360" w:lineRule="auto"/>
        <w:rPr>
          <w:sz w:val="22"/>
          <w:szCs w:val="22"/>
        </w:rPr>
      </w:pPr>
    </w:p>
    <w:p w14:paraId="4163138E" w14:textId="77777777" w:rsidR="0077287A" w:rsidRDefault="0077287A" w:rsidP="001A7F28">
      <w:pPr>
        <w:spacing w:line="360" w:lineRule="auto"/>
        <w:rPr>
          <w:sz w:val="22"/>
          <w:szCs w:val="22"/>
        </w:rPr>
      </w:pPr>
    </w:p>
    <w:p w14:paraId="3A0D3EBA" w14:textId="2EE67A8A" w:rsidR="0077287A" w:rsidRPr="0077287A" w:rsidRDefault="0077287A" w:rsidP="0077287A">
      <w:pPr>
        <w:spacing w:line="360" w:lineRule="auto"/>
        <w:jc w:val="center"/>
        <w:rPr>
          <w:b/>
          <w:bCs/>
          <w:sz w:val="28"/>
          <w:szCs w:val="28"/>
        </w:rPr>
      </w:pPr>
      <w:r w:rsidRPr="0077287A">
        <w:rPr>
          <w:b/>
          <w:bCs/>
          <w:sz w:val="28"/>
          <w:szCs w:val="28"/>
        </w:rPr>
        <w:lastRenderedPageBreak/>
        <w:t>“</w:t>
      </w:r>
      <w:r>
        <w:rPr>
          <w:b/>
          <w:bCs/>
          <w:sz w:val="28"/>
          <w:szCs w:val="28"/>
        </w:rPr>
        <w:t>The Impact of Menstrual Health on W</w:t>
      </w:r>
      <w:r w:rsidRPr="0077287A">
        <w:rPr>
          <w:b/>
          <w:bCs/>
          <w:sz w:val="28"/>
          <w:szCs w:val="28"/>
        </w:rPr>
        <w:t xml:space="preserve">omen </w:t>
      </w:r>
      <w:r>
        <w:rPr>
          <w:b/>
          <w:bCs/>
          <w:sz w:val="28"/>
          <w:szCs w:val="28"/>
        </w:rPr>
        <w:t>W</w:t>
      </w:r>
      <w:r w:rsidRPr="0077287A">
        <w:rPr>
          <w:b/>
          <w:bCs/>
          <w:sz w:val="28"/>
          <w:szCs w:val="28"/>
        </w:rPr>
        <w:t xml:space="preserve">orking in the UK </w:t>
      </w:r>
      <w:r>
        <w:rPr>
          <w:b/>
          <w:bCs/>
          <w:sz w:val="28"/>
          <w:szCs w:val="28"/>
        </w:rPr>
        <w:t>Early Years Childcare</w:t>
      </w:r>
      <w:r w:rsidRPr="0077287A">
        <w:rPr>
          <w:b/>
          <w:bCs/>
          <w:sz w:val="28"/>
          <w:szCs w:val="28"/>
        </w:rPr>
        <w:t xml:space="preserve"> </w:t>
      </w:r>
      <w:r>
        <w:rPr>
          <w:b/>
          <w:bCs/>
          <w:sz w:val="28"/>
          <w:szCs w:val="28"/>
        </w:rPr>
        <w:t>S</w:t>
      </w:r>
      <w:r w:rsidRPr="0077287A">
        <w:rPr>
          <w:b/>
          <w:bCs/>
          <w:sz w:val="28"/>
          <w:szCs w:val="28"/>
        </w:rPr>
        <w:t>ettings”</w:t>
      </w:r>
    </w:p>
    <w:p w14:paraId="49F95493" w14:textId="58530248" w:rsidR="001A7F28" w:rsidRPr="0077287A" w:rsidRDefault="0077287A" w:rsidP="001A7F28">
      <w:pPr>
        <w:spacing w:line="360" w:lineRule="auto"/>
        <w:rPr>
          <w:b/>
          <w:bCs/>
          <w:color w:val="0E2841" w:themeColor="text2"/>
          <w:sz w:val="22"/>
          <w:szCs w:val="22"/>
        </w:rPr>
      </w:pPr>
      <w:r w:rsidRPr="0077287A">
        <w:rPr>
          <w:b/>
          <w:bCs/>
          <w:color w:val="0E2841" w:themeColor="text2"/>
          <w:sz w:val="22"/>
          <w:szCs w:val="22"/>
        </w:rPr>
        <w:t xml:space="preserve">1.1 </w:t>
      </w:r>
      <w:r w:rsidR="001A7F28" w:rsidRPr="0077287A">
        <w:rPr>
          <w:b/>
          <w:bCs/>
          <w:color w:val="0E2841" w:themeColor="text2"/>
          <w:sz w:val="22"/>
          <w:szCs w:val="22"/>
        </w:rPr>
        <w:t xml:space="preserve">Introduction: </w:t>
      </w:r>
    </w:p>
    <w:p w14:paraId="7F4DCF0C" w14:textId="502A2BBB" w:rsidR="0077287A" w:rsidRPr="0077287A" w:rsidRDefault="0077287A" w:rsidP="0077287A">
      <w:pPr>
        <w:pStyle w:val="p1"/>
        <w:spacing w:line="360" w:lineRule="auto"/>
        <w:rPr>
          <w:rStyle w:val="s1"/>
          <w:rFonts w:asciiTheme="minorBidi" w:eastAsiaTheme="majorEastAsia" w:hAnsiTheme="minorBidi" w:cstheme="minorBidi"/>
          <w:sz w:val="22"/>
          <w:szCs w:val="22"/>
        </w:rPr>
      </w:pPr>
      <w:r w:rsidRPr="0077287A">
        <w:rPr>
          <w:rStyle w:val="s1"/>
          <w:rFonts w:asciiTheme="minorBidi" w:eastAsiaTheme="majorEastAsia" w:hAnsiTheme="minorBidi" w:cstheme="minorBidi"/>
          <w:sz w:val="22"/>
          <w:szCs w:val="22"/>
        </w:rPr>
        <w:t xml:space="preserve">Women make up most of the workforce in the UK health and social care sector, particularly in early years childcare settings such as nurseries. Despite this, health issues that affect many women, including premenstrual syndrome (PMS) and menopause, are often overlooked in workplace discussions. These conditions can cause symptoms such as fatigue, pain, mood changes, and difficulty concentrating, which may affect staff wellbeing and job performance. This report </w:t>
      </w:r>
      <w:r>
        <w:rPr>
          <w:rStyle w:val="s1"/>
          <w:rFonts w:asciiTheme="minorBidi" w:eastAsiaTheme="majorEastAsia" w:hAnsiTheme="minorBidi" w:cstheme="minorBidi"/>
          <w:sz w:val="22"/>
          <w:szCs w:val="22"/>
        </w:rPr>
        <w:t xml:space="preserve">will </w:t>
      </w:r>
      <w:r w:rsidRPr="0077287A">
        <w:rPr>
          <w:rStyle w:val="s1"/>
          <w:rFonts w:asciiTheme="minorBidi" w:eastAsiaTheme="majorEastAsia" w:hAnsiTheme="minorBidi" w:cstheme="minorBidi"/>
          <w:sz w:val="22"/>
          <w:szCs w:val="22"/>
        </w:rPr>
        <w:t>explore</w:t>
      </w:r>
      <w:r>
        <w:rPr>
          <w:rStyle w:val="s1"/>
          <w:rFonts w:asciiTheme="minorBidi" w:eastAsiaTheme="majorEastAsia" w:hAnsiTheme="minorBidi" w:cstheme="minorBidi"/>
          <w:sz w:val="22"/>
          <w:szCs w:val="22"/>
        </w:rPr>
        <w:t xml:space="preserve"> </w:t>
      </w:r>
      <w:r w:rsidRPr="0077287A">
        <w:rPr>
          <w:rStyle w:val="s1"/>
          <w:rFonts w:asciiTheme="minorBidi" w:eastAsiaTheme="majorEastAsia" w:hAnsiTheme="minorBidi" w:cstheme="minorBidi"/>
          <w:sz w:val="22"/>
          <w:szCs w:val="22"/>
        </w:rPr>
        <w:t>the impact of PMS and menopause on women working in UK nursery settings. It will discuss the importance of this issue, evaluate existing information sources, and outline how future research could be conducted to better understand and address the problem as well as recommendations to help women.</w:t>
      </w:r>
    </w:p>
    <w:p w14:paraId="31010EBA" w14:textId="2BC4B5ED" w:rsidR="0077287A" w:rsidRDefault="0077287A" w:rsidP="0077287A">
      <w:pPr>
        <w:spacing w:after="0" w:line="360" w:lineRule="auto"/>
        <w:rPr>
          <w:rFonts w:asciiTheme="minorBidi" w:eastAsia="Times New Roman" w:hAnsiTheme="minorBidi"/>
          <w:kern w:val="0"/>
          <w:sz w:val="22"/>
          <w:szCs w:val="22"/>
          <w:lang w:eastAsia="en-GB"/>
          <w14:ligatures w14:val="none"/>
        </w:rPr>
      </w:pPr>
      <w:r w:rsidRPr="0077287A">
        <w:rPr>
          <w:rFonts w:asciiTheme="minorBidi" w:eastAsia="Times New Roman" w:hAnsiTheme="minorBidi"/>
          <w:kern w:val="0"/>
          <w:sz w:val="22"/>
          <w:szCs w:val="22"/>
          <w:lang w:eastAsia="en-GB"/>
          <w14:ligatures w14:val="none"/>
        </w:rPr>
        <w:t>The aim of this report is to explore how menstrual health conditions, including PMS and related symptoms, may affect women working in early years childcare settings in the UK, and to consider how research could be conducted to better understand and address this issue.</w:t>
      </w:r>
    </w:p>
    <w:p w14:paraId="492E2B2E" w14:textId="77777777" w:rsidR="0077287A" w:rsidRDefault="0077287A" w:rsidP="0077287A">
      <w:pPr>
        <w:spacing w:after="0" w:line="360" w:lineRule="auto"/>
        <w:rPr>
          <w:rFonts w:asciiTheme="minorBidi" w:eastAsia="Times New Roman" w:hAnsiTheme="minorBidi"/>
          <w:kern w:val="0"/>
          <w:sz w:val="22"/>
          <w:szCs w:val="22"/>
          <w:lang w:eastAsia="en-GB"/>
          <w14:ligatures w14:val="none"/>
        </w:rPr>
      </w:pPr>
    </w:p>
    <w:p w14:paraId="0274B9E3" w14:textId="77777777" w:rsidR="0077287A" w:rsidRPr="0077287A" w:rsidRDefault="0077287A" w:rsidP="0077287A">
      <w:pPr>
        <w:spacing w:after="0" w:line="360" w:lineRule="auto"/>
        <w:rPr>
          <w:rFonts w:asciiTheme="minorBidi" w:eastAsia="Times New Roman" w:hAnsiTheme="minorBidi"/>
          <w:kern w:val="0"/>
          <w:sz w:val="22"/>
          <w:szCs w:val="22"/>
          <w:lang w:eastAsia="en-GB"/>
          <w14:ligatures w14:val="none"/>
        </w:rPr>
      </w:pPr>
    </w:p>
    <w:p w14:paraId="785BECFE" w14:textId="64E75ADD" w:rsidR="0077287A" w:rsidRPr="0077287A" w:rsidRDefault="0077287A" w:rsidP="0077287A">
      <w:pPr>
        <w:spacing w:after="0" w:line="240" w:lineRule="auto"/>
        <w:rPr>
          <w:rFonts w:asciiTheme="minorBidi" w:eastAsia="Times New Roman" w:hAnsiTheme="minorBidi"/>
          <w:b/>
          <w:bCs/>
          <w:color w:val="0E2841" w:themeColor="text2"/>
          <w:kern w:val="0"/>
          <w:sz w:val="22"/>
          <w:szCs w:val="22"/>
          <w:lang w:eastAsia="en-GB"/>
          <w14:ligatures w14:val="none"/>
        </w:rPr>
      </w:pPr>
      <w:r w:rsidRPr="0077287A">
        <w:rPr>
          <w:rFonts w:asciiTheme="minorBidi" w:eastAsia="Times New Roman" w:hAnsiTheme="minorBidi"/>
          <w:b/>
          <w:bCs/>
          <w:color w:val="0E2841" w:themeColor="text2"/>
          <w:kern w:val="0"/>
          <w:sz w:val="22"/>
          <w:szCs w:val="22"/>
          <w:lang w:eastAsia="en-GB"/>
          <w14:ligatures w14:val="none"/>
        </w:rPr>
        <w:t>1.2 Overview of PMS and Menopause</w:t>
      </w:r>
    </w:p>
    <w:p w14:paraId="7AC63E21" w14:textId="77777777" w:rsidR="0077287A" w:rsidRDefault="0077287A" w:rsidP="0077287A">
      <w:pPr>
        <w:spacing w:after="0" w:line="240" w:lineRule="auto"/>
        <w:rPr>
          <w:rFonts w:asciiTheme="minorBidi" w:eastAsia="Times New Roman" w:hAnsiTheme="minorBidi"/>
          <w:kern w:val="0"/>
          <w:sz w:val="22"/>
          <w:szCs w:val="22"/>
          <w:lang w:eastAsia="en-GB"/>
          <w14:ligatures w14:val="none"/>
        </w:rPr>
      </w:pPr>
    </w:p>
    <w:p w14:paraId="562C8252" w14:textId="77777777" w:rsidR="0077287A" w:rsidRDefault="0077287A" w:rsidP="0077287A">
      <w:pPr>
        <w:pStyle w:val="p1"/>
        <w:spacing w:line="360" w:lineRule="auto"/>
        <w:rPr>
          <w:rStyle w:val="s1"/>
          <w:rFonts w:asciiTheme="minorBidi" w:eastAsiaTheme="majorEastAsia" w:hAnsiTheme="minorBidi" w:cstheme="minorBidi"/>
          <w:sz w:val="22"/>
          <w:szCs w:val="22"/>
        </w:rPr>
      </w:pPr>
      <w:r w:rsidRPr="0077287A">
        <w:rPr>
          <w:rStyle w:val="s1"/>
          <w:rFonts w:asciiTheme="minorBidi" w:eastAsiaTheme="majorEastAsia" w:hAnsiTheme="minorBidi" w:cstheme="minorBidi"/>
          <w:sz w:val="22"/>
          <w:szCs w:val="22"/>
        </w:rPr>
        <w:t>Many women working in health and social care experience symptoms related to PMS and menopause. These conditions can include headaches, fatigue, mood changes, hot flushes, and sleep disturbances. In physically and emotionally demanding jobs such as nursery work, these symptoms can make daily tasks more challenging. Nursery staff are responsible for caring for young children, maintaining safety, and supporting children’s development. This requires high levels of concentration, energy, and emotional engagement.</w:t>
      </w:r>
    </w:p>
    <w:p w14:paraId="7A583E25" w14:textId="77777777"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The early years workforce in the UK is predominantly female, meaning a large proportion of staff may experience PMS or menopause symptoms during their careers. If these health issues are not recognised or supported in the workplace, staff wellbeing may be negatively affected. This can also lead to increased absenteeism, stress, and potentially staff leaving the profession.</w:t>
      </w:r>
    </w:p>
    <w:p w14:paraId="3607700C" w14:textId="77777777" w:rsid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lastRenderedPageBreak/>
        <w:t>Supporting staff health is important for maintaining quality care for children. When employees feel supported, they are more likely to remain in their roles and perform effectively. Addressing women’s health issues in nursery settings could therefore benefit both employees and the children they care for.</w:t>
      </w:r>
    </w:p>
    <w:p w14:paraId="6640CC6E" w14:textId="45A3BFF2"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I chose this topic because I have seen how women’s health conditions can affect individuals working in childcare settings. My older sister works as an early year’s practitioner and experiences endometriosis, which can cause severe pain and fatigue. I have observed how these symptoms sometimes make it difficult for her to manage the physical and emotional demands of working with young children. This experience made me more aware of how women’s health conditions such as PMS, endometriosis, and menopause may affect employees working in early years environments.</w:t>
      </w:r>
    </w:p>
    <w:p w14:paraId="5EEF90F8" w14:textId="77777777"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This topic also interests me because I am studying health and social care and may work in a similar field in the future. Understanding the challenges faced by staff in childcare settings can help improve workplace wellbeing and support systems for employees.</w:t>
      </w:r>
    </w:p>
    <w:p w14:paraId="36F34B8E" w14:textId="77777777" w:rsidR="0077287A" w:rsidRDefault="0077287A" w:rsidP="0077287A">
      <w:pPr>
        <w:pStyle w:val="p1"/>
        <w:spacing w:line="360" w:lineRule="auto"/>
        <w:rPr>
          <w:rFonts w:asciiTheme="minorBidi" w:hAnsiTheme="minorBidi" w:cstheme="minorBidi"/>
          <w:b/>
          <w:bCs/>
          <w:color w:val="0E2841" w:themeColor="text2"/>
          <w:sz w:val="22"/>
          <w:szCs w:val="22"/>
        </w:rPr>
      </w:pPr>
    </w:p>
    <w:p w14:paraId="2D262677" w14:textId="337F552C" w:rsidR="0077287A" w:rsidRDefault="0077287A" w:rsidP="0077287A">
      <w:pPr>
        <w:pStyle w:val="p1"/>
        <w:spacing w:line="360" w:lineRule="auto"/>
        <w:rPr>
          <w:rFonts w:ascii="Arial" w:hAnsi="Arial" w:cs="Arial"/>
          <w:b/>
          <w:bCs/>
          <w:color w:val="0E2841" w:themeColor="text2"/>
          <w:sz w:val="22"/>
          <w:szCs w:val="22"/>
          <w:lang w:eastAsia="zh-CN"/>
        </w:rPr>
      </w:pPr>
      <w:r w:rsidRPr="0077287A">
        <w:rPr>
          <w:rFonts w:asciiTheme="minorBidi" w:hAnsiTheme="minorBidi" w:cstheme="minorBidi"/>
          <w:b/>
          <w:bCs/>
          <w:color w:val="0E2841" w:themeColor="text2"/>
          <w:sz w:val="22"/>
          <w:szCs w:val="22"/>
        </w:rPr>
        <w:t xml:space="preserve">1.3 </w:t>
      </w:r>
      <w:r w:rsidRPr="0077287A">
        <w:rPr>
          <w:rFonts w:ascii="Arial" w:hAnsi="Arial" w:cs="Arial"/>
          <w:b/>
          <w:bCs/>
          <w:color w:val="0E2841" w:themeColor="text2"/>
          <w:sz w:val="22"/>
          <w:szCs w:val="22"/>
          <w:lang w:eastAsia="zh-CN"/>
        </w:rPr>
        <w:t>Evaluating information sources</w:t>
      </w:r>
    </w:p>
    <w:p w14:paraId="773DF592" w14:textId="54B4B48D" w:rsidR="0077287A" w:rsidRPr="0077287A" w:rsidRDefault="0077287A" w:rsidP="0077287A">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7287A">
        <w:rPr>
          <w:rFonts w:asciiTheme="minorBidi" w:eastAsia="Times New Roman" w:hAnsiTheme="minorBidi"/>
          <w:kern w:val="0"/>
          <w:sz w:val="22"/>
          <w:szCs w:val="22"/>
          <w:lang w:eastAsia="en-GB"/>
          <w14:ligatures w14:val="none"/>
        </w:rPr>
        <w:t xml:space="preserve">To better understand the impact of PMS and menopause on women working in early years childcare settings, it is important to examine </w:t>
      </w:r>
      <w:r>
        <w:rPr>
          <w:rFonts w:asciiTheme="minorBidi" w:eastAsia="Times New Roman" w:hAnsiTheme="minorBidi"/>
          <w:kern w:val="0"/>
          <w:sz w:val="22"/>
          <w:szCs w:val="22"/>
          <w:lang w:eastAsia="en-GB"/>
          <w14:ligatures w14:val="none"/>
        </w:rPr>
        <w:t>existing research and professional guidance related to menstrual health and workplace wellbeing</w:t>
      </w:r>
      <w:r w:rsidRPr="0077287A">
        <w:rPr>
          <w:rFonts w:asciiTheme="minorBidi" w:eastAsia="Times New Roman" w:hAnsiTheme="minorBidi"/>
          <w:kern w:val="0"/>
          <w:sz w:val="22"/>
          <w:szCs w:val="22"/>
          <w:lang w:eastAsia="en-GB"/>
          <w14:ligatures w14:val="none"/>
        </w:rPr>
        <w:t>.</w:t>
      </w:r>
      <w:r>
        <w:rPr>
          <w:rFonts w:asciiTheme="minorBidi" w:eastAsia="Times New Roman" w:hAnsiTheme="minorBidi"/>
          <w:kern w:val="0"/>
          <w:sz w:val="22"/>
          <w:szCs w:val="22"/>
          <w:lang w:eastAsia="en-GB"/>
          <w14:ligatures w14:val="none"/>
        </w:rPr>
        <w:t xml:space="preserve"> The following sources provide useful insights into the mental, emotional, and cognitive effects of hormonal changes as well as how these issues may affect employees.</w:t>
      </w:r>
    </w:p>
    <w:p w14:paraId="4049B72C" w14:textId="6A8FCE65" w:rsidR="0077287A" w:rsidRPr="0077287A" w:rsidRDefault="0077287A" w:rsidP="0077287A">
      <w:pPr>
        <w:pStyle w:val="Heading1"/>
        <w:spacing w:before="0" w:after="0" w:line="264" w:lineRule="atLeast"/>
        <w:rPr>
          <w:rFonts w:ascii="roboto_slabregular" w:eastAsia="Times New Roman" w:hAnsi="roboto_slabregular" w:cs="Times New Roman"/>
          <w:color w:val="555555"/>
          <w:kern w:val="36"/>
          <w:sz w:val="48"/>
          <w:szCs w:val="48"/>
          <w:lang w:eastAsia="en-GB"/>
          <w14:ligatures w14:val="none"/>
        </w:rPr>
      </w:pPr>
      <w:r w:rsidRPr="0077287A">
        <w:rPr>
          <w:rFonts w:asciiTheme="minorBidi" w:eastAsia="Times New Roman" w:hAnsiTheme="minorBidi" w:cstheme="minorBidi"/>
          <w:b/>
          <w:bCs/>
          <w:kern w:val="0"/>
          <w:sz w:val="22"/>
          <w:szCs w:val="22"/>
          <w:lang w:eastAsia="en-GB"/>
          <w14:ligatures w14:val="none"/>
        </w:rPr>
        <w:t>Source 1</w:t>
      </w:r>
      <w:r>
        <w:rPr>
          <w:rFonts w:asciiTheme="minorBidi" w:eastAsia="Times New Roman" w:hAnsiTheme="minorBidi" w:cstheme="minorBidi"/>
          <w:color w:val="auto"/>
          <w:kern w:val="0"/>
          <w:sz w:val="22"/>
          <w:szCs w:val="22"/>
          <w:lang w:eastAsia="en-GB"/>
          <w14:ligatures w14:val="none"/>
        </w:rPr>
        <w:t xml:space="preserve"> -</w:t>
      </w:r>
      <w:r w:rsidRPr="0077287A">
        <w:rPr>
          <w:rFonts w:asciiTheme="minorBidi" w:eastAsia="Times New Roman" w:hAnsiTheme="minorBidi" w:cstheme="minorBidi"/>
          <w:color w:val="auto"/>
          <w:kern w:val="0"/>
          <w:sz w:val="22"/>
          <w:szCs w:val="22"/>
          <w:lang w:eastAsia="en-GB"/>
          <w14:ligatures w14:val="none"/>
        </w:rPr>
        <w:t xml:space="preserve"> Mental Health and the Menstrual Cycle</w:t>
      </w:r>
    </w:p>
    <w:p w14:paraId="2B29DB68" w14:textId="77777777" w:rsidR="0077287A" w:rsidRDefault="0077287A" w:rsidP="0077287A">
      <w:pPr>
        <w:pStyle w:val="p1"/>
        <w:spacing w:line="360" w:lineRule="auto"/>
        <w:rPr>
          <w:rStyle w:val="s1"/>
          <w:rFonts w:asciiTheme="minorBidi" w:eastAsiaTheme="majorEastAsia" w:hAnsiTheme="minorBidi" w:cstheme="minorBidi"/>
          <w:sz w:val="22"/>
          <w:szCs w:val="22"/>
        </w:rPr>
      </w:pPr>
      <w:r w:rsidRPr="0077287A">
        <w:rPr>
          <w:rStyle w:val="s1"/>
          <w:rFonts w:asciiTheme="minorBidi" w:eastAsiaTheme="majorEastAsia" w:hAnsiTheme="minorBidi" w:cstheme="minorBidi"/>
          <w:sz w:val="22"/>
          <w:szCs w:val="22"/>
        </w:rPr>
        <w:t xml:space="preserve">One important source is a meta-analysis conducted by Jang and Elfenbein (2019), which explores how the menstrual cycle can influence mental health outcomes. A meta-analysis is particularly valuable because it analyses the findings of multiple studies rather than relying on a single research project. The authors found that hormonal fluctuations across the menstrual cycle may affect emotional wellbeing, mood, and mental health in some individuals. These findings suggest that menstrual health can influence how people manage emotions and stress. This is relevant to early years childcare settings because practitioners must remain emotionally responsive and patient when interacting with young children. </w:t>
      </w:r>
    </w:p>
    <w:p w14:paraId="7840BE48" w14:textId="39487128"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lastRenderedPageBreak/>
        <w:t>However, while this study provides useful evidence about mental health outcomes, it does not focus specifically on workplace environments or the experiences of childcare professionals.</w:t>
      </w:r>
    </w:p>
    <w:p w14:paraId="66D0C14C" w14:textId="7D466AA5" w:rsidR="0077287A" w:rsidRPr="0077287A" w:rsidRDefault="0077287A" w:rsidP="0077287A">
      <w:pPr>
        <w:pStyle w:val="p1"/>
      </w:pPr>
      <w:r w:rsidRPr="0077287A">
        <w:rPr>
          <w:rFonts w:asciiTheme="minorBidi" w:hAnsiTheme="minorBidi" w:cstheme="minorBidi"/>
          <w:b/>
          <w:bCs/>
          <w:color w:val="0E2841" w:themeColor="text2"/>
          <w:sz w:val="22"/>
          <w:szCs w:val="22"/>
        </w:rPr>
        <w:t xml:space="preserve">Source 2 </w:t>
      </w:r>
      <w:r w:rsidRPr="0077287A">
        <w:rPr>
          <w:rFonts w:asciiTheme="minorBidi" w:hAnsiTheme="minorBidi" w:cstheme="minorBidi"/>
          <w:b/>
          <w:bCs/>
          <w:sz w:val="22"/>
          <w:szCs w:val="22"/>
        </w:rPr>
        <w:t xml:space="preserve">– </w:t>
      </w:r>
      <w:r w:rsidRPr="0077287A">
        <w:rPr>
          <w:rStyle w:val="s1"/>
          <w:rFonts w:asciiTheme="minorBidi" w:eastAsiaTheme="majorEastAsia" w:hAnsiTheme="minorBidi" w:cstheme="minorBidi"/>
          <w:sz w:val="22"/>
          <w:szCs w:val="22"/>
        </w:rPr>
        <w:t>Cognitive Effects of Hormonal Changes</w:t>
      </w:r>
    </w:p>
    <w:p w14:paraId="39DA54A4" w14:textId="2349C284"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Another useful academic source is the article by Sundström-</w:t>
      </w:r>
      <w:proofErr w:type="spellStart"/>
      <w:r w:rsidRPr="0077287A">
        <w:rPr>
          <w:rStyle w:val="s1"/>
          <w:rFonts w:asciiTheme="minorBidi" w:eastAsiaTheme="majorEastAsia" w:hAnsiTheme="minorBidi" w:cstheme="minorBidi"/>
          <w:sz w:val="22"/>
          <w:szCs w:val="22"/>
        </w:rPr>
        <w:t>Poromaa</w:t>
      </w:r>
      <w:proofErr w:type="spellEnd"/>
      <w:r w:rsidRPr="0077287A">
        <w:rPr>
          <w:rStyle w:val="s1"/>
          <w:rFonts w:asciiTheme="minorBidi" w:eastAsiaTheme="majorEastAsia" w:hAnsiTheme="minorBidi" w:cstheme="minorBidi"/>
          <w:sz w:val="22"/>
          <w:szCs w:val="22"/>
        </w:rPr>
        <w:t xml:space="preserve"> and </w:t>
      </w:r>
      <w:proofErr w:type="spellStart"/>
      <w:r w:rsidRPr="0077287A">
        <w:rPr>
          <w:rStyle w:val="s1"/>
          <w:rFonts w:asciiTheme="minorBidi" w:eastAsiaTheme="majorEastAsia" w:hAnsiTheme="minorBidi" w:cstheme="minorBidi"/>
          <w:sz w:val="22"/>
          <w:szCs w:val="22"/>
        </w:rPr>
        <w:t>Gingnell</w:t>
      </w:r>
      <w:proofErr w:type="spellEnd"/>
      <w:r w:rsidRPr="0077287A">
        <w:rPr>
          <w:rStyle w:val="s1"/>
          <w:rFonts w:asciiTheme="minorBidi" w:eastAsiaTheme="majorEastAsia" w:hAnsiTheme="minorBidi" w:cstheme="minorBidi"/>
          <w:sz w:val="22"/>
          <w:szCs w:val="22"/>
        </w:rPr>
        <w:t xml:space="preserve"> (2014), which examines how hormonal changes during the menstrual cycle can influence cognitive functioning and emotional processing. The authors explain that fluctuations in hormones such as oestrogen and progesterone may influence attention, memory, and emotional responses. These cognitive and emotional changes could potentially affect how individuals manage demanding tasks or stressful situations. In childcare environments, practitioners must constantly monitor children’s behaviour, respond to emotional needs, and ensure safety. Therefore, changes in concentration or emotional processing could impact their ability to perform their role effectively. This article is valuable because it provides scientific evidence explaining how hormonal changes can influence mental functioning. However, like the previous study, the research mainly focuses on biological and psychological processes rather than workplace experiences.</w:t>
      </w:r>
    </w:p>
    <w:p w14:paraId="5343B6B1" w14:textId="77777777" w:rsidR="0077287A" w:rsidRDefault="0077287A" w:rsidP="0077287A">
      <w:pPr>
        <w:pStyle w:val="p1"/>
      </w:pPr>
      <w:r w:rsidRPr="0077287A">
        <w:rPr>
          <w:rFonts w:asciiTheme="minorBidi" w:hAnsiTheme="minorBidi" w:cstheme="minorBidi"/>
          <w:b/>
          <w:bCs/>
          <w:color w:val="0E2841" w:themeColor="text2"/>
          <w:sz w:val="22"/>
          <w:szCs w:val="22"/>
        </w:rPr>
        <w:t xml:space="preserve">Source 3 </w:t>
      </w:r>
      <w:r w:rsidRPr="0077287A">
        <w:rPr>
          <w:rFonts w:asciiTheme="minorBidi" w:hAnsiTheme="minorBidi" w:cstheme="minorBidi"/>
          <w:b/>
          <w:bCs/>
          <w:sz w:val="22"/>
          <w:szCs w:val="22"/>
        </w:rPr>
        <w:t xml:space="preserve">– </w:t>
      </w:r>
      <w:r w:rsidRPr="0077287A">
        <w:rPr>
          <w:rStyle w:val="s1"/>
          <w:rFonts w:asciiTheme="minorBidi" w:eastAsiaTheme="majorEastAsia" w:hAnsiTheme="minorBidi" w:cstheme="minorBidi"/>
          <w:sz w:val="22"/>
          <w:szCs w:val="22"/>
        </w:rPr>
        <w:t>Workplace Support for Women’s Health</w:t>
      </w:r>
    </w:p>
    <w:p w14:paraId="03AC1702" w14:textId="2444E0D1"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 xml:space="preserve">In addition to academic research, guidance from the </w:t>
      </w:r>
      <w:r>
        <w:rPr>
          <w:rStyle w:val="s1"/>
          <w:rFonts w:asciiTheme="minorBidi" w:eastAsiaTheme="majorEastAsia" w:hAnsiTheme="minorBidi" w:cstheme="minorBidi"/>
          <w:sz w:val="22"/>
          <w:szCs w:val="22"/>
        </w:rPr>
        <w:t xml:space="preserve">ACAS </w:t>
      </w:r>
      <w:r w:rsidRPr="0077287A">
        <w:rPr>
          <w:rStyle w:val="s1"/>
          <w:rFonts w:asciiTheme="minorBidi" w:eastAsiaTheme="majorEastAsia" w:hAnsiTheme="minorBidi" w:cstheme="minorBidi"/>
          <w:sz w:val="22"/>
          <w:szCs w:val="22"/>
        </w:rPr>
        <w:t>provides useful information about how menopause and other health conditions can affect employees in the workplace. ACAS highlights that symptoms such as fatigue, anxiety, and difficulty concentrating may influence confidence and performance at work. The organisation encourages employers to create supportive working environments by promoting open communication and offering adjustments where possible. This source is useful because it focuses specifically on workplace wellbeing and organisational support. However, while ACAS provides general workplace guidance, it does not specifically examine early years childcare environments.</w:t>
      </w:r>
    </w:p>
    <w:p w14:paraId="7BFB4A44" w14:textId="77777777"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Overall, these sources provide useful information about the biological and psychological effects of menstrual health conditions and their possible impact on work. However, there appears to be limited research focusing specifically on women working in early years childcare settings. Further research could therefore explore how menstrual health conditions affect nursery practitioners and what types of workplace support may be most effective.</w:t>
      </w:r>
    </w:p>
    <w:p w14:paraId="7582D27E" w14:textId="77777777" w:rsidR="0077287A" w:rsidRPr="0077287A" w:rsidRDefault="0077287A" w:rsidP="0077287A">
      <w:pPr>
        <w:spacing w:before="100" w:beforeAutospacing="1" w:after="100" w:afterAutospacing="1" w:line="360" w:lineRule="auto"/>
        <w:outlineLvl w:val="2"/>
        <w:rPr>
          <w:rFonts w:asciiTheme="minorBidi" w:eastAsia="Times New Roman" w:hAnsiTheme="minorBidi"/>
          <w:b/>
          <w:bCs/>
          <w:kern w:val="0"/>
          <w:sz w:val="22"/>
          <w:szCs w:val="22"/>
          <w:lang w:eastAsia="en-GB"/>
          <w14:ligatures w14:val="none"/>
        </w:rPr>
      </w:pPr>
    </w:p>
    <w:p w14:paraId="392A3045" w14:textId="77777777" w:rsidR="0077287A" w:rsidRDefault="0077287A" w:rsidP="0077287A">
      <w:pPr>
        <w:spacing w:before="100" w:beforeAutospacing="1" w:after="100" w:afterAutospacing="1" w:line="360" w:lineRule="auto"/>
        <w:outlineLvl w:val="2"/>
        <w:rPr>
          <w:rFonts w:asciiTheme="minorBidi" w:eastAsia="Times New Roman" w:hAnsiTheme="minorBidi"/>
          <w:b/>
          <w:bCs/>
          <w:kern w:val="0"/>
          <w:sz w:val="22"/>
          <w:szCs w:val="22"/>
          <w:lang w:eastAsia="en-GB"/>
          <w14:ligatures w14:val="none"/>
        </w:rPr>
      </w:pPr>
    </w:p>
    <w:p w14:paraId="708791CF" w14:textId="36D23439" w:rsidR="0077287A" w:rsidRPr="0077287A" w:rsidRDefault="0077287A" w:rsidP="0077287A">
      <w:pPr>
        <w:spacing w:before="100" w:beforeAutospacing="1" w:after="100" w:afterAutospacing="1" w:line="360" w:lineRule="auto"/>
        <w:outlineLvl w:val="2"/>
        <w:rPr>
          <w:rFonts w:asciiTheme="minorBidi" w:eastAsia="Times New Roman" w:hAnsiTheme="minorBidi"/>
          <w:b/>
          <w:bCs/>
          <w:color w:val="0E2841" w:themeColor="text2"/>
          <w:kern w:val="0"/>
          <w:sz w:val="22"/>
          <w:szCs w:val="22"/>
          <w:lang w:eastAsia="en-GB"/>
          <w14:ligatures w14:val="none"/>
        </w:rPr>
      </w:pPr>
      <w:r w:rsidRPr="0077287A">
        <w:rPr>
          <w:rFonts w:asciiTheme="minorBidi" w:eastAsia="Times New Roman" w:hAnsiTheme="minorBidi"/>
          <w:b/>
          <w:bCs/>
          <w:color w:val="0E2841" w:themeColor="text2"/>
          <w:kern w:val="0"/>
          <w:sz w:val="22"/>
          <w:szCs w:val="22"/>
          <w:lang w:eastAsia="en-GB"/>
          <w14:ligatures w14:val="none"/>
        </w:rPr>
        <w:lastRenderedPageBreak/>
        <w:t>Research Gap</w:t>
      </w:r>
    </w:p>
    <w:p w14:paraId="1187BF09" w14:textId="7FD2F061" w:rsidR="0077287A" w:rsidRDefault="0077287A" w:rsidP="0077287A">
      <w:pPr>
        <w:spacing w:before="100" w:beforeAutospacing="1" w:after="100" w:afterAutospacing="1" w:line="360" w:lineRule="auto"/>
        <w:outlineLvl w:val="2"/>
        <w:rPr>
          <w:rFonts w:asciiTheme="minorBidi" w:eastAsia="Times New Roman" w:hAnsiTheme="minorBidi"/>
          <w:kern w:val="0"/>
          <w:sz w:val="22"/>
          <w:szCs w:val="22"/>
          <w:lang w:eastAsia="en-GB"/>
          <w14:ligatures w14:val="none"/>
        </w:rPr>
      </w:pPr>
      <w:r w:rsidRPr="0077287A">
        <w:rPr>
          <w:rFonts w:asciiTheme="minorBidi" w:eastAsia="Times New Roman" w:hAnsiTheme="minorBidi"/>
          <w:kern w:val="0"/>
          <w:sz w:val="22"/>
          <w:szCs w:val="22"/>
          <w:lang w:eastAsia="en-GB"/>
          <w14:ligatures w14:val="none"/>
        </w:rPr>
        <w:t>Overall, these sources provide useful information about the biological and workplace aspects of menopause and menstrual health. However, there appears to be limited research specifically examining how these issues affect women working in early years childcare settings. Further research could help identify the specific challenges faced by nursery practitioners and explore ways to better support their health and wellbeing.</w:t>
      </w:r>
    </w:p>
    <w:p w14:paraId="33D8437D" w14:textId="77777777" w:rsidR="0077287A" w:rsidRPr="0077287A" w:rsidRDefault="0077287A" w:rsidP="0077287A">
      <w:pPr>
        <w:spacing w:before="100" w:beforeAutospacing="1" w:after="100" w:afterAutospacing="1" w:line="360" w:lineRule="auto"/>
        <w:outlineLvl w:val="2"/>
        <w:rPr>
          <w:rFonts w:asciiTheme="minorBidi" w:eastAsia="Times New Roman" w:hAnsiTheme="minorBidi"/>
          <w:kern w:val="0"/>
          <w:sz w:val="22"/>
          <w:szCs w:val="22"/>
          <w:lang w:eastAsia="en-GB"/>
          <w14:ligatures w14:val="none"/>
        </w:rPr>
      </w:pPr>
    </w:p>
    <w:p w14:paraId="340EA87A" w14:textId="0F4DCD7C" w:rsidR="0077287A" w:rsidRDefault="0077287A" w:rsidP="0077287A">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r w:rsidRPr="0077287A">
        <w:rPr>
          <w:rFonts w:asciiTheme="minorBidi" w:eastAsia="Times New Roman" w:hAnsiTheme="minorBidi"/>
          <w:b/>
          <w:bCs/>
          <w:color w:val="0E2841" w:themeColor="text2"/>
          <w:kern w:val="0"/>
          <w:sz w:val="22"/>
          <w:szCs w:val="22"/>
          <w:lang w:eastAsia="en-GB"/>
          <w14:ligatures w14:val="none"/>
        </w:rPr>
        <w:t>1.4 Research Methodologies</w:t>
      </w:r>
    </w:p>
    <w:p w14:paraId="15829CCB" w14:textId="5698220D"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Research methodology refers to the different approaches researchers use to investigate a topic and collect information. Choosing an appropriate methodology is important because it helps ensure that the research findings are reliable and relevant to the research question.</w:t>
      </w:r>
    </w:p>
    <w:p w14:paraId="14E6FD52" w14:textId="255F1EB2"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 xml:space="preserve">There are three main types of research methodologies: quantitative, qualitative, and mixed methods. Quantitative research focuses on numerical data and statistical analysis. For example, researchers may use surveys to collect responses from </w:t>
      </w:r>
      <w:proofErr w:type="gramStart"/>
      <w:r w:rsidRPr="0077287A">
        <w:rPr>
          <w:rStyle w:val="s1"/>
          <w:rFonts w:asciiTheme="minorBidi" w:eastAsiaTheme="majorEastAsia" w:hAnsiTheme="minorBidi" w:cstheme="minorBidi"/>
          <w:sz w:val="22"/>
          <w:szCs w:val="22"/>
        </w:rPr>
        <w:t>a large number of</w:t>
      </w:r>
      <w:proofErr w:type="gramEnd"/>
      <w:r w:rsidRPr="0077287A">
        <w:rPr>
          <w:rStyle w:val="s1"/>
          <w:rFonts w:asciiTheme="minorBidi" w:eastAsiaTheme="majorEastAsia" w:hAnsiTheme="minorBidi" w:cstheme="minorBidi"/>
          <w:sz w:val="22"/>
          <w:szCs w:val="22"/>
        </w:rPr>
        <w:t xml:space="preserve"> participants and analyse the results using numbers and percentages. This approach is useful for identifying patterns or trends within a population.</w:t>
      </w:r>
    </w:p>
    <w:p w14:paraId="615108AC" w14:textId="4D296190"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Qualitative research focuses on understanding people’s experiences, opinions, and perspectives. Researchers often use interviews, focus groups, or observations to gather detailed information about how individuals experience a particular issue. This type of research can provide deeper insight into personal experiences.</w:t>
      </w:r>
    </w:p>
    <w:p w14:paraId="6779E90C" w14:textId="4790B56B"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Mixed-method research combines both quantitative and qualitative approaches. For example, a researcher might conduct a survey to collect statistical data and then carry out interviews to explore participants’ experiences in more detail.</w:t>
      </w:r>
    </w:p>
    <w:p w14:paraId="4AEE5863" w14:textId="77777777" w:rsidR="0077287A" w:rsidRDefault="0077287A" w:rsidP="0077287A">
      <w:pPr>
        <w:pStyle w:val="p1"/>
        <w:spacing w:line="360" w:lineRule="auto"/>
        <w:rPr>
          <w:rStyle w:val="s1"/>
          <w:rFonts w:asciiTheme="minorBidi" w:eastAsiaTheme="majorEastAsia" w:hAnsiTheme="minorBidi" w:cstheme="minorBidi"/>
          <w:sz w:val="22"/>
          <w:szCs w:val="22"/>
        </w:rPr>
      </w:pPr>
      <w:r w:rsidRPr="0077287A">
        <w:rPr>
          <w:rStyle w:val="s1"/>
          <w:rFonts w:asciiTheme="minorBidi" w:eastAsiaTheme="majorEastAsia" w:hAnsiTheme="minorBidi" w:cstheme="minorBidi"/>
          <w:sz w:val="22"/>
          <w:szCs w:val="22"/>
        </w:rPr>
        <w:t>For this topic, a qualitative approach would likely be the most suitable. If I were conducting primary research to explore this issue, I would use interviews or questionnaires with early years practitioners to understand how menstrual health conditions affect their wellbeing and work performance. This method would allow participants to describe their experiences in their own words and provide a deeper understanding of the challenges they may face in childcare settings.</w:t>
      </w:r>
    </w:p>
    <w:p w14:paraId="6EBFFC16" w14:textId="77777777" w:rsidR="0077287A" w:rsidRDefault="0077287A" w:rsidP="0077287A">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p>
    <w:p w14:paraId="3A49FE2C" w14:textId="6AB2F723" w:rsidR="0077287A" w:rsidRDefault="0077287A" w:rsidP="0077287A">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r>
        <w:rPr>
          <w:rFonts w:asciiTheme="minorBidi" w:eastAsia="Times New Roman" w:hAnsiTheme="minorBidi"/>
          <w:b/>
          <w:bCs/>
          <w:color w:val="0E2841" w:themeColor="text2"/>
          <w:kern w:val="0"/>
          <w:sz w:val="22"/>
          <w:szCs w:val="22"/>
          <w:lang w:eastAsia="en-GB"/>
          <w14:ligatures w14:val="none"/>
        </w:rPr>
        <w:lastRenderedPageBreak/>
        <w:t>1.5 Data Collection</w:t>
      </w:r>
    </w:p>
    <w:p w14:paraId="06FB0E99" w14:textId="2BB6F6C5"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Data can be collected through primary or secondary methods. Primary data refers to information collected directly by the researcher for a specific study. Examples include interviews, surveys, questionnaires, and observations. Secondary data refers to information that has already been collected and published by other researchers or organisations, such as academic articles, government reports, and health statistics.</w:t>
      </w:r>
    </w:p>
    <w:p w14:paraId="0937B6A8" w14:textId="2525C01B"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For this research topic, both primary and secondary data could be useful. Secondary data can provide background information about menstrual health conditions and their psychological or cognitive effects. Academic articles and reports from professional organisations can help researchers understand existing knowledge about the topic.</w:t>
      </w:r>
    </w:p>
    <w:p w14:paraId="4024888D" w14:textId="34478BCC"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However, if I were conducting a research project on this issue, I would focus mainly on primary data collection. For example, I could distribute anonymous questionnaires to early years practitioners working in nursery settings. The questionnaire could ask participants whether they experience symptoms related to PMS, endometriosis, or menopause and whether these symptoms affect their work, concentration, or wellbeing.</w:t>
      </w:r>
    </w:p>
    <w:p w14:paraId="1161444B" w14:textId="7882D7A4"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The advantage of collecting primary data is that it provides first-hand information directly related to the research question. It allows researchers to gather specific experiences from individuals working in the sector being studied. However, primary data collection may also present challenges. For example, participants may feel uncomfortable discussing personal health issues, and researchers must ensure that confidentiality and ethical considerations are respected.</w:t>
      </w:r>
    </w:p>
    <w:p w14:paraId="1EF4B039" w14:textId="6D7B9BFD" w:rsidR="0077287A" w:rsidRDefault="0077287A" w:rsidP="0077287A">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r>
        <w:rPr>
          <w:rFonts w:asciiTheme="minorBidi" w:eastAsia="Times New Roman" w:hAnsiTheme="minorBidi"/>
          <w:b/>
          <w:bCs/>
          <w:color w:val="0E2841" w:themeColor="text2"/>
          <w:kern w:val="0"/>
          <w:sz w:val="22"/>
          <w:szCs w:val="22"/>
          <w:lang w:eastAsia="en-GB"/>
          <w14:ligatures w14:val="none"/>
        </w:rPr>
        <w:t>1.6 Conclusion</w:t>
      </w:r>
    </w:p>
    <w:p w14:paraId="250328F1" w14:textId="77777777" w:rsidR="0077287A" w:rsidRPr="0077287A" w:rsidRDefault="0077287A" w:rsidP="0077287A">
      <w:pPr>
        <w:pStyle w:val="p1"/>
        <w:spacing w:line="360" w:lineRule="auto"/>
        <w:rPr>
          <w:rFonts w:asciiTheme="minorBidi" w:hAnsiTheme="minorBidi" w:cstheme="minorBidi"/>
          <w:sz w:val="22"/>
          <w:szCs w:val="22"/>
        </w:rPr>
      </w:pPr>
      <w:r w:rsidRPr="0077287A">
        <w:rPr>
          <w:rStyle w:val="s1"/>
          <w:rFonts w:asciiTheme="minorBidi" w:eastAsiaTheme="majorEastAsia" w:hAnsiTheme="minorBidi" w:cstheme="minorBidi"/>
          <w:sz w:val="22"/>
          <w:szCs w:val="22"/>
        </w:rPr>
        <w:t>This report explored the impact of menstrual health conditions on women working in early years childcare settings in the UK. The discussion highlighted how symptoms such as fatigue, mood changes, and difficulties with concentration may influence employee wellbeing and workplace performance. Evaluating academic and professional sources showed that hormonal changes can affect mental health and cognitive functioning, although limited research focuses specifically on childcare environments. The report also outlined how qualitative research and primary data collection could be used to investigate this issue further. Increasing awareness of women’s health conditions in the workplace may help create more supportive environments for employees in the early years sector.</w:t>
      </w:r>
    </w:p>
    <w:p w14:paraId="7F5675ED" w14:textId="77777777" w:rsidR="0077287A" w:rsidRDefault="0077287A" w:rsidP="0077287A">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p>
    <w:p w14:paraId="632A745C" w14:textId="27F28C34" w:rsidR="0077287A" w:rsidRPr="0077287A" w:rsidRDefault="0077287A" w:rsidP="0077287A">
      <w:pPr>
        <w:spacing w:before="100" w:beforeAutospacing="1" w:after="100" w:afterAutospacing="1" w:line="360" w:lineRule="auto"/>
        <w:rPr>
          <w:rFonts w:asciiTheme="minorBidi" w:eastAsia="Times New Roman" w:hAnsiTheme="minorBidi"/>
          <w:b/>
          <w:bCs/>
          <w:color w:val="0E2841" w:themeColor="text2"/>
          <w:kern w:val="0"/>
          <w:sz w:val="22"/>
          <w:szCs w:val="22"/>
          <w:lang w:eastAsia="en-GB"/>
          <w14:ligatures w14:val="none"/>
        </w:rPr>
      </w:pPr>
      <w:r>
        <w:rPr>
          <w:rFonts w:asciiTheme="minorBidi" w:eastAsia="Times New Roman" w:hAnsiTheme="minorBidi"/>
          <w:b/>
          <w:bCs/>
          <w:color w:val="0E2841" w:themeColor="text2"/>
          <w:kern w:val="0"/>
          <w:sz w:val="22"/>
          <w:szCs w:val="22"/>
          <w:lang w:eastAsia="en-GB"/>
          <w14:ligatures w14:val="none"/>
        </w:rPr>
        <w:t>1.7 Reference list</w:t>
      </w:r>
    </w:p>
    <w:p w14:paraId="4FAED02F" w14:textId="4F9C7806" w:rsidR="0077287A" w:rsidRPr="0077287A" w:rsidRDefault="00D53273" w:rsidP="00D53273">
      <w:pPr>
        <w:pStyle w:val="p1"/>
        <w:spacing w:line="360" w:lineRule="auto"/>
        <w:ind w:left="360"/>
        <w:rPr>
          <w:rFonts w:asciiTheme="minorBidi" w:hAnsiTheme="minorBidi" w:cstheme="minorBidi"/>
          <w:sz w:val="22"/>
          <w:szCs w:val="22"/>
        </w:rPr>
      </w:pPr>
      <w:r w:rsidRPr="00D53273">
        <w:rPr>
          <w:rFonts w:asciiTheme="minorBidi" w:hAnsiTheme="minorBidi" w:cstheme="minorBidi"/>
          <w:sz w:val="22"/>
          <w:szCs w:val="22"/>
        </w:rPr>
        <w:t>ACAS</w:t>
      </w:r>
      <w:r>
        <w:rPr>
          <w:rFonts w:asciiTheme="minorBidi" w:hAnsiTheme="minorBidi" w:cstheme="minorBidi"/>
          <w:sz w:val="22"/>
          <w:szCs w:val="22"/>
        </w:rPr>
        <w:t xml:space="preserve"> </w:t>
      </w:r>
      <w:r w:rsidR="0077287A" w:rsidRPr="0077287A">
        <w:rPr>
          <w:rStyle w:val="s1"/>
          <w:rFonts w:asciiTheme="minorBidi" w:eastAsiaTheme="majorEastAsia" w:hAnsiTheme="minorBidi" w:cstheme="minorBidi"/>
          <w:sz w:val="22"/>
          <w:szCs w:val="22"/>
        </w:rPr>
        <w:t xml:space="preserve">(2023) </w:t>
      </w:r>
      <w:r w:rsidR="0077287A" w:rsidRPr="0077287A">
        <w:rPr>
          <w:rStyle w:val="s2"/>
          <w:rFonts w:asciiTheme="minorBidi" w:eastAsiaTheme="majorEastAsia" w:hAnsiTheme="minorBidi" w:cstheme="minorBidi"/>
          <w:i/>
          <w:iCs/>
          <w:sz w:val="22"/>
          <w:szCs w:val="22"/>
        </w:rPr>
        <w:t>Menopause at work</w:t>
      </w:r>
      <w:r w:rsidR="0077287A" w:rsidRPr="0077287A">
        <w:rPr>
          <w:rStyle w:val="s1"/>
          <w:rFonts w:asciiTheme="minorBidi" w:eastAsiaTheme="majorEastAsia" w:hAnsiTheme="minorBidi" w:cstheme="minorBidi"/>
          <w:sz w:val="22"/>
          <w:szCs w:val="22"/>
        </w:rPr>
        <w:t>. Available at:</w:t>
      </w:r>
      <w:r w:rsidR="0077287A">
        <w:rPr>
          <w:rStyle w:val="s1"/>
          <w:rFonts w:asciiTheme="minorBidi" w:eastAsiaTheme="majorEastAsia" w:hAnsiTheme="minorBidi" w:cstheme="minorBidi"/>
          <w:sz w:val="22"/>
          <w:szCs w:val="22"/>
        </w:rPr>
        <w:t xml:space="preserve"> </w:t>
      </w:r>
      <w:hyperlink r:id="rId8" w:history="1">
        <w:r w:rsidR="0077287A" w:rsidRPr="00D53273">
          <w:rPr>
            <w:rStyle w:val="Hyperlink"/>
            <w:rFonts w:asciiTheme="minorBidi" w:eastAsiaTheme="majorEastAsia" w:hAnsiTheme="minorBidi" w:cstheme="minorBidi"/>
            <w:sz w:val="22"/>
            <w:szCs w:val="22"/>
          </w:rPr>
          <w:t>https://www.acas.org.uk</w:t>
        </w:r>
      </w:hyperlink>
      <w:r w:rsidR="0077287A" w:rsidRPr="0077287A">
        <w:rPr>
          <w:rStyle w:val="s1"/>
          <w:rFonts w:asciiTheme="minorBidi" w:eastAsiaTheme="majorEastAsia" w:hAnsiTheme="minorBidi" w:cstheme="minorBidi"/>
          <w:sz w:val="22"/>
          <w:szCs w:val="22"/>
        </w:rPr>
        <w:t xml:space="preserve"> (Accessed: 13 March 2026).</w:t>
      </w:r>
    </w:p>
    <w:p w14:paraId="0075700C" w14:textId="37CA00DA" w:rsidR="0077287A" w:rsidRPr="0077287A" w:rsidRDefault="0077287A" w:rsidP="00D53273">
      <w:pPr>
        <w:pStyle w:val="p1"/>
        <w:spacing w:line="360" w:lineRule="auto"/>
        <w:ind w:left="360"/>
        <w:rPr>
          <w:rFonts w:asciiTheme="minorBidi" w:hAnsiTheme="minorBidi" w:cstheme="minorBidi"/>
          <w:sz w:val="22"/>
          <w:szCs w:val="22"/>
        </w:rPr>
      </w:pPr>
      <w:r w:rsidRPr="0077287A">
        <w:rPr>
          <w:rStyle w:val="s1"/>
          <w:rFonts w:asciiTheme="minorBidi" w:eastAsiaTheme="majorEastAsia" w:hAnsiTheme="minorBidi" w:cstheme="minorBidi"/>
          <w:sz w:val="22"/>
          <w:szCs w:val="22"/>
        </w:rPr>
        <w:t xml:space="preserve">Jang, D. and Elfenbein, H. (2019) </w:t>
      </w:r>
      <w:r w:rsidRPr="0077287A">
        <w:rPr>
          <w:rStyle w:val="s2"/>
          <w:rFonts w:asciiTheme="minorBidi" w:eastAsiaTheme="majorEastAsia" w:hAnsiTheme="minorBidi" w:cstheme="minorBidi"/>
          <w:sz w:val="22"/>
          <w:szCs w:val="22"/>
        </w:rPr>
        <w:t>Menstrual cycle effects on mental health outcomes: A meta-analysis</w:t>
      </w:r>
      <w:r w:rsidRPr="0077287A">
        <w:rPr>
          <w:rStyle w:val="s1"/>
          <w:rFonts w:asciiTheme="minorBidi" w:eastAsiaTheme="majorEastAsia" w:hAnsiTheme="minorBidi" w:cstheme="minorBidi"/>
          <w:sz w:val="22"/>
          <w:szCs w:val="22"/>
        </w:rPr>
        <w:t xml:space="preserve">. </w:t>
      </w:r>
      <w:r w:rsidRPr="0077287A">
        <w:rPr>
          <w:rStyle w:val="s1"/>
          <w:rFonts w:asciiTheme="minorBidi" w:eastAsiaTheme="majorEastAsia" w:hAnsiTheme="minorBidi" w:cstheme="minorBidi"/>
          <w:i/>
          <w:iCs/>
          <w:sz w:val="22"/>
          <w:szCs w:val="22"/>
        </w:rPr>
        <w:t>Archives of Suicide Research,</w:t>
      </w:r>
      <w:r w:rsidRPr="0077287A">
        <w:rPr>
          <w:rStyle w:val="s1"/>
          <w:rFonts w:asciiTheme="minorBidi" w:eastAsiaTheme="majorEastAsia" w:hAnsiTheme="minorBidi" w:cstheme="minorBidi"/>
          <w:sz w:val="22"/>
          <w:szCs w:val="22"/>
        </w:rPr>
        <w:t xml:space="preserve"> 23(2), pp.312–332.</w:t>
      </w:r>
      <w:r w:rsidR="00D53273">
        <w:rPr>
          <w:rStyle w:val="s1"/>
          <w:rFonts w:asciiTheme="minorBidi" w:eastAsiaTheme="majorEastAsia" w:hAnsiTheme="minorBidi" w:cstheme="minorBidi"/>
          <w:sz w:val="22"/>
          <w:szCs w:val="22"/>
        </w:rPr>
        <w:t xml:space="preserve"> Available at: </w:t>
      </w:r>
      <w:hyperlink r:id="rId9" w:history="1">
        <w:r w:rsidR="00D53273" w:rsidRPr="00D53273">
          <w:rPr>
            <w:rStyle w:val="Hyperlink"/>
            <w:rFonts w:asciiTheme="minorBidi" w:eastAsiaTheme="majorEastAsia" w:hAnsiTheme="minorBidi" w:cstheme="minorBidi"/>
            <w:sz w:val="22"/>
            <w:szCs w:val="22"/>
          </w:rPr>
          <w:t>https://doi.org/10.1080/13811118.2018.1430638</w:t>
        </w:r>
      </w:hyperlink>
      <w:r w:rsidR="00D53273">
        <w:rPr>
          <w:rStyle w:val="s1"/>
          <w:rFonts w:asciiTheme="minorBidi" w:eastAsiaTheme="majorEastAsia" w:hAnsiTheme="minorBidi" w:cstheme="minorBidi"/>
          <w:sz w:val="22"/>
          <w:szCs w:val="22"/>
        </w:rPr>
        <w:t xml:space="preserve"> (Accessed: 13 March 2026).</w:t>
      </w:r>
    </w:p>
    <w:p w14:paraId="34582F16" w14:textId="77777777" w:rsidR="0077287A" w:rsidRPr="0077287A" w:rsidRDefault="0077287A" w:rsidP="00D53273">
      <w:pPr>
        <w:pStyle w:val="p1"/>
        <w:spacing w:line="360" w:lineRule="auto"/>
        <w:ind w:left="360"/>
        <w:rPr>
          <w:rStyle w:val="s1"/>
          <w:rFonts w:asciiTheme="minorBidi" w:hAnsiTheme="minorBidi" w:cstheme="minorBidi"/>
          <w:sz w:val="22"/>
          <w:szCs w:val="22"/>
        </w:rPr>
      </w:pPr>
      <w:r w:rsidRPr="0077287A">
        <w:rPr>
          <w:rStyle w:val="s1"/>
          <w:rFonts w:asciiTheme="minorBidi" w:eastAsiaTheme="majorEastAsia" w:hAnsiTheme="minorBidi" w:cstheme="minorBidi"/>
          <w:sz w:val="22"/>
          <w:szCs w:val="22"/>
        </w:rPr>
        <w:t>Sundström-</w:t>
      </w:r>
      <w:proofErr w:type="spellStart"/>
      <w:r w:rsidRPr="0077287A">
        <w:rPr>
          <w:rStyle w:val="s1"/>
          <w:rFonts w:asciiTheme="minorBidi" w:eastAsiaTheme="majorEastAsia" w:hAnsiTheme="minorBidi" w:cstheme="minorBidi"/>
          <w:sz w:val="22"/>
          <w:szCs w:val="22"/>
        </w:rPr>
        <w:t>Poromaa</w:t>
      </w:r>
      <w:proofErr w:type="spellEnd"/>
      <w:r w:rsidRPr="0077287A">
        <w:rPr>
          <w:rStyle w:val="s1"/>
          <w:rFonts w:asciiTheme="minorBidi" w:eastAsiaTheme="majorEastAsia" w:hAnsiTheme="minorBidi" w:cstheme="minorBidi"/>
          <w:sz w:val="22"/>
          <w:szCs w:val="22"/>
        </w:rPr>
        <w:t xml:space="preserve">, I. and Gingnell, M. (2014) </w:t>
      </w:r>
      <w:r w:rsidRPr="0077287A">
        <w:rPr>
          <w:rStyle w:val="s2"/>
          <w:rFonts w:asciiTheme="minorBidi" w:eastAsiaTheme="majorEastAsia" w:hAnsiTheme="minorBidi" w:cstheme="minorBidi"/>
          <w:sz w:val="22"/>
          <w:szCs w:val="22"/>
        </w:rPr>
        <w:t>Menstrual cycle influence on cognitive function and emotion processing – from a reproductive perspective</w:t>
      </w:r>
      <w:r w:rsidRPr="0077287A">
        <w:rPr>
          <w:rStyle w:val="s1"/>
          <w:rFonts w:asciiTheme="minorBidi" w:eastAsiaTheme="majorEastAsia" w:hAnsiTheme="minorBidi" w:cstheme="minorBidi"/>
          <w:sz w:val="22"/>
          <w:szCs w:val="22"/>
        </w:rPr>
        <w:t>. Frontiers in Neuroscience, 8, pp.1–12.</w:t>
      </w:r>
    </w:p>
    <w:p w14:paraId="35C43F5D" w14:textId="61FE98B4" w:rsidR="001A7F28" w:rsidRPr="0077287A" w:rsidRDefault="001A7F28" w:rsidP="0077287A">
      <w:pPr>
        <w:spacing w:line="360" w:lineRule="auto"/>
        <w:rPr>
          <w:rFonts w:asciiTheme="minorBidi" w:hAnsiTheme="minorBidi"/>
          <w:sz w:val="22"/>
          <w:szCs w:val="22"/>
        </w:rPr>
      </w:pPr>
    </w:p>
    <w:sectPr w:rsidR="001A7F28" w:rsidRPr="0077287A">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9099B" w14:textId="77777777" w:rsidR="005B45E3" w:rsidRDefault="005B45E3" w:rsidP="001A7F28">
      <w:pPr>
        <w:spacing w:after="0" w:line="240" w:lineRule="auto"/>
      </w:pPr>
      <w:r>
        <w:separator/>
      </w:r>
    </w:p>
  </w:endnote>
  <w:endnote w:type="continuationSeparator" w:id="0">
    <w:p w14:paraId="093ADBAB" w14:textId="77777777" w:rsidR="005B45E3" w:rsidRDefault="005B45E3" w:rsidP="001A7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_slabregular">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80254852"/>
      <w:docPartObj>
        <w:docPartGallery w:val="Page Numbers (Bottom of Page)"/>
        <w:docPartUnique/>
      </w:docPartObj>
    </w:sdtPr>
    <w:sdtContent>
      <w:p w14:paraId="2493DC2B" w14:textId="4F570E9F" w:rsidR="001A7F28" w:rsidRDefault="001A7F28" w:rsidP="00BE3E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A309369" w14:textId="77777777" w:rsidR="001A7F28" w:rsidRDefault="001A7F28" w:rsidP="001A7F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5576494"/>
      <w:docPartObj>
        <w:docPartGallery w:val="Page Numbers (Bottom of Page)"/>
        <w:docPartUnique/>
      </w:docPartObj>
    </w:sdtPr>
    <w:sdtContent>
      <w:p w14:paraId="7253D5D5" w14:textId="0C3643FF" w:rsidR="001A7F28" w:rsidRDefault="001A7F28" w:rsidP="00BE3E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3EB934" w14:textId="77777777" w:rsidR="001A7F28" w:rsidRDefault="001A7F28" w:rsidP="001A7F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14B64" w14:textId="77777777" w:rsidR="005B45E3" w:rsidRDefault="005B45E3" w:rsidP="001A7F28">
      <w:pPr>
        <w:spacing w:after="0" w:line="240" w:lineRule="auto"/>
      </w:pPr>
      <w:r>
        <w:separator/>
      </w:r>
    </w:p>
  </w:footnote>
  <w:footnote w:type="continuationSeparator" w:id="0">
    <w:p w14:paraId="05935C8A" w14:textId="77777777" w:rsidR="005B45E3" w:rsidRDefault="005B45E3" w:rsidP="001A7F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458AF"/>
    <w:multiLevelType w:val="hybridMultilevel"/>
    <w:tmpl w:val="D79AB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0152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F28"/>
    <w:rsid w:val="000F4AE2"/>
    <w:rsid w:val="001A7F28"/>
    <w:rsid w:val="005A0F57"/>
    <w:rsid w:val="005B45E3"/>
    <w:rsid w:val="0077287A"/>
    <w:rsid w:val="00A45546"/>
    <w:rsid w:val="00C456B8"/>
    <w:rsid w:val="00D53273"/>
    <w:rsid w:val="00E1195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EB39308"/>
  <w15:chartTrackingRefBased/>
  <w15:docId w15:val="{AA0AF934-2736-4743-BCB8-DF806E77C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F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7F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7F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7F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7F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7F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7F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7F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7F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F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7F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7F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7F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7F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7F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7F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7F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7F28"/>
    <w:rPr>
      <w:rFonts w:eastAsiaTheme="majorEastAsia" w:cstheme="majorBidi"/>
      <w:color w:val="272727" w:themeColor="text1" w:themeTint="D8"/>
    </w:rPr>
  </w:style>
  <w:style w:type="paragraph" w:styleId="Title">
    <w:name w:val="Title"/>
    <w:basedOn w:val="Normal"/>
    <w:next w:val="Normal"/>
    <w:link w:val="TitleChar"/>
    <w:uiPriority w:val="10"/>
    <w:qFormat/>
    <w:rsid w:val="001A7F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7F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7F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7F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7F28"/>
    <w:pPr>
      <w:spacing w:before="160"/>
      <w:jc w:val="center"/>
    </w:pPr>
    <w:rPr>
      <w:i/>
      <w:iCs/>
      <w:color w:val="404040" w:themeColor="text1" w:themeTint="BF"/>
    </w:rPr>
  </w:style>
  <w:style w:type="character" w:customStyle="1" w:styleId="QuoteChar">
    <w:name w:val="Quote Char"/>
    <w:basedOn w:val="DefaultParagraphFont"/>
    <w:link w:val="Quote"/>
    <w:uiPriority w:val="29"/>
    <w:rsid w:val="001A7F28"/>
    <w:rPr>
      <w:i/>
      <w:iCs/>
      <w:color w:val="404040" w:themeColor="text1" w:themeTint="BF"/>
    </w:rPr>
  </w:style>
  <w:style w:type="paragraph" w:styleId="ListParagraph">
    <w:name w:val="List Paragraph"/>
    <w:basedOn w:val="Normal"/>
    <w:uiPriority w:val="34"/>
    <w:qFormat/>
    <w:rsid w:val="001A7F28"/>
    <w:pPr>
      <w:ind w:left="720"/>
      <w:contextualSpacing/>
    </w:pPr>
  </w:style>
  <w:style w:type="character" w:styleId="IntenseEmphasis">
    <w:name w:val="Intense Emphasis"/>
    <w:basedOn w:val="DefaultParagraphFont"/>
    <w:uiPriority w:val="21"/>
    <w:qFormat/>
    <w:rsid w:val="001A7F28"/>
    <w:rPr>
      <w:i/>
      <w:iCs/>
      <w:color w:val="0F4761" w:themeColor="accent1" w:themeShade="BF"/>
    </w:rPr>
  </w:style>
  <w:style w:type="paragraph" w:styleId="IntenseQuote">
    <w:name w:val="Intense Quote"/>
    <w:basedOn w:val="Normal"/>
    <w:next w:val="Normal"/>
    <w:link w:val="IntenseQuoteChar"/>
    <w:uiPriority w:val="30"/>
    <w:qFormat/>
    <w:rsid w:val="001A7F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7F28"/>
    <w:rPr>
      <w:i/>
      <w:iCs/>
      <w:color w:val="0F4761" w:themeColor="accent1" w:themeShade="BF"/>
    </w:rPr>
  </w:style>
  <w:style w:type="character" w:styleId="IntenseReference">
    <w:name w:val="Intense Reference"/>
    <w:basedOn w:val="DefaultParagraphFont"/>
    <w:uiPriority w:val="32"/>
    <w:qFormat/>
    <w:rsid w:val="001A7F28"/>
    <w:rPr>
      <w:b/>
      <w:bCs/>
      <w:smallCaps/>
      <w:color w:val="0F4761" w:themeColor="accent1" w:themeShade="BF"/>
      <w:spacing w:val="5"/>
    </w:rPr>
  </w:style>
  <w:style w:type="paragraph" w:styleId="Footer">
    <w:name w:val="footer"/>
    <w:basedOn w:val="Normal"/>
    <w:link w:val="FooterChar"/>
    <w:uiPriority w:val="99"/>
    <w:unhideWhenUsed/>
    <w:rsid w:val="001A7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F28"/>
  </w:style>
  <w:style w:type="character" w:styleId="PageNumber">
    <w:name w:val="page number"/>
    <w:basedOn w:val="DefaultParagraphFont"/>
    <w:uiPriority w:val="99"/>
    <w:semiHidden/>
    <w:unhideWhenUsed/>
    <w:rsid w:val="001A7F28"/>
  </w:style>
  <w:style w:type="paragraph" w:styleId="TOCHeading">
    <w:name w:val="TOC Heading"/>
    <w:basedOn w:val="Heading1"/>
    <w:next w:val="Normal"/>
    <w:uiPriority w:val="39"/>
    <w:unhideWhenUsed/>
    <w:qFormat/>
    <w:rsid w:val="0077287A"/>
    <w:pPr>
      <w:spacing w:before="480" w:after="0" w:line="276" w:lineRule="auto"/>
      <w:outlineLvl w:val="9"/>
    </w:pPr>
    <w:rPr>
      <w:rFonts w:ascii="Segoe UI" w:hAnsi="Segoe UI"/>
      <w:bCs/>
      <w:kern w:val="0"/>
      <w:sz w:val="28"/>
      <w:szCs w:val="28"/>
      <w:lang w:val="en-US"/>
      <w14:ligatures w14:val="none"/>
    </w:rPr>
  </w:style>
  <w:style w:type="paragraph" w:styleId="TOC1">
    <w:name w:val="toc 1"/>
    <w:basedOn w:val="Normal"/>
    <w:next w:val="Normal"/>
    <w:autoRedefine/>
    <w:uiPriority w:val="39"/>
    <w:unhideWhenUsed/>
    <w:rsid w:val="0077287A"/>
    <w:pPr>
      <w:spacing w:before="120" w:after="0" w:line="259" w:lineRule="auto"/>
    </w:pPr>
    <w:rPr>
      <w:rFonts w:ascii="Segoe UI" w:eastAsiaTheme="minorEastAsia" w:hAnsi="Segoe UI" w:cstheme="minorHAnsi"/>
      <w:b/>
      <w:bCs/>
      <w:i/>
      <w:iCs/>
      <w:lang w:eastAsia="zh-CN"/>
    </w:rPr>
  </w:style>
  <w:style w:type="paragraph" w:styleId="TOC2">
    <w:name w:val="toc 2"/>
    <w:basedOn w:val="Normal"/>
    <w:next w:val="Normal"/>
    <w:autoRedefine/>
    <w:uiPriority w:val="39"/>
    <w:unhideWhenUsed/>
    <w:rsid w:val="0077287A"/>
    <w:pPr>
      <w:spacing w:before="120" w:after="0" w:line="259" w:lineRule="auto"/>
      <w:ind w:left="220"/>
    </w:pPr>
    <w:rPr>
      <w:rFonts w:ascii="Segoe UI" w:eastAsiaTheme="minorEastAsia" w:hAnsi="Segoe UI" w:cstheme="minorHAnsi"/>
      <w:b/>
      <w:bCs/>
      <w:sz w:val="20"/>
      <w:szCs w:val="22"/>
      <w:lang w:eastAsia="zh-CN"/>
    </w:rPr>
  </w:style>
  <w:style w:type="character" w:styleId="Hyperlink">
    <w:name w:val="Hyperlink"/>
    <w:basedOn w:val="DefaultParagraphFont"/>
    <w:uiPriority w:val="99"/>
    <w:unhideWhenUsed/>
    <w:rsid w:val="0077287A"/>
    <w:rPr>
      <w:color w:val="467886" w:themeColor="hyperlink"/>
      <w:u w:val="single"/>
    </w:rPr>
  </w:style>
  <w:style w:type="character" w:customStyle="1" w:styleId="apple-converted-space">
    <w:name w:val="apple-converted-space"/>
    <w:basedOn w:val="DefaultParagraphFont"/>
    <w:rsid w:val="0077287A"/>
  </w:style>
  <w:style w:type="character" w:styleId="Strong">
    <w:name w:val="Strong"/>
    <w:basedOn w:val="DefaultParagraphFont"/>
    <w:uiPriority w:val="22"/>
    <w:qFormat/>
    <w:rsid w:val="0077287A"/>
    <w:rPr>
      <w:b/>
      <w:bCs/>
    </w:rPr>
  </w:style>
  <w:style w:type="paragraph" w:customStyle="1" w:styleId="p1">
    <w:name w:val="p1"/>
    <w:basedOn w:val="Normal"/>
    <w:rsid w:val="0077287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77287A"/>
  </w:style>
  <w:style w:type="paragraph" w:customStyle="1" w:styleId="p2">
    <w:name w:val="p2"/>
    <w:basedOn w:val="Normal"/>
    <w:rsid w:val="0077287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77287A"/>
  </w:style>
  <w:style w:type="character" w:customStyle="1" w:styleId="s2">
    <w:name w:val="s2"/>
    <w:basedOn w:val="DefaultParagraphFont"/>
    <w:rsid w:val="0077287A"/>
  </w:style>
  <w:style w:type="character" w:styleId="FollowedHyperlink">
    <w:name w:val="FollowedHyperlink"/>
    <w:basedOn w:val="DefaultParagraphFont"/>
    <w:uiPriority w:val="99"/>
    <w:semiHidden/>
    <w:unhideWhenUsed/>
    <w:rsid w:val="0077287A"/>
    <w:rPr>
      <w:color w:val="96607D" w:themeColor="followedHyperlink"/>
      <w:u w:val="single"/>
    </w:rPr>
  </w:style>
  <w:style w:type="paragraph" w:styleId="TOC3">
    <w:name w:val="toc 3"/>
    <w:basedOn w:val="Normal"/>
    <w:next w:val="Normal"/>
    <w:autoRedefine/>
    <w:uiPriority w:val="39"/>
    <w:unhideWhenUsed/>
    <w:rsid w:val="0077287A"/>
    <w:pPr>
      <w:spacing w:after="100"/>
      <w:ind w:left="480"/>
    </w:pPr>
  </w:style>
  <w:style w:type="character" w:styleId="UnresolvedMention">
    <w:name w:val="Unresolved Mention"/>
    <w:basedOn w:val="DefaultParagraphFont"/>
    <w:uiPriority w:val="99"/>
    <w:semiHidden/>
    <w:unhideWhenUsed/>
    <w:rsid w:val="00D532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80/13811118.2018.14306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240</TotalTime>
  <Pages>8</Pages>
  <Words>2128</Words>
  <Characters>10683</Characters>
  <Application>Microsoft Office Word</Application>
  <DocSecurity>0</DocSecurity>
  <Lines>288</Lines>
  <Paragraphs>79</Paragraphs>
  <ScaleCrop>false</ScaleCrop>
  <Company/>
  <LinksUpToDate>false</LinksUpToDate>
  <CharactersWithSpaces>12732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 Abouelela (2521456)</dc:creator>
  <cp:keywords/>
  <dc:description/>
  <cp:lastModifiedBy>Khadija Abouelela (2521456)</cp:lastModifiedBy>
  <cp:revision>4</cp:revision>
  <dcterms:created xsi:type="dcterms:W3CDTF">2026-03-05T11:40:00Z</dcterms:created>
  <dcterms:modified xsi:type="dcterms:W3CDTF">2026-03-16T11:19:00Z</dcterms:modified>
</cp:coreProperties>
</file>