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Use the following two images to distinguish different art styles we find during the Amarna Period. Explain the distinctiveness of both styles and date them.</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In the Amarna period, the king Akhenaten in his fourth regnal year introduced a new art style that had been developing from the work of his father, Amenhotep III, who had introduced sun-disks into Egyptian iconography with the creation of th</w:t>
      </w:r>
      <w:r>
        <w:rPr>
          <w:rFonts w:ascii="Arial" w:eastAsia="Times New Roman" w:hAnsi="Arial" w:cs="Arial"/>
          <w:color w:val="000000"/>
          <w:lang w:eastAsia="en-GB"/>
        </w:rPr>
        <w:t>e god Re-Horakhty (Laboury, 2011</w:t>
      </w:r>
      <w:r w:rsidRPr="00A60613">
        <w:rPr>
          <w:rFonts w:ascii="Arial" w:eastAsia="Times New Roman" w:hAnsi="Arial" w:cs="Arial"/>
          <w:color w:val="000000"/>
          <w:lang w:eastAsia="en-GB"/>
        </w:rPr>
        <w:t>). Amenhotep started having his art drawn in a more naturalistic way, moving away from the paradigms of formal artistic representations that relied on the canon of proportions. Akhenaten took this idea from his father and expanded it, he had the sculptures of himself and his family sculpted in a way which showed human flaws, such as wide hips, a stretched cranium and elongated fingers and toes. The focus on the art style was the Aten, a god that encompassed the rest of the Egyptian pantheon and was to be worshipped solely. This new art style was a huge step away from traditional Egyptian art, in which the pharaoh and the royal family were depicted in an idealised state, and whose sculptures and statues were reminiscent of those of the gods. The presence of the deformed statue has led to beliefs that Akhenaten himself was deformed or suffered from physical handicaps, an idea that has been opposed through analysis of his bodil</w:t>
      </w:r>
      <w:r>
        <w:rPr>
          <w:rFonts w:ascii="Arial" w:eastAsia="Times New Roman" w:hAnsi="Arial" w:cs="Arial"/>
          <w:color w:val="000000"/>
          <w:lang w:eastAsia="en-GB"/>
        </w:rPr>
        <w:t>y remains (Hawass, 2010) and ye</w:t>
      </w:r>
      <w:r w:rsidRPr="00A60613">
        <w:rPr>
          <w:rFonts w:ascii="Arial" w:eastAsia="Times New Roman" w:hAnsi="Arial" w:cs="Arial"/>
          <w:color w:val="000000"/>
          <w:lang w:eastAsia="en-GB"/>
        </w:rPr>
        <w:t xml:space="preserve">t still rages amongst archaeologists many of whom firmly believed that Akhenaten was a sufferer of Marfan’s syndrome. </w:t>
      </w:r>
    </w:p>
    <w:p w:rsidR="00A60613" w:rsidRPr="00A60613" w:rsidRDefault="00A60613" w:rsidP="00A60613">
      <w:pPr>
        <w:spacing w:after="24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The first image is of a relief, the subject of which is being drawn from a profile angle and in 2-D. This is standard of the traditional art style of ancient Egypt that respects the rules of the canon of proportions; the grid system used by the Egyptians to keep the proportions of all art the same (Robins, 1994). This relief shows a round disc above the head of Nefertiti. This is because of the introduction of sun disks into Egyptian iconography by Amenhotep III, but the relief being of Nefertiti would more likely be the work of Akhenaten, this is curious as the old style being used in conjunction with symbols of the Aten is a novelty in Ancient Egypt. This makes the relief rather easy to date, as there are debates amongst scholars that argue whether during the final years of Amenhotep III’s reign, power had been handed down to Amenhotep IV and that he had started to distribute his ideas for a new religion before his father had died and before he became pharaoh (Johnson, 1984).</w:t>
      </w:r>
      <w:r>
        <w:rPr>
          <w:rFonts w:ascii="Arial" w:eastAsia="Times New Roman" w:hAnsi="Arial" w:cs="Arial"/>
          <w:color w:val="000000"/>
          <w:lang w:eastAsia="en-GB"/>
        </w:rPr>
        <w:t xml:space="preserve"> This art style has been described as “excessive, caricatural, and even grotesque” (Laboury, 2011).</w:t>
      </w:r>
      <w:r w:rsidRPr="00A60613">
        <w:rPr>
          <w:rFonts w:ascii="Arial" w:eastAsia="Times New Roman" w:hAnsi="Arial" w:cs="Arial"/>
          <w:color w:val="000000"/>
          <w:lang w:eastAsia="en-GB"/>
        </w:rPr>
        <w:t xml:space="preserve"> The object can, therefore, be dated to around 1343-1353 BCE the last 10 regnal years of Amenhotep III’s reign. What is clear is the facial features shown by Nefertiti. She bears a striking resemblance to Akhenaten, which in Egyptian custom displayed the Queen’s connection to the god-king (the pharaoh) and to “assure her connection to the god” (Arnold, 1996).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The first image is distinctive to the reign of Amenhotep III as it displays the sun disk, introduced by Amenhotep III to represent the sun god Re-Horakhty and is also in the two-dimensional style associated with the pre-Amarna period. This introduction of the sun disk is the foundation of what Akhenaten’s newly imagined naturalist art and even his ideologies, were to become within the Amarna period. Evidence provided by Gay Robins, suggest that during Amenhotep III’s reign, it was only political and important figures that would have received accuracy with the canon of proportions, “peasants, labourers, dancers and musicians would be drawn with a few simple guidelines or by freehand” (Robins, 2008). This cements the idea that the woman in the relief is of Nefertiti as she was of course a very important figure within the Egyptian royal family.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The second image, known as ‘The Standing Statue of Nefertiti’ is clear evidence of Akhenaten’s complete transition to a new art style in the Amarna period. What is unique about this statue, is that this naturalist process allows us to date the subject of the statue, </w:t>
      </w:r>
      <w:r w:rsidRPr="00A60613">
        <w:rPr>
          <w:rFonts w:ascii="Arial" w:eastAsia="Times New Roman" w:hAnsi="Arial" w:cs="Arial"/>
          <w:color w:val="000000"/>
          <w:lang w:eastAsia="en-GB"/>
        </w:rPr>
        <w:lastRenderedPageBreak/>
        <w:t>but not when it was actually made. This is due to the fact that this statue has been made with Nefertiti being given aged features. Her face is wrinkled, her buttocks, breasts and abdomen are that of an older woman who has gone through childbirth, and she displays the left leg forward pose, typical of the new art style introduced in Amarna.</w:t>
      </w:r>
      <w:r>
        <w:rPr>
          <w:rFonts w:ascii="Arial" w:eastAsia="Times New Roman" w:hAnsi="Arial" w:cs="Arial"/>
          <w:color w:val="000000"/>
          <w:lang w:eastAsia="en-GB"/>
        </w:rPr>
        <w:t xml:space="preserve"> The eyes of that statue have also been left unfinished, which if compared to other examples of sculptures in the new style, would have also had a realistic, naturalistic look to them.</w:t>
      </w:r>
      <w:bookmarkStart w:id="0" w:name="_GoBack"/>
      <w:bookmarkEnd w:id="0"/>
      <w:r w:rsidRPr="00A60613">
        <w:rPr>
          <w:rFonts w:ascii="Arial" w:eastAsia="Times New Roman" w:hAnsi="Arial" w:cs="Arial"/>
          <w:color w:val="000000"/>
          <w:lang w:eastAsia="en-GB"/>
        </w:rPr>
        <w:t xml:space="preserve"> With the knowledge that this was made during the reign of Akhenaten, the fact that Nefertiti has gone through childbirth tells us that the statue was based on Nefertiti between the birth of her first daughter, Meritaten, and after the birth of her sixth daughter, Setepenre. This would date the statue to well within the reign of Akhenaten from approximately 1343-1336 BCE, the period in which his children are the most present in Royal depictions of the family.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As explained before, this type of art style was a novelty in ancient Egypt as those from the royal families would not typically be displayed with faults and flaws and almost certainly not made to look old on purpose, the pharaoh and the queen typically would want to preserve their youth. This is typical within Amarna art, as Whitney Davis comments that Amarna art is meant to portray a series of “fleeting moments” for the purpose of transitory art” (Davis, 1978). Davis, however, holds the belief that the changes in Amarna art were not a step away from tradition, but the “changes in artistic method and a broadening of world views” led to its creation as a step in the evolution of 18th dynasty art (Davis, 1978).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The distinctiveness of the second style comes mainly from the changes from two-dimensional figures and idealised states to images of more natural quality in the king’s fourth regnal year. As well as this the Aten started to be depicted as personified characteristic of Re-Horakhty and displayed two cartouches with his reliefs (Rabie, 2013). The purpose of the second art style in Amarna was to emphasise the importance of nature and “living in truth” to Akhenaten, which explains the more realistic features found in the art. This art style died with the Amarna period except for some rounded bellies of males in the 19th dynasty and reverted largely back to the pre-Amarna styles such as in the relief of the first image (Hartwig, 2014).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In conclusion, while the images themselves are of the same person, the two emerging art styles could not be more different. The first is from the time of the alleged co regency between Amenhotep III and his son Amenhotep IV. The second image is clearly from within Akhenaten's reign due to the naturalist style implemented to make Nefertiti look older. </w:t>
      </w:r>
    </w:p>
    <w:p w:rsidR="00A60613" w:rsidRPr="00A60613" w:rsidRDefault="00A60613" w:rsidP="00A60613">
      <w:pPr>
        <w:spacing w:after="24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 </w:t>
      </w:r>
    </w:p>
    <w:p w:rsidR="00A60613" w:rsidRPr="00A60613" w:rsidRDefault="00A60613" w:rsidP="00A60613">
      <w:pPr>
        <w:spacing w:after="240" w:line="240" w:lineRule="auto"/>
        <w:rPr>
          <w:rFonts w:ascii="Times New Roman" w:eastAsia="Times New Roman" w:hAnsi="Times New Roman" w:cs="Times New Roman"/>
          <w:sz w:val="24"/>
          <w:szCs w:val="24"/>
          <w:lang w:eastAsia="en-GB"/>
        </w:rPr>
      </w:pPr>
      <w:r w:rsidRPr="00A60613">
        <w:rPr>
          <w:rFonts w:ascii="Times New Roman" w:eastAsia="Times New Roman" w:hAnsi="Times New Roman" w:cs="Times New Roman"/>
          <w:sz w:val="24"/>
          <w:szCs w:val="24"/>
          <w:lang w:eastAsia="en-GB"/>
        </w:rPr>
        <w:br/>
      </w: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Default="00A60613" w:rsidP="00A60613">
      <w:pPr>
        <w:spacing w:after="0" w:line="240" w:lineRule="auto"/>
        <w:rPr>
          <w:rFonts w:ascii="Arial" w:eastAsia="Times New Roman" w:hAnsi="Arial" w:cs="Arial"/>
          <w:color w:val="000000"/>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Bibliography</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sz w:val="20"/>
          <w:szCs w:val="20"/>
          <w:shd w:val="clear" w:color="auto" w:fill="FFFFFF"/>
          <w:lang w:eastAsia="en-GB"/>
        </w:rPr>
        <w:t xml:space="preserve">Arnold, D. (1996). </w:t>
      </w:r>
      <w:r w:rsidRPr="00A60613">
        <w:rPr>
          <w:rFonts w:ascii="Arial" w:eastAsia="Times New Roman" w:hAnsi="Arial" w:cs="Arial"/>
          <w:i/>
          <w:iCs/>
          <w:color w:val="000000"/>
          <w:sz w:val="20"/>
          <w:szCs w:val="20"/>
          <w:shd w:val="clear" w:color="auto" w:fill="FFFFFF"/>
          <w:lang w:eastAsia="en-GB"/>
        </w:rPr>
        <w:t>The Royal Women of Amarna: Images of Beauty from Ancient Egypt</w:t>
      </w:r>
      <w:r w:rsidRPr="00A60613">
        <w:rPr>
          <w:rFonts w:ascii="Arial" w:eastAsia="Times New Roman" w:hAnsi="Arial" w:cs="Arial"/>
          <w:color w:val="000000"/>
          <w:sz w:val="20"/>
          <w:szCs w:val="20"/>
          <w:shd w:val="clear" w:color="auto" w:fill="FFFFFF"/>
          <w:lang w:eastAsia="en-GB"/>
        </w:rPr>
        <w:t>. New York: Metropolitan Museum of Art, p.18.</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lang w:eastAsia="en-GB"/>
        </w:rPr>
        <w:t xml:space="preserve"> </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sz w:val="20"/>
          <w:szCs w:val="20"/>
          <w:lang w:eastAsia="en-GB"/>
        </w:rPr>
        <w:t xml:space="preserve">Davis, W. (1978). Two Compositional Tendencies in Amarna Relief. </w:t>
      </w:r>
      <w:r w:rsidRPr="00A60613">
        <w:rPr>
          <w:rFonts w:ascii="Arial" w:eastAsia="Times New Roman" w:hAnsi="Arial" w:cs="Arial"/>
          <w:i/>
          <w:iCs/>
          <w:color w:val="000000"/>
          <w:sz w:val="20"/>
          <w:szCs w:val="20"/>
          <w:lang w:eastAsia="en-GB"/>
        </w:rPr>
        <w:t>American Journal of Archaeology</w:t>
      </w:r>
      <w:r w:rsidRPr="00A60613">
        <w:rPr>
          <w:rFonts w:ascii="Arial" w:eastAsia="Times New Roman" w:hAnsi="Arial" w:cs="Arial"/>
          <w:color w:val="000000"/>
          <w:sz w:val="20"/>
          <w:szCs w:val="20"/>
          <w:lang w:eastAsia="en-GB"/>
        </w:rPr>
        <w:t>, 82(3), pp.387-394.</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sz w:val="20"/>
          <w:szCs w:val="20"/>
          <w:shd w:val="clear" w:color="auto" w:fill="FFFFFF"/>
          <w:lang w:eastAsia="en-GB"/>
        </w:rPr>
        <w:t xml:space="preserve">Hartwig, M. (2014). </w:t>
      </w:r>
      <w:r w:rsidRPr="00A60613">
        <w:rPr>
          <w:rFonts w:ascii="Arial" w:eastAsia="Times New Roman" w:hAnsi="Arial" w:cs="Arial"/>
          <w:i/>
          <w:iCs/>
          <w:color w:val="000000"/>
          <w:sz w:val="20"/>
          <w:szCs w:val="20"/>
          <w:shd w:val="clear" w:color="auto" w:fill="FFFFFF"/>
          <w:lang w:eastAsia="en-GB"/>
        </w:rPr>
        <w:t>A Companion to Ancient Egyptian Art</w:t>
      </w:r>
      <w:r w:rsidRPr="00A60613">
        <w:rPr>
          <w:rFonts w:ascii="Arial" w:eastAsia="Times New Roman" w:hAnsi="Arial" w:cs="Arial"/>
          <w:color w:val="000000"/>
          <w:sz w:val="20"/>
          <w:szCs w:val="20"/>
          <w:shd w:val="clear" w:color="auto" w:fill="FFFFFF"/>
          <w:lang w:eastAsia="en-GB"/>
        </w:rPr>
        <w:t>. Chichester: John Wiley &amp; Sons, p.341.</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sz w:val="20"/>
          <w:szCs w:val="20"/>
          <w:shd w:val="clear" w:color="auto" w:fill="FFFFFF"/>
          <w:lang w:eastAsia="en-GB"/>
        </w:rPr>
        <w:t xml:space="preserve">Hawass, J. (2010). Ancestry and pathology in King Tutankhamun’s family. </w:t>
      </w:r>
      <w:r w:rsidRPr="00A60613">
        <w:rPr>
          <w:rFonts w:ascii="Arial" w:eastAsia="Times New Roman" w:hAnsi="Arial" w:cs="Arial"/>
          <w:i/>
          <w:iCs/>
          <w:color w:val="000000"/>
          <w:sz w:val="20"/>
          <w:szCs w:val="20"/>
          <w:shd w:val="clear" w:color="auto" w:fill="FFFFFF"/>
          <w:lang w:eastAsia="en-GB"/>
        </w:rPr>
        <w:t>Journal of the American Medical Association</w:t>
      </w:r>
      <w:r w:rsidRPr="00A60613">
        <w:rPr>
          <w:rFonts w:ascii="Arial" w:eastAsia="Times New Roman" w:hAnsi="Arial" w:cs="Arial"/>
          <w:color w:val="000000"/>
          <w:sz w:val="20"/>
          <w:szCs w:val="20"/>
          <w:shd w:val="clear" w:color="auto" w:fill="FFFFFF"/>
          <w:lang w:eastAsia="en-GB"/>
        </w:rPr>
        <w:t>, 303(7), p.2.</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sz w:val="20"/>
          <w:szCs w:val="20"/>
          <w:shd w:val="clear" w:color="auto" w:fill="FFFFFF"/>
          <w:lang w:eastAsia="en-GB"/>
        </w:rPr>
        <w:t xml:space="preserve">Johnson, W. (1996). Amenhotep III and Amarna: Some New Considerations. </w:t>
      </w:r>
      <w:r w:rsidRPr="00A60613">
        <w:rPr>
          <w:rFonts w:ascii="Arial" w:eastAsia="Times New Roman" w:hAnsi="Arial" w:cs="Arial"/>
          <w:i/>
          <w:iCs/>
          <w:color w:val="000000"/>
          <w:sz w:val="20"/>
          <w:szCs w:val="20"/>
          <w:shd w:val="clear" w:color="auto" w:fill="FFFFFF"/>
          <w:lang w:eastAsia="en-GB"/>
        </w:rPr>
        <w:t>The Journal of Egyptian Archaeology</w:t>
      </w:r>
      <w:r w:rsidRPr="00A60613">
        <w:rPr>
          <w:rFonts w:ascii="Arial" w:eastAsia="Times New Roman" w:hAnsi="Arial" w:cs="Arial"/>
          <w:color w:val="000000"/>
          <w:sz w:val="20"/>
          <w:szCs w:val="20"/>
          <w:shd w:val="clear" w:color="auto" w:fill="FFFFFF"/>
          <w:lang w:eastAsia="en-GB"/>
        </w:rPr>
        <w:t>, 82, p.65.</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sz w:val="20"/>
          <w:szCs w:val="20"/>
          <w:shd w:val="clear" w:color="auto" w:fill="FFFFFF"/>
          <w:lang w:eastAsia="en-GB"/>
        </w:rPr>
        <w:t xml:space="preserve">Laboury, D. (2011). Amarna Art. </w:t>
      </w:r>
      <w:r w:rsidRPr="00A60613">
        <w:rPr>
          <w:rFonts w:ascii="Arial" w:eastAsia="Times New Roman" w:hAnsi="Arial" w:cs="Arial"/>
          <w:i/>
          <w:iCs/>
          <w:color w:val="000000"/>
          <w:sz w:val="20"/>
          <w:szCs w:val="20"/>
          <w:shd w:val="clear" w:color="auto" w:fill="FFFFFF"/>
          <w:lang w:eastAsia="en-GB"/>
        </w:rPr>
        <w:t>UCLA Encyclopaedia of Egyptology</w:t>
      </w:r>
      <w:r w:rsidRPr="00A60613">
        <w:rPr>
          <w:rFonts w:ascii="Arial" w:eastAsia="Times New Roman" w:hAnsi="Arial" w:cs="Arial"/>
          <w:color w:val="000000"/>
          <w:sz w:val="20"/>
          <w:szCs w:val="20"/>
          <w:shd w:val="clear" w:color="auto" w:fill="FFFFFF"/>
          <w:lang w:eastAsia="en-GB"/>
        </w:rPr>
        <w:t>, 1(1), pp.1-18.</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sz w:val="20"/>
          <w:szCs w:val="20"/>
          <w:shd w:val="clear" w:color="auto" w:fill="FFFFFF"/>
          <w:lang w:eastAsia="en-GB"/>
        </w:rPr>
        <w:t>Rabie, Riana. (2013). The Revolution of Atenism: Akhenaten’s Religion of Light' and its reflection in Amarna Art. 10.13140</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sz w:val="20"/>
          <w:szCs w:val="20"/>
          <w:shd w:val="clear" w:color="auto" w:fill="FFFFFF"/>
          <w:lang w:eastAsia="en-GB"/>
        </w:rPr>
        <w:t xml:space="preserve">Robins, G. (1994). On Supposed Connections between the 'Canon of Proportions' and Metrology. </w:t>
      </w:r>
      <w:r w:rsidRPr="00A60613">
        <w:rPr>
          <w:rFonts w:ascii="Arial" w:eastAsia="Times New Roman" w:hAnsi="Arial" w:cs="Arial"/>
          <w:i/>
          <w:iCs/>
          <w:color w:val="000000"/>
          <w:sz w:val="20"/>
          <w:szCs w:val="20"/>
          <w:shd w:val="clear" w:color="auto" w:fill="FFFFFF"/>
          <w:lang w:eastAsia="en-GB"/>
        </w:rPr>
        <w:t>The Journal of Egyptian Archaeology</w:t>
      </w:r>
      <w:r w:rsidRPr="00A60613">
        <w:rPr>
          <w:rFonts w:ascii="Arial" w:eastAsia="Times New Roman" w:hAnsi="Arial" w:cs="Arial"/>
          <w:color w:val="000000"/>
          <w:sz w:val="20"/>
          <w:szCs w:val="20"/>
          <w:shd w:val="clear" w:color="auto" w:fill="FFFFFF"/>
          <w:lang w:eastAsia="en-GB"/>
        </w:rPr>
        <w:t>, 80, pp.191-194</w:t>
      </w:r>
    </w:p>
    <w:p w:rsidR="00A60613" w:rsidRPr="00A60613" w:rsidRDefault="00A60613" w:rsidP="00A60613">
      <w:pPr>
        <w:spacing w:after="0" w:line="240" w:lineRule="auto"/>
        <w:rPr>
          <w:rFonts w:ascii="Times New Roman" w:eastAsia="Times New Roman" w:hAnsi="Times New Roman" w:cs="Times New Roman"/>
          <w:sz w:val="24"/>
          <w:szCs w:val="24"/>
          <w:lang w:eastAsia="en-GB"/>
        </w:rPr>
      </w:pPr>
    </w:p>
    <w:p w:rsidR="00A60613" w:rsidRPr="00A60613" w:rsidRDefault="00A60613" w:rsidP="00A60613">
      <w:pPr>
        <w:spacing w:after="0" w:line="240" w:lineRule="auto"/>
        <w:rPr>
          <w:rFonts w:ascii="Times New Roman" w:eastAsia="Times New Roman" w:hAnsi="Times New Roman" w:cs="Times New Roman"/>
          <w:sz w:val="24"/>
          <w:szCs w:val="24"/>
          <w:lang w:eastAsia="en-GB"/>
        </w:rPr>
      </w:pPr>
      <w:r w:rsidRPr="00A60613">
        <w:rPr>
          <w:rFonts w:ascii="Arial" w:eastAsia="Times New Roman" w:hAnsi="Arial" w:cs="Arial"/>
          <w:color w:val="000000"/>
          <w:sz w:val="20"/>
          <w:szCs w:val="20"/>
          <w:shd w:val="clear" w:color="auto" w:fill="FFFFFF"/>
          <w:lang w:eastAsia="en-GB"/>
        </w:rPr>
        <w:t xml:space="preserve">Robins, G. (2008). </w:t>
      </w:r>
      <w:r w:rsidRPr="00A60613">
        <w:rPr>
          <w:rFonts w:ascii="Arial" w:eastAsia="Times New Roman" w:hAnsi="Arial" w:cs="Arial"/>
          <w:i/>
          <w:iCs/>
          <w:color w:val="000000"/>
          <w:sz w:val="20"/>
          <w:szCs w:val="20"/>
          <w:shd w:val="clear" w:color="auto" w:fill="FFFFFF"/>
          <w:lang w:eastAsia="en-GB"/>
        </w:rPr>
        <w:t>The Art of Ancient Egypt</w:t>
      </w:r>
      <w:r w:rsidRPr="00A60613">
        <w:rPr>
          <w:rFonts w:ascii="Arial" w:eastAsia="Times New Roman" w:hAnsi="Arial" w:cs="Arial"/>
          <w:color w:val="000000"/>
          <w:sz w:val="20"/>
          <w:szCs w:val="20"/>
          <w:shd w:val="clear" w:color="auto" w:fill="FFFFFF"/>
          <w:lang w:eastAsia="en-GB"/>
        </w:rPr>
        <w:t xml:space="preserve">. Cambridge: Harvard University Press, p.177. </w:t>
      </w:r>
      <w:r w:rsidRPr="00A60613">
        <w:rPr>
          <w:rFonts w:ascii="Arial" w:eastAsia="Times New Roman" w:hAnsi="Arial" w:cs="Arial"/>
          <w:color w:val="000000"/>
          <w:sz w:val="20"/>
          <w:szCs w:val="20"/>
          <w:lang w:eastAsia="en-GB"/>
        </w:rPr>
        <w:t>DOI: 10.13140   https://www.researchgate.net/publication/327436925_THE_REVOLUTION_OF_ATENISM_AKHENATEN'S_'RELIGION_OF_LIGHT'_AND_ITS_REFLECTION_IN_AMARNA_ART</w:t>
      </w:r>
      <w:r w:rsidRPr="00A60613">
        <w:rPr>
          <w:rFonts w:ascii="Arial" w:eastAsia="Times New Roman" w:hAnsi="Arial" w:cs="Arial"/>
          <w:color w:val="000000"/>
          <w:sz w:val="20"/>
          <w:szCs w:val="20"/>
          <w:shd w:val="clear" w:color="auto" w:fill="FFFFFF"/>
          <w:lang w:eastAsia="en-GB"/>
        </w:rPr>
        <w:t xml:space="preserve"> [02/06/19]</w:t>
      </w:r>
    </w:p>
    <w:p w:rsidR="00AA7709" w:rsidRDefault="00AA7709"/>
    <w:sectPr w:rsidR="00AA77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0613"/>
    <w:rsid w:val="00A60613"/>
    <w:rsid w:val="00AA7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4A000"/>
  <w15:chartTrackingRefBased/>
  <w15:docId w15:val="{CA51B546-F0E7-450D-AE06-866AB62F3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6061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109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1217</Words>
  <Characters>6938</Characters>
  <Application>Microsoft Office Word</Application>
  <DocSecurity>0</DocSecurity>
  <Lines>57</Lines>
  <Paragraphs>16</Paragraphs>
  <ScaleCrop>false</ScaleCrop>
  <Company>University of Wales Trinity Saint David</Company>
  <LinksUpToDate>false</LinksUpToDate>
  <CharactersWithSpaces>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Sowton (1702624)</dc:creator>
  <cp:keywords/>
  <dc:description/>
  <cp:lastModifiedBy>Scott Sowton (1702624)</cp:lastModifiedBy>
  <cp:revision>1</cp:revision>
  <dcterms:created xsi:type="dcterms:W3CDTF">2019-06-07T02:58:00Z</dcterms:created>
  <dcterms:modified xsi:type="dcterms:W3CDTF">2019-06-07T03:05:00Z</dcterms:modified>
</cp:coreProperties>
</file>