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893A0" w14:textId="77777777" w:rsidR="00AB15E2" w:rsidRPr="00190649" w:rsidRDefault="00AB15E2" w:rsidP="00AB15E2">
      <w:pPr>
        <w:rPr>
          <w:rFonts w:eastAsia="Times New Roman" w:cs="Times New Roman"/>
          <w:color w:val="000000"/>
          <w:kern w:val="36"/>
          <w14:ligatures w14:val="none"/>
        </w:rPr>
      </w:pPr>
    </w:p>
    <w:p w14:paraId="53B44FA5"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Introduction</w:t>
      </w:r>
    </w:p>
    <w:p w14:paraId="476043C8" w14:textId="77777777" w:rsidR="00AB15E2" w:rsidRPr="00190649" w:rsidRDefault="00AB15E2" w:rsidP="00AB15E2">
      <w:pPr>
        <w:rPr>
          <w:rFonts w:eastAsia="Times New Roman" w:cs="Times New Roman"/>
          <w:color w:val="000000"/>
          <w:kern w:val="36"/>
          <w14:ligatures w14:val="none"/>
        </w:rPr>
      </w:pPr>
    </w:p>
    <w:p w14:paraId="53153D80"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Health, wellbeing and lifestyle are central to understanding how young children grow, learn and develop within their early environments. Early childhood is a period of rapid neurological, physical and emotional development, during which children are highly sensitive to the quality of their relationships, routines and surroundings. Research consistently shows that early experiences shape long</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term outcomes, influencing physical health, emotional resilience, cognitive functioning and social competence (</w:t>
      </w:r>
      <w:proofErr w:type="spellStart"/>
      <w:r w:rsidRPr="00190649">
        <w:rPr>
          <w:rFonts w:eastAsia="Times New Roman" w:cs="Times New Roman"/>
          <w:color w:val="000000"/>
          <w:kern w:val="36"/>
          <w14:ligatures w14:val="none"/>
        </w:rPr>
        <w:t>Shonkoff</w:t>
      </w:r>
      <w:proofErr w:type="spellEnd"/>
      <w:r w:rsidRPr="00190649">
        <w:rPr>
          <w:rFonts w:eastAsia="Times New Roman" w:cs="Times New Roman"/>
          <w:color w:val="000000"/>
          <w:kern w:val="36"/>
          <w14:ligatures w14:val="none"/>
        </w:rPr>
        <w:t xml:space="preserve"> et al., 2012; Moore et al., 2015). These early foundations are particularly significant in Wales, where the Curriculum for Wales (Welsh Government, 2022) positions Health and Wellbeing as a core Area of Learning and Experience (AoLE). The curriculum emphasises that children must be supported to become healthy, confident individuals who can manage their physical, emotional and social needs. Understanding the concepts of health, wellbeing and lifestyle is therefore essential for recognising how early experiences contribute to children’s immediate development and future life chances.</w:t>
      </w:r>
    </w:p>
    <w:p w14:paraId="70E53C47" w14:textId="77777777" w:rsidR="00AB15E2" w:rsidRPr="00190649" w:rsidRDefault="00AB15E2" w:rsidP="00AB15E2">
      <w:pPr>
        <w:rPr>
          <w:rFonts w:eastAsia="Times New Roman" w:cs="Times New Roman"/>
          <w:color w:val="000000"/>
          <w:kern w:val="36"/>
          <w14:ligatures w14:val="none"/>
        </w:rPr>
      </w:pPr>
    </w:p>
    <w:p w14:paraId="25465566"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Key Concepts</w:t>
      </w:r>
    </w:p>
    <w:p w14:paraId="1646E939" w14:textId="77777777" w:rsidR="00AB15E2" w:rsidRPr="00190649" w:rsidRDefault="00AB15E2" w:rsidP="00AB15E2">
      <w:pPr>
        <w:rPr>
          <w:rFonts w:eastAsia="Times New Roman" w:cs="Times New Roman"/>
          <w:color w:val="000000"/>
          <w:kern w:val="36"/>
          <w14:ligatures w14:val="none"/>
        </w:rPr>
      </w:pPr>
    </w:p>
    <w:p w14:paraId="396DE7E7"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 xml:space="preserve">Health, wellbeing and lifestyle are interconnected concepts that together shape children’s developmental pathways. Health refers to children’s physical, emotional and developmental functioning, including nutrition, sleep, physical activity and the biological systems that support learning and behaviour (Khan et al., 2014; Birch &amp; Ventura, 2009). Wellbeing describes how children feel and function, encompassing emotional security, social connection and engagement (Dodge et al., 2012; Laevers, 2015). Lifestyle refers to the daily routines and habits that structure children’s lives, such as eating patterns, sleep routines, physical activity and media use (Timmons et al., 2012; </w:t>
      </w:r>
      <w:proofErr w:type="spellStart"/>
      <w:r w:rsidRPr="00190649">
        <w:rPr>
          <w:rFonts w:eastAsia="Times New Roman" w:cs="Times New Roman"/>
          <w:color w:val="000000"/>
          <w:kern w:val="36"/>
          <w14:ligatures w14:val="none"/>
        </w:rPr>
        <w:t>Radesky</w:t>
      </w:r>
      <w:proofErr w:type="spellEnd"/>
      <w:r w:rsidRPr="00190649">
        <w:rPr>
          <w:rFonts w:eastAsia="Times New Roman" w:cs="Times New Roman"/>
          <w:color w:val="000000"/>
          <w:kern w:val="36"/>
          <w14:ligatures w14:val="none"/>
        </w:rPr>
        <w:t xml:space="preserve"> &amp; </w:t>
      </w:r>
      <w:proofErr w:type="spellStart"/>
      <w:r w:rsidRPr="00190649">
        <w:rPr>
          <w:rFonts w:eastAsia="Times New Roman" w:cs="Times New Roman"/>
          <w:color w:val="000000"/>
          <w:kern w:val="36"/>
          <w14:ligatures w14:val="none"/>
        </w:rPr>
        <w:t>Christakis</w:t>
      </w:r>
      <w:proofErr w:type="spellEnd"/>
      <w:r w:rsidRPr="00190649">
        <w:rPr>
          <w:rFonts w:eastAsia="Times New Roman" w:cs="Times New Roman"/>
          <w:color w:val="000000"/>
          <w:kern w:val="36"/>
          <w14:ligatures w14:val="none"/>
        </w:rPr>
        <w:t>, 2016). These concepts highlight the holistic nature of early childhood development, where physical, emotional and social experiences interact to influence learning and long</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term outcomes.</w:t>
      </w:r>
    </w:p>
    <w:p w14:paraId="48666B99" w14:textId="77777777" w:rsidR="00AB15E2" w:rsidRPr="00190649" w:rsidRDefault="00AB15E2" w:rsidP="00AB15E2">
      <w:pPr>
        <w:rPr>
          <w:rFonts w:eastAsia="Times New Roman" w:cs="Times New Roman"/>
          <w:color w:val="000000"/>
          <w:kern w:val="36"/>
          <w14:ligatures w14:val="none"/>
        </w:rPr>
      </w:pPr>
    </w:p>
    <w:p w14:paraId="1C3AAEE4"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The Curriculum for Wales (Welsh Government, 2022) reinforces this holistic perspective by emphasising that children’s development is not separated into discrete domains but is interconnected. The Health and Wellbeing AoLE highlights the importance of secure relationships, physical development, emotional literacy and decision</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 xml:space="preserve">making. These curriculum principles align closely with contemporary </w:t>
      </w:r>
      <w:r w:rsidRPr="00190649">
        <w:rPr>
          <w:rFonts w:eastAsia="Times New Roman" w:cs="Times New Roman"/>
          <w:color w:val="000000"/>
          <w:kern w:val="36"/>
          <w14:ligatures w14:val="none"/>
        </w:rPr>
        <w:lastRenderedPageBreak/>
        <w:t>research, which shows that children’s health, wellbeing and lifestyle habits are shaped by the quality of their early experiences and the environments in which they grow.</w:t>
      </w:r>
    </w:p>
    <w:p w14:paraId="1254204C" w14:textId="77777777" w:rsidR="00AB15E2" w:rsidRPr="00190649" w:rsidRDefault="00AB15E2" w:rsidP="00AB15E2">
      <w:pPr>
        <w:rPr>
          <w:rFonts w:eastAsia="Times New Roman" w:cs="Times New Roman"/>
          <w:color w:val="000000"/>
          <w:kern w:val="36"/>
          <w14:ligatures w14:val="none"/>
        </w:rPr>
      </w:pPr>
    </w:p>
    <w:p w14:paraId="4067B151"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Health</w:t>
      </w:r>
    </w:p>
    <w:p w14:paraId="650A429F" w14:textId="77777777" w:rsidR="00AB15E2" w:rsidRPr="00190649" w:rsidRDefault="00AB15E2" w:rsidP="00AB15E2">
      <w:pPr>
        <w:rPr>
          <w:rFonts w:eastAsia="Times New Roman" w:cs="Times New Roman"/>
          <w:color w:val="000000"/>
          <w:kern w:val="36"/>
          <w14:ligatures w14:val="none"/>
        </w:rPr>
      </w:pPr>
    </w:p>
    <w:p w14:paraId="55AAB191"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Health in early childhood is a multidimensional concept that includes physical growth, motor development, nutrition, sleep and emotional functioning. The early years represent a critical period of rapid brain and body development, during which children are particularly sensitive to the quality of their daily experiences (National Scientific Council on the Developing Child, 2020). Nutrition plays a central role in supporting healthy development. Early dietary patterns influence cognitive functioning, physical growth and emotional stability, with research showing that children who experience consistent access to nutritious foods demonstrate better attention, behaviour and overall development (Khan et al., 2014). Family mealtime routines also shape children’s eating habits, emotional security and social communication (</w:t>
      </w:r>
      <w:proofErr w:type="spellStart"/>
      <w:r w:rsidRPr="00190649">
        <w:rPr>
          <w:rFonts w:eastAsia="Times New Roman" w:cs="Times New Roman"/>
          <w:color w:val="000000"/>
          <w:kern w:val="36"/>
          <w14:ligatures w14:val="none"/>
        </w:rPr>
        <w:t>Fiese</w:t>
      </w:r>
      <w:proofErr w:type="spellEnd"/>
      <w:r w:rsidRPr="00190649">
        <w:rPr>
          <w:rFonts w:eastAsia="Times New Roman" w:cs="Times New Roman"/>
          <w:color w:val="000000"/>
          <w:kern w:val="36"/>
          <w14:ligatures w14:val="none"/>
        </w:rPr>
        <w:t xml:space="preserve"> et al., 2012). These routines help children develop self</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regulation and a sense of belonging.</w:t>
      </w:r>
    </w:p>
    <w:p w14:paraId="106ADF6C" w14:textId="77777777" w:rsidR="00AB15E2" w:rsidRPr="00190649" w:rsidRDefault="00AB15E2" w:rsidP="00AB15E2">
      <w:pPr>
        <w:rPr>
          <w:rFonts w:eastAsia="Times New Roman" w:cs="Times New Roman"/>
          <w:color w:val="000000"/>
          <w:kern w:val="36"/>
          <w14:ligatures w14:val="none"/>
        </w:rPr>
      </w:pPr>
    </w:p>
    <w:p w14:paraId="6F09DA3E"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Physical activity is another essential aspect of health. Young children require frequent opportunities for movement to support motor development, cardiovascular health and physical literacy (Timmons et al., 2012). Active play contributes to emotional regulation and social competence, as children learn to negotiate, cooperate and manage their emotions through movement</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based interactions (Ginsburg, 2007). Sleep is equally important. Predictable sleep routines support cognitive functioning, behaviour and emotional stability, while inconsistent sleep patterns can lead to irritability, reduced concentration and challenges in learning (</w:t>
      </w:r>
      <w:proofErr w:type="spellStart"/>
      <w:r w:rsidRPr="00190649">
        <w:rPr>
          <w:rFonts w:eastAsia="Times New Roman" w:cs="Times New Roman"/>
          <w:color w:val="000000"/>
          <w:kern w:val="36"/>
          <w14:ligatures w14:val="none"/>
        </w:rPr>
        <w:t>Mindell</w:t>
      </w:r>
      <w:proofErr w:type="spellEnd"/>
      <w:r w:rsidRPr="00190649">
        <w:rPr>
          <w:rFonts w:eastAsia="Times New Roman" w:cs="Times New Roman"/>
          <w:color w:val="000000"/>
          <w:kern w:val="36"/>
          <w14:ligatures w14:val="none"/>
        </w:rPr>
        <w:t xml:space="preserve"> &amp; </w:t>
      </w:r>
      <w:proofErr w:type="spellStart"/>
      <w:r w:rsidRPr="00190649">
        <w:rPr>
          <w:rFonts w:eastAsia="Times New Roman" w:cs="Times New Roman"/>
          <w:color w:val="000000"/>
          <w:kern w:val="36"/>
          <w14:ligatures w14:val="none"/>
        </w:rPr>
        <w:t>Leichman</w:t>
      </w:r>
      <w:proofErr w:type="spellEnd"/>
      <w:r w:rsidRPr="00190649">
        <w:rPr>
          <w:rFonts w:eastAsia="Times New Roman" w:cs="Times New Roman"/>
          <w:color w:val="000000"/>
          <w:kern w:val="36"/>
          <w14:ligatures w14:val="none"/>
        </w:rPr>
        <w:t>, 2020). Sleep also influences immune functioning and physical growth, making it a vital component of early health.</w:t>
      </w:r>
    </w:p>
    <w:p w14:paraId="68067C93" w14:textId="77777777" w:rsidR="00AB15E2" w:rsidRPr="00190649" w:rsidRDefault="00AB15E2" w:rsidP="00AB15E2">
      <w:pPr>
        <w:rPr>
          <w:rFonts w:eastAsia="Times New Roman" w:cs="Times New Roman"/>
          <w:color w:val="000000"/>
          <w:kern w:val="36"/>
          <w14:ligatures w14:val="none"/>
        </w:rPr>
      </w:pPr>
    </w:p>
    <w:p w14:paraId="5BE5FD93"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When children’s health needs are not fulfilled, the consequences can be significant and long</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lasting. Poor nutrition is associated with difficulties in attention, behaviour and emotional regulation, and can contribute to both undernutrition and unhealthy weight gain (Liu et al., 2004; Reilly &amp; Kelly, 2011). Insufficient physical activity can lead to delays in motor development, reduced confidence and increased risk of obesity. Inconsistent sleep routines can affect mood, behaviour and learning capacity. Socio</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economic factors further shape these outcomes. Children living in poverty are more likely to experience chronic stress, limited access to nutritious foods and fewer opportunities for physical activity (Brooks</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 xml:space="preserve">Gunn &amp; Duncan, 1997; Evans &amp; Kim, 2013). </w:t>
      </w:r>
      <w:r w:rsidRPr="00190649">
        <w:rPr>
          <w:rFonts w:eastAsia="Times New Roman" w:cs="Times New Roman"/>
          <w:color w:val="000000"/>
          <w:kern w:val="36"/>
          <w14:ligatures w14:val="none"/>
        </w:rPr>
        <w:lastRenderedPageBreak/>
        <w:t>Chronic stress disrupts biological systems, affecting emotional regulation, behaviour and cognitive development (</w:t>
      </w:r>
      <w:proofErr w:type="spellStart"/>
      <w:r w:rsidRPr="00190649">
        <w:rPr>
          <w:rFonts w:eastAsia="Times New Roman" w:cs="Times New Roman"/>
          <w:color w:val="000000"/>
          <w:kern w:val="36"/>
          <w14:ligatures w14:val="none"/>
        </w:rPr>
        <w:t>Shonkoff</w:t>
      </w:r>
      <w:proofErr w:type="spellEnd"/>
      <w:r w:rsidRPr="00190649">
        <w:rPr>
          <w:rFonts w:eastAsia="Times New Roman" w:cs="Times New Roman"/>
          <w:color w:val="000000"/>
          <w:kern w:val="36"/>
          <w14:ligatures w14:val="none"/>
        </w:rPr>
        <w:t xml:space="preserve"> et al., 2012).</w:t>
      </w:r>
    </w:p>
    <w:p w14:paraId="213DD901" w14:textId="77777777" w:rsidR="00AB15E2" w:rsidRPr="00190649" w:rsidRDefault="00AB15E2" w:rsidP="00AB15E2">
      <w:pPr>
        <w:rPr>
          <w:rFonts w:eastAsia="Times New Roman" w:cs="Times New Roman"/>
          <w:color w:val="000000"/>
          <w:kern w:val="36"/>
          <w14:ligatures w14:val="none"/>
        </w:rPr>
      </w:pPr>
    </w:p>
    <w:p w14:paraId="5CBAC4B7"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The Curriculum for Wales (Welsh Government, 2022) places health at the centre of early years practice through the Health and Wellbeing AoLE. It emphasises that children must develop healthy bodies and minds through consistent routines, active play, nutritious food and supportive relationships. The curriculum frames health as essential for children’s ability to engage with learning, manage emotions and participate confidently in their environments. If these health needs are not met, children may struggle to develop independence, resilience, concentration and readiness for learning.</w:t>
      </w:r>
    </w:p>
    <w:p w14:paraId="04199A05" w14:textId="77777777" w:rsidR="00AB15E2" w:rsidRPr="00190649" w:rsidRDefault="00AB15E2" w:rsidP="00AB15E2">
      <w:pPr>
        <w:rPr>
          <w:rFonts w:eastAsia="Times New Roman" w:cs="Times New Roman"/>
          <w:color w:val="000000"/>
          <w:kern w:val="36"/>
          <w14:ligatures w14:val="none"/>
        </w:rPr>
      </w:pPr>
    </w:p>
    <w:p w14:paraId="653656C1"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Wellbeing</w:t>
      </w:r>
    </w:p>
    <w:p w14:paraId="70AB1901" w14:textId="77777777" w:rsidR="00AB15E2" w:rsidRPr="00190649" w:rsidRDefault="00AB15E2" w:rsidP="00AB15E2">
      <w:pPr>
        <w:rPr>
          <w:rFonts w:eastAsia="Times New Roman" w:cs="Times New Roman"/>
          <w:color w:val="000000"/>
          <w:kern w:val="36"/>
          <w14:ligatures w14:val="none"/>
        </w:rPr>
      </w:pPr>
    </w:p>
    <w:p w14:paraId="6EEB34F8"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Wellbeing in early childhood encompasses emotional, social, cognitive and physical aspects of development. It reflects how children feel, function and engage within their environments, and is shaped by the quality of their relationships, the predictability of their routines and the security of their surroundings. Dodge et al. (2012) describe wellbeing as a dynamic balance between an individual’s internal resources and the challenges they encounter, while Laevers (2015) emphasises emotional expression, engagement and vitality as key indicators.</w:t>
      </w:r>
    </w:p>
    <w:p w14:paraId="505C06CD" w14:textId="77777777" w:rsidR="00AB15E2" w:rsidRPr="00190649" w:rsidRDefault="00AB15E2" w:rsidP="00AB15E2">
      <w:pPr>
        <w:rPr>
          <w:rFonts w:eastAsia="Times New Roman" w:cs="Times New Roman"/>
          <w:color w:val="000000"/>
          <w:kern w:val="36"/>
          <w14:ligatures w14:val="none"/>
        </w:rPr>
      </w:pPr>
    </w:p>
    <w:p w14:paraId="757DD849"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In early childhood, wellbeing is closely linked to the quality of relationships children experience. Attachment theory highlights that consistent, responsive caregiving supports emotional regulation, resilience and social competence (Ainsworth, 1989; Bowlby, 1988). When children experience warm, attuned interactions, they develop a secure base from which to explore their environment, engage in learning and form positive relationships. Social wellbeing develops through opportunities to form friendships, communicate and experience belonging. Peer interactions help children develop cooperation, turn</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taking and conflict</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resolution skills, contributing to emotional resilience and social competence (Henderson &amp; Jones, 2022).</w:t>
      </w:r>
    </w:p>
    <w:p w14:paraId="77DF6559" w14:textId="77777777" w:rsidR="00AB15E2" w:rsidRPr="00190649" w:rsidRDefault="00AB15E2" w:rsidP="00AB15E2">
      <w:pPr>
        <w:rPr>
          <w:rFonts w:eastAsia="Times New Roman" w:cs="Times New Roman"/>
          <w:color w:val="000000"/>
          <w:kern w:val="36"/>
          <w14:ligatures w14:val="none"/>
        </w:rPr>
      </w:pPr>
    </w:p>
    <w:p w14:paraId="503FF8B3"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 xml:space="preserve">Cognitive wellbeing is strengthened when children are curious, motivated and able to persist with challenges. Children who feel emotionally secure are more likely to take risks in learning, engage in sustained thinking and develop executive function skills (Cameron et al., 2012; Hughes &amp; Ensor, 2009). Wellbeing is also shaped by wider </w:t>
      </w:r>
      <w:r w:rsidRPr="00190649">
        <w:rPr>
          <w:rFonts w:eastAsia="Times New Roman" w:cs="Times New Roman"/>
          <w:color w:val="000000"/>
          <w:kern w:val="36"/>
          <w14:ligatures w14:val="none"/>
        </w:rPr>
        <w:lastRenderedPageBreak/>
        <w:t>ecological and socio</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economic factors. Children experiencing poverty or chronic stress may face barriers to emotional security and engagement (Evans &amp; Kim, 2013). Persistent stress can disrupt brain development, affecting attention, memory and emotional regulation (</w:t>
      </w:r>
      <w:proofErr w:type="spellStart"/>
      <w:r w:rsidRPr="00190649">
        <w:rPr>
          <w:rFonts w:eastAsia="Times New Roman" w:cs="Times New Roman"/>
          <w:color w:val="000000"/>
          <w:kern w:val="36"/>
          <w14:ligatures w14:val="none"/>
        </w:rPr>
        <w:t>Shonkoff</w:t>
      </w:r>
      <w:proofErr w:type="spellEnd"/>
      <w:r w:rsidRPr="00190649">
        <w:rPr>
          <w:rFonts w:eastAsia="Times New Roman" w:cs="Times New Roman"/>
          <w:color w:val="000000"/>
          <w:kern w:val="36"/>
          <w14:ligatures w14:val="none"/>
        </w:rPr>
        <w:t xml:space="preserve"> et al., 2012).</w:t>
      </w:r>
    </w:p>
    <w:p w14:paraId="4134BE20" w14:textId="77777777" w:rsidR="00AB15E2" w:rsidRPr="00190649" w:rsidRDefault="00AB15E2" w:rsidP="00AB15E2">
      <w:pPr>
        <w:rPr>
          <w:rFonts w:eastAsia="Times New Roman" w:cs="Times New Roman"/>
          <w:color w:val="000000"/>
          <w:kern w:val="36"/>
          <w14:ligatures w14:val="none"/>
        </w:rPr>
      </w:pPr>
    </w:p>
    <w:p w14:paraId="1F6E95F6"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When children’s wellbeing needs are not fulfilled, the consequences can be significant. Low emotional wellbeing is associated with difficulties in self</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regulation, reduced social competence and behavioural challenges (Denham et al., 2012). Children who do not experience secure relationships may struggle to form friendships, manage emotions or engage confidently in learning. Persistent emotional insecurity can affect brain development, influencing learning, memory and social functioning.</w:t>
      </w:r>
    </w:p>
    <w:p w14:paraId="707BCB04" w14:textId="77777777" w:rsidR="00AB15E2" w:rsidRPr="00190649" w:rsidRDefault="00AB15E2" w:rsidP="00AB15E2">
      <w:pPr>
        <w:rPr>
          <w:rFonts w:eastAsia="Times New Roman" w:cs="Times New Roman"/>
          <w:color w:val="000000"/>
          <w:kern w:val="36"/>
          <w14:ligatures w14:val="none"/>
        </w:rPr>
      </w:pPr>
    </w:p>
    <w:p w14:paraId="582851B0"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The Curriculum for Wales (Welsh Government, 2022) positions wellbeing as foundational to all learning. It emphasises that children must feel safe, valued and connected before they can develop independence, resilience or confidence. The curriculum highlights the importance of secure relationships, emotional development and children’s voice, recognising that wellbeing underpins children’s readiness to learn and their ability to manage challenges.</w:t>
      </w:r>
    </w:p>
    <w:p w14:paraId="1DD2A2BC" w14:textId="77777777" w:rsidR="00AB15E2" w:rsidRPr="00190649" w:rsidRDefault="00AB15E2" w:rsidP="00AB15E2">
      <w:pPr>
        <w:rPr>
          <w:rFonts w:eastAsia="Times New Roman" w:cs="Times New Roman"/>
          <w:color w:val="000000"/>
          <w:kern w:val="36"/>
          <w14:ligatures w14:val="none"/>
        </w:rPr>
      </w:pPr>
    </w:p>
    <w:p w14:paraId="34B9B8F3"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Lifestyle</w:t>
      </w:r>
    </w:p>
    <w:p w14:paraId="53F91406" w14:textId="77777777" w:rsidR="00AB15E2" w:rsidRPr="00190649" w:rsidRDefault="00AB15E2" w:rsidP="00AB15E2">
      <w:pPr>
        <w:rPr>
          <w:rFonts w:eastAsia="Times New Roman" w:cs="Times New Roman"/>
          <w:color w:val="000000"/>
          <w:kern w:val="36"/>
          <w14:ligatures w14:val="none"/>
        </w:rPr>
      </w:pPr>
    </w:p>
    <w:p w14:paraId="15820A8A"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Lifestyle in early childhood refers to the everyday routines, habits and behaviours that shape children’s health, wellbeing and development. It includes patterns of eating, physical activity, sleep, digital media use and the general rhythms of daily life. These habits are shaped by family practices, cultural norms, environmental conditions and socio</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economic factors. Early lifestyle habits are expressed through consistent routines. Regular mealtimes, opportunities for active play, predictable sleep patterns and balanced media use all contribute to healthy development (Birch &amp; Ventura, 2009; Timmons et al., 2012).</w:t>
      </w:r>
    </w:p>
    <w:p w14:paraId="38DB1A3D" w14:textId="77777777" w:rsidR="00AB15E2" w:rsidRPr="00190649" w:rsidRDefault="00AB15E2" w:rsidP="00AB15E2">
      <w:pPr>
        <w:rPr>
          <w:rFonts w:eastAsia="Times New Roman" w:cs="Times New Roman"/>
          <w:color w:val="000000"/>
          <w:kern w:val="36"/>
          <w14:ligatures w14:val="none"/>
        </w:rPr>
      </w:pPr>
    </w:p>
    <w:p w14:paraId="488A6249"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Physical activity supports motor development, physical literacy and emotional regulation. Sleep routines contribute to improved behaviour, attention and emotional stability (</w:t>
      </w:r>
      <w:proofErr w:type="spellStart"/>
      <w:r w:rsidRPr="00190649">
        <w:rPr>
          <w:rFonts w:eastAsia="Times New Roman" w:cs="Times New Roman"/>
          <w:color w:val="000000"/>
          <w:kern w:val="36"/>
          <w14:ligatures w14:val="none"/>
        </w:rPr>
        <w:t>Mindell</w:t>
      </w:r>
      <w:proofErr w:type="spellEnd"/>
      <w:r w:rsidRPr="00190649">
        <w:rPr>
          <w:rFonts w:eastAsia="Times New Roman" w:cs="Times New Roman"/>
          <w:color w:val="000000"/>
          <w:kern w:val="36"/>
          <w14:ligatures w14:val="none"/>
        </w:rPr>
        <w:t xml:space="preserve"> &amp; </w:t>
      </w:r>
      <w:proofErr w:type="spellStart"/>
      <w:r w:rsidRPr="00190649">
        <w:rPr>
          <w:rFonts w:eastAsia="Times New Roman" w:cs="Times New Roman"/>
          <w:color w:val="000000"/>
          <w:kern w:val="36"/>
          <w14:ligatures w14:val="none"/>
        </w:rPr>
        <w:t>Leichman</w:t>
      </w:r>
      <w:proofErr w:type="spellEnd"/>
      <w:r w:rsidRPr="00190649">
        <w:rPr>
          <w:rFonts w:eastAsia="Times New Roman" w:cs="Times New Roman"/>
          <w:color w:val="000000"/>
          <w:kern w:val="36"/>
          <w14:ligatures w14:val="none"/>
        </w:rPr>
        <w:t>, 2020). Digital media use is another influential lifestyle factor. Excessive screen time is associated with reduced sleep quality, limited physical activity and fewer opportunities for social interaction (</w:t>
      </w:r>
      <w:proofErr w:type="spellStart"/>
      <w:r w:rsidRPr="00190649">
        <w:rPr>
          <w:rFonts w:eastAsia="Times New Roman" w:cs="Times New Roman"/>
          <w:color w:val="000000"/>
          <w:kern w:val="36"/>
          <w14:ligatures w14:val="none"/>
        </w:rPr>
        <w:t>Radesky</w:t>
      </w:r>
      <w:proofErr w:type="spellEnd"/>
      <w:r w:rsidRPr="00190649">
        <w:rPr>
          <w:rFonts w:eastAsia="Times New Roman" w:cs="Times New Roman"/>
          <w:color w:val="000000"/>
          <w:kern w:val="36"/>
          <w14:ligatures w14:val="none"/>
        </w:rPr>
        <w:t xml:space="preserve"> &amp; </w:t>
      </w:r>
      <w:proofErr w:type="spellStart"/>
      <w:r w:rsidRPr="00190649">
        <w:rPr>
          <w:rFonts w:eastAsia="Times New Roman" w:cs="Times New Roman"/>
          <w:color w:val="000000"/>
          <w:kern w:val="36"/>
          <w14:ligatures w14:val="none"/>
        </w:rPr>
        <w:t>Christakis</w:t>
      </w:r>
      <w:proofErr w:type="spellEnd"/>
      <w:r w:rsidRPr="00190649">
        <w:rPr>
          <w:rFonts w:eastAsia="Times New Roman" w:cs="Times New Roman"/>
          <w:color w:val="000000"/>
          <w:kern w:val="36"/>
          <w14:ligatures w14:val="none"/>
        </w:rPr>
        <w:t>, 2016). Young children learn best through hands</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 xml:space="preserve">on, sensory experiences and responsive </w:t>
      </w:r>
      <w:r w:rsidRPr="00190649">
        <w:rPr>
          <w:rFonts w:eastAsia="Times New Roman" w:cs="Times New Roman"/>
          <w:color w:val="000000"/>
          <w:kern w:val="36"/>
          <w14:ligatures w14:val="none"/>
        </w:rPr>
        <w:lastRenderedPageBreak/>
        <w:t>interactions, meaning that high levels of passive screen use can displace essential developmental experiences.</w:t>
      </w:r>
    </w:p>
    <w:p w14:paraId="7FE97956" w14:textId="77777777" w:rsidR="00AB15E2" w:rsidRPr="00190649" w:rsidRDefault="00AB15E2" w:rsidP="00AB15E2">
      <w:pPr>
        <w:rPr>
          <w:rFonts w:eastAsia="Times New Roman" w:cs="Times New Roman"/>
          <w:color w:val="000000"/>
          <w:kern w:val="36"/>
          <w14:ligatures w14:val="none"/>
        </w:rPr>
      </w:pPr>
    </w:p>
    <w:p w14:paraId="3AE0CAE2"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When children’s lifestyle needs are not fulfilled, the consequences can be wide</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ranging. Irregular routines, insufficient physical activity and inconsistent sleep patterns can contribute to poor growth, reduced concentration and behavioural difficulties (Reilly &amp; Kelly, 2011). Over time, these challenges can affect children’s emotional wellbeing, social relationships and readiness for learning. Children who experience chaotic or unpredictable routines may struggle to develop self</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regulation, independence and confidence, as they lack the stability needed to feel secure and in control of their environment.</w:t>
      </w:r>
    </w:p>
    <w:p w14:paraId="5CD4167E" w14:textId="77777777" w:rsidR="00AB15E2" w:rsidRPr="00190649" w:rsidRDefault="00AB15E2" w:rsidP="00AB15E2">
      <w:pPr>
        <w:rPr>
          <w:rFonts w:eastAsia="Times New Roman" w:cs="Times New Roman"/>
          <w:color w:val="000000"/>
          <w:kern w:val="36"/>
          <w14:ligatures w14:val="none"/>
        </w:rPr>
      </w:pPr>
    </w:p>
    <w:p w14:paraId="4F6FCA2C"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The Curriculum for Wales (Welsh Government, 2022) embeds lifestyle</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related learning across the Health and Wellbeing AoLE. It emphasises that children must develop an understanding of how daily habits influence their physical and emotional health. The curriculum highlights the importance of physical literacy, emotional regulation and self</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care skills, recognising that children learn best when they experience consistent routines and supportive environments.</w:t>
      </w:r>
    </w:p>
    <w:p w14:paraId="0EABD121" w14:textId="77777777" w:rsidR="00AB15E2" w:rsidRPr="00190649" w:rsidRDefault="00AB15E2" w:rsidP="00AB15E2">
      <w:pPr>
        <w:rPr>
          <w:rFonts w:eastAsia="Times New Roman" w:cs="Times New Roman"/>
          <w:color w:val="000000"/>
          <w:kern w:val="36"/>
          <w14:ligatures w14:val="none"/>
        </w:rPr>
      </w:pPr>
    </w:p>
    <w:p w14:paraId="70829BFA"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Application to Early Years Practice</w:t>
      </w:r>
    </w:p>
    <w:p w14:paraId="5DA6C07A" w14:textId="77777777" w:rsidR="00AB15E2" w:rsidRPr="00190649" w:rsidRDefault="00AB15E2" w:rsidP="00AB15E2">
      <w:pPr>
        <w:rPr>
          <w:rFonts w:eastAsia="Times New Roman" w:cs="Times New Roman"/>
          <w:color w:val="000000"/>
          <w:kern w:val="36"/>
          <w14:ligatures w14:val="none"/>
        </w:rPr>
      </w:pPr>
    </w:p>
    <w:p w14:paraId="6132EF7F"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Applying the concepts of health, wellbeing and lifestyle in early years practice involves creating environments that support children’s physical, emotional and social development. Practitioners play a crucial role in modelling healthy behaviours, establishing predictable routines and fostering secure relationships. They can promote healthy eating by providing nutritious snacks, encouraging positive mealtime interactions and supporting children to develop independence in self</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care routines. Physical activity can be encouraged through active play, outdoor learning and opportunities for children to explore their environment. These practices align with the Curriculum for Wales, which emphasises the importance of physical development and movement as essential components of children’s learning.</w:t>
      </w:r>
    </w:p>
    <w:p w14:paraId="7A1AB98B" w14:textId="77777777" w:rsidR="00AB15E2" w:rsidRPr="00190649" w:rsidRDefault="00AB15E2" w:rsidP="00AB15E2">
      <w:pPr>
        <w:rPr>
          <w:rFonts w:eastAsia="Times New Roman" w:cs="Times New Roman"/>
          <w:color w:val="000000"/>
          <w:kern w:val="36"/>
          <w14:ligatures w14:val="none"/>
        </w:rPr>
      </w:pPr>
    </w:p>
    <w:p w14:paraId="6E4D049A"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 xml:space="preserve">Supporting wellbeing involves creating emotionally safe environments where children feel valued, listened to and understood. Practitioners can use responsive interactions, consistent routines and opportunities for children to express themselves to promote emotional security. Social wellbeing can be supported through collaborative play, </w:t>
      </w:r>
      <w:r w:rsidRPr="00190649">
        <w:rPr>
          <w:rFonts w:eastAsia="Times New Roman" w:cs="Times New Roman"/>
          <w:color w:val="000000"/>
          <w:kern w:val="36"/>
          <w14:ligatures w14:val="none"/>
        </w:rPr>
        <w:lastRenderedPageBreak/>
        <w:t>group activities and opportunities for children to build relationships. These approaches reflect the curriculum’s emphasis on children’s voice, emotional development and secure relationships.</w:t>
      </w:r>
    </w:p>
    <w:p w14:paraId="1BB67292" w14:textId="77777777" w:rsidR="00AB15E2" w:rsidRPr="00190649" w:rsidRDefault="00AB15E2" w:rsidP="00AB15E2">
      <w:pPr>
        <w:rPr>
          <w:rFonts w:eastAsia="Times New Roman" w:cs="Times New Roman"/>
          <w:color w:val="000000"/>
          <w:kern w:val="36"/>
          <w14:ligatures w14:val="none"/>
        </w:rPr>
      </w:pPr>
    </w:p>
    <w:p w14:paraId="415610CC"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Lifestyle habits can be reinforced through predictable routines, balanced media use and opportunities for children to develop self</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regulation skills. Practitioners can work closely with families to support healthy routines at home, recognising that lifestyle habits are shaped by both the home and early years settings. This partnership approach is central to the Curriculum for Wales, which emphasises the importance of collaboration between practitioners, families and communities in supporting children’s holistic development.</w:t>
      </w:r>
    </w:p>
    <w:p w14:paraId="1DCF4012" w14:textId="77777777" w:rsidR="00AB15E2" w:rsidRPr="00190649" w:rsidRDefault="00AB15E2" w:rsidP="00AB15E2">
      <w:pPr>
        <w:rPr>
          <w:rFonts w:eastAsia="Times New Roman" w:cs="Times New Roman"/>
          <w:color w:val="000000"/>
          <w:kern w:val="36"/>
          <w14:ligatures w14:val="none"/>
        </w:rPr>
      </w:pPr>
    </w:p>
    <w:p w14:paraId="32D9C3D6"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Conclusion</w:t>
      </w:r>
    </w:p>
    <w:p w14:paraId="673AC5A7" w14:textId="77777777" w:rsidR="00AB15E2" w:rsidRPr="00190649" w:rsidRDefault="00AB15E2" w:rsidP="00AB15E2">
      <w:pPr>
        <w:rPr>
          <w:rFonts w:eastAsia="Times New Roman" w:cs="Times New Roman"/>
          <w:color w:val="000000"/>
          <w:kern w:val="36"/>
          <w14:ligatures w14:val="none"/>
        </w:rPr>
      </w:pPr>
    </w:p>
    <w:p w14:paraId="54BD7A7F"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Health, wellbeing and lifestyle are deeply interconnected foundations that shape children’s development, learning and long</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term outcomes. When children experience good physical health, emotional security and consistent daily routines, they are better able to regulate their emotions, form relationships and engage confidently in learning (</w:t>
      </w:r>
      <w:proofErr w:type="spellStart"/>
      <w:r w:rsidRPr="00190649">
        <w:rPr>
          <w:rFonts w:eastAsia="Times New Roman" w:cs="Times New Roman"/>
          <w:color w:val="000000"/>
          <w:kern w:val="36"/>
          <w14:ligatures w14:val="none"/>
        </w:rPr>
        <w:t>Shonkoff</w:t>
      </w:r>
      <w:proofErr w:type="spellEnd"/>
      <w:r w:rsidRPr="00190649">
        <w:rPr>
          <w:rFonts w:eastAsia="Times New Roman" w:cs="Times New Roman"/>
          <w:color w:val="000000"/>
          <w:kern w:val="36"/>
          <w14:ligatures w14:val="none"/>
        </w:rPr>
        <w:t xml:space="preserve"> et al., 2012; OECD, 2021). However, when these needs are not met, children may struggle with concentration, behaviour, self</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regulation and social interaction. Early inequalities can widen without timely support, reinforcing the importance of high</w:t>
      </w:r>
      <w:r w:rsidRPr="00190649">
        <w:rPr>
          <w:rFonts w:ascii="Cambria Math" w:eastAsia="Times New Roman" w:hAnsi="Cambria Math" w:cs="Cambria Math"/>
          <w:color w:val="000000"/>
          <w:kern w:val="36"/>
          <w14:ligatures w14:val="none"/>
        </w:rPr>
        <w:t>‑</w:t>
      </w:r>
      <w:r w:rsidRPr="00190649">
        <w:rPr>
          <w:rFonts w:eastAsia="Times New Roman" w:cs="Times New Roman"/>
          <w:color w:val="000000"/>
          <w:kern w:val="36"/>
          <w14:ligatures w14:val="none"/>
        </w:rPr>
        <w:t>quality early years provision.</w:t>
      </w:r>
    </w:p>
    <w:p w14:paraId="04114A62" w14:textId="77777777" w:rsidR="00AB15E2" w:rsidRPr="00190649" w:rsidRDefault="00AB15E2" w:rsidP="00AB15E2">
      <w:pPr>
        <w:rPr>
          <w:rFonts w:eastAsia="Times New Roman" w:cs="Times New Roman"/>
          <w:color w:val="000000"/>
          <w:kern w:val="36"/>
          <w14:ligatures w14:val="none"/>
        </w:rPr>
      </w:pPr>
    </w:p>
    <w:p w14:paraId="265F48D3" w14:textId="77777777" w:rsidR="00AB15E2" w:rsidRPr="00190649" w:rsidRDefault="00AB15E2" w:rsidP="00AB15E2">
      <w:pPr>
        <w:rPr>
          <w:rFonts w:eastAsia="Times New Roman" w:cs="Times New Roman"/>
          <w:color w:val="000000"/>
          <w:kern w:val="36"/>
          <w14:ligatures w14:val="none"/>
        </w:rPr>
      </w:pPr>
      <w:r w:rsidRPr="00190649">
        <w:rPr>
          <w:rFonts w:eastAsia="Times New Roman" w:cs="Times New Roman"/>
          <w:color w:val="000000"/>
          <w:kern w:val="36"/>
          <w14:ligatures w14:val="none"/>
        </w:rPr>
        <w:t>The Curriculum for Wales (Welsh Government, 2022) emphasises that children must feel safe, valued and physically and emotionally supported to develop independence, resilience and confidence. By modelling healthy habits, establishing predictable routines and fostering secure relationships, early years practitioners play a crucial role in ensuring children have the strongest possible foundations for lifelong wellbeing and learning.</w:t>
      </w:r>
    </w:p>
    <w:p w14:paraId="30799B79" w14:textId="77777777" w:rsidR="00AB15E2" w:rsidRPr="00190649" w:rsidRDefault="00AB15E2" w:rsidP="00AB15E2">
      <w:pPr>
        <w:rPr>
          <w:rFonts w:eastAsia="Times New Roman" w:cs="Times New Roman"/>
          <w:color w:val="000000"/>
          <w:kern w:val="36"/>
          <w14:ligatures w14:val="none"/>
        </w:rPr>
      </w:pPr>
    </w:p>
    <w:p w14:paraId="444E3C1C" w14:textId="2A241CAB" w:rsidR="00AB15E2" w:rsidRPr="00190649" w:rsidRDefault="00AB15E2" w:rsidP="00AB15E2">
      <w:pPr>
        <w:rPr>
          <w:rFonts w:eastAsia="Times New Roman" w:cs="Times New Roman"/>
          <w:color w:val="000000"/>
          <w:kern w:val="36"/>
          <w14:ligatures w14:val="none"/>
        </w:rPr>
      </w:pPr>
    </w:p>
    <w:p w14:paraId="6B6995BF" w14:textId="490FA6E3" w:rsidR="00145B5E" w:rsidRDefault="00145B5E" w:rsidP="00145B5E"/>
    <w:p w14:paraId="4CA2B3DA" w14:textId="77777777" w:rsidR="00145B5E" w:rsidRDefault="00145B5E" w:rsidP="00145B5E">
      <w:r>
        <w:t>Reference List (Harvard Style)</w:t>
      </w:r>
    </w:p>
    <w:p w14:paraId="18DA8897" w14:textId="77777777" w:rsidR="00145B5E" w:rsidRDefault="00145B5E" w:rsidP="00145B5E"/>
    <w:p w14:paraId="12B6CCE5" w14:textId="77777777" w:rsidR="00145B5E" w:rsidRDefault="00145B5E" w:rsidP="00145B5E">
      <w:r>
        <w:lastRenderedPageBreak/>
        <w:t>Ainsworth, M.D.S. (1989) ‘Attachments beyond infancy’, American Psychologist, 44(4), pp. 709–716.</w:t>
      </w:r>
    </w:p>
    <w:p w14:paraId="09DF1DF9" w14:textId="77777777" w:rsidR="00145B5E" w:rsidRDefault="00145B5E" w:rsidP="00145B5E"/>
    <w:p w14:paraId="4F8D9673" w14:textId="77777777" w:rsidR="00145B5E" w:rsidRDefault="00145B5E" w:rsidP="00145B5E">
      <w:r>
        <w:t>Birch, L.L. and Ventura, A.K. (2009) ‘Preventing childhood obesity: What works?’, International Journal of Obesity, 33(S1), pp. S74–S81.</w:t>
      </w:r>
    </w:p>
    <w:p w14:paraId="05D18E13" w14:textId="77777777" w:rsidR="00145B5E" w:rsidRDefault="00145B5E" w:rsidP="00145B5E"/>
    <w:p w14:paraId="53442FA4" w14:textId="77777777" w:rsidR="00145B5E" w:rsidRDefault="00145B5E" w:rsidP="00145B5E">
      <w:r>
        <w:t>Bowlby, J. (1988) A Secure Base: Parent-Child Attachment and Healthy Human Development. London: Routledge.</w:t>
      </w:r>
    </w:p>
    <w:p w14:paraId="79E47E04" w14:textId="77777777" w:rsidR="00145B5E" w:rsidRDefault="00145B5E" w:rsidP="00145B5E"/>
    <w:p w14:paraId="4DC35EAE" w14:textId="77777777" w:rsidR="00145B5E" w:rsidRDefault="00145B5E" w:rsidP="00145B5E">
      <w:r>
        <w:t>Brooks-Gunn, J. and Duncan, G.J. (1997) ‘The effects of poverty on children’, The Future of Children, 7(2), pp. 55–71.</w:t>
      </w:r>
    </w:p>
    <w:p w14:paraId="5B142362" w14:textId="77777777" w:rsidR="00145B5E" w:rsidRDefault="00145B5E" w:rsidP="00145B5E"/>
    <w:p w14:paraId="2E9E4F34" w14:textId="6CF04B69" w:rsidR="00145B5E" w:rsidRDefault="00145B5E" w:rsidP="00145B5E">
      <w:r>
        <w:t xml:space="preserve">Cameron, C.E., </w:t>
      </w:r>
      <w:proofErr w:type="spellStart"/>
      <w:r>
        <w:t>Cottone</w:t>
      </w:r>
      <w:proofErr w:type="spellEnd"/>
      <w:r>
        <w:t xml:space="preserve">, E.A., </w:t>
      </w:r>
      <w:proofErr w:type="spellStart"/>
      <w:r>
        <w:t>Murrah</w:t>
      </w:r>
      <w:proofErr w:type="spellEnd"/>
      <w:r>
        <w:t xml:space="preserve">, W.M. and </w:t>
      </w:r>
      <w:proofErr w:type="spellStart"/>
      <w:r>
        <w:t>Grissmer</w:t>
      </w:r>
      <w:proofErr w:type="spellEnd"/>
      <w:r>
        <w:t>, D.W. (201</w:t>
      </w:r>
      <w:r w:rsidR="00D81E48">
        <w:t>6</w:t>
      </w:r>
      <w:r>
        <w:t>) ‘How are motor skills linked to children’s school performance and academic achievement?’, Child Development Perspectives, 6(2), pp. 93–98.</w:t>
      </w:r>
    </w:p>
    <w:p w14:paraId="0A514740" w14:textId="77777777" w:rsidR="00145B5E" w:rsidRDefault="00145B5E" w:rsidP="00145B5E"/>
    <w:p w14:paraId="6B270F0E" w14:textId="77777777" w:rsidR="00145B5E" w:rsidRDefault="00145B5E" w:rsidP="00145B5E">
      <w:r>
        <w:t xml:space="preserve">Denham, S.A., Bassett, H.H. and Wyatt, T. (2012) ‘The </w:t>
      </w:r>
      <w:proofErr w:type="spellStart"/>
      <w:r>
        <w:t>socialization</w:t>
      </w:r>
      <w:proofErr w:type="spellEnd"/>
      <w:r>
        <w:t xml:space="preserve"> of emotional competence’, in </w:t>
      </w:r>
      <w:proofErr w:type="spellStart"/>
      <w:r>
        <w:t>Zentner</w:t>
      </w:r>
      <w:proofErr w:type="spellEnd"/>
      <w:r>
        <w:t>, M. and Shiner, R. (eds.) Handbook of Temperament. New York: Guilford Press, pp. 590–607.</w:t>
      </w:r>
    </w:p>
    <w:p w14:paraId="54797DC0" w14:textId="77777777" w:rsidR="00145B5E" w:rsidRDefault="00145B5E" w:rsidP="00145B5E"/>
    <w:p w14:paraId="53DA1DB8" w14:textId="77777777" w:rsidR="00145B5E" w:rsidRDefault="00145B5E" w:rsidP="00145B5E">
      <w:r>
        <w:t xml:space="preserve">Dodge, R., Daly, A., </w:t>
      </w:r>
      <w:proofErr w:type="spellStart"/>
      <w:r>
        <w:t>Huyton</w:t>
      </w:r>
      <w:proofErr w:type="spellEnd"/>
      <w:r>
        <w:t>, J. and Sanders, L. (2012) ‘The challenge of defining wellbeing’, International Journal of Wellbeing, 2(3), pp. 222–235.</w:t>
      </w:r>
    </w:p>
    <w:p w14:paraId="71B2F60E" w14:textId="77777777" w:rsidR="00145B5E" w:rsidRDefault="00145B5E" w:rsidP="00145B5E"/>
    <w:p w14:paraId="79966B99" w14:textId="77777777" w:rsidR="00145B5E" w:rsidRDefault="00145B5E" w:rsidP="00145B5E">
      <w:r>
        <w:t>Evans, G.W. and Kim, P. (2013) ‘Childhood poverty, chronic stress, self</w:t>
      </w:r>
      <w:r>
        <w:rPr>
          <w:rFonts w:ascii="Cambria Math" w:hAnsi="Cambria Math" w:cs="Cambria Math"/>
        </w:rPr>
        <w:t>‑</w:t>
      </w:r>
      <w:r>
        <w:t>regulation, and coping’, Child Development Perspectives, 7(1), pp. 43–48.</w:t>
      </w:r>
    </w:p>
    <w:p w14:paraId="1AAAB7CF" w14:textId="77777777" w:rsidR="00145B5E" w:rsidRDefault="00145B5E" w:rsidP="00145B5E"/>
    <w:p w14:paraId="225A30FB" w14:textId="77777777" w:rsidR="00145B5E" w:rsidRDefault="00145B5E" w:rsidP="00145B5E">
      <w:proofErr w:type="spellStart"/>
      <w:r>
        <w:t>Fiese</w:t>
      </w:r>
      <w:proofErr w:type="spellEnd"/>
      <w:r>
        <w:t xml:space="preserve">, B.H., </w:t>
      </w:r>
      <w:proofErr w:type="spellStart"/>
      <w:r>
        <w:t>Hammons</w:t>
      </w:r>
      <w:proofErr w:type="spellEnd"/>
      <w:r>
        <w:t xml:space="preserve">, A. and </w:t>
      </w:r>
      <w:proofErr w:type="spellStart"/>
      <w:r>
        <w:t>Grigsby-Toussaint</w:t>
      </w:r>
      <w:proofErr w:type="spellEnd"/>
      <w:r>
        <w:t>, D. (2012) ‘Family mealtimes: A contextual approach to understanding childhood obesity’, Economics &amp; Human Biology, 10(4), pp. 365–374.</w:t>
      </w:r>
    </w:p>
    <w:p w14:paraId="7915CA2C" w14:textId="77777777" w:rsidR="00145B5E" w:rsidRDefault="00145B5E" w:rsidP="00145B5E"/>
    <w:p w14:paraId="53F9F4A4" w14:textId="77777777" w:rsidR="00145B5E" w:rsidRDefault="00145B5E" w:rsidP="00145B5E">
      <w:r>
        <w:t xml:space="preserve">Ginsburg, K.R. (2007) ‘The importance of play in promoting healthy child development’, </w:t>
      </w:r>
      <w:proofErr w:type="spellStart"/>
      <w:r>
        <w:t>Pediatrics</w:t>
      </w:r>
      <w:proofErr w:type="spellEnd"/>
      <w:r>
        <w:t>, 119(1), pp. 182–191.</w:t>
      </w:r>
    </w:p>
    <w:p w14:paraId="372B1EC1" w14:textId="77777777" w:rsidR="00145B5E" w:rsidRDefault="00145B5E" w:rsidP="00145B5E"/>
    <w:p w14:paraId="0C47B087" w14:textId="77777777" w:rsidR="00145B5E" w:rsidRDefault="00145B5E" w:rsidP="00145B5E">
      <w:r>
        <w:t>Henderson, A. and Jones, K. (2022) ‘Belonging in early childhood: Supporting identity and relationships’, Early Years, 42(3), pp. 345–359.</w:t>
      </w:r>
    </w:p>
    <w:p w14:paraId="354BD96D" w14:textId="77777777" w:rsidR="00145B5E" w:rsidRDefault="00145B5E" w:rsidP="00145B5E"/>
    <w:p w14:paraId="39E0EEC8" w14:textId="77777777" w:rsidR="00145B5E" w:rsidRDefault="00145B5E" w:rsidP="00145B5E">
      <w:r>
        <w:t>Hughes, C. and Ensor, R. (2009) ‘How do families help or hinder the emergence of early executive function?’, New Directions for Child and Adolescent Development, 123, pp. 35–50.</w:t>
      </w:r>
    </w:p>
    <w:p w14:paraId="053553BD" w14:textId="77777777" w:rsidR="00145B5E" w:rsidRDefault="00145B5E" w:rsidP="00145B5E"/>
    <w:p w14:paraId="69DA2E68" w14:textId="77777777" w:rsidR="00145B5E" w:rsidRDefault="00145B5E" w:rsidP="00145B5E">
      <w:r>
        <w:t>Khan, N.A., Raine, L.B., Donovan, S.M. and Hillman, C.H. (2014) ‘The cognitive implications of obesity and nutrition in childhood’, Monographs of the Society for Research in Child Development, 79(4), pp. 51–71.</w:t>
      </w:r>
    </w:p>
    <w:p w14:paraId="7233472F" w14:textId="77777777" w:rsidR="00145B5E" w:rsidRDefault="00145B5E" w:rsidP="00145B5E"/>
    <w:p w14:paraId="343EDC7F" w14:textId="77777777" w:rsidR="00145B5E" w:rsidRDefault="00145B5E" w:rsidP="00145B5E">
      <w:r>
        <w:t>Laevers, F. (2015) ‘Wellbeing and involvement in care settings’, Leuven University Press, Leuven.</w:t>
      </w:r>
    </w:p>
    <w:p w14:paraId="6A9DC8BA" w14:textId="77777777" w:rsidR="00145B5E" w:rsidRDefault="00145B5E" w:rsidP="00145B5E"/>
    <w:p w14:paraId="422A8A8C" w14:textId="77777777" w:rsidR="00145B5E" w:rsidRDefault="00145B5E" w:rsidP="00145B5E">
      <w:r>
        <w:t xml:space="preserve">Liu, J., Raine, A., </w:t>
      </w:r>
      <w:proofErr w:type="spellStart"/>
      <w:r>
        <w:t>Venables</w:t>
      </w:r>
      <w:proofErr w:type="spellEnd"/>
      <w:r>
        <w:t xml:space="preserve">, P.H. and </w:t>
      </w:r>
      <w:proofErr w:type="spellStart"/>
      <w:r>
        <w:t>Mednick</w:t>
      </w:r>
      <w:proofErr w:type="spellEnd"/>
      <w:r>
        <w:t xml:space="preserve">, S.A. (2004) ‘Malnutrition at age 3 years and </w:t>
      </w:r>
      <w:proofErr w:type="spellStart"/>
      <w:r>
        <w:t>externalizing</w:t>
      </w:r>
      <w:proofErr w:type="spellEnd"/>
      <w:r>
        <w:t xml:space="preserve"> behavior problems at ages 8, 11, and 17 years’, American Journal of Psychiatry, 161(11), pp. 2005–2013.</w:t>
      </w:r>
    </w:p>
    <w:p w14:paraId="7511E3D0" w14:textId="77777777" w:rsidR="00145B5E" w:rsidRDefault="00145B5E" w:rsidP="00145B5E"/>
    <w:p w14:paraId="4A5DA34A" w14:textId="77777777" w:rsidR="00145B5E" w:rsidRDefault="00145B5E" w:rsidP="00145B5E">
      <w:proofErr w:type="spellStart"/>
      <w:r>
        <w:t>Mindell</w:t>
      </w:r>
      <w:proofErr w:type="spellEnd"/>
      <w:r>
        <w:t xml:space="preserve">, J.A. and </w:t>
      </w:r>
      <w:proofErr w:type="spellStart"/>
      <w:r>
        <w:t>Leichman</w:t>
      </w:r>
      <w:proofErr w:type="spellEnd"/>
      <w:r>
        <w:t>, E.S. (2020) ‘Sleep and child development’, Sleep Medicine Reviews, 52, 101–112.</w:t>
      </w:r>
    </w:p>
    <w:p w14:paraId="054E29F9" w14:textId="77777777" w:rsidR="00145B5E" w:rsidRDefault="00145B5E" w:rsidP="00145B5E"/>
    <w:p w14:paraId="22ACF200" w14:textId="77777777" w:rsidR="00145B5E" w:rsidRDefault="00145B5E" w:rsidP="00145B5E">
      <w:r>
        <w:t xml:space="preserve">Moore, T.G., </w:t>
      </w:r>
      <w:proofErr w:type="spellStart"/>
      <w:r>
        <w:t>Arefadib</w:t>
      </w:r>
      <w:proofErr w:type="spellEnd"/>
      <w:r>
        <w:t xml:space="preserve">, N., </w:t>
      </w:r>
      <w:proofErr w:type="spellStart"/>
      <w:r>
        <w:t>Deery</w:t>
      </w:r>
      <w:proofErr w:type="spellEnd"/>
      <w:r>
        <w:t>, A. and West, S. (2015) The First Thousand Days: An Evidence Paper. Melbourne: Centre for Community Child Health.</w:t>
      </w:r>
    </w:p>
    <w:p w14:paraId="5FCCBAD9" w14:textId="77777777" w:rsidR="00145B5E" w:rsidRDefault="00145B5E" w:rsidP="00145B5E"/>
    <w:p w14:paraId="4C28F04C" w14:textId="77777777" w:rsidR="00145B5E" w:rsidRDefault="00145B5E" w:rsidP="00145B5E">
      <w:r>
        <w:t>National Scientific Council on the Developing Child (2020) Connecting the Brain to the Rest of the Body: Early Childhood Development and Lifelong Health Are Deeply Intertwined. Harvard University.</w:t>
      </w:r>
    </w:p>
    <w:p w14:paraId="599768CD" w14:textId="77777777" w:rsidR="00145B5E" w:rsidRDefault="00145B5E" w:rsidP="00145B5E"/>
    <w:p w14:paraId="209C6E78" w14:textId="77777777" w:rsidR="00145B5E" w:rsidRDefault="00145B5E" w:rsidP="00145B5E">
      <w:r>
        <w:t>OECD (2021) Measuring What Matters for Child Well</w:t>
      </w:r>
      <w:r>
        <w:rPr>
          <w:rFonts w:ascii="Cambria Math" w:hAnsi="Cambria Math" w:cs="Cambria Math"/>
        </w:rPr>
        <w:t>‑</w:t>
      </w:r>
      <w:r>
        <w:t>being and Policies. Paris: OECD Publishing.</w:t>
      </w:r>
    </w:p>
    <w:p w14:paraId="2C46BDF2" w14:textId="77777777" w:rsidR="00145B5E" w:rsidRDefault="00145B5E" w:rsidP="00145B5E"/>
    <w:p w14:paraId="30F1CA47" w14:textId="77777777" w:rsidR="00145B5E" w:rsidRDefault="00145B5E" w:rsidP="00145B5E">
      <w:proofErr w:type="spellStart"/>
      <w:r>
        <w:lastRenderedPageBreak/>
        <w:t>Radesky</w:t>
      </w:r>
      <w:proofErr w:type="spellEnd"/>
      <w:r>
        <w:t xml:space="preserve">, J.S. and </w:t>
      </w:r>
      <w:proofErr w:type="spellStart"/>
      <w:r>
        <w:t>Christakis</w:t>
      </w:r>
      <w:proofErr w:type="spellEnd"/>
      <w:r>
        <w:t xml:space="preserve">, D.A. (2016) ‘Media and young minds’, </w:t>
      </w:r>
      <w:proofErr w:type="spellStart"/>
      <w:r>
        <w:t>Pediatrics</w:t>
      </w:r>
      <w:proofErr w:type="spellEnd"/>
      <w:r>
        <w:t>, 138(5), e20162591.</w:t>
      </w:r>
    </w:p>
    <w:p w14:paraId="46E9C5B5" w14:textId="77777777" w:rsidR="00145B5E" w:rsidRDefault="00145B5E" w:rsidP="00145B5E"/>
    <w:p w14:paraId="11528846" w14:textId="77777777" w:rsidR="00145B5E" w:rsidRDefault="00145B5E" w:rsidP="00145B5E">
      <w:r>
        <w:t>Reilly, J.J. and Kelly, J. (2011) ‘Long-term impact of overweight and obesity in childhood and adolescence on morbidity and premature mortality in adulthood’, International Journal of Obesity, 35(7), pp. 891–898.</w:t>
      </w:r>
    </w:p>
    <w:p w14:paraId="26429EE7" w14:textId="77777777" w:rsidR="00145B5E" w:rsidRDefault="00145B5E" w:rsidP="00145B5E"/>
    <w:p w14:paraId="64D6C39B" w14:textId="77777777" w:rsidR="00145B5E" w:rsidRDefault="00145B5E" w:rsidP="00145B5E">
      <w:proofErr w:type="spellStart"/>
      <w:r>
        <w:t>Shonkoff</w:t>
      </w:r>
      <w:proofErr w:type="spellEnd"/>
      <w:r>
        <w:t xml:space="preserve">, J.P., Garner, A.S. and The Committee on Psychosocial Aspects of Child and Family Health (2012) ‘The lifelong effects of early childhood adversity and toxic stress’, </w:t>
      </w:r>
      <w:proofErr w:type="spellStart"/>
      <w:r>
        <w:t>Pediatrics</w:t>
      </w:r>
      <w:proofErr w:type="spellEnd"/>
      <w:r>
        <w:t>, 129(1), pp. e232–e246.</w:t>
      </w:r>
    </w:p>
    <w:p w14:paraId="1E1AFA49" w14:textId="77777777" w:rsidR="00145B5E" w:rsidRDefault="00145B5E" w:rsidP="00145B5E"/>
    <w:p w14:paraId="0C00885B" w14:textId="77777777" w:rsidR="00145B5E" w:rsidRDefault="00145B5E" w:rsidP="00145B5E">
      <w:r>
        <w:t>Timmons, B.W., Leblanc, A.G., Carson, V. et al. (2012) ‘Systematic review of physical activity and health in the early years’, Applied Physiology, Nutrition, and Metabolism, 37(4), pp. 773–792.</w:t>
      </w:r>
    </w:p>
    <w:p w14:paraId="0B7BC9A1" w14:textId="77777777" w:rsidR="00145B5E" w:rsidRDefault="00145B5E" w:rsidP="00145B5E"/>
    <w:p w14:paraId="26F2CC4E" w14:textId="77777777" w:rsidR="00145B5E" w:rsidRDefault="00145B5E" w:rsidP="00145B5E">
      <w:proofErr w:type="spellStart"/>
      <w:r>
        <w:t>Victora</w:t>
      </w:r>
      <w:proofErr w:type="spellEnd"/>
      <w:r>
        <w:t xml:space="preserve">, C.G., Christian, P., </w:t>
      </w:r>
      <w:proofErr w:type="spellStart"/>
      <w:r>
        <w:t>Vidaletti</w:t>
      </w:r>
      <w:proofErr w:type="spellEnd"/>
      <w:r>
        <w:t>, L.P. et al. (2021) ‘Revisiting maternal and child undernutrition in low</w:t>
      </w:r>
      <w:r>
        <w:rPr>
          <w:rFonts w:ascii="Cambria Math" w:hAnsi="Cambria Math" w:cs="Cambria Math"/>
        </w:rPr>
        <w:t>‑</w:t>
      </w:r>
      <w:r>
        <w:t>income and middle</w:t>
      </w:r>
      <w:r>
        <w:rPr>
          <w:rFonts w:ascii="Cambria Math" w:hAnsi="Cambria Math" w:cs="Cambria Math"/>
        </w:rPr>
        <w:t>‑</w:t>
      </w:r>
      <w:r>
        <w:t>income countries’, The Lancet, 397(10282), pp. 1530–1541.</w:t>
      </w:r>
    </w:p>
    <w:p w14:paraId="4B948342" w14:textId="77777777" w:rsidR="00145B5E" w:rsidRDefault="00145B5E" w:rsidP="00145B5E"/>
    <w:p w14:paraId="1B7C5A4A" w14:textId="77777777" w:rsidR="00145B5E" w:rsidRDefault="00145B5E" w:rsidP="00145B5E">
      <w:r>
        <w:t>Welsh Government (2022) Curriculum for Wales: Guidance. Cardiff: Welsh Government.</w:t>
      </w:r>
    </w:p>
    <w:p w14:paraId="0CA07E29" w14:textId="77777777" w:rsidR="00145B5E" w:rsidRDefault="00145B5E" w:rsidP="00145B5E"/>
    <w:p w14:paraId="144A73FE" w14:textId="004A9909" w:rsidR="00A65821" w:rsidRDefault="00A65821"/>
    <w:sectPr w:rsidR="00A658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F21078" w14:textId="77777777" w:rsidR="006566CE" w:rsidRDefault="006566CE" w:rsidP="006566CE">
      <w:pPr>
        <w:spacing w:after="0" w:line="240" w:lineRule="auto"/>
      </w:pPr>
      <w:r>
        <w:separator/>
      </w:r>
    </w:p>
  </w:endnote>
  <w:endnote w:type="continuationSeparator" w:id="0">
    <w:p w14:paraId="17157D63" w14:textId="77777777" w:rsidR="006566CE" w:rsidRDefault="006566CE" w:rsidP="00656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2A4E7" w14:textId="77777777" w:rsidR="006566CE" w:rsidRDefault="006566CE" w:rsidP="006566CE">
      <w:pPr>
        <w:spacing w:after="0" w:line="240" w:lineRule="auto"/>
      </w:pPr>
      <w:r>
        <w:separator/>
      </w:r>
    </w:p>
  </w:footnote>
  <w:footnote w:type="continuationSeparator" w:id="0">
    <w:p w14:paraId="437A98FD" w14:textId="77777777" w:rsidR="006566CE" w:rsidRDefault="006566CE" w:rsidP="006566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389"/>
    <w:rsid w:val="00037A68"/>
    <w:rsid w:val="00060D8E"/>
    <w:rsid w:val="000702D2"/>
    <w:rsid w:val="000767A3"/>
    <w:rsid w:val="000F1B98"/>
    <w:rsid w:val="000F66E7"/>
    <w:rsid w:val="00145B5E"/>
    <w:rsid w:val="00190649"/>
    <w:rsid w:val="00275A90"/>
    <w:rsid w:val="0036074C"/>
    <w:rsid w:val="003E79D5"/>
    <w:rsid w:val="0041395C"/>
    <w:rsid w:val="00435215"/>
    <w:rsid w:val="004B1DFC"/>
    <w:rsid w:val="0052538F"/>
    <w:rsid w:val="005662AC"/>
    <w:rsid w:val="005A4D97"/>
    <w:rsid w:val="005C54BF"/>
    <w:rsid w:val="00646973"/>
    <w:rsid w:val="006566CE"/>
    <w:rsid w:val="00691AD4"/>
    <w:rsid w:val="006A54DB"/>
    <w:rsid w:val="006B296B"/>
    <w:rsid w:val="006B4537"/>
    <w:rsid w:val="006B556F"/>
    <w:rsid w:val="006D0AA2"/>
    <w:rsid w:val="006D4F35"/>
    <w:rsid w:val="006E10EF"/>
    <w:rsid w:val="007460EF"/>
    <w:rsid w:val="007E402D"/>
    <w:rsid w:val="00803389"/>
    <w:rsid w:val="00805C5C"/>
    <w:rsid w:val="00817499"/>
    <w:rsid w:val="008A5818"/>
    <w:rsid w:val="00924935"/>
    <w:rsid w:val="00925524"/>
    <w:rsid w:val="009C34E7"/>
    <w:rsid w:val="00A65821"/>
    <w:rsid w:val="00AB15E2"/>
    <w:rsid w:val="00B972FE"/>
    <w:rsid w:val="00BF7EE0"/>
    <w:rsid w:val="00C463AE"/>
    <w:rsid w:val="00CD212F"/>
    <w:rsid w:val="00CE4D7C"/>
    <w:rsid w:val="00D81E48"/>
    <w:rsid w:val="00DD77DF"/>
    <w:rsid w:val="00EB1E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C4CF355"/>
  <w15:chartTrackingRefBased/>
  <w15:docId w15:val="{380599E0-C1E9-CC46-A17C-D4D9EBB43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338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338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338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338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338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338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338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338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338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338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338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338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338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338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338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338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338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3389"/>
    <w:rPr>
      <w:rFonts w:eastAsiaTheme="majorEastAsia" w:cstheme="majorBidi"/>
      <w:color w:val="272727" w:themeColor="text1" w:themeTint="D8"/>
    </w:rPr>
  </w:style>
  <w:style w:type="paragraph" w:styleId="Title">
    <w:name w:val="Title"/>
    <w:basedOn w:val="Normal"/>
    <w:next w:val="Normal"/>
    <w:link w:val="TitleChar"/>
    <w:uiPriority w:val="10"/>
    <w:qFormat/>
    <w:rsid w:val="0080338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338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338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33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3389"/>
    <w:pPr>
      <w:spacing w:before="160"/>
      <w:jc w:val="center"/>
    </w:pPr>
    <w:rPr>
      <w:i/>
      <w:iCs/>
      <w:color w:val="404040" w:themeColor="text1" w:themeTint="BF"/>
    </w:rPr>
  </w:style>
  <w:style w:type="character" w:customStyle="1" w:styleId="QuoteChar">
    <w:name w:val="Quote Char"/>
    <w:basedOn w:val="DefaultParagraphFont"/>
    <w:link w:val="Quote"/>
    <w:uiPriority w:val="29"/>
    <w:rsid w:val="00803389"/>
    <w:rPr>
      <w:i/>
      <w:iCs/>
      <w:color w:val="404040" w:themeColor="text1" w:themeTint="BF"/>
    </w:rPr>
  </w:style>
  <w:style w:type="paragraph" w:styleId="ListParagraph">
    <w:name w:val="List Paragraph"/>
    <w:basedOn w:val="Normal"/>
    <w:uiPriority w:val="34"/>
    <w:qFormat/>
    <w:rsid w:val="00803389"/>
    <w:pPr>
      <w:ind w:left="720"/>
      <w:contextualSpacing/>
    </w:pPr>
  </w:style>
  <w:style w:type="character" w:styleId="IntenseEmphasis">
    <w:name w:val="Intense Emphasis"/>
    <w:basedOn w:val="DefaultParagraphFont"/>
    <w:uiPriority w:val="21"/>
    <w:qFormat/>
    <w:rsid w:val="00803389"/>
    <w:rPr>
      <w:i/>
      <w:iCs/>
      <w:color w:val="0F4761" w:themeColor="accent1" w:themeShade="BF"/>
    </w:rPr>
  </w:style>
  <w:style w:type="paragraph" w:styleId="IntenseQuote">
    <w:name w:val="Intense Quote"/>
    <w:basedOn w:val="Normal"/>
    <w:next w:val="Normal"/>
    <w:link w:val="IntenseQuoteChar"/>
    <w:uiPriority w:val="30"/>
    <w:qFormat/>
    <w:rsid w:val="0080338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3389"/>
    <w:rPr>
      <w:i/>
      <w:iCs/>
      <w:color w:val="0F4761" w:themeColor="accent1" w:themeShade="BF"/>
    </w:rPr>
  </w:style>
  <w:style w:type="character" w:styleId="IntenseReference">
    <w:name w:val="Intense Reference"/>
    <w:basedOn w:val="DefaultParagraphFont"/>
    <w:uiPriority w:val="32"/>
    <w:qFormat/>
    <w:rsid w:val="00803389"/>
    <w:rPr>
      <w:b/>
      <w:bCs/>
      <w:smallCaps/>
      <w:color w:val="0F4761" w:themeColor="accent1" w:themeShade="BF"/>
      <w:spacing w:val="5"/>
    </w:rPr>
  </w:style>
  <w:style w:type="paragraph" w:styleId="Header">
    <w:name w:val="header"/>
    <w:basedOn w:val="Normal"/>
    <w:link w:val="HeaderChar"/>
    <w:uiPriority w:val="99"/>
    <w:unhideWhenUsed/>
    <w:rsid w:val="00656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66CE"/>
  </w:style>
  <w:style w:type="paragraph" w:styleId="Footer">
    <w:name w:val="footer"/>
    <w:basedOn w:val="Normal"/>
    <w:link w:val="FooterChar"/>
    <w:uiPriority w:val="99"/>
    <w:unhideWhenUsed/>
    <w:rsid w:val="00656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66CE"/>
  </w:style>
  <w:style w:type="paragraph" w:styleId="NormalWeb">
    <w:name w:val="Normal (Web)"/>
    <w:basedOn w:val="Normal"/>
    <w:uiPriority w:val="99"/>
    <w:semiHidden/>
    <w:unhideWhenUsed/>
    <w:rsid w:val="003E79D5"/>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2663</Words>
  <Characters>15184</Characters>
  <Application>Microsoft Office Word</Application>
  <DocSecurity>0</DocSecurity>
  <Lines>126</Lines>
  <Paragraphs>35</Paragraphs>
  <ScaleCrop>false</ScaleCrop>
  <Company/>
  <LinksUpToDate>false</LinksUpToDate>
  <CharactersWithSpaces>17812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Summer Hendy (2516364)</dc:creator>
  <cp:keywords/>
  <dc:description/>
  <cp:lastModifiedBy>Summer Hendy (2516364)</cp:lastModifiedBy>
  <cp:revision>2</cp:revision>
  <dcterms:created xsi:type="dcterms:W3CDTF">2026-06-11T13:47:00Z</dcterms:created>
  <dcterms:modified xsi:type="dcterms:W3CDTF">2026-06-11T13:47:00Z</dcterms:modified>
</cp:coreProperties>
</file>