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98B24" w14:textId="383C44D4" w:rsidR="00FC2A12" w:rsidRPr="00CA4CCB" w:rsidRDefault="00BA13A4" w:rsidP="008224EE">
      <w:pPr>
        <w:rPr>
          <w:rFonts w:ascii="Arial" w:hAnsi="Arial" w:cs="Arial"/>
          <w:sz w:val="24"/>
          <w:szCs w:val="24"/>
          <w:u w:val="single"/>
        </w:rPr>
      </w:pPr>
      <w:r w:rsidRPr="00CA4CCB">
        <w:rPr>
          <w:rFonts w:ascii="Arial" w:hAnsi="Arial" w:cs="Arial"/>
          <w:sz w:val="24"/>
          <w:szCs w:val="24"/>
          <w:u w:val="single"/>
        </w:rPr>
        <w:t xml:space="preserve">Task </w:t>
      </w:r>
      <w:r w:rsidR="00F81316">
        <w:rPr>
          <w:rFonts w:ascii="Arial" w:hAnsi="Arial" w:cs="Arial"/>
          <w:sz w:val="24"/>
          <w:szCs w:val="24"/>
          <w:u w:val="single"/>
        </w:rPr>
        <w:t>a</w:t>
      </w:r>
    </w:p>
    <w:p w14:paraId="7B295387" w14:textId="77777777" w:rsidR="00F81316" w:rsidRPr="0052352D" w:rsidRDefault="00F81316" w:rsidP="00F81316">
      <w:pPr>
        <w:rPr>
          <w:rFonts w:ascii="Arial" w:hAnsi="Arial" w:cs="Arial"/>
          <w:sz w:val="24"/>
          <w:szCs w:val="24"/>
        </w:rPr>
      </w:pPr>
      <w:r w:rsidRPr="0052352D">
        <w:rPr>
          <w:rFonts w:ascii="Arial" w:hAnsi="Arial" w:cs="Arial"/>
          <w:sz w:val="24"/>
          <w:szCs w:val="24"/>
        </w:rPr>
        <w:t>Section 126 (1) of the Social Services and Wellbeing (Wales) Act (2014) defines an adult at risk as having care and support needs which affect their ability to protect themselves from harm, abuse or neglect.  Safeguarding boards were developed under section 139 (4) of the Act to promote collaborative working.  since its implementation the Act has been the main framework for safeguarding in Wales (SCW 2023a).</w:t>
      </w:r>
    </w:p>
    <w:p w14:paraId="7B764C10"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The Active Offer remains imperative when working with adults in Wales in accordance with the Welsh Assembly Government’s More than Just Words strategy (2022) to promote dignity and respect in line with the code of professional practice, and for safe working practices.  </w:t>
      </w:r>
    </w:p>
    <w:p w14:paraId="045102EB"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If there are any concerns regarding an adult everyone has a duty to report concerns under section 12 (2) of the Act, either to the police or local authority, depending on the nature and imminence of the risk. </w:t>
      </w:r>
    </w:p>
    <w:p w14:paraId="32E9A3A6"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Part 3 of the Act focuses on assessing the needs of individuals an ensuring that they are person-centred in approach by holding What Matters conversations, empowering individuals to set their own personal outcomes (SCW, 2022c).  If risks are not identified then the assessment builds on the strengths of the individual, support network and community resources to encourage coproduction in line with the Act.  If risk is assessed then further enquires are made and a strategy meeting convened, where a range of agencies work in a multidisciplinary approach to discuss concerns and establish actions for professionals/agencies to be accountable for.  The Data Protection Acts of 1998 and 2018 cover the United Kingdom and put a duty on professionals to maintain confidentiality, however when there is a safeguarding concern this is classified as an exceptional circumstance where information can be shared (Legislation, 2023j) (Legislation, 2023k). </w:t>
      </w:r>
    </w:p>
    <w:p w14:paraId="4837EC93"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Where possible the agreed action plan should be discussed with the individual and the outcomes are unique to each person and each scenario (Wales Safeguarding Procedures, 2023a).  Although we have a duty to report safeguarding concerns, adults can decide not to prosecute or follow guidance.  It is important to balance the right to privacy under the Human Rights Act 1998 (Legislation, 2023f) and decisions to make choices even if professionals deem these to be unwise.  This relates to the principles of the Mental Capacity Act 2005 which states that we must assume mental capacity, unless assessed otherwise.  This act protects individuals from harm when they are unable to make judgements themselves (Legislation, 2023l).  There are other legal protections for adults including the Equality Act (2010) and the Violence Against Women, Domestic Abuse and Sexual Violence (Wales) Act (2015) which can support adults outside of the safeguarding process also.  </w:t>
      </w:r>
    </w:p>
    <w:p w14:paraId="247B9201"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This often works alongside the Mental Health Act (1983) however this can be more invasive as it gives power to detain adults whose mental health or learning disability is putting themselves or others at risk (Legislation, 2023m).  </w:t>
      </w:r>
    </w:p>
    <w:p w14:paraId="339CF898" w14:textId="77777777" w:rsidR="00F81316" w:rsidRPr="0052352D" w:rsidRDefault="00F81316" w:rsidP="00F81316">
      <w:pPr>
        <w:rPr>
          <w:rFonts w:ascii="Arial" w:hAnsi="Arial" w:cs="Arial"/>
          <w:sz w:val="24"/>
          <w:szCs w:val="24"/>
        </w:rPr>
      </w:pPr>
      <w:r w:rsidRPr="0052352D">
        <w:rPr>
          <w:rFonts w:ascii="Arial" w:hAnsi="Arial" w:cs="Arial"/>
          <w:sz w:val="24"/>
          <w:szCs w:val="24"/>
        </w:rPr>
        <w:t xml:space="preserve">It is imperative to record factual information and use the voice of the adult in the assessment.  Although as professionals we may view particular risks, it is critical for </w:t>
      </w:r>
      <w:r w:rsidRPr="0052352D">
        <w:rPr>
          <w:rFonts w:ascii="Arial" w:hAnsi="Arial" w:cs="Arial"/>
          <w:sz w:val="24"/>
          <w:szCs w:val="24"/>
        </w:rPr>
        <w:lastRenderedPageBreak/>
        <w:t xml:space="preserve">the individual to be involved in the decision-making process by setting their own goals to improve wellbeing rather than social workers documenting service-led outcomes (SCW, 2023a).    </w:t>
      </w:r>
    </w:p>
    <w:p w14:paraId="27F9BCF5" w14:textId="77777777" w:rsidR="00F81316" w:rsidRDefault="00F81316" w:rsidP="00F81316">
      <w:pPr>
        <w:jc w:val="right"/>
      </w:pPr>
      <w:r w:rsidRPr="0052352D">
        <w:rPr>
          <w:rFonts w:ascii="Arial" w:hAnsi="Arial" w:cs="Arial"/>
          <w:sz w:val="24"/>
          <w:szCs w:val="24"/>
        </w:rPr>
        <w:t>Word Count: 529</w:t>
      </w:r>
    </w:p>
    <w:p w14:paraId="7D2BFE48" w14:textId="11D63F2A" w:rsidR="00D459A2" w:rsidRPr="00CA4CCB" w:rsidRDefault="00BA13A4" w:rsidP="008224EE">
      <w:pPr>
        <w:rPr>
          <w:rFonts w:ascii="Arial" w:hAnsi="Arial" w:cs="Arial"/>
          <w:sz w:val="24"/>
          <w:szCs w:val="24"/>
          <w:u w:val="single"/>
        </w:rPr>
      </w:pPr>
      <w:r w:rsidRPr="00CA4CCB">
        <w:rPr>
          <w:rFonts w:ascii="Arial" w:hAnsi="Arial" w:cs="Arial"/>
          <w:sz w:val="24"/>
          <w:szCs w:val="24"/>
          <w:u w:val="single"/>
        </w:rPr>
        <w:t xml:space="preserve">Task </w:t>
      </w:r>
      <w:r w:rsidR="00F81316">
        <w:rPr>
          <w:rFonts w:ascii="Arial" w:hAnsi="Arial" w:cs="Arial"/>
          <w:sz w:val="24"/>
          <w:szCs w:val="24"/>
          <w:u w:val="single"/>
        </w:rPr>
        <w:t>b</w:t>
      </w:r>
    </w:p>
    <w:p w14:paraId="705F26A3" w14:textId="77777777" w:rsidR="00CC60C6" w:rsidRPr="0052352D" w:rsidRDefault="00CC60C6" w:rsidP="00CC60C6">
      <w:pPr>
        <w:rPr>
          <w:rFonts w:ascii="Arial" w:hAnsi="Arial" w:cs="Arial"/>
          <w:sz w:val="24"/>
          <w:szCs w:val="24"/>
        </w:rPr>
      </w:pPr>
      <w:r w:rsidRPr="0052352D">
        <w:rPr>
          <w:rFonts w:ascii="Arial" w:hAnsi="Arial" w:cs="Arial"/>
          <w:sz w:val="24"/>
          <w:szCs w:val="24"/>
        </w:rPr>
        <w:t xml:space="preserve">There are many similarities between children and adult safeguarding in that everyone has a duty to report concern and assessments to explore risk, harm and abuse should be person-centred and include the voice of the individual, no matter the age of the person at risk.  </w:t>
      </w:r>
    </w:p>
    <w:p w14:paraId="0D5A34E7" w14:textId="77777777" w:rsidR="00CC60C6" w:rsidRPr="0052352D" w:rsidRDefault="00CC60C6" w:rsidP="00CC60C6">
      <w:pPr>
        <w:rPr>
          <w:rFonts w:ascii="Arial" w:hAnsi="Arial" w:cs="Arial"/>
          <w:sz w:val="24"/>
          <w:szCs w:val="24"/>
        </w:rPr>
      </w:pPr>
      <w:r w:rsidRPr="0052352D">
        <w:rPr>
          <w:rFonts w:ascii="Arial" w:hAnsi="Arial" w:cs="Arial"/>
          <w:sz w:val="24"/>
          <w:szCs w:val="24"/>
        </w:rPr>
        <w:t>In Wales the Social Services and Wellbeing (Wales) Act (2014) has provided the framework for safeguarding all individuals since it was implemented in 2016 (Social Care Wales, 2023a) alongside the Wales Safeguarding Procedures (2023b).</w:t>
      </w:r>
      <w:r>
        <w:rPr>
          <w:rFonts w:ascii="Arial" w:hAnsi="Arial" w:cs="Arial"/>
          <w:sz w:val="24"/>
          <w:szCs w:val="24"/>
        </w:rPr>
        <w:t xml:space="preserve"> The Ann Craft Trust (2023) state it is recommended to have different services, policies and reporting procedures for adult and child safeguarding for professionals to have clear guidance how to safeguard both sectors appropriately.  </w:t>
      </w:r>
    </w:p>
    <w:p w14:paraId="58AC34CB" w14:textId="77777777" w:rsidR="00CC60C6" w:rsidRPr="0052352D" w:rsidRDefault="00CC60C6" w:rsidP="00CC60C6">
      <w:pPr>
        <w:rPr>
          <w:rFonts w:ascii="Arial" w:hAnsi="Arial" w:cs="Arial"/>
          <w:sz w:val="24"/>
          <w:szCs w:val="24"/>
        </w:rPr>
      </w:pPr>
      <w:r w:rsidRPr="0052352D">
        <w:rPr>
          <w:rFonts w:ascii="Arial" w:hAnsi="Arial" w:cs="Arial"/>
          <w:sz w:val="24"/>
          <w:szCs w:val="24"/>
        </w:rPr>
        <w:t xml:space="preserve">Adults have the right to </w:t>
      </w:r>
      <w:r>
        <w:rPr>
          <w:rFonts w:ascii="Arial" w:hAnsi="Arial" w:cs="Arial"/>
          <w:sz w:val="24"/>
          <w:szCs w:val="24"/>
        </w:rPr>
        <w:t>make their own choices</w:t>
      </w:r>
      <w:r w:rsidRPr="0052352D">
        <w:rPr>
          <w:rFonts w:ascii="Arial" w:hAnsi="Arial" w:cs="Arial"/>
          <w:sz w:val="24"/>
          <w:szCs w:val="24"/>
        </w:rPr>
        <w:t xml:space="preserve"> even if professionals deem them to be unwise, providing that they have the mental capacity to make these decisions.  Article eight of the Human Rights Act </w:t>
      </w:r>
      <w:r>
        <w:rPr>
          <w:rFonts w:ascii="Arial" w:hAnsi="Arial" w:cs="Arial"/>
          <w:sz w:val="24"/>
          <w:szCs w:val="24"/>
        </w:rPr>
        <w:t>(</w:t>
      </w:r>
      <w:r w:rsidRPr="0052352D">
        <w:rPr>
          <w:rFonts w:ascii="Arial" w:hAnsi="Arial" w:cs="Arial"/>
          <w:sz w:val="24"/>
          <w:szCs w:val="24"/>
        </w:rPr>
        <w:t>1998</w:t>
      </w:r>
      <w:r>
        <w:rPr>
          <w:rFonts w:ascii="Arial" w:hAnsi="Arial" w:cs="Arial"/>
          <w:sz w:val="24"/>
          <w:szCs w:val="24"/>
        </w:rPr>
        <w:t>)</w:t>
      </w:r>
      <w:r w:rsidRPr="0052352D">
        <w:rPr>
          <w:rFonts w:ascii="Arial" w:hAnsi="Arial" w:cs="Arial"/>
          <w:sz w:val="24"/>
          <w:szCs w:val="24"/>
        </w:rPr>
        <w:t xml:space="preserve"> explains that individuals have the right to a private life (Legislation, 2023f) therefore this must be respected but assessments of risk considered when there are </w:t>
      </w:r>
      <w:r>
        <w:rPr>
          <w:rFonts w:ascii="Arial" w:hAnsi="Arial" w:cs="Arial"/>
          <w:sz w:val="24"/>
          <w:szCs w:val="24"/>
        </w:rPr>
        <w:t xml:space="preserve">significant </w:t>
      </w:r>
      <w:r w:rsidRPr="0052352D">
        <w:rPr>
          <w:rFonts w:ascii="Arial" w:hAnsi="Arial" w:cs="Arial"/>
          <w:sz w:val="24"/>
          <w:szCs w:val="24"/>
        </w:rPr>
        <w:t xml:space="preserve">concerns about the safety of the individual or others.  </w:t>
      </w:r>
    </w:p>
    <w:p w14:paraId="61723665" w14:textId="77777777" w:rsidR="00CC60C6" w:rsidRPr="0052352D" w:rsidRDefault="00CC60C6" w:rsidP="00CC60C6">
      <w:pPr>
        <w:rPr>
          <w:rFonts w:ascii="Arial" w:hAnsi="Arial" w:cs="Arial"/>
          <w:sz w:val="24"/>
          <w:szCs w:val="24"/>
        </w:rPr>
      </w:pPr>
      <w:r w:rsidRPr="0052352D">
        <w:rPr>
          <w:rFonts w:ascii="Arial" w:hAnsi="Arial" w:cs="Arial"/>
          <w:sz w:val="24"/>
          <w:szCs w:val="24"/>
        </w:rPr>
        <w:t xml:space="preserve">Despite there being similarities between adult and child safeguarding there are different legal frameworks that professionals must adhere to, and some legislations are more relevant to adults rather than children and vice-versa.  The Mental Health Act 1983 considers the safety and wellbeing of a person of any age, however for children the assessing approved mental health practitioner would consider other legislative routes and parental responsibility in the first instance due to how restrictive the interventions can be (Legislation, 2023m).  Although the Children Act 1989 defines a child as under age eighteen (Legislation, 2023d), the Mental Capacity Act 2005 is relevant for individuals over age sixteen therefore causing a crossover between child and adult safeguarding for older teens (Legislation, 2023l).  This is also complicated by the Gillick competence whereby a child can give consent if they are able to consider the advantages and disadvantages (Gillick v West Norfolk, 1984) and furthermore the Fraser guidelines which allow children to make specific decisions regarding contraception and sexual health without parental consent providing they understand the advice given and it is in their best interest (Axton v The Secretary of State for Health, 2006). </w:t>
      </w:r>
    </w:p>
    <w:p w14:paraId="759DBB0C" w14:textId="77777777" w:rsidR="00CC60C6" w:rsidRPr="0052352D" w:rsidRDefault="00CC60C6" w:rsidP="00CC60C6">
      <w:pPr>
        <w:rPr>
          <w:rFonts w:ascii="Arial" w:hAnsi="Arial" w:cs="Arial"/>
          <w:sz w:val="24"/>
          <w:szCs w:val="24"/>
        </w:rPr>
      </w:pPr>
      <w:r w:rsidRPr="0052352D">
        <w:rPr>
          <w:rFonts w:ascii="Arial" w:hAnsi="Arial" w:cs="Arial"/>
          <w:sz w:val="24"/>
          <w:szCs w:val="24"/>
        </w:rPr>
        <w:t xml:space="preserve">Adult and children safeguarding referral processes follow a similar route with a single point of access accepting referrals from professionals or third parties however they then follow a different route in terms of assessment and eligibility due to the legislative frameworks and procedures that govern them.  In accordance with the SSWBWA (2014) everybody had a right for an assessment and the universal hope it </w:t>
      </w:r>
      <w:r w:rsidRPr="0052352D">
        <w:rPr>
          <w:rFonts w:ascii="Arial" w:hAnsi="Arial" w:cs="Arial"/>
          <w:sz w:val="24"/>
          <w:szCs w:val="24"/>
        </w:rPr>
        <w:lastRenderedPageBreak/>
        <w:t>that early interventions will reduce adults and children being at risk of harm and abuse.</w:t>
      </w:r>
    </w:p>
    <w:p w14:paraId="3F1DACF3" w14:textId="77777777" w:rsidR="00CC60C6" w:rsidRPr="0052352D" w:rsidRDefault="00CC60C6" w:rsidP="00CC60C6">
      <w:pPr>
        <w:jc w:val="right"/>
        <w:rPr>
          <w:rFonts w:ascii="Arial" w:hAnsi="Arial" w:cs="Arial"/>
          <w:sz w:val="24"/>
          <w:szCs w:val="24"/>
        </w:rPr>
      </w:pPr>
      <w:r w:rsidRPr="0052352D">
        <w:rPr>
          <w:rFonts w:ascii="Arial" w:hAnsi="Arial" w:cs="Arial"/>
          <w:sz w:val="24"/>
          <w:szCs w:val="24"/>
        </w:rPr>
        <w:t>Word Count: 4</w:t>
      </w:r>
      <w:r>
        <w:rPr>
          <w:rFonts w:ascii="Arial" w:hAnsi="Arial" w:cs="Arial"/>
          <w:sz w:val="24"/>
          <w:szCs w:val="24"/>
        </w:rPr>
        <w:t>53</w:t>
      </w:r>
    </w:p>
    <w:p w14:paraId="2E012172" w14:textId="77777777" w:rsidR="007C002A" w:rsidRDefault="007C002A" w:rsidP="00CA4CCB">
      <w:pPr>
        <w:jc w:val="center"/>
        <w:rPr>
          <w:rFonts w:ascii="Arial" w:hAnsi="Arial" w:cs="Arial"/>
          <w:sz w:val="24"/>
          <w:szCs w:val="24"/>
          <w:u w:val="single"/>
        </w:rPr>
      </w:pPr>
    </w:p>
    <w:p w14:paraId="799F0C0F" w14:textId="77777777" w:rsidR="007C002A" w:rsidRDefault="007C002A" w:rsidP="00CA4CCB">
      <w:pPr>
        <w:jc w:val="center"/>
        <w:rPr>
          <w:rFonts w:ascii="Arial" w:hAnsi="Arial" w:cs="Arial"/>
          <w:sz w:val="24"/>
          <w:szCs w:val="24"/>
          <w:u w:val="single"/>
        </w:rPr>
      </w:pPr>
    </w:p>
    <w:p w14:paraId="0EA9BFBB" w14:textId="77777777" w:rsidR="007C002A" w:rsidRDefault="007C002A" w:rsidP="00CA4CCB">
      <w:pPr>
        <w:jc w:val="center"/>
        <w:rPr>
          <w:rFonts w:ascii="Arial" w:hAnsi="Arial" w:cs="Arial"/>
          <w:sz w:val="24"/>
          <w:szCs w:val="24"/>
          <w:u w:val="single"/>
        </w:rPr>
      </w:pPr>
    </w:p>
    <w:p w14:paraId="5CC141A2" w14:textId="77777777" w:rsidR="007C002A" w:rsidRDefault="007C002A" w:rsidP="00CA4CCB">
      <w:pPr>
        <w:jc w:val="center"/>
        <w:rPr>
          <w:rFonts w:ascii="Arial" w:hAnsi="Arial" w:cs="Arial"/>
          <w:sz w:val="24"/>
          <w:szCs w:val="24"/>
          <w:u w:val="single"/>
        </w:rPr>
      </w:pPr>
    </w:p>
    <w:p w14:paraId="798A6791" w14:textId="77777777" w:rsidR="007C002A" w:rsidRDefault="007C002A" w:rsidP="00CA4CCB">
      <w:pPr>
        <w:jc w:val="center"/>
        <w:rPr>
          <w:rFonts w:ascii="Arial" w:hAnsi="Arial" w:cs="Arial"/>
          <w:sz w:val="24"/>
          <w:szCs w:val="24"/>
          <w:u w:val="single"/>
        </w:rPr>
      </w:pPr>
    </w:p>
    <w:p w14:paraId="10101DAA" w14:textId="77777777" w:rsidR="007C002A" w:rsidRDefault="007C002A" w:rsidP="00CA4CCB">
      <w:pPr>
        <w:jc w:val="center"/>
        <w:rPr>
          <w:rFonts w:ascii="Arial" w:hAnsi="Arial" w:cs="Arial"/>
          <w:sz w:val="24"/>
          <w:szCs w:val="24"/>
          <w:u w:val="single"/>
        </w:rPr>
      </w:pPr>
    </w:p>
    <w:p w14:paraId="49EDF3BC" w14:textId="77777777" w:rsidR="007C002A" w:rsidRDefault="007C002A" w:rsidP="00CA4CCB">
      <w:pPr>
        <w:jc w:val="center"/>
        <w:rPr>
          <w:rFonts w:ascii="Arial" w:hAnsi="Arial" w:cs="Arial"/>
          <w:sz w:val="24"/>
          <w:szCs w:val="24"/>
          <w:u w:val="single"/>
        </w:rPr>
      </w:pPr>
    </w:p>
    <w:p w14:paraId="12DC0320" w14:textId="77777777" w:rsidR="007C002A" w:rsidRDefault="007C002A" w:rsidP="00CA4CCB">
      <w:pPr>
        <w:jc w:val="center"/>
        <w:rPr>
          <w:rFonts w:ascii="Arial" w:hAnsi="Arial" w:cs="Arial"/>
          <w:sz w:val="24"/>
          <w:szCs w:val="24"/>
          <w:u w:val="single"/>
        </w:rPr>
      </w:pPr>
    </w:p>
    <w:p w14:paraId="0554BCF0" w14:textId="77777777" w:rsidR="007C002A" w:rsidRDefault="007C002A" w:rsidP="00CA4CCB">
      <w:pPr>
        <w:jc w:val="center"/>
        <w:rPr>
          <w:rFonts w:ascii="Arial" w:hAnsi="Arial" w:cs="Arial"/>
          <w:sz w:val="24"/>
          <w:szCs w:val="24"/>
          <w:u w:val="single"/>
        </w:rPr>
      </w:pPr>
    </w:p>
    <w:p w14:paraId="36D11007" w14:textId="77777777" w:rsidR="007C002A" w:rsidRDefault="007C002A" w:rsidP="00CA4CCB">
      <w:pPr>
        <w:jc w:val="center"/>
        <w:rPr>
          <w:rFonts w:ascii="Arial" w:hAnsi="Arial" w:cs="Arial"/>
          <w:sz w:val="24"/>
          <w:szCs w:val="24"/>
          <w:u w:val="single"/>
        </w:rPr>
      </w:pPr>
    </w:p>
    <w:p w14:paraId="4F30E294" w14:textId="77777777" w:rsidR="007C002A" w:rsidRDefault="007C002A" w:rsidP="00CA4CCB">
      <w:pPr>
        <w:jc w:val="center"/>
        <w:rPr>
          <w:rFonts w:ascii="Arial" w:hAnsi="Arial" w:cs="Arial"/>
          <w:sz w:val="24"/>
          <w:szCs w:val="24"/>
          <w:u w:val="single"/>
        </w:rPr>
      </w:pPr>
    </w:p>
    <w:p w14:paraId="0DF1D42A" w14:textId="77777777" w:rsidR="007C002A" w:rsidRDefault="007C002A" w:rsidP="00CA4CCB">
      <w:pPr>
        <w:jc w:val="center"/>
        <w:rPr>
          <w:rFonts w:ascii="Arial" w:hAnsi="Arial" w:cs="Arial"/>
          <w:sz w:val="24"/>
          <w:szCs w:val="24"/>
          <w:u w:val="single"/>
        </w:rPr>
      </w:pPr>
    </w:p>
    <w:p w14:paraId="69636C45" w14:textId="77777777" w:rsidR="007C002A" w:rsidRDefault="007C002A" w:rsidP="00CA4CCB">
      <w:pPr>
        <w:jc w:val="center"/>
        <w:rPr>
          <w:rFonts w:ascii="Arial" w:hAnsi="Arial" w:cs="Arial"/>
          <w:sz w:val="24"/>
          <w:szCs w:val="24"/>
          <w:u w:val="single"/>
        </w:rPr>
      </w:pPr>
    </w:p>
    <w:p w14:paraId="226FF971" w14:textId="77777777" w:rsidR="007C002A" w:rsidRDefault="007C002A" w:rsidP="00CA4CCB">
      <w:pPr>
        <w:jc w:val="center"/>
        <w:rPr>
          <w:rFonts w:ascii="Arial" w:hAnsi="Arial" w:cs="Arial"/>
          <w:sz w:val="24"/>
          <w:szCs w:val="24"/>
          <w:u w:val="single"/>
        </w:rPr>
      </w:pPr>
    </w:p>
    <w:p w14:paraId="56F284BD" w14:textId="77777777" w:rsidR="007C002A" w:rsidRDefault="007C002A" w:rsidP="00CA4CCB">
      <w:pPr>
        <w:jc w:val="center"/>
        <w:rPr>
          <w:rFonts w:ascii="Arial" w:hAnsi="Arial" w:cs="Arial"/>
          <w:sz w:val="24"/>
          <w:szCs w:val="24"/>
          <w:u w:val="single"/>
        </w:rPr>
      </w:pPr>
    </w:p>
    <w:p w14:paraId="64745DE6" w14:textId="77777777" w:rsidR="007C002A" w:rsidRDefault="007C002A" w:rsidP="00CA4CCB">
      <w:pPr>
        <w:jc w:val="center"/>
        <w:rPr>
          <w:rFonts w:ascii="Arial" w:hAnsi="Arial" w:cs="Arial"/>
          <w:sz w:val="24"/>
          <w:szCs w:val="24"/>
          <w:u w:val="single"/>
        </w:rPr>
      </w:pPr>
    </w:p>
    <w:p w14:paraId="2F57E3D6" w14:textId="77777777" w:rsidR="007C002A" w:rsidRDefault="007C002A" w:rsidP="00CA4CCB">
      <w:pPr>
        <w:jc w:val="center"/>
        <w:rPr>
          <w:rFonts w:ascii="Arial" w:hAnsi="Arial" w:cs="Arial"/>
          <w:sz w:val="24"/>
          <w:szCs w:val="24"/>
          <w:u w:val="single"/>
        </w:rPr>
      </w:pPr>
    </w:p>
    <w:p w14:paraId="0CF24DB7" w14:textId="77777777" w:rsidR="007C002A" w:rsidRDefault="007C002A" w:rsidP="00CA4CCB">
      <w:pPr>
        <w:jc w:val="center"/>
        <w:rPr>
          <w:rFonts w:ascii="Arial" w:hAnsi="Arial" w:cs="Arial"/>
          <w:sz w:val="24"/>
          <w:szCs w:val="24"/>
          <w:u w:val="single"/>
        </w:rPr>
      </w:pPr>
    </w:p>
    <w:p w14:paraId="6E2B5887" w14:textId="77777777" w:rsidR="007C002A" w:rsidRDefault="007C002A" w:rsidP="00CA4CCB">
      <w:pPr>
        <w:jc w:val="center"/>
        <w:rPr>
          <w:rFonts w:ascii="Arial" w:hAnsi="Arial" w:cs="Arial"/>
          <w:sz w:val="24"/>
          <w:szCs w:val="24"/>
          <w:u w:val="single"/>
        </w:rPr>
      </w:pPr>
    </w:p>
    <w:p w14:paraId="086FDD2A" w14:textId="77777777" w:rsidR="007C002A" w:rsidRDefault="007C002A" w:rsidP="00CA4CCB">
      <w:pPr>
        <w:jc w:val="center"/>
        <w:rPr>
          <w:rFonts w:ascii="Arial" w:hAnsi="Arial" w:cs="Arial"/>
          <w:sz w:val="24"/>
          <w:szCs w:val="24"/>
          <w:u w:val="single"/>
        </w:rPr>
      </w:pPr>
    </w:p>
    <w:p w14:paraId="5AE372ED" w14:textId="77777777" w:rsidR="007C002A" w:rsidRDefault="007C002A" w:rsidP="00CA4CCB">
      <w:pPr>
        <w:jc w:val="center"/>
        <w:rPr>
          <w:rFonts w:ascii="Arial" w:hAnsi="Arial" w:cs="Arial"/>
          <w:sz w:val="24"/>
          <w:szCs w:val="24"/>
          <w:u w:val="single"/>
        </w:rPr>
      </w:pPr>
    </w:p>
    <w:p w14:paraId="00CD62AA" w14:textId="77777777" w:rsidR="007C002A" w:rsidRDefault="007C002A" w:rsidP="00CA4CCB">
      <w:pPr>
        <w:jc w:val="center"/>
        <w:rPr>
          <w:rFonts w:ascii="Arial" w:hAnsi="Arial" w:cs="Arial"/>
          <w:sz w:val="24"/>
          <w:szCs w:val="24"/>
          <w:u w:val="single"/>
        </w:rPr>
      </w:pPr>
    </w:p>
    <w:p w14:paraId="01864E43" w14:textId="77777777" w:rsidR="007C002A" w:rsidRDefault="007C002A" w:rsidP="00CA4CCB">
      <w:pPr>
        <w:jc w:val="center"/>
        <w:rPr>
          <w:rFonts w:ascii="Arial" w:hAnsi="Arial" w:cs="Arial"/>
          <w:sz w:val="24"/>
          <w:szCs w:val="24"/>
          <w:u w:val="single"/>
        </w:rPr>
      </w:pPr>
    </w:p>
    <w:p w14:paraId="5CEDDCF6" w14:textId="77777777" w:rsidR="007C002A" w:rsidRDefault="007C002A" w:rsidP="00CA4CCB">
      <w:pPr>
        <w:jc w:val="center"/>
        <w:rPr>
          <w:rFonts w:ascii="Arial" w:hAnsi="Arial" w:cs="Arial"/>
          <w:sz w:val="24"/>
          <w:szCs w:val="24"/>
          <w:u w:val="single"/>
        </w:rPr>
      </w:pPr>
    </w:p>
    <w:p w14:paraId="1699A614" w14:textId="77777777" w:rsidR="007C002A" w:rsidRDefault="007C002A" w:rsidP="00CA4CCB">
      <w:pPr>
        <w:jc w:val="center"/>
        <w:rPr>
          <w:rFonts w:ascii="Arial" w:hAnsi="Arial" w:cs="Arial"/>
          <w:sz w:val="24"/>
          <w:szCs w:val="24"/>
          <w:u w:val="single"/>
        </w:rPr>
      </w:pPr>
    </w:p>
    <w:p w14:paraId="4E06F8D9" w14:textId="77777777" w:rsidR="007C002A" w:rsidRDefault="007C002A" w:rsidP="00CA4CCB">
      <w:pPr>
        <w:jc w:val="center"/>
        <w:rPr>
          <w:rFonts w:ascii="Arial" w:hAnsi="Arial" w:cs="Arial"/>
          <w:sz w:val="24"/>
          <w:szCs w:val="24"/>
          <w:u w:val="single"/>
        </w:rPr>
      </w:pPr>
    </w:p>
    <w:p w14:paraId="2817EB4B" w14:textId="77777777" w:rsidR="007C002A" w:rsidRDefault="007C002A" w:rsidP="00CA4CCB">
      <w:pPr>
        <w:jc w:val="center"/>
        <w:rPr>
          <w:rFonts w:ascii="Arial" w:hAnsi="Arial" w:cs="Arial"/>
          <w:sz w:val="24"/>
          <w:szCs w:val="24"/>
          <w:u w:val="single"/>
        </w:rPr>
      </w:pPr>
    </w:p>
    <w:p w14:paraId="7E52FDBB" w14:textId="77777777" w:rsidR="007C002A" w:rsidRDefault="007C002A" w:rsidP="00CA4CCB">
      <w:pPr>
        <w:jc w:val="center"/>
        <w:rPr>
          <w:rFonts w:ascii="Arial" w:hAnsi="Arial" w:cs="Arial"/>
          <w:sz w:val="24"/>
          <w:szCs w:val="24"/>
          <w:u w:val="single"/>
        </w:rPr>
      </w:pPr>
    </w:p>
    <w:p w14:paraId="7626AF45" w14:textId="38AA74E3" w:rsidR="00CA4CCB" w:rsidRDefault="00CA4CCB" w:rsidP="00CA4CCB">
      <w:pPr>
        <w:jc w:val="center"/>
        <w:rPr>
          <w:rFonts w:ascii="Arial" w:hAnsi="Arial" w:cs="Arial"/>
          <w:sz w:val="24"/>
          <w:szCs w:val="24"/>
          <w:u w:val="single"/>
        </w:rPr>
      </w:pPr>
      <w:r>
        <w:rPr>
          <w:rFonts w:ascii="Arial" w:hAnsi="Arial" w:cs="Arial"/>
          <w:sz w:val="24"/>
          <w:szCs w:val="24"/>
          <w:u w:val="single"/>
        </w:rPr>
        <w:lastRenderedPageBreak/>
        <w:t>References</w:t>
      </w:r>
    </w:p>
    <w:p w14:paraId="14AA441B"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Ann Craft Trust (2023) </w:t>
      </w:r>
      <w:r w:rsidRPr="002A19A3">
        <w:rPr>
          <w:rFonts w:ascii="Arial" w:hAnsi="Arial" w:cs="Arial"/>
          <w:i/>
          <w:iCs/>
          <w:color w:val="000000" w:themeColor="text1"/>
          <w:sz w:val="24"/>
          <w:szCs w:val="24"/>
        </w:rPr>
        <w:t xml:space="preserve">Why have Different Policies and Procedures for Safeguarding Children and Adults? </w:t>
      </w:r>
      <w:r w:rsidRPr="002A19A3">
        <w:rPr>
          <w:rFonts w:ascii="Arial" w:hAnsi="Arial" w:cs="Arial"/>
          <w:color w:val="000000" w:themeColor="text1"/>
          <w:sz w:val="24"/>
          <w:szCs w:val="24"/>
        </w:rPr>
        <w:t xml:space="preserve">[ONLINE] Available at: </w:t>
      </w:r>
      <w:hyperlink r:id="rId7" w:history="1">
        <w:r w:rsidRPr="002A19A3">
          <w:rPr>
            <w:rStyle w:val="Hyperlink"/>
            <w:rFonts w:ascii="Arial" w:hAnsi="Arial" w:cs="Arial"/>
            <w:color w:val="000000" w:themeColor="text1"/>
            <w:sz w:val="24"/>
            <w:szCs w:val="24"/>
          </w:rPr>
          <w:t>www.anncrafttrust.org/resources/why-have-different-policies-and-procedures-for-safeguarding-children-and-adults</w:t>
        </w:r>
      </w:hyperlink>
      <w:r w:rsidRPr="002A19A3">
        <w:rPr>
          <w:rFonts w:ascii="Arial" w:hAnsi="Arial" w:cs="Arial"/>
          <w:color w:val="000000" w:themeColor="text1"/>
          <w:sz w:val="24"/>
          <w:szCs w:val="24"/>
        </w:rPr>
        <w:t xml:space="preserve"> [Accessed on 19 August 2023].</w:t>
      </w:r>
    </w:p>
    <w:p w14:paraId="63037980" w14:textId="77777777" w:rsidR="007C002A" w:rsidRPr="002A19A3" w:rsidRDefault="007C002A" w:rsidP="007C002A">
      <w:pPr>
        <w:rPr>
          <w:rFonts w:ascii="Arial" w:hAnsi="Arial" w:cs="Arial"/>
          <w:i/>
          <w:iCs/>
          <w:color w:val="000000" w:themeColor="text1"/>
          <w:sz w:val="24"/>
          <w:szCs w:val="24"/>
        </w:rPr>
      </w:pPr>
      <w:r w:rsidRPr="002A19A3">
        <w:rPr>
          <w:rFonts w:ascii="Arial" w:hAnsi="Arial" w:cs="Arial"/>
          <w:color w:val="000000" w:themeColor="text1"/>
          <w:sz w:val="24"/>
          <w:szCs w:val="24"/>
        </w:rPr>
        <w:t xml:space="preserve">Axton v The Secretary of State for Health (The Family Planning Association: Intervening) (2006) </w:t>
      </w:r>
      <w:r w:rsidRPr="002A19A3">
        <w:rPr>
          <w:rFonts w:ascii="Arial" w:hAnsi="Arial" w:cs="Arial"/>
          <w:i/>
          <w:iCs/>
          <w:color w:val="000000" w:themeColor="text1"/>
          <w:sz w:val="24"/>
          <w:szCs w:val="24"/>
        </w:rPr>
        <w:t xml:space="preserve">EWHC 37: As cited in Family Law Week. </w:t>
      </w:r>
    </w:p>
    <w:p w14:paraId="17591E76"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Gillick v West Norfolk and Wisbech Area Health Authority and Department of Health and Social Security (1984) </w:t>
      </w:r>
      <w:r w:rsidRPr="002A19A3">
        <w:rPr>
          <w:rFonts w:ascii="Arial" w:hAnsi="Arial" w:cs="Arial"/>
          <w:i/>
          <w:iCs/>
          <w:color w:val="000000" w:themeColor="text1"/>
          <w:sz w:val="24"/>
          <w:szCs w:val="24"/>
        </w:rPr>
        <w:t xml:space="preserve">Q.B. 581. As cited in Children’s Legal Centre (1985) Landmark Decision for Children’s Rights, </w:t>
      </w:r>
      <w:proofErr w:type="spellStart"/>
      <w:r w:rsidRPr="002A19A3">
        <w:rPr>
          <w:rFonts w:ascii="Arial" w:hAnsi="Arial" w:cs="Arial"/>
          <w:color w:val="000000" w:themeColor="text1"/>
          <w:sz w:val="24"/>
          <w:szCs w:val="24"/>
        </w:rPr>
        <w:t>Childright</w:t>
      </w:r>
      <w:proofErr w:type="spellEnd"/>
      <w:r w:rsidRPr="002A19A3">
        <w:rPr>
          <w:rFonts w:ascii="Arial" w:hAnsi="Arial" w:cs="Arial"/>
          <w:color w:val="000000" w:themeColor="text1"/>
          <w:sz w:val="24"/>
          <w:szCs w:val="24"/>
        </w:rPr>
        <w:t>, 22, pp. 11 – 18.</w:t>
      </w:r>
    </w:p>
    <w:p w14:paraId="50F24B1D"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(2023d) </w:t>
      </w:r>
      <w:r w:rsidRPr="002A19A3">
        <w:rPr>
          <w:rFonts w:ascii="Arial" w:hAnsi="Arial" w:cs="Arial"/>
          <w:i/>
          <w:iCs/>
          <w:color w:val="000000" w:themeColor="text1"/>
          <w:sz w:val="24"/>
          <w:szCs w:val="24"/>
        </w:rPr>
        <w:t xml:space="preserve">Children Act 1989, </w:t>
      </w:r>
      <w:r w:rsidRPr="002A19A3">
        <w:rPr>
          <w:rFonts w:ascii="Arial" w:hAnsi="Arial" w:cs="Arial"/>
          <w:color w:val="000000" w:themeColor="text1"/>
          <w:sz w:val="24"/>
          <w:szCs w:val="24"/>
        </w:rPr>
        <w:t xml:space="preserve">[ONLINE] Available at: </w:t>
      </w:r>
      <w:hyperlink r:id="rId8" w:history="1">
        <w:r w:rsidRPr="002A19A3">
          <w:rPr>
            <w:rStyle w:val="Hyperlink"/>
            <w:rFonts w:ascii="Arial" w:hAnsi="Arial" w:cs="Arial"/>
            <w:color w:val="000000" w:themeColor="text1"/>
            <w:sz w:val="24"/>
            <w:szCs w:val="24"/>
          </w:rPr>
          <w:t>www.legislation.gov.uk/ukpga/1989/41/contents</w:t>
        </w:r>
      </w:hyperlink>
      <w:r w:rsidRPr="002A19A3">
        <w:rPr>
          <w:rFonts w:ascii="Arial" w:hAnsi="Arial" w:cs="Arial"/>
          <w:color w:val="000000" w:themeColor="text1"/>
          <w:sz w:val="24"/>
          <w:szCs w:val="24"/>
        </w:rPr>
        <w:t xml:space="preserve"> [Accessed on 25 July 2023].</w:t>
      </w:r>
    </w:p>
    <w:p w14:paraId="7A3884DA"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(2023f) </w:t>
      </w:r>
      <w:r w:rsidRPr="002A19A3">
        <w:rPr>
          <w:rFonts w:ascii="Arial" w:hAnsi="Arial" w:cs="Arial"/>
          <w:i/>
          <w:iCs/>
          <w:color w:val="000000" w:themeColor="text1"/>
          <w:sz w:val="24"/>
          <w:szCs w:val="24"/>
        </w:rPr>
        <w:t xml:space="preserve">Human Rights Act 1998, </w:t>
      </w:r>
      <w:r w:rsidRPr="002A19A3">
        <w:rPr>
          <w:rFonts w:ascii="Arial" w:hAnsi="Arial" w:cs="Arial"/>
          <w:color w:val="000000" w:themeColor="text1"/>
          <w:sz w:val="24"/>
          <w:szCs w:val="24"/>
        </w:rPr>
        <w:t xml:space="preserve">[ONLINE] Available at: </w:t>
      </w:r>
      <w:hyperlink r:id="rId9" w:history="1">
        <w:r w:rsidRPr="002A19A3">
          <w:rPr>
            <w:rStyle w:val="Hyperlink"/>
            <w:rFonts w:ascii="Arial" w:hAnsi="Arial" w:cs="Arial"/>
            <w:color w:val="000000" w:themeColor="text1"/>
            <w:sz w:val="24"/>
            <w:szCs w:val="24"/>
          </w:rPr>
          <w:t>www.legislation.gov.uk/ukpga/1998/42/contents</w:t>
        </w:r>
      </w:hyperlink>
      <w:r w:rsidRPr="002A19A3">
        <w:rPr>
          <w:rFonts w:ascii="Arial" w:hAnsi="Arial" w:cs="Arial"/>
          <w:color w:val="000000" w:themeColor="text1"/>
          <w:sz w:val="24"/>
          <w:szCs w:val="24"/>
        </w:rPr>
        <w:t xml:space="preserve"> [Accessed on 26 July 2023].</w:t>
      </w:r>
    </w:p>
    <w:p w14:paraId="654D9FEC"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(2023j) </w:t>
      </w:r>
      <w:r w:rsidRPr="002A19A3">
        <w:rPr>
          <w:rFonts w:ascii="Arial" w:hAnsi="Arial" w:cs="Arial"/>
          <w:i/>
          <w:iCs/>
          <w:color w:val="000000" w:themeColor="text1"/>
          <w:sz w:val="24"/>
          <w:szCs w:val="24"/>
        </w:rPr>
        <w:t xml:space="preserve">Data Protection Act 1998, </w:t>
      </w:r>
      <w:r w:rsidRPr="002A19A3">
        <w:rPr>
          <w:rFonts w:ascii="Arial" w:hAnsi="Arial" w:cs="Arial"/>
          <w:color w:val="000000" w:themeColor="text1"/>
          <w:sz w:val="24"/>
          <w:szCs w:val="24"/>
        </w:rPr>
        <w:t xml:space="preserve">[ONLINE] Available at: </w:t>
      </w:r>
      <w:hyperlink r:id="rId10" w:history="1">
        <w:r w:rsidRPr="002A19A3">
          <w:rPr>
            <w:rStyle w:val="Hyperlink"/>
            <w:rFonts w:ascii="Arial" w:hAnsi="Arial" w:cs="Arial"/>
            <w:color w:val="000000" w:themeColor="text1"/>
            <w:sz w:val="24"/>
            <w:szCs w:val="24"/>
          </w:rPr>
          <w:t>www.legislation.gov.uk/ukpga/1998/29/contents</w:t>
        </w:r>
      </w:hyperlink>
      <w:r w:rsidRPr="002A19A3">
        <w:rPr>
          <w:rFonts w:ascii="Arial" w:hAnsi="Arial" w:cs="Arial"/>
          <w:color w:val="000000" w:themeColor="text1"/>
          <w:sz w:val="24"/>
          <w:szCs w:val="24"/>
        </w:rPr>
        <w:t xml:space="preserve"> [Accessed on 9 August 2023]. </w:t>
      </w:r>
    </w:p>
    <w:p w14:paraId="6DFCFCF8"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(2023k) </w:t>
      </w:r>
      <w:r w:rsidRPr="002A19A3">
        <w:rPr>
          <w:rFonts w:ascii="Arial" w:hAnsi="Arial" w:cs="Arial"/>
          <w:i/>
          <w:iCs/>
          <w:color w:val="000000" w:themeColor="text1"/>
          <w:sz w:val="24"/>
          <w:szCs w:val="24"/>
        </w:rPr>
        <w:t xml:space="preserve">Data Protection Act 2018, </w:t>
      </w:r>
      <w:r w:rsidRPr="002A19A3">
        <w:rPr>
          <w:rFonts w:ascii="Arial" w:hAnsi="Arial" w:cs="Arial"/>
          <w:color w:val="000000" w:themeColor="text1"/>
          <w:sz w:val="24"/>
          <w:szCs w:val="24"/>
        </w:rPr>
        <w:t xml:space="preserve">[ONLINE] Available at: </w:t>
      </w:r>
      <w:hyperlink r:id="rId11" w:history="1">
        <w:r w:rsidRPr="002A19A3">
          <w:rPr>
            <w:rStyle w:val="Hyperlink"/>
            <w:rFonts w:ascii="Arial" w:hAnsi="Arial" w:cs="Arial"/>
            <w:color w:val="000000" w:themeColor="text1"/>
            <w:sz w:val="24"/>
            <w:szCs w:val="24"/>
          </w:rPr>
          <w:t>www.legislation.gov.uk/ukpga/2018/12/contents/enacted</w:t>
        </w:r>
      </w:hyperlink>
      <w:r w:rsidRPr="002A19A3">
        <w:rPr>
          <w:rFonts w:ascii="Arial" w:hAnsi="Arial" w:cs="Arial"/>
          <w:color w:val="000000" w:themeColor="text1"/>
          <w:sz w:val="24"/>
          <w:szCs w:val="24"/>
        </w:rPr>
        <w:t xml:space="preserve"> [Accessed on 9 August</w:t>
      </w:r>
      <w:r>
        <w:rPr>
          <w:rFonts w:ascii="Arial" w:hAnsi="Arial" w:cs="Arial"/>
          <w:color w:val="000000" w:themeColor="text1"/>
          <w:sz w:val="24"/>
          <w:szCs w:val="24"/>
        </w:rPr>
        <w:t xml:space="preserve"> </w:t>
      </w:r>
      <w:r w:rsidRPr="002A19A3">
        <w:rPr>
          <w:rFonts w:ascii="Arial" w:hAnsi="Arial" w:cs="Arial"/>
          <w:color w:val="000000" w:themeColor="text1"/>
          <w:sz w:val="24"/>
          <w:szCs w:val="24"/>
        </w:rPr>
        <w:t xml:space="preserve">2023]. </w:t>
      </w:r>
    </w:p>
    <w:p w14:paraId="1D81A6F0"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(2023l) </w:t>
      </w:r>
      <w:r w:rsidRPr="002A19A3">
        <w:rPr>
          <w:rFonts w:ascii="Arial" w:hAnsi="Arial" w:cs="Arial"/>
          <w:i/>
          <w:iCs/>
          <w:color w:val="000000" w:themeColor="text1"/>
          <w:sz w:val="24"/>
          <w:szCs w:val="24"/>
        </w:rPr>
        <w:t xml:space="preserve">Mental Capacity Act 2005, </w:t>
      </w:r>
      <w:r w:rsidRPr="002A19A3">
        <w:rPr>
          <w:rFonts w:ascii="Arial" w:hAnsi="Arial" w:cs="Arial"/>
          <w:color w:val="000000" w:themeColor="text1"/>
          <w:sz w:val="24"/>
          <w:szCs w:val="24"/>
        </w:rPr>
        <w:t xml:space="preserve">[ONLINE] Available at: </w:t>
      </w:r>
      <w:hyperlink r:id="rId12" w:history="1">
        <w:r w:rsidRPr="002A19A3">
          <w:rPr>
            <w:rStyle w:val="Hyperlink"/>
            <w:rFonts w:ascii="Arial" w:hAnsi="Arial" w:cs="Arial"/>
            <w:color w:val="000000" w:themeColor="text1"/>
            <w:sz w:val="24"/>
            <w:szCs w:val="24"/>
          </w:rPr>
          <w:t>www.legislation.gov.uk/ukpga/2005/9/contents</w:t>
        </w:r>
      </w:hyperlink>
      <w:r w:rsidRPr="002A19A3">
        <w:rPr>
          <w:rFonts w:ascii="Arial" w:hAnsi="Arial" w:cs="Arial"/>
          <w:color w:val="000000" w:themeColor="text1"/>
          <w:sz w:val="24"/>
          <w:szCs w:val="24"/>
        </w:rPr>
        <w:t xml:space="preserve"> [Accessed on 11 August 2023].</w:t>
      </w:r>
    </w:p>
    <w:p w14:paraId="11EE0DF2"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Legislation (2023m) </w:t>
      </w:r>
      <w:r w:rsidRPr="002A19A3">
        <w:rPr>
          <w:rFonts w:ascii="Arial" w:hAnsi="Arial" w:cs="Arial"/>
          <w:i/>
          <w:iCs/>
          <w:color w:val="000000" w:themeColor="text1"/>
          <w:sz w:val="24"/>
          <w:szCs w:val="24"/>
        </w:rPr>
        <w:t xml:space="preserve">Mental Health Act 1983, </w:t>
      </w:r>
      <w:r w:rsidRPr="002A19A3">
        <w:rPr>
          <w:rFonts w:ascii="Arial" w:hAnsi="Arial" w:cs="Arial"/>
          <w:color w:val="000000" w:themeColor="text1"/>
          <w:sz w:val="24"/>
          <w:szCs w:val="24"/>
        </w:rPr>
        <w:t xml:space="preserve">[ONLINE] Available at: </w:t>
      </w:r>
      <w:hyperlink r:id="rId13" w:history="1">
        <w:r w:rsidRPr="002A19A3">
          <w:rPr>
            <w:rStyle w:val="Hyperlink"/>
            <w:rFonts w:ascii="Arial" w:hAnsi="Arial" w:cs="Arial"/>
            <w:color w:val="000000" w:themeColor="text1"/>
            <w:sz w:val="24"/>
            <w:szCs w:val="24"/>
          </w:rPr>
          <w:t>www.legislation.gov.uk/ukpga/1983/20/contents</w:t>
        </w:r>
      </w:hyperlink>
      <w:r w:rsidRPr="002A19A3">
        <w:rPr>
          <w:rFonts w:ascii="Arial" w:hAnsi="Arial" w:cs="Arial"/>
          <w:color w:val="000000" w:themeColor="text1"/>
          <w:sz w:val="24"/>
          <w:szCs w:val="24"/>
        </w:rPr>
        <w:t xml:space="preserve"> [Accessed on 11 August 2023]. </w:t>
      </w:r>
    </w:p>
    <w:p w14:paraId="7499BEB3"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Social Care Wales (2022c) </w:t>
      </w:r>
      <w:r w:rsidRPr="002A19A3">
        <w:rPr>
          <w:rFonts w:ascii="Arial" w:hAnsi="Arial" w:cs="Arial"/>
          <w:i/>
          <w:iCs/>
          <w:color w:val="000000" w:themeColor="text1"/>
          <w:sz w:val="24"/>
          <w:szCs w:val="24"/>
        </w:rPr>
        <w:t xml:space="preserve">What Matters Conversations and Assessment, </w:t>
      </w:r>
      <w:r w:rsidRPr="002A19A3">
        <w:rPr>
          <w:rFonts w:ascii="Arial" w:hAnsi="Arial" w:cs="Arial"/>
          <w:color w:val="000000" w:themeColor="text1"/>
          <w:sz w:val="24"/>
          <w:szCs w:val="24"/>
        </w:rPr>
        <w:t xml:space="preserve">[ONLINE] Available at: </w:t>
      </w:r>
      <w:hyperlink r:id="rId14" w:history="1">
        <w:r w:rsidRPr="002A19A3">
          <w:rPr>
            <w:rStyle w:val="Hyperlink"/>
            <w:rFonts w:ascii="Arial" w:hAnsi="Arial" w:cs="Arial"/>
            <w:color w:val="000000" w:themeColor="text1"/>
            <w:sz w:val="24"/>
            <w:szCs w:val="24"/>
          </w:rPr>
          <w:t>www.socialcare.wales/resources-guidance/improving-care-and-support/care-and-support-at-home/what-matters-conversations-and-assessments</w:t>
        </w:r>
      </w:hyperlink>
      <w:r w:rsidRPr="002A19A3">
        <w:rPr>
          <w:rFonts w:ascii="Arial" w:hAnsi="Arial" w:cs="Arial"/>
          <w:color w:val="000000" w:themeColor="text1"/>
          <w:sz w:val="24"/>
          <w:szCs w:val="24"/>
        </w:rPr>
        <w:t xml:space="preserve"> [Accessed on 12 August 2023]. </w:t>
      </w:r>
    </w:p>
    <w:p w14:paraId="4935C54C"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Social Care Wales (2023a) </w:t>
      </w:r>
      <w:r w:rsidRPr="002A19A3">
        <w:rPr>
          <w:rFonts w:ascii="Arial" w:hAnsi="Arial" w:cs="Arial"/>
          <w:i/>
          <w:iCs/>
          <w:color w:val="000000" w:themeColor="text1"/>
          <w:sz w:val="24"/>
          <w:szCs w:val="24"/>
        </w:rPr>
        <w:t xml:space="preserve">Social Services and Wellbeing (Wales) Act (2014) </w:t>
      </w:r>
      <w:r w:rsidRPr="002A19A3">
        <w:rPr>
          <w:rFonts w:ascii="Arial" w:hAnsi="Arial" w:cs="Arial"/>
          <w:color w:val="000000" w:themeColor="text1"/>
          <w:sz w:val="24"/>
          <w:szCs w:val="24"/>
        </w:rPr>
        <w:t xml:space="preserve">[ONLINE] Available at: </w:t>
      </w:r>
      <w:hyperlink r:id="rId15" w:history="1">
        <w:r w:rsidRPr="002A19A3">
          <w:rPr>
            <w:rStyle w:val="Hyperlink"/>
            <w:rFonts w:ascii="Arial" w:hAnsi="Arial" w:cs="Arial"/>
            <w:color w:val="000000" w:themeColor="text1"/>
            <w:sz w:val="24"/>
            <w:szCs w:val="24"/>
          </w:rPr>
          <w:t>www.socialcare.wales/resources-guidance/information-and-learning-hub/sswbact</w:t>
        </w:r>
      </w:hyperlink>
      <w:r w:rsidRPr="002A19A3">
        <w:rPr>
          <w:rFonts w:ascii="Arial" w:hAnsi="Arial" w:cs="Arial"/>
          <w:color w:val="000000" w:themeColor="text1"/>
          <w:sz w:val="24"/>
          <w:szCs w:val="24"/>
        </w:rPr>
        <w:t xml:space="preserve"> [Accessed on 30 May 2023].</w:t>
      </w:r>
    </w:p>
    <w:p w14:paraId="2EDEE095"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Wales Safeguarding Procedures (2023a) </w:t>
      </w:r>
      <w:r w:rsidRPr="002A19A3">
        <w:rPr>
          <w:rFonts w:ascii="Arial" w:hAnsi="Arial" w:cs="Arial"/>
          <w:i/>
          <w:iCs/>
          <w:color w:val="000000" w:themeColor="text1"/>
          <w:sz w:val="24"/>
          <w:szCs w:val="24"/>
        </w:rPr>
        <w:t xml:space="preserve">Strategy Meetings/ Discussions: Key Considerations, </w:t>
      </w:r>
      <w:r w:rsidRPr="002A19A3">
        <w:rPr>
          <w:rFonts w:ascii="Arial" w:hAnsi="Arial" w:cs="Arial"/>
          <w:color w:val="000000" w:themeColor="text1"/>
          <w:sz w:val="24"/>
          <w:szCs w:val="24"/>
        </w:rPr>
        <w:t xml:space="preserve">[ONLINE] Available at: </w:t>
      </w:r>
      <w:hyperlink r:id="rId16" w:history="1">
        <w:r w:rsidRPr="002A19A3">
          <w:rPr>
            <w:rStyle w:val="Hyperlink"/>
            <w:rFonts w:ascii="Arial" w:hAnsi="Arial" w:cs="Arial"/>
            <w:color w:val="000000" w:themeColor="text1"/>
            <w:sz w:val="24"/>
            <w:szCs w:val="24"/>
          </w:rPr>
          <w:t>www.safeguarding.wales/en/adu-i/adu-i-a3pt1/a3pt1-p16</w:t>
        </w:r>
      </w:hyperlink>
      <w:r w:rsidRPr="002A19A3">
        <w:rPr>
          <w:rFonts w:ascii="Arial" w:hAnsi="Arial" w:cs="Arial"/>
          <w:color w:val="000000" w:themeColor="text1"/>
          <w:sz w:val="24"/>
          <w:szCs w:val="24"/>
        </w:rPr>
        <w:t xml:space="preserve"> [Accessed on 10 August 2023]. </w:t>
      </w:r>
    </w:p>
    <w:p w14:paraId="375A8427"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 xml:space="preserve">Wales Safeguarding Procedures (2023b) </w:t>
      </w:r>
      <w:r w:rsidRPr="002A19A3">
        <w:rPr>
          <w:rFonts w:ascii="Arial" w:hAnsi="Arial" w:cs="Arial"/>
          <w:i/>
          <w:iCs/>
          <w:color w:val="000000" w:themeColor="text1"/>
          <w:sz w:val="24"/>
          <w:szCs w:val="24"/>
        </w:rPr>
        <w:t xml:space="preserve">Wales Safeguarding Procedures, </w:t>
      </w:r>
      <w:r w:rsidRPr="002A19A3">
        <w:rPr>
          <w:rFonts w:ascii="Arial" w:hAnsi="Arial" w:cs="Arial"/>
          <w:color w:val="000000" w:themeColor="text1"/>
          <w:sz w:val="24"/>
          <w:szCs w:val="24"/>
        </w:rPr>
        <w:t xml:space="preserve">[ONLINE] Available at: </w:t>
      </w:r>
      <w:hyperlink r:id="rId17" w:history="1">
        <w:r w:rsidRPr="002A19A3">
          <w:rPr>
            <w:rStyle w:val="Hyperlink"/>
            <w:rFonts w:ascii="Arial" w:hAnsi="Arial" w:cs="Arial"/>
            <w:color w:val="000000" w:themeColor="text1"/>
            <w:sz w:val="24"/>
            <w:szCs w:val="24"/>
          </w:rPr>
          <w:t>www.safeguarding.wales/en/</w:t>
        </w:r>
      </w:hyperlink>
      <w:r w:rsidRPr="002A19A3">
        <w:rPr>
          <w:rFonts w:ascii="Arial" w:hAnsi="Arial" w:cs="Arial"/>
          <w:color w:val="000000" w:themeColor="text1"/>
          <w:sz w:val="24"/>
          <w:szCs w:val="24"/>
        </w:rPr>
        <w:t xml:space="preserve"> [Accessed on 10 August 2023].</w:t>
      </w:r>
    </w:p>
    <w:p w14:paraId="268CA5B6" w14:textId="77777777" w:rsidR="007C002A" w:rsidRPr="002A19A3" w:rsidRDefault="007C002A" w:rsidP="007C002A">
      <w:pPr>
        <w:rPr>
          <w:rFonts w:ascii="Arial" w:hAnsi="Arial" w:cs="Arial"/>
          <w:color w:val="000000" w:themeColor="text1"/>
          <w:sz w:val="24"/>
          <w:szCs w:val="24"/>
        </w:rPr>
      </w:pPr>
      <w:r w:rsidRPr="002A19A3">
        <w:rPr>
          <w:rFonts w:ascii="Arial" w:hAnsi="Arial" w:cs="Arial"/>
          <w:color w:val="000000" w:themeColor="text1"/>
          <w:sz w:val="24"/>
          <w:szCs w:val="24"/>
        </w:rPr>
        <w:t>Welsh Assembly Government (2022)</w:t>
      </w:r>
      <w:r w:rsidRPr="002A19A3">
        <w:rPr>
          <w:rFonts w:ascii="Arial" w:hAnsi="Arial" w:cs="Arial"/>
          <w:i/>
          <w:iCs/>
          <w:color w:val="000000" w:themeColor="text1"/>
          <w:sz w:val="24"/>
          <w:szCs w:val="24"/>
        </w:rPr>
        <w:t xml:space="preserve"> More than Just Words: Five Year Plan 2022 – 2027, </w:t>
      </w:r>
      <w:r w:rsidRPr="002A19A3">
        <w:rPr>
          <w:rFonts w:ascii="Arial" w:hAnsi="Arial" w:cs="Arial"/>
          <w:color w:val="000000" w:themeColor="text1"/>
          <w:sz w:val="24"/>
          <w:szCs w:val="24"/>
        </w:rPr>
        <w:t>Welsh Assembly Government: Cardiff.</w:t>
      </w:r>
    </w:p>
    <w:p w14:paraId="2940E798" w14:textId="77777777" w:rsidR="00CA4CCB" w:rsidRPr="00CA4CCB" w:rsidRDefault="00CA4CCB" w:rsidP="00CA4CCB">
      <w:pPr>
        <w:rPr>
          <w:rFonts w:ascii="Arial" w:hAnsi="Arial" w:cs="Arial"/>
          <w:sz w:val="24"/>
          <w:szCs w:val="24"/>
        </w:rPr>
      </w:pPr>
    </w:p>
    <w:p w14:paraId="685B953F" w14:textId="77777777" w:rsidR="00101EA3" w:rsidRPr="008224EE" w:rsidRDefault="00101EA3" w:rsidP="008224EE"/>
    <w:sectPr w:rsidR="00101EA3" w:rsidRPr="008224E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06F33" w14:textId="77777777" w:rsidR="00CA4CCB" w:rsidRDefault="00CA4CCB" w:rsidP="00CA4CCB">
      <w:pPr>
        <w:spacing w:after="0" w:line="240" w:lineRule="auto"/>
      </w:pPr>
      <w:r>
        <w:separator/>
      </w:r>
    </w:p>
  </w:endnote>
  <w:endnote w:type="continuationSeparator" w:id="0">
    <w:p w14:paraId="7A4B65E8" w14:textId="77777777" w:rsidR="00CA4CCB" w:rsidRDefault="00CA4CCB" w:rsidP="00CA4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41045" w14:textId="77777777" w:rsidR="00CA4CCB" w:rsidRDefault="00CA4CCB" w:rsidP="00CA4CCB">
      <w:pPr>
        <w:spacing w:after="0" w:line="240" w:lineRule="auto"/>
      </w:pPr>
      <w:r>
        <w:separator/>
      </w:r>
    </w:p>
  </w:footnote>
  <w:footnote w:type="continuationSeparator" w:id="0">
    <w:p w14:paraId="624C1482" w14:textId="77777777" w:rsidR="00CA4CCB" w:rsidRDefault="00CA4CCB" w:rsidP="00CA4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18CDB" w14:textId="53558EF4" w:rsidR="00CA4CCB" w:rsidRDefault="00CA4CCB">
    <w:pPr>
      <w:pStyle w:val="Header"/>
    </w:pPr>
    <w:r>
      <w:t>Task 4                                                                                                                                     Learner ID: 2221510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A39AB"/>
    <w:multiLevelType w:val="hybridMultilevel"/>
    <w:tmpl w:val="3FC4A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4F41E0"/>
    <w:multiLevelType w:val="hybridMultilevel"/>
    <w:tmpl w:val="FFA05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70676">
    <w:abstractNumId w:val="1"/>
  </w:num>
  <w:num w:numId="2" w16cid:durableId="1833447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0F"/>
    <w:rsid w:val="00012DE5"/>
    <w:rsid w:val="00054DDF"/>
    <w:rsid w:val="00056D17"/>
    <w:rsid w:val="00070311"/>
    <w:rsid w:val="00075D2F"/>
    <w:rsid w:val="000A7B8B"/>
    <w:rsid w:val="000D24D1"/>
    <w:rsid w:val="000D723E"/>
    <w:rsid w:val="00101EA3"/>
    <w:rsid w:val="001619C3"/>
    <w:rsid w:val="0016499A"/>
    <w:rsid w:val="001B52B9"/>
    <w:rsid w:val="002578B2"/>
    <w:rsid w:val="00287FC2"/>
    <w:rsid w:val="00292D37"/>
    <w:rsid w:val="00294B8B"/>
    <w:rsid w:val="002D3202"/>
    <w:rsid w:val="002F6508"/>
    <w:rsid w:val="00344F79"/>
    <w:rsid w:val="003769E1"/>
    <w:rsid w:val="003B5A0F"/>
    <w:rsid w:val="00407A1E"/>
    <w:rsid w:val="004912C1"/>
    <w:rsid w:val="00496DDD"/>
    <w:rsid w:val="004C0809"/>
    <w:rsid w:val="0052352D"/>
    <w:rsid w:val="00591230"/>
    <w:rsid w:val="005B179A"/>
    <w:rsid w:val="005D022B"/>
    <w:rsid w:val="005D2E9C"/>
    <w:rsid w:val="005D3337"/>
    <w:rsid w:val="005D6780"/>
    <w:rsid w:val="00612D95"/>
    <w:rsid w:val="0061508D"/>
    <w:rsid w:val="00654B3F"/>
    <w:rsid w:val="006B0FEF"/>
    <w:rsid w:val="007741A3"/>
    <w:rsid w:val="007C002A"/>
    <w:rsid w:val="007F0C94"/>
    <w:rsid w:val="007F6F9E"/>
    <w:rsid w:val="008224EE"/>
    <w:rsid w:val="00836839"/>
    <w:rsid w:val="008527F2"/>
    <w:rsid w:val="008A6823"/>
    <w:rsid w:val="008B05A6"/>
    <w:rsid w:val="008F5654"/>
    <w:rsid w:val="00901FB7"/>
    <w:rsid w:val="00915856"/>
    <w:rsid w:val="0093440D"/>
    <w:rsid w:val="009622EE"/>
    <w:rsid w:val="00962523"/>
    <w:rsid w:val="009969CA"/>
    <w:rsid w:val="00A00C9D"/>
    <w:rsid w:val="00A1559A"/>
    <w:rsid w:val="00A364E0"/>
    <w:rsid w:val="00A43DBD"/>
    <w:rsid w:val="00A46099"/>
    <w:rsid w:val="00A84B2D"/>
    <w:rsid w:val="00AB2354"/>
    <w:rsid w:val="00AC1F84"/>
    <w:rsid w:val="00AE136E"/>
    <w:rsid w:val="00B0514B"/>
    <w:rsid w:val="00B14C2B"/>
    <w:rsid w:val="00B2762B"/>
    <w:rsid w:val="00B85C69"/>
    <w:rsid w:val="00B963F2"/>
    <w:rsid w:val="00BA13A4"/>
    <w:rsid w:val="00BB47DC"/>
    <w:rsid w:val="00BC338C"/>
    <w:rsid w:val="00BD4B67"/>
    <w:rsid w:val="00BD7015"/>
    <w:rsid w:val="00BE4214"/>
    <w:rsid w:val="00BF3C78"/>
    <w:rsid w:val="00C36488"/>
    <w:rsid w:val="00C972C0"/>
    <w:rsid w:val="00CA4CCB"/>
    <w:rsid w:val="00CC60C6"/>
    <w:rsid w:val="00D141D5"/>
    <w:rsid w:val="00D3569E"/>
    <w:rsid w:val="00D459A2"/>
    <w:rsid w:val="00D5000F"/>
    <w:rsid w:val="00D577F2"/>
    <w:rsid w:val="00E913FF"/>
    <w:rsid w:val="00EA4E30"/>
    <w:rsid w:val="00EA5864"/>
    <w:rsid w:val="00EF6394"/>
    <w:rsid w:val="00F36C55"/>
    <w:rsid w:val="00F81316"/>
    <w:rsid w:val="00FB5022"/>
    <w:rsid w:val="00FC2A12"/>
    <w:rsid w:val="00FD5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8E305"/>
  <w15:chartTrackingRefBased/>
  <w15:docId w15:val="{B3F474D5-9304-41A0-84EA-AF73BD07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A12"/>
    <w:pPr>
      <w:ind w:left="720"/>
      <w:contextualSpacing/>
    </w:pPr>
  </w:style>
  <w:style w:type="character" w:styleId="Hyperlink">
    <w:name w:val="Hyperlink"/>
    <w:basedOn w:val="DefaultParagraphFont"/>
    <w:uiPriority w:val="99"/>
    <w:unhideWhenUsed/>
    <w:rsid w:val="004C0809"/>
    <w:rPr>
      <w:color w:val="0563C1" w:themeColor="hyperlink"/>
      <w:u w:val="single"/>
    </w:rPr>
  </w:style>
  <w:style w:type="character" w:styleId="UnresolvedMention">
    <w:name w:val="Unresolved Mention"/>
    <w:basedOn w:val="DefaultParagraphFont"/>
    <w:uiPriority w:val="99"/>
    <w:semiHidden/>
    <w:unhideWhenUsed/>
    <w:rsid w:val="004C0809"/>
    <w:rPr>
      <w:color w:val="605E5C"/>
      <w:shd w:val="clear" w:color="auto" w:fill="E1DFDD"/>
    </w:rPr>
  </w:style>
  <w:style w:type="paragraph" w:styleId="Header">
    <w:name w:val="header"/>
    <w:basedOn w:val="Normal"/>
    <w:link w:val="HeaderChar"/>
    <w:uiPriority w:val="99"/>
    <w:unhideWhenUsed/>
    <w:rsid w:val="00CA4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CCB"/>
  </w:style>
  <w:style w:type="paragraph" w:styleId="Footer">
    <w:name w:val="footer"/>
    <w:basedOn w:val="Normal"/>
    <w:link w:val="FooterChar"/>
    <w:uiPriority w:val="99"/>
    <w:unhideWhenUsed/>
    <w:rsid w:val="00CA4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9/41/contents" TargetMode="External"/><Relationship Id="rId13" Type="http://schemas.openxmlformats.org/officeDocument/2006/relationships/hyperlink" Target="http://www.legislation.gov.uk/ukpga/1983/20/contents"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nncrafttrust.org/resources/why-have-different-policies-and-procedures-for-safeguarding-children-and-adults" TargetMode="External"/><Relationship Id="rId12" Type="http://schemas.openxmlformats.org/officeDocument/2006/relationships/hyperlink" Target="http://www.legislation.gov.uk/ukpga/2005/9/contents" TargetMode="External"/><Relationship Id="rId17" Type="http://schemas.openxmlformats.org/officeDocument/2006/relationships/hyperlink" Target="http://www.safeguarding.wales/en/" TargetMode="External"/><Relationship Id="rId2" Type="http://schemas.openxmlformats.org/officeDocument/2006/relationships/styles" Target="styles.xml"/><Relationship Id="rId16" Type="http://schemas.openxmlformats.org/officeDocument/2006/relationships/hyperlink" Target="http://www.safeguarding.wales/en/adu-i/adu-i-a3pt1/a3pt1-p1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2018/12/contents/enacted" TargetMode="External"/><Relationship Id="rId5" Type="http://schemas.openxmlformats.org/officeDocument/2006/relationships/footnotes" Target="footnotes.xml"/><Relationship Id="rId15" Type="http://schemas.openxmlformats.org/officeDocument/2006/relationships/hyperlink" Target="http://www.socialcare.wales/resources-guidance/information-and-learning-hub/sswbact" TargetMode="External"/><Relationship Id="rId10" Type="http://schemas.openxmlformats.org/officeDocument/2006/relationships/hyperlink" Target="http://www.legislation.gov.uk/ukpga/1998/29/conten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egislation.gov.uk/ukpga/1998/42/contents" TargetMode="External"/><Relationship Id="rId14" Type="http://schemas.openxmlformats.org/officeDocument/2006/relationships/hyperlink" Target="http://www.socialcare.wales/resources-guidance/improving-care-and-support/care-and-support-at-home/what-matters-conversations-and-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5</Pages>
  <Words>1463</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McLaren</dc:creator>
  <cp:keywords/>
  <dc:description/>
  <cp:lastModifiedBy>Catrin McLaren</cp:lastModifiedBy>
  <cp:revision>27</cp:revision>
  <dcterms:created xsi:type="dcterms:W3CDTF">2023-08-14T17:34:00Z</dcterms:created>
  <dcterms:modified xsi:type="dcterms:W3CDTF">2023-10-16T10:55:00Z</dcterms:modified>
</cp:coreProperties>
</file>