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8D43D07" w:rsidP="60D503FB" w:rsidRDefault="38D43D07" w14:paraId="1898FFEF" w14:textId="7815CFCC">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11AB796E">
        <w:rPr>
          <w:rFonts w:ascii="Arial" w:hAnsi="Arial" w:eastAsia="Arial" w:cs="Arial"/>
          <w:b w:val="0"/>
          <w:bCs w:val="0"/>
          <w:i w:val="0"/>
          <w:iCs w:val="0"/>
          <w:strike w:val="0"/>
          <w:dstrike w:val="0"/>
          <w:noProof w:val="0"/>
          <w:color w:val="000000" w:themeColor="text1" w:themeTint="FF" w:themeShade="FF"/>
          <w:sz w:val="24"/>
          <w:szCs w:val="24"/>
          <w:u w:val="none"/>
          <w:lang w:val="en-US"/>
        </w:rPr>
        <w:t>Nathan Barlow</w:t>
      </w:r>
    </w:p>
    <w:p w:rsidR="38D43D07" w:rsidP="60D503FB" w:rsidRDefault="38D43D07" w14:paraId="0B4946BF" w14:textId="7A995BD5">
      <w:pPr>
        <w:spacing w:before="0" w:beforeAutospacing="off" w:after="0" w:afterAutospacing="off"/>
        <w:jc w:val="lef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11AB796E">
        <w:rPr>
          <w:rFonts w:ascii="Arial" w:hAnsi="Arial" w:eastAsia="Arial" w:cs="Arial"/>
          <w:b w:val="0"/>
          <w:bCs w:val="0"/>
          <w:i w:val="0"/>
          <w:iCs w:val="0"/>
          <w:strike w:val="0"/>
          <w:dstrike w:val="0"/>
          <w:noProof w:val="0"/>
          <w:color w:val="000000" w:themeColor="text1" w:themeTint="FF" w:themeShade="FF"/>
          <w:sz w:val="24"/>
          <w:szCs w:val="24"/>
          <w:u w:val="none"/>
          <w:lang w:val="en-US"/>
        </w:rPr>
        <w:t>2318300</w:t>
      </w:r>
    </w:p>
    <w:p w:rsidR="38D43D07" w:rsidP="60D503FB" w:rsidRDefault="38D43D07" w14:paraId="0499540C" w14:textId="1B389F12">
      <w:pPr>
        <w:spacing w:before="0" w:beforeAutospacing="off" w:after="0" w:afterAutospacing="off"/>
        <w:jc w:val="right"/>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12, High Street</w:t>
      </w:r>
    </w:p>
    <w:p w:rsidR="38D43D07" w:rsidP="60D503FB" w:rsidRDefault="38D43D07" w14:paraId="7CDD7747" w14:textId="25CF18FF">
      <w:pPr>
        <w:spacing w:before="0" w:beforeAutospacing="off" w:after="0" w:afterAutospacing="off"/>
        <w:jc w:val="right"/>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Swansea, </w:t>
      </w:r>
    </w:p>
    <w:p w:rsidR="38D43D07" w:rsidP="60D503FB" w:rsidRDefault="38D43D07" w14:paraId="5074FC9B" w14:textId="11BE5F49">
      <w:pPr>
        <w:spacing w:before="0" w:beforeAutospacing="off" w:after="0" w:afterAutospacing="off"/>
        <w:jc w:val="right"/>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SA1 1NE </w:t>
      </w:r>
    </w:p>
    <w:p w:rsidR="38D43D07" w:rsidP="60D503FB" w:rsidRDefault="38D43D07" w14:paraId="456F0322" w14:textId="78E55658">
      <w:pPr>
        <w:rPr>
          <w:rFonts w:ascii="Arial" w:hAnsi="Arial" w:eastAsia="Arial" w:cs="Arial"/>
        </w:rPr>
      </w:pPr>
    </w:p>
    <w:p w:rsidR="38D43D07" w:rsidP="60D503FB" w:rsidRDefault="38D43D07" w14:paraId="144FD550" w14:textId="77F21251">
      <w:pPr>
        <w:spacing w:before="0" w:beforeAutospacing="off" w:after="0" w:afterAutospacing="off"/>
        <w:jc w:val="right"/>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07/03/25 </w:t>
      </w:r>
    </w:p>
    <w:p w:rsidR="38D43D07" w:rsidP="60D503FB" w:rsidRDefault="38D43D07" w14:paraId="72B4D8DB" w14:textId="7E3FD519">
      <w:pPr>
        <w:pStyle w:val="NoSpacing"/>
        <w:rPr>
          <w:rFonts w:ascii="Arial" w:hAnsi="Arial" w:eastAsia="Arial" w:cs="Arial"/>
          <w:noProof w:val="0"/>
          <w:lang w:val="en-US"/>
        </w:rPr>
      </w:pPr>
      <w:r w:rsidRPr="60D503FB" w:rsidR="6EDEC453">
        <w:rPr>
          <w:rFonts w:ascii="Arial" w:hAnsi="Arial" w:eastAsia="Arial" w:cs="Arial"/>
          <w:noProof w:val="0"/>
          <w:lang w:val="en-US"/>
        </w:rPr>
        <w:t>Mr. Smith</w:t>
      </w:r>
      <w:r>
        <w:br/>
      </w:r>
      <w:r w:rsidRPr="60D503FB" w:rsidR="1AEFAA69">
        <w:rPr>
          <w:rFonts w:ascii="Arial" w:hAnsi="Arial" w:eastAsia="Arial" w:cs="Arial"/>
          <w:noProof w:val="0"/>
          <w:lang w:val="en-US"/>
        </w:rPr>
        <w:t>17,</w:t>
      </w:r>
      <w:r w:rsidRPr="60D503FB" w:rsidR="3C938F8F">
        <w:rPr>
          <w:rFonts w:ascii="Arial" w:hAnsi="Arial" w:eastAsia="Arial" w:cs="Arial"/>
          <w:noProof w:val="0"/>
          <w:lang w:val="en-US"/>
        </w:rPr>
        <w:t>Oystermouth Road</w:t>
      </w:r>
    </w:p>
    <w:p w:rsidR="38D43D07" w:rsidP="60D503FB" w:rsidRDefault="38D43D07" w14:paraId="6EC63023" w14:textId="6F8DBED8">
      <w:pPr>
        <w:pStyle w:val="NoSpacing"/>
        <w:rPr>
          <w:rFonts w:ascii="Arial" w:hAnsi="Arial" w:eastAsia="Arial" w:cs="Arial"/>
          <w:noProof w:val="0"/>
          <w:sz w:val="24"/>
          <w:szCs w:val="24"/>
          <w:u w:val="none"/>
          <w:lang w:val="en-US"/>
        </w:rPr>
      </w:pPr>
      <w:r w:rsidRPr="60D503FB" w:rsidR="3C938F8F">
        <w:rPr>
          <w:rFonts w:ascii="Arial" w:hAnsi="Arial" w:eastAsia="Arial" w:cs="Arial"/>
          <w:noProof w:val="0"/>
          <w:lang w:val="en-US"/>
        </w:rPr>
        <w:t>Swansea,</w:t>
      </w:r>
    </w:p>
    <w:p w:rsidR="38D43D07" w:rsidP="60D503FB" w:rsidRDefault="38D43D07" w14:paraId="1C2AED67" w14:textId="6D58C1C3">
      <w:pPr>
        <w:pStyle w:val="NoSpacing"/>
        <w:rPr>
          <w:rFonts w:ascii="Arial" w:hAnsi="Arial" w:eastAsia="Arial" w:cs="Arial"/>
          <w:noProof w:val="0"/>
          <w:sz w:val="24"/>
          <w:szCs w:val="24"/>
          <w:u w:val="none"/>
          <w:lang w:val="en-US"/>
        </w:rPr>
      </w:pPr>
      <w:r w:rsidRPr="60D503FB" w:rsidR="3C938F8F">
        <w:rPr>
          <w:rFonts w:ascii="Arial" w:hAnsi="Arial" w:eastAsia="Arial" w:cs="Arial"/>
          <w:noProof w:val="0"/>
          <w:lang w:val="en-US"/>
        </w:rPr>
        <w:t>SA1 3ST</w:t>
      </w:r>
    </w:p>
    <w:p w:rsidR="38D43D07" w:rsidP="60D503FB" w:rsidRDefault="38D43D07" w14:paraId="41337C3F" w14:textId="218A6DCF">
      <w:pPr/>
    </w:p>
    <w:p w:rsidR="38D43D07" w:rsidP="60D503FB" w:rsidRDefault="38D43D07" w14:paraId="0308AB03" w14:textId="6FB47FFE">
      <w:pPr>
        <w:spacing w:before="28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Dear Mr Smith,</w:t>
      </w:r>
    </w:p>
    <w:p w:rsidR="38D43D07" w:rsidP="60D503FB" w:rsidRDefault="38D43D07" w14:paraId="0D35E2F8" w14:textId="5AAC045A">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 write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in reference to</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flat you advertised as available to rent and our agreement that you grant me the tenancy. This letter examines whether there is a binding contract formed between us under the Civil law </w:t>
      </w:r>
      <w:r w:rsidRPr="60D503FB" w:rsidR="5B1E418D">
        <w:rPr>
          <w:rFonts w:ascii="Arial" w:hAnsi="Arial" w:eastAsia="Arial" w:cs="Arial"/>
          <w:b w:val="0"/>
          <w:bCs w:val="0"/>
          <w:i w:val="0"/>
          <w:iCs w:val="0"/>
          <w:strike w:val="0"/>
          <w:dstrike w:val="0"/>
          <w:noProof w:val="0"/>
          <w:color w:val="000000" w:themeColor="text1" w:themeTint="FF" w:themeShade="FF"/>
          <w:sz w:val="24"/>
          <w:szCs w:val="24"/>
          <w:u w:val="none"/>
          <w:lang w:val="en-US"/>
        </w:rPr>
        <w:t>based on</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our correspondence in terms of central principles in law that encompass Offer, Acceptance, Consideration, as well as Intention in a binding contract (Smith, 2017). Further this letter meets the requirements of the Department of Justice Pre-Action Protocols which requires we both understand each other’s position, we have an informed opportunity to make decisions about how to proceed and try to settle the issues without legal proceedings. Further, if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appropriate we</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can consider a form of Alternative Dispute Resolution (ADR) to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assist</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 settlement. Following the Pre-Action Protocols helps us both in the efficient management of the proceedings and potentially reduces the costs of resolving our dispute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Justice.gov.uk,.</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2025).</w:t>
      </w:r>
    </w:p>
    <w:p w:rsidR="38D43D07" w:rsidP="60D503FB" w:rsidRDefault="38D43D07" w14:paraId="114E7613" w14:textId="7727E83B">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To inform your understanding of how our agreement is regarded under the Civil Law of Contract I have included examples of Case Law that are relevant to Civil Litigation and Contract Law. For your information "Case law is subject to the rule of stare decisis, in the sense that lower courts are under an obligation to follow the decisions of higher courts on the same points of law” (McKendrick, 2018, p. 45). The rule was reaffirmed in ‘Young v Bristol Aeroplane Co Ltd’ [1944], in which the Court of Appeal stated that it was bound by its previous decisions, save in exceptional cases.</w:t>
      </w:r>
    </w:p>
    <w:p w:rsidR="38D43D07" w:rsidP="60D503FB" w:rsidRDefault="38D43D07" w14:paraId="193DF35D" w14:textId="7F1D468D">
      <w:pPr>
        <w:spacing w:before="36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single"/>
          <w:lang w:val="en-US"/>
        </w:rPr>
        <w:t>Formation of a Binding Contract</w:t>
      </w:r>
    </w:p>
    <w:p w:rsidR="38D43D07" w:rsidP="60D503FB" w:rsidRDefault="38D43D07" w14:paraId="64D3516E" w14:textId="6C35FB7F">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In Civil law, there are four requirements that a contract is binding. Firstly, a definite proposal from a party (</w:t>
      </w:r>
      <w:r w:rsidRPr="60D503FB" w:rsidR="6EDEC453">
        <w:rPr>
          <w:rFonts w:ascii="Arial" w:hAnsi="Arial" w:eastAsia="Arial" w:cs="Arial"/>
          <w:b w:val="1"/>
          <w:bCs w:val="1"/>
          <w:i w:val="0"/>
          <w:iCs w:val="0"/>
          <w:strike w:val="0"/>
          <w:dstrike w:val="0"/>
          <w:noProof w:val="0"/>
          <w:color w:val="000000" w:themeColor="text1" w:themeTint="FF" w:themeShade="FF"/>
          <w:sz w:val="24"/>
          <w:szCs w:val="24"/>
          <w:u w:val="none"/>
          <w:lang w:val="en-US"/>
        </w:rPr>
        <w:t>Offer</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 your advertisement of the flat. Secondly, a non-qualified terms' acceptance in a proposal (</w:t>
      </w:r>
      <w:r w:rsidRPr="60D503FB" w:rsidR="6EDEC453">
        <w:rPr>
          <w:rFonts w:ascii="Arial" w:hAnsi="Arial" w:eastAsia="Arial" w:cs="Arial"/>
          <w:b w:val="1"/>
          <w:bCs w:val="1"/>
          <w:i w:val="0"/>
          <w:iCs w:val="0"/>
          <w:strike w:val="0"/>
          <w:dstrike w:val="0"/>
          <w:noProof w:val="0"/>
          <w:color w:val="000000" w:themeColor="text1" w:themeTint="FF" w:themeShade="FF"/>
          <w:sz w:val="24"/>
          <w:szCs w:val="24"/>
          <w:u w:val="none"/>
          <w:lang w:val="en-US"/>
        </w:rPr>
        <w:t>Acceptance</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 my expressed interest in renting the flat made at the viewing and your offer to rent it to me. Thirdly, a promise or exchange between two parties (</w:t>
      </w:r>
      <w:r w:rsidRPr="60D503FB" w:rsidR="6EDEC453">
        <w:rPr>
          <w:rFonts w:ascii="Arial" w:hAnsi="Arial" w:eastAsia="Arial" w:cs="Arial"/>
          <w:b w:val="1"/>
          <w:bCs w:val="1"/>
          <w:i w:val="0"/>
          <w:iCs w:val="0"/>
          <w:strike w:val="0"/>
          <w:dstrike w:val="0"/>
          <w:noProof w:val="0"/>
          <w:color w:val="000000" w:themeColor="text1" w:themeTint="FF" w:themeShade="FF"/>
          <w:sz w:val="24"/>
          <w:szCs w:val="24"/>
          <w:u w:val="none"/>
          <w:lang w:val="en-US"/>
        </w:rPr>
        <w:t>Consideration</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 our email exchange where I confirmed my interest in renting the flat and your reply confirming your agreement to rent the flat to me at £500 per month and providing me with an occupation date 1st September. Finally, a mutual understanding that a binding contract will have a consequence in law (</w:t>
      </w:r>
      <w:r w:rsidRPr="60D503FB" w:rsidR="6EDEC453">
        <w:rPr>
          <w:rFonts w:ascii="Arial" w:hAnsi="Arial" w:eastAsia="Arial" w:cs="Arial"/>
          <w:b w:val="1"/>
          <w:bCs w:val="1"/>
          <w:i w:val="0"/>
          <w:iCs w:val="0"/>
          <w:strike w:val="0"/>
          <w:dstrike w:val="0"/>
          <w:noProof w:val="0"/>
          <w:color w:val="000000" w:themeColor="text1" w:themeTint="FF" w:themeShade="FF"/>
          <w:sz w:val="24"/>
          <w:szCs w:val="24"/>
          <w:u w:val="none"/>
          <w:lang w:val="en-US"/>
        </w:rPr>
        <w:t>Intention to create legal relations</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‘MacInnes v Gross’ [2017]; (Cheshire, Fifoot, and Furmston, 2017, p. 67). The agreements, verbal and written, between you and I evidence the clear intention to form a contract that is binding on both parties.</w:t>
      </w:r>
    </w:p>
    <w:p w:rsidR="38D43D07" w:rsidP="60D503FB" w:rsidRDefault="38D43D07" w14:paraId="1532A4A9" w14:textId="390E52C2">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It is evident that the requirements of a binding contract between us have been met. You have contracted that you will let out your flat at a rent of £500 a month, which terms have clearly been accepted in full with no modification. Furthermore, I paid this amount to your bank account as agreed and therefore under Case Law a “consideration is offered and the amount paid is accepted in a deposit, providing proof that a contract is valid” ‘Tweddle v Atkinson’ [1861]).</w:t>
      </w:r>
    </w:p>
    <w:p w:rsidR="38D43D07" w:rsidP="60D503FB" w:rsidRDefault="38D43D07" w14:paraId="1BC386F0" w14:textId="6D1C93C0">
      <w:pPr>
        <w:spacing w:before="36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single"/>
          <w:lang w:val="en-US"/>
        </w:rPr>
        <w:t>Invitation to Treat and Offer</w:t>
      </w:r>
    </w:p>
    <w:p w:rsidR="38D43D07" w:rsidP="60D503FB" w:rsidRDefault="38D43D07" w14:paraId="33F11874" w14:textId="63D04A75">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In contract law, adverts are also regarded as Invitations to Treat (ITT), as in ‘Partridge v Crittenden’ [1968] and  ‘Fisher v Bell’ [1961], as distinguished from offers. The advert is not a</w:t>
      </w:r>
      <w:r w:rsidRPr="60D503FB" w:rsidR="6EDEC453">
        <w:rPr>
          <w:rFonts w:ascii="Arial" w:hAnsi="Arial" w:eastAsia="Arial" w:cs="Arial"/>
          <w:b w:val="0"/>
          <w:bCs w:val="0"/>
          <w:i w:val="0"/>
          <w:iCs w:val="0"/>
          <w:strike w:val="0"/>
          <w:dstrike w:val="0"/>
          <w:noProof w:val="0"/>
          <w:color w:val="FF9900"/>
          <w:sz w:val="24"/>
          <w:szCs w:val="24"/>
          <w:u w:val="none"/>
          <w:lang w:val="en-US"/>
        </w:rPr>
        <w:t xml:space="preserve">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person making a direct promise but is a simple invitation to buyers in order to negotiate terms (Poole, 2016). Some adverts do have a character that can be a unilateral offer where a promise is made in consideration of a specified act in which a promise is intended that will be legally binding once that is achieved ‘Carlill v Carbolic Smoke Ball Co’ [1893]. In Carlill, a valid notice in making a valid offer held that a notice displayed a definite intention that is binding. Additionally, ‘Harvey v Facey’</w:t>
      </w:r>
      <w:r w:rsidRPr="60D503FB" w:rsidR="6EDEC453">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[1893]</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established that a mere statement of price is not necessarily an offer but an invitation for further negotiation. However, in this case, your online advert went beyond a mere statement of price because you directly invited acceptance at £500 per month, making it more likely to be a valid offer rather than an ITT. For additional information, in ‘Gibson v Manchester City Council’ [1979], no valid offer was held because "may be prepared to sell" is not definite, however this was not included in the wording you used so you cannot argue this case in your favour. </w:t>
      </w:r>
    </w:p>
    <w:p w:rsidR="38D43D07" w:rsidP="60D503FB" w:rsidRDefault="38D43D07" w14:paraId="757FA519" w14:textId="7D9DA1D6">
      <w:pPr/>
    </w:p>
    <w:p w:rsidR="38D43D07" w:rsidP="60D503FB" w:rsidRDefault="38D43D07" w14:paraId="3EF86BE3" w14:textId="67858B22">
      <w:pPr>
        <w:spacing w:before="36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2"/>
          <w:szCs w:val="22"/>
          <w:u w:val="single"/>
          <w:lang w:val="en-US"/>
        </w:rPr>
        <w:t xml:space="preserve">Offer and Acceptance </w:t>
      </w:r>
    </w:p>
    <w:p w:rsidR="38D43D07" w:rsidP="60D503FB" w:rsidRDefault="38D43D07" w14:paraId="083576D5" w14:textId="2C514888">
      <w:pPr/>
    </w:p>
    <w:p w:rsidR="38D43D07" w:rsidP="60D503FB" w:rsidRDefault="38D43D07" w14:paraId="5DD105AF" w14:textId="3686DC24">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For an offer in law, it is a requirement that the offer is definite, as also identifiable from an ITT. In ‘Pharmaceutical Society v Boots’ [1953], it was held that goods displayed in a shop are not an offer, but an ITT, because a contract is not established until goods are brought towards a checkout counter and accepted by a cashier.  In ‘Blackpool &amp; Fylde Aero Club Ltd v Blackpool Borough Council’ [1990], the importance of a clear and unequivocal offer was reaffirmed. Similarly, making an offer is essential in order that she/he is in a position to accept (McKendrick, 2018, p. 102). In ‘Thornton v Shoe Lane Parking’ [1971], the court held that conduct can be a way in which making an offer is accomplished, i.e., putting a paying device in a position which will accept payments. Similarly, detailing a definite charge as a rental amount is also soliciting confirmation, and you have therefore shown in your email to me (“Sure, the rent is £500….you can move in…please confirm if you agree”) a willingness to be bound by this and made an Offer in so doing.</w:t>
      </w:r>
    </w:p>
    <w:p w:rsidR="38D43D07" w:rsidP="60D503FB" w:rsidRDefault="38D43D07" w14:paraId="0162F356" w14:textId="166B0F73">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 valid acceptance must be unconditional, unequivocal, and communicated to the offeror. This principle is known as the 'mirror image rule,' as established in the case of ‘Hyde v Wrench’ [1840]. The requirement is that acceptance is on terms specified in the offer with no addition. I accepted your offer in writing by stating as follows: "I agree to the terms. I will have arrangements made on a deposit by the weekend." Acceptance via email is an established and legal form of communication which is effective on receipt, as held in ‘Entores v Miles Far East Corporation</w:t>
      </w:r>
      <w:r w:rsidRPr="60D503FB" w:rsidR="6EDEC453">
        <w:rPr>
          <w:rFonts w:ascii="Arial" w:hAnsi="Arial" w:eastAsia="Arial" w:cs="Arial"/>
          <w:b w:val="0"/>
          <w:bCs w:val="0"/>
          <w:i w:val="1"/>
          <w:iCs w:val="1"/>
          <w:strike w:val="0"/>
          <w:dstrike w:val="0"/>
          <w:noProof w:val="0"/>
          <w:color w:val="000000" w:themeColor="text1" w:themeTint="FF" w:themeShade="FF"/>
          <w:sz w:val="24"/>
          <w:szCs w:val="24"/>
          <w:u w:val="none"/>
          <w:lang w:val="en-US"/>
        </w:rPr>
        <w:t>’ [1955]</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(Adams &amp; Brownsword, 2019, p. 78). However, courts have not finally ruled whether email follows that rule or whether slight delay in dispatch will affect the exact timing of acceptance. ‘Brinkibon Ltd v Stahag Stah’ [1983] confirmed that acceptance via electronic communication is effective when received during business hours, reinforcing the validity of my acceptance. Moreover, as held in ‘Felthouse v Bindley’ [1862] was that silence would never be equated with acceptance and there would be a necessity for clear agreement. The case also indicates that for acceptance to be valid, it would be necessary to be clearly and unambiguously expressed by the offeree. Communication in acceptance has also been emphasised in the case of Felthouse, whereby silence by the nephew would not be considered agreement to purchase the horse (Adams and Brownsword, 2019).</w:t>
      </w:r>
    </w:p>
    <w:p w:rsidR="38D43D07" w:rsidP="60D503FB" w:rsidRDefault="38D43D07" w14:paraId="7CC7C93D" w14:textId="217A6241">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Additionally, in contract agreements, both parties must clearly communicate to agree to terms (Cheshire,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Fifoot</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Furmston</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2017). This decision ensures there are no disputes arising from unexpressed or ambiguous acceptance (McKendrick, 2018). The clarity in my acceptance and clearly defined terms in your offer form a binding agreement. The principles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established</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these cases collectively offer a legal basis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to</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ensuring clarity and mutual acceptance in contract agreements and thereby making our agreement a binding contract. The case of ‘Payne v Cave’ [1789] also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identifies</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it’s</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possible to withdraw an offer at any time before acceptance, highlighting the importance in clear and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timely</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communications in entering a contract (Poole, 2016). In a related vein, in ‘Stevenson Jaques &amp; Co. v McLean’ [1880], it was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established</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a request for information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doesn’t</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constitute</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w:t>
      </w:r>
      <w:r w:rsidRPr="60D503FB" w:rsidR="1A051FB8">
        <w:rPr>
          <w:rFonts w:ascii="Arial" w:hAnsi="Arial" w:eastAsia="Arial" w:cs="Arial"/>
          <w:b w:val="0"/>
          <w:bCs w:val="0"/>
          <w:i w:val="0"/>
          <w:iCs w:val="0"/>
          <w:strike w:val="0"/>
          <w:dstrike w:val="0"/>
          <w:noProof w:val="0"/>
          <w:color w:val="000000" w:themeColor="text1" w:themeTint="FF" w:themeShade="FF"/>
          <w:sz w:val="24"/>
          <w:szCs w:val="24"/>
          <w:u w:val="none"/>
          <w:lang w:val="en-US"/>
        </w:rPr>
        <w:t>counteroffer</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highlighting again the importance in clear and unambiguous acceptance (CivilLitigationLawyers.co.uk, 2025).</w:t>
      </w:r>
    </w:p>
    <w:p w:rsidR="38D43D07" w:rsidP="60D503FB" w:rsidRDefault="38D43D07" w14:paraId="1B164DF9" w14:textId="1EA9BD29">
      <w:pPr/>
    </w:p>
    <w:p w:rsidR="38D43D07" w:rsidP="60D503FB" w:rsidRDefault="38D43D07" w14:paraId="62489044" w14:textId="391A680B">
      <w:pPr/>
    </w:p>
    <w:p w:rsidR="38D43D07" w:rsidP="60D503FB" w:rsidRDefault="38D43D07" w14:paraId="7ECD8E9F" w14:textId="1586F984">
      <w:pPr>
        <w:spacing w:before="36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single"/>
          <w:lang w:val="en-US"/>
        </w:rPr>
        <w:t>Revocation and Breach of Contract</w:t>
      </w:r>
    </w:p>
    <w:p w:rsidR="38D43D07" w:rsidP="60D503FB" w:rsidRDefault="38D43D07" w14:paraId="3ADBA1AA" w14:textId="7BD826A9">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 offeror is free to withdraw an offer at any time before </w:t>
      </w:r>
      <w:r w:rsidRPr="60D503FB" w:rsidR="726E924B">
        <w:rPr>
          <w:rFonts w:ascii="Arial" w:hAnsi="Arial" w:eastAsia="Arial" w:cs="Arial"/>
          <w:b w:val="0"/>
          <w:bCs w:val="0"/>
          <w:i w:val="0"/>
          <w:iCs w:val="0"/>
          <w:strike w:val="0"/>
          <w:dstrike w:val="0"/>
          <w:noProof w:val="0"/>
          <w:color w:val="000000" w:themeColor="text1" w:themeTint="FF" w:themeShade="FF"/>
          <w:sz w:val="24"/>
          <w:szCs w:val="24"/>
          <w:u w:val="none"/>
          <w:lang w:val="en-US"/>
        </w:rPr>
        <w:t>acceptance but</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notice of the withdrawal must be communicated before acceptance, as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established</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‘Byrne v Van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Tienhoven</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60D503FB" w:rsidR="6EDEC453">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[1880].</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Additionally, in</w:t>
      </w:r>
      <w:r w:rsidRPr="60D503FB" w:rsidR="6EDEC453">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 ‘Dickinson v Dod</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ds’ [1876], the court ruled that notice of withdrawal can be communicated by a third party if the offeree learns about it from a reliable source. However, revocation is ineffective once performance has begun ‘Errington v Errington &amp; Woods’ [1952]. The relevance of this to our circumstances is I </w:t>
      </w:r>
      <w:r w:rsidRPr="60D503FB" w:rsidR="059B8819">
        <w:rPr>
          <w:rFonts w:ascii="Arial" w:hAnsi="Arial" w:eastAsia="Arial" w:cs="Arial"/>
          <w:b w:val="0"/>
          <w:bCs w:val="0"/>
          <w:i w:val="0"/>
          <w:iCs w:val="0"/>
          <w:strike w:val="0"/>
          <w:dstrike w:val="0"/>
          <w:noProof w:val="0"/>
          <w:color w:val="000000" w:themeColor="text1" w:themeTint="FF" w:themeShade="FF"/>
          <w:sz w:val="24"/>
          <w:szCs w:val="24"/>
          <w:u w:val="none"/>
          <w:lang w:val="en-US"/>
        </w:rPr>
        <w:t>have</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already arranged my deposit payment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to</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you,</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therefore any revocation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attempt</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you in not granting me the tenancy as agreed is legally invalid.</w:t>
      </w:r>
    </w:p>
    <w:p w:rsidR="38D43D07" w:rsidP="60D503FB" w:rsidRDefault="38D43D07" w14:paraId="53A905EA" w14:textId="77D08F60">
      <w:pPr/>
    </w:p>
    <w:p w:rsidR="38D43D07" w:rsidP="60D503FB" w:rsidRDefault="38D43D07" w14:paraId="13886B40" w14:textId="0442B916">
      <w:pPr>
        <w:spacing w:before="36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single"/>
          <w:lang w:val="en-US"/>
        </w:rPr>
        <w:t>Remedies for Breach of Contract</w:t>
      </w:r>
    </w:p>
    <w:p w:rsidR="38D43D07" w:rsidP="60D503FB" w:rsidRDefault="38D43D07" w14:paraId="1CDCB91D" w14:textId="740048D9">
      <w:pPr/>
    </w:p>
    <w:p w:rsidR="38D43D07" w:rsidP="60D503FB" w:rsidRDefault="38D43D07" w14:paraId="12BE1CE2" w14:textId="6C482BF6">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Should you confirm your intent to let your flat to another party I will use the Civil justice system and seek remedy for Breach of Contact in the County Court. When a contract is breached, the law decides what damages can be claimed based on the principle in ‘Hadley v Baxendale’[1854]. The court ruled that compensation is only available for losses that naturally result from the breach or were reasonably foreseeable by both parties when the contract was made. Similarly, in ‘Mille v Henderson’ [1963], the court distinguished between conditions and warranties—if a key condition of the contract is broken, the injured party can cancel the contract and claim damages. However, if only a warranty is breached, they can claim damages but must still uphold the contract.</w:t>
      </w:r>
    </w:p>
    <w:p w:rsidR="38D43D07" w:rsidP="60D503FB" w:rsidRDefault="38D43D07" w14:paraId="3F6A78B3" w14:textId="6CDA6E80">
      <w:pPr/>
    </w:p>
    <w:p w:rsidR="38D43D07" w:rsidP="60D503FB" w:rsidRDefault="38D43D07" w14:paraId="6CDACE14" w14:textId="4D3CA35F">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have the option to seek damages under ‘Ruxley Electronics v Forsyth’ [1996]. In this case, the precedent was set for an award of financial compensation for breach of contract ‘Ruxley Electronics v Forsyth’ [1996]). However, as financial compensation will not always properly compensate me for my loss, I will if necessary, initially seek an order for “Specific Performance”, which if successful will compel you as the breaching party to carry out your contractual undertakings and allow me to take up residence of the flat on 1st September as agreed. This remedy was reaffirmed in ’Beswick v Beswick’ [1968], where the court declared that specific performance is appropriate where damages are not adequate to meet the needs of the aggrieved party.</w:t>
      </w:r>
    </w:p>
    <w:p w:rsidR="38D43D07" w:rsidP="60D503FB" w:rsidRDefault="38D43D07" w14:paraId="5ABD2840" w14:textId="460229A3">
      <w:pPr/>
    </w:p>
    <w:p w:rsidR="38D43D07" w:rsidP="60D503FB" w:rsidRDefault="38D43D07" w14:paraId="017F7A4B" w14:textId="1E91F25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If </w:t>
      </w:r>
      <w:r w:rsidRPr="60D503FB" w:rsidR="2D7329DD">
        <w:rPr>
          <w:rFonts w:ascii="Arial" w:hAnsi="Arial" w:eastAsia="Arial" w:cs="Arial"/>
          <w:b w:val="0"/>
          <w:bCs w:val="0"/>
          <w:i w:val="0"/>
          <w:iCs w:val="0"/>
          <w:strike w:val="0"/>
          <w:dstrike w:val="0"/>
          <w:noProof w:val="0"/>
          <w:color w:val="000000" w:themeColor="text1" w:themeTint="FF" w:themeShade="FF"/>
          <w:sz w:val="24"/>
          <w:szCs w:val="24"/>
          <w:u w:val="none"/>
          <w:lang w:val="en-US"/>
        </w:rPr>
        <w:t>necessary,</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am able to</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initiate</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County Court “Small Claims Track” action against you.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 am able to conduct my own case without having a legal representative, as you may if you wish to save on the costs of a legal representative/solicitor.</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Small Claims Track is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appropriate for</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case with a value up to £10,000 (Shelter, England,</w:t>
      </w:r>
      <w:r w:rsidRPr="60D503FB" w:rsidR="6FB6D13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2025). (</w:t>
      </w:r>
      <w:r w:rsidRPr="60D503FB" w:rsidR="5BEEAB9A">
        <w:rPr>
          <w:rFonts w:ascii="Arial" w:hAnsi="Arial" w:eastAsia="Arial" w:cs="Arial"/>
          <w:b w:val="0"/>
          <w:bCs w:val="0"/>
          <w:i w:val="0"/>
          <w:iCs w:val="0"/>
          <w:strike w:val="0"/>
          <w:dstrike w:val="0"/>
          <w:noProof w:val="0"/>
          <w:color w:val="000000" w:themeColor="text1" w:themeTint="FF" w:themeShade="FF"/>
          <w:sz w:val="24"/>
          <w:szCs w:val="24"/>
          <w:u w:val="none"/>
          <w:lang w:val="en-US"/>
        </w:rPr>
        <w:t>Although</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County Court District Judges can hear contested civil cases with values up to £25,000 (Judiciary,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UK,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2025)</w:t>
      </w:r>
    </w:p>
    <w:p w:rsidR="38D43D07" w:rsidP="60D503FB" w:rsidRDefault="38D43D07" w14:paraId="259386F9" w14:textId="28451C99">
      <w:pPr>
        <w:spacing w:before="36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single"/>
          <w:lang w:val="en-US"/>
        </w:rPr>
        <w:t>Conclusion</w:t>
      </w:r>
    </w:p>
    <w:p w:rsidR="38D43D07" w:rsidP="60D503FB" w:rsidRDefault="38D43D07" w14:paraId="7929424F" w14:textId="40D2833C">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 hope you find this letter both helpful and constructive as it is my sincere hope that we can agree to proceed with our original arrangements once we both have a full and clear understanding of the Law that relates to our circumstances. </w:t>
      </w:r>
    </w:p>
    <w:p w:rsidR="38D43D07" w:rsidP="60D503FB" w:rsidRDefault="38D43D07" w14:paraId="2AE1DA54" w14:textId="0FFEFE0A">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 believe that by setting out the Law and Case Law in a clear and coherent way, setting aside emotions, I can enable us to quickly and effectively settle our differences.</w:t>
      </w:r>
    </w:p>
    <w:p w:rsidR="38D43D07" w:rsidP="60D503FB" w:rsidRDefault="38D43D07" w14:paraId="7CA59F64" w14:textId="6A39CCEC">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 am very confident that our agreement for me to rent your flat formed a binding Contract at Law. This letter provides you with the opportunity to honour our Contract and is good practice in pre-action protocol in seeking to resolve a dispute without recourse to the Courts. </w:t>
      </w:r>
    </w:p>
    <w:p w:rsidR="38D43D07" w:rsidP="60D503FB" w:rsidRDefault="38D43D07" w14:paraId="124A6C27" w14:textId="280712FB">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Should you not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honour</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our Contract, but breach the Contract, I will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initiate</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Civil litigation in the Civil courts which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adjudicate</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0D503FB" w:rsidR="2793043B">
        <w:rPr>
          <w:rFonts w:ascii="Arial" w:hAnsi="Arial" w:eastAsia="Arial" w:cs="Arial"/>
          <w:b w:val="0"/>
          <w:bCs w:val="0"/>
          <w:i w:val="0"/>
          <w:iCs w:val="0"/>
          <w:strike w:val="0"/>
          <w:dstrike w:val="0"/>
          <w:noProof w:val="0"/>
          <w:color w:val="000000" w:themeColor="text1" w:themeTint="FF" w:themeShade="FF"/>
          <w:sz w:val="24"/>
          <w:szCs w:val="24"/>
          <w:u w:val="none"/>
          <w:lang w:val="en-US"/>
        </w:rPr>
        <w:t>in conflicts</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involve claims for damages, contractual breaches, property disputes, and other non-criminal matters (CivilLitigationLawyers.co.uk, 2025) </w:t>
      </w:r>
    </w:p>
    <w:p w:rsidR="38D43D07" w:rsidP="60D503FB" w:rsidRDefault="38D43D07" w14:paraId="2A57990F" w14:textId="62786E5D">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Accordingly</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if you do not confirm you will give me unfettered access to the flat on </w:t>
      </w:r>
      <w:r w:rsidRPr="60D503FB" w:rsidR="3F26C642">
        <w:rPr>
          <w:rFonts w:ascii="Arial" w:hAnsi="Arial" w:eastAsia="Arial" w:cs="Arial"/>
          <w:b w:val="0"/>
          <w:bCs w:val="0"/>
          <w:i w:val="0"/>
          <w:iCs w:val="0"/>
          <w:strike w:val="0"/>
          <w:dstrike w:val="0"/>
          <w:noProof w:val="0"/>
          <w:color w:val="000000" w:themeColor="text1" w:themeTint="FF" w:themeShade="FF"/>
          <w:sz w:val="24"/>
          <w:szCs w:val="24"/>
          <w:u w:val="none"/>
          <w:lang w:val="en-US"/>
        </w:rPr>
        <w:t>1st September,</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will have no alternative but to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initiate</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legal proceedings for breach of contract and seek damages in the form of financial compensation for my losses incurred due to the breach. If you have not yet signed a Tenancy Agreement and given access to the other party, I will request the Court consider either a Specific Performance Order to require you to fulfil your contractual obligations to me or an Injunction to prevent you from breaching our contract and compel you to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honour</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contract we have.</w:t>
      </w:r>
    </w:p>
    <w:p w:rsidR="38D43D07" w:rsidP="60D503FB" w:rsidRDefault="38D43D07" w14:paraId="5EE8E42C" w14:textId="40D8192D">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Please confirm by return post whether you will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honour</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contract between </w:t>
      </w:r>
      <w:r w:rsidRPr="60D503FB" w:rsidR="6FC791CD">
        <w:rPr>
          <w:rFonts w:ascii="Arial" w:hAnsi="Arial" w:eastAsia="Arial" w:cs="Arial"/>
          <w:b w:val="0"/>
          <w:bCs w:val="0"/>
          <w:i w:val="0"/>
          <w:iCs w:val="0"/>
          <w:strike w:val="0"/>
          <w:dstrike w:val="0"/>
          <w:noProof w:val="0"/>
          <w:color w:val="000000" w:themeColor="text1" w:themeTint="FF" w:themeShade="FF"/>
          <w:sz w:val="24"/>
          <w:szCs w:val="24"/>
          <w:u w:val="none"/>
          <w:lang w:val="en-US"/>
        </w:rPr>
        <w:t>us,</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and</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 can move into the flat on 1st September or whether you will not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honour</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contract, in which case I will </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initiate</w:t>
      </w: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legal proceedings as detailed.</w:t>
      </w:r>
    </w:p>
    <w:p w:rsidR="38D43D07" w:rsidP="60D503FB" w:rsidRDefault="38D43D07" w14:paraId="0F99F461" w14:textId="489E769B">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I look forward to receiving your response.</w:t>
      </w:r>
    </w:p>
    <w:p w:rsidR="38D43D07" w:rsidP="60D503FB" w:rsidRDefault="38D43D07" w14:paraId="60D0B5D3" w14:textId="0F264598">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Yours faithfully,</w:t>
      </w:r>
    </w:p>
    <w:p w:rsidR="38D43D07" w:rsidP="60D503FB" w:rsidRDefault="38D43D07" w14:paraId="2DBC62AB" w14:textId="57F13C72">
      <w:pPr>
        <w:spacing w:before="240" w:beforeAutospacing="off" w:after="24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Jane</w:t>
      </w:r>
    </w:p>
    <w:p w:rsidR="38D43D07" w:rsidP="60D503FB" w:rsidRDefault="38D43D07" w14:paraId="52EBB5EE" w14:textId="6DD432D1">
      <w:pPr/>
    </w:p>
    <w:p w:rsidR="38D43D07" w:rsidP="60D503FB" w:rsidRDefault="38D43D07" w14:paraId="393F3C3B" w14:textId="29E66050">
      <w:p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4"/>
          <w:szCs w:val="24"/>
          <w:u w:val="single"/>
          <w:lang w:val="en-US"/>
        </w:rPr>
      </w:pPr>
    </w:p>
    <w:p w:rsidR="38D43D07" w:rsidP="60D503FB" w:rsidRDefault="38D43D07" w14:paraId="1EC3E7B0" w14:textId="4698E3B6">
      <w:p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4"/>
          <w:szCs w:val="24"/>
          <w:u w:val="single"/>
          <w:lang w:val="en-US"/>
        </w:rPr>
      </w:pPr>
    </w:p>
    <w:p w:rsidR="38D43D07" w:rsidP="60D503FB" w:rsidRDefault="38D43D07" w14:paraId="43533013" w14:textId="633F16FD">
      <w:p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4"/>
          <w:szCs w:val="24"/>
          <w:u w:val="single"/>
          <w:lang w:val="en-US"/>
        </w:rPr>
      </w:pPr>
    </w:p>
    <w:p w:rsidR="38D43D07" w:rsidP="60D503FB" w:rsidRDefault="38D43D07" w14:paraId="68330FC9" w14:textId="749E7C2C">
      <w:p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4"/>
          <w:szCs w:val="24"/>
          <w:u w:val="single"/>
          <w:lang w:val="en-US"/>
        </w:rPr>
      </w:pPr>
    </w:p>
    <w:p w:rsidR="38D43D07" w:rsidP="60D503FB" w:rsidRDefault="38D43D07" w14:paraId="0A7F71D2" w14:textId="6AE34E93">
      <w:p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4"/>
          <w:szCs w:val="24"/>
          <w:u w:val="single"/>
          <w:lang w:val="en-US"/>
        </w:rPr>
      </w:pPr>
    </w:p>
    <w:p w:rsidR="38D43D07" w:rsidP="60D503FB" w:rsidRDefault="38D43D07" w14:paraId="2049799C" w14:textId="1F6D9D39">
      <w:p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4"/>
          <w:szCs w:val="24"/>
          <w:u w:val="single"/>
          <w:lang w:val="en-US"/>
        </w:rPr>
      </w:pPr>
    </w:p>
    <w:p w:rsidR="38D43D07" w:rsidP="60D503FB" w:rsidRDefault="38D43D07" w14:paraId="7DCFAEAF" w14:textId="029450B0">
      <w:p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4"/>
          <w:szCs w:val="24"/>
          <w:u w:val="single"/>
          <w:lang w:val="en-US"/>
        </w:rPr>
      </w:pPr>
    </w:p>
    <w:p w:rsidR="38D43D07" w:rsidP="60D503FB" w:rsidRDefault="38D43D07" w14:paraId="1DCF91F7" w14:textId="2C225EF9">
      <w:p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4"/>
          <w:szCs w:val="24"/>
          <w:u w:val="single"/>
          <w:lang w:val="en-US"/>
        </w:rPr>
      </w:pPr>
    </w:p>
    <w:p w:rsidR="38D43D07" w:rsidP="60D503FB" w:rsidRDefault="38D43D07" w14:paraId="3A29AE39" w14:textId="12FE4807">
      <w:pPr>
        <w:spacing w:before="280" w:beforeAutospacing="off" w:after="0" w:afterAutospacing="off"/>
        <w:rPr>
          <w:rFonts w:ascii="Aptos" w:hAnsi="Aptos" w:eastAsia="Aptos" w:cs="Aptos"/>
          <w:b w:val="0"/>
          <w:bCs w:val="0"/>
          <w:i w:val="0"/>
          <w:iCs w:val="0"/>
          <w:strike w:val="0"/>
          <w:dstrike w:val="0"/>
          <w:noProof w:val="0"/>
          <w:color w:val="000000" w:themeColor="text1" w:themeTint="FF" w:themeShade="FF"/>
          <w:sz w:val="24"/>
          <w:szCs w:val="24"/>
          <w:u w:val="single"/>
          <w:lang w:val="en-US"/>
        </w:rPr>
      </w:pPr>
    </w:p>
    <w:p w:rsidR="38D43D07" w:rsidP="60D503FB" w:rsidRDefault="38D43D07" w14:paraId="1B628695" w14:textId="583C4754">
      <w:pPr>
        <w:spacing w:before="280" w:beforeAutospacing="off" w:after="0" w:afterAutospacing="off"/>
      </w:pPr>
      <w:r w:rsidRPr="60D503FB" w:rsidR="6EDEC453">
        <w:rPr>
          <w:rFonts w:ascii="Aptos" w:hAnsi="Aptos" w:eastAsia="Aptos" w:cs="Aptos"/>
          <w:b w:val="0"/>
          <w:bCs w:val="0"/>
          <w:i w:val="0"/>
          <w:iCs w:val="0"/>
          <w:strike w:val="0"/>
          <w:dstrike w:val="0"/>
          <w:noProof w:val="0"/>
          <w:color w:val="000000" w:themeColor="text1" w:themeTint="FF" w:themeShade="FF"/>
          <w:sz w:val="24"/>
          <w:szCs w:val="24"/>
          <w:u w:val="single"/>
          <w:lang w:val="en-US"/>
        </w:rPr>
        <w:t xml:space="preserve">Reference List </w:t>
      </w:r>
    </w:p>
    <w:p w:rsidR="38D43D07" w:rsidP="60D503FB" w:rsidRDefault="38D43D07" w14:paraId="3DC38ADD" w14:textId="20E6358A">
      <w:pPr/>
    </w:p>
    <w:p w:rsidR="38D43D07" w:rsidP="60D503FB" w:rsidRDefault="38D43D07" w14:paraId="461973E6" w14:textId="3CA44B4F">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Adams, J. and Brownsword, R. (2019) Understanding contract law. Oxford: Oxford University Press.</w:t>
      </w:r>
    </w:p>
    <w:p w:rsidR="38D43D07" w:rsidP="60D503FB" w:rsidRDefault="38D43D07" w14:paraId="732B09AE" w14:textId="472CDB11">
      <w:pPr/>
    </w:p>
    <w:p w:rsidR="38D43D07" w:rsidP="60D503FB" w:rsidRDefault="38D43D07" w14:paraId="377E0E78" w14:textId="6E16FCAB">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‘Beswick v Beswick’ (1968) AC 58 (HL).</w:t>
      </w:r>
    </w:p>
    <w:p w:rsidR="38D43D07" w:rsidP="60D503FB" w:rsidRDefault="38D43D07" w14:paraId="3BA9E04D" w14:textId="1A878C9F">
      <w:pPr/>
    </w:p>
    <w:p w:rsidR="38D43D07" w:rsidP="60D503FB" w:rsidRDefault="38D43D07" w14:paraId="6DB0321E" w14:textId="39A44DC3">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‘Blackpool &amp; Fylde Aero Club Ltd v Blackpool Borough Council’ [1990] 1 WLR 1195</w:t>
      </w:r>
    </w:p>
    <w:p w:rsidR="38D43D07" w:rsidP="60D503FB" w:rsidRDefault="38D43D07" w14:paraId="1D0723EA" w14:textId="1F3949F3">
      <w:pPr/>
    </w:p>
    <w:p w:rsidR="38D43D07" w:rsidP="60D503FB" w:rsidRDefault="38D43D07" w14:paraId="5A51C88D" w14:textId="3B10C64F">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‘Brinkibon Ltd v Stahag Stahl’ (1983) 2 AC 34 (HL).</w:t>
      </w:r>
    </w:p>
    <w:p w:rsidR="38D43D07" w:rsidP="60D503FB" w:rsidRDefault="38D43D07" w14:paraId="070A5B7B" w14:textId="7FA17E87">
      <w:pPr/>
    </w:p>
    <w:p w:rsidR="38D43D07" w:rsidP="60D503FB" w:rsidRDefault="38D43D07" w14:paraId="5A8EB415" w14:textId="32855A3A">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‘Byrne v Van Tienhoven’ (1880) 5 CPD 344 (CA).</w:t>
      </w:r>
    </w:p>
    <w:p w:rsidR="38D43D07" w:rsidP="60D503FB" w:rsidRDefault="38D43D07" w14:paraId="3B71CA64" w14:textId="476F169D">
      <w:pPr/>
    </w:p>
    <w:p w:rsidR="38D43D07" w:rsidP="60D503FB" w:rsidRDefault="38D43D07" w14:paraId="6747515F" w14:textId="0D39D686">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‘Carlill v Carbolic Smoke Ball Co’ (1893) 1 QB 256 (CA).</w:t>
      </w:r>
    </w:p>
    <w:p w:rsidR="38D43D07" w:rsidP="60D503FB" w:rsidRDefault="38D43D07" w14:paraId="0A072F3E" w14:textId="34B95967">
      <w:pPr/>
    </w:p>
    <w:p w:rsidR="38D43D07" w:rsidP="60D503FB" w:rsidRDefault="38D43D07" w14:paraId="3D4C15A4" w14:textId="037590C6">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Cheshire, G., Fifoot, C. and Furmston, M. (2017) Cheshire, Fifoot, and Furmston's law of contract. Oxford: Oxford University Press.</w:t>
      </w:r>
    </w:p>
    <w:p w:rsidR="38D43D07" w:rsidP="60D503FB" w:rsidRDefault="38D43D07" w14:paraId="6F8ED825" w14:textId="3C83A1A1">
      <w:pPr/>
    </w:p>
    <w:p w:rsidR="38D43D07" w:rsidP="60D503FB" w:rsidRDefault="38D43D07" w14:paraId="00F83401" w14:textId="180D4A1C">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‘Dickinson v Dodds’ (1876) 2 Ch D 463 (CA).</w:t>
      </w:r>
    </w:p>
    <w:p w:rsidR="38D43D07" w:rsidP="60D503FB" w:rsidRDefault="38D43D07" w14:paraId="5ABB1F75" w14:textId="5CEE863C">
      <w:pPr/>
    </w:p>
    <w:p w:rsidR="38D43D07" w:rsidP="60D503FB" w:rsidRDefault="38D43D07" w14:paraId="07E36859" w14:textId="3A68180A">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‘Entores Ltd v Miles Far East Corporation’ (1955) 2 QB 327 (CA).</w:t>
      </w:r>
    </w:p>
    <w:p w:rsidR="38D43D07" w:rsidP="60D503FB" w:rsidRDefault="38D43D07" w14:paraId="7134B256" w14:textId="00F5CE98">
      <w:pPr/>
    </w:p>
    <w:p w:rsidR="38D43D07" w:rsidP="60D503FB" w:rsidRDefault="38D43D07" w14:paraId="4587EEAA" w14:textId="295728A0">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‘Errington v Errington &amp; Woods’ (1952) 1 KB 290 (CA).</w:t>
      </w:r>
    </w:p>
    <w:p w:rsidR="38D43D07" w:rsidP="60D503FB" w:rsidRDefault="38D43D07" w14:paraId="10565D4C" w14:textId="1CA9634C">
      <w:pPr/>
    </w:p>
    <w:p w:rsidR="38D43D07" w:rsidP="60D503FB" w:rsidRDefault="38D43D07" w14:paraId="7E322FA3" w14:textId="43DFE62A">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‘Fisher v Bell’ [1961] 1 QB 394</w:t>
      </w:r>
    </w:p>
    <w:p w:rsidR="38D43D07" w:rsidP="60D503FB" w:rsidRDefault="38D43D07" w14:paraId="229FECD6" w14:textId="328047A8">
      <w:pPr/>
    </w:p>
    <w:p w:rsidR="38D43D07" w:rsidP="60D503FB" w:rsidRDefault="38D43D07" w14:paraId="4069AE7E" w14:textId="03DA1EE2">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‘Gibson v Manchester City Council’ (1979) 1 WLR 294 (HL).</w:t>
      </w:r>
    </w:p>
    <w:p w:rsidR="38D43D07" w:rsidP="60D503FB" w:rsidRDefault="38D43D07" w14:paraId="1EF771F8" w14:textId="43C192BE">
      <w:pPr/>
    </w:p>
    <w:p w:rsidR="38D43D07" w:rsidP="60D503FB" w:rsidRDefault="38D43D07" w14:paraId="5A67B963" w14:textId="22628A09">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‘Hadley v Baxendale’ (1854) EWHC J70 (Exch).</w:t>
      </w:r>
    </w:p>
    <w:p w:rsidR="38D43D07" w:rsidP="60D503FB" w:rsidRDefault="38D43D07" w14:paraId="6CA02638" w14:textId="68A9604D">
      <w:pPr/>
    </w:p>
    <w:p w:rsidR="38D43D07" w:rsidP="60D503FB" w:rsidRDefault="38D43D07" w14:paraId="5A20790F" w14:textId="6D7FAE03">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‘Harvey v Facey’ (1893) AC 552 (PC).</w:t>
      </w:r>
    </w:p>
    <w:p w:rsidR="38D43D07" w:rsidP="60D503FB" w:rsidRDefault="38D43D07" w14:paraId="39BBA181" w14:textId="5D6D4D13">
      <w:pPr/>
    </w:p>
    <w:p w:rsidR="38D43D07" w:rsidP="60D503FB" w:rsidRDefault="38D43D07" w14:paraId="398E0740" w14:textId="72BEB23F">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‘Hyde v Wrench’ (1840) 3 Beav 334 (Ch).</w:t>
      </w:r>
    </w:p>
    <w:p w:rsidR="38D43D07" w:rsidP="60D503FB" w:rsidRDefault="38D43D07" w14:paraId="31B1EEAD" w14:textId="43250100">
      <w:pPr/>
    </w:p>
    <w:p w:rsidR="38D43D07" w:rsidP="60D503FB" w:rsidRDefault="38D43D07" w14:paraId="3CDA0996" w14:textId="4D642C81">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‘MacInnes v Gross’ (2017) EWHC 46 (QB).</w:t>
      </w:r>
    </w:p>
    <w:p w:rsidR="38D43D07" w:rsidP="60D503FB" w:rsidRDefault="38D43D07" w14:paraId="2C98EBE5" w14:textId="2CAB819B">
      <w:pPr/>
    </w:p>
    <w:p w:rsidR="38D43D07" w:rsidP="60D503FB" w:rsidRDefault="38D43D07" w14:paraId="701F27B9" w14:textId="22405209">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McKendrick, E. (2018) Contract law: Text, cases, and materials. 8th edn. Oxford: Oxford University Press.</w:t>
      </w:r>
    </w:p>
    <w:p w:rsidR="38D43D07" w:rsidP="60D503FB" w:rsidRDefault="38D43D07" w14:paraId="2B78D94C" w14:textId="37340A7C">
      <w:pPr/>
    </w:p>
    <w:p w:rsidR="38D43D07" w:rsidP="60D503FB" w:rsidRDefault="38D43D07" w14:paraId="19AD662D" w14:textId="6459E3FF">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Ministry of Justice (2025) Pre-action conduct and protocols. Available at: Justice.gov.uk (Accessed: 6 March 2025).</w:t>
      </w:r>
    </w:p>
    <w:p w:rsidR="38D43D07" w:rsidP="60D503FB" w:rsidRDefault="38D43D07" w14:paraId="6C53598D" w14:textId="5A0606A4">
      <w:pPr/>
    </w:p>
    <w:p w:rsidR="38D43D07" w:rsidP="60D503FB" w:rsidRDefault="38D43D07" w14:paraId="01A8349B" w14:textId="39853327">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‘Mille v Henderson’ (1963) 1 WLR 106 (CA).</w:t>
      </w:r>
    </w:p>
    <w:p w:rsidR="38D43D07" w:rsidP="60D503FB" w:rsidRDefault="38D43D07" w14:paraId="0FE4E170" w14:textId="6AB41AB9">
      <w:pPr/>
    </w:p>
    <w:p w:rsidR="38D43D07" w:rsidP="60D503FB" w:rsidRDefault="38D43D07" w14:paraId="4C7FBE4C" w14:textId="692E11D8">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‘Partridge v Crittenden’ (1968) 1 WLR 1204 (CA).</w:t>
      </w:r>
    </w:p>
    <w:p w:rsidR="38D43D07" w:rsidP="60D503FB" w:rsidRDefault="38D43D07" w14:paraId="0C5A3993" w14:textId="5FB2C175">
      <w:pPr/>
    </w:p>
    <w:p w:rsidR="38D43D07" w:rsidP="60D503FB" w:rsidRDefault="38D43D07" w14:paraId="7B152D2F" w14:textId="610EC60D">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‘Pharmaceutical Society of Great Britain v Boots Cash Chemists (Southern) Ltd’ (1953) 1 QB 401 (CA).</w:t>
      </w:r>
    </w:p>
    <w:p w:rsidR="38D43D07" w:rsidP="60D503FB" w:rsidRDefault="38D43D07" w14:paraId="5F98D310" w14:textId="02B78C79">
      <w:pPr/>
    </w:p>
    <w:p w:rsidR="38D43D07" w:rsidP="60D503FB" w:rsidRDefault="38D43D07" w14:paraId="61192577" w14:textId="2999212A">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Poole, J. (2016) Textbook on contract law. Oxford: Oxford University Press.</w:t>
      </w:r>
    </w:p>
    <w:p w:rsidR="38D43D07" w:rsidP="60D503FB" w:rsidRDefault="38D43D07" w14:paraId="5E08A3D2" w14:textId="16D485C3">
      <w:pPr/>
    </w:p>
    <w:p w:rsidR="38D43D07" w:rsidP="60D503FB" w:rsidRDefault="38D43D07" w14:paraId="59529B29" w14:textId="2F3700E1">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‘Ruxley Electronics and Construction Ltd v Forsyth’ (1996) AC 344 (HL).</w:t>
      </w:r>
    </w:p>
    <w:p w:rsidR="38D43D07" w:rsidP="60D503FB" w:rsidRDefault="38D43D07" w14:paraId="38F7C483" w14:textId="67A6CFE0">
      <w:pPr/>
    </w:p>
    <w:p w:rsidR="38D43D07" w:rsidP="60D503FB" w:rsidRDefault="38D43D07" w14:paraId="5C3F11F8" w14:textId="403E14CD">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‘Thornton v Shoe Lane Parking Ltd’ (1971) 2 QB 163 (CA).</w:t>
      </w:r>
    </w:p>
    <w:p w:rsidR="38D43D07" w:rsidP="60D503FB" w:rsidRDefault="38D43D07" w14:paraId="26A43ADE" w14:textId="01E934CF">
      <w:pPr/>
    </w:p>
    <w:p w:rsidR="38D43D07" w:rsidP="60D503FB" w:rsidRDefault="38D43D07" w14:paraId="22B6631D" w14:textId="13DCB265">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‘Tweddle v Atkinson’ (1861) EWHC QB J57 (QB).</w:t>
      </w:r>
    </w:p>
    <w:p w:rsidR="38D43D07" w:rsidP="60D503FB" w:rsidRDefault="38D43D07" w14:paraId="2C8BB68C" w14:textId="2CA7AD28">
      <w:pPr/>
    </w:p>
    <w:p w:rsidR="38D43D07" w:rsidP="60D503FB" w:rsidRDefault="38D43D07" w14:paraId="20B1687D" w14:textId="0E4B2888">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‘Young v Bristol Aeroplane Co Ltd’ (1944) KB 718 (CA).</w:t>
      </w:r>
    </w:p>
    <w:p w:rsidR="38D43D07" w:rsidP="60D503FB" w:rsidRDefault="38D43D07" w14:paraId="7B66C271" w14:textId="021D18EF">
      <w:pPr/>
    </w:p>
    <w:p w:rsidR="38D43D07" w:rsidP="60D503FB" w:rsidRDefault="38D43D07" w14:paraId="18418B31" w14:textId="398F9B97">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Smith, J. (2017) Principles of civil law. Cambridge: Cambridge University Press.</w:t>
      </w:r>
    </w:p>
    <w:p w:rsidR="38D43D07" w:rsidP="60D503FB" w:rsidRDefault="38D43D07" w14:paraId="5DD631F2" w14:textId="3C1A51B1">
      <w:pPr/>
    </w:p>
    <w:p w:rsidR="38D43D07" w:rsidP="60D503FB" w:rsidRDefault="38D43D07" w14:paraId="47A8737C" w14:textId="4CD94B13">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Shelter England (2025). County court case track allocations. Available at: Shelter England (Accessed: 6 March 2025).</w:t>
      </w:r>
    </w:p>
    <w:p w:rsidR="38D43D07" w:rsidP="60D503FB" w:rsidRDefault="38D43D07" w14:paraId="37460740" w14:textId="50015157">
      <w:pPr/>
    </w:p>
    <w:p w:rsidR="38D43D07" w:rsidP="60D503FB" w:rsidRDefault="38D43D07" w14:paraId="2DCCD8BE" w14:textId="53588C4E">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Judiciary UK (2025). The County Court and its role. Available at: Judiciary UK (Accessed: 6 March 2025).</w:t>
      </w:r>
    </w:p>
    <w:p w:rsidR="38D43D07" w:rsidP="60D503FB" w:rsidRDefault="38D43D07" w14:paraId="7DAF15C1" w14:textId="78CC46AC">
      <w:pPr/>
    </w:p>
    <w:p w:rsidR="38D43D07" w:rsidP="60D503FB" w:rsidRDefault="38D43D07" w14:paraId="03ADC3A9" w14:textId="19F0C574">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CivilLitigationLawyers.co.uk. (2025) Understanding the Civil Litigation Process: A Step-by-Step Guide. Available at: </w:t>
      </w:r>
      <w:hyperlink r:id="R91a21fec5b784749">
        <w:r w:rsidRPr="60D503FB" w:rsidR="6EDEC453">
          <w:rPr>
            <w:rStyle w:val="Hyperlink"/>
            <w:rFonts w:ascii="Arial" w:hAnsi="Arial" w:eastAsia="Arial" w:cs="Arial"/>
            <w:b w:val="0"/>
            <w:bCs w:val="0"/>
            <w:i w:val="0"/>
            <w:iCs w:val="0"/>
            <w:strike w:val="0"/>
            <w:dstrike w:val="0"/>
            <w:noProof w:val="0"/>
            <w:sz w:val="24"/>
            <w:szCs w:val="24"/>
            <w:lang w:val="en-US"/>
          </w:rPr>
          <w:t>https://civillitigationlawyers.co.uk/civil-litigation-process/</w:t>
        </w:r>
      </w:hyperlink>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6 March 2025).</w:t>
      </w:r>
    </w:p>
    <w:p w:rsidR="38D43D07" w:rsidP="60D503FB" w:rsidRDefault="38D43D07" w14:paraId="6EEF4E16" w14:textId="527B524B">
      <w:pPr/>
    </w:p>
    <w:p w:rsidR="38D43D07" w:rsidP="60D503FB" w:rsidRDefault="38D43D07" w14:paraId="4AF819FE" w14:textId="3AB88FA4">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‘Payne v Cave’ (1789) 3 TR 148 (KB)</w:t>
      </w:r>
    </w:p>
    <w:p w:rsidR="38D43D07" w:rsidP="60D503FB" w:rsidRDefault="38D43D07" w14:paraId="6A198CEA" w14:textId="71D93843">
      <w:pPr/>
    </w:p>
    <w:p w:rsidR="38D43D07" w:rsidP="60D503FB" w:rsidRDefault="38D43D07" w14:paraId="724EB829" w14:textId="71E7A024">
      <w:pPr>
        <w:spacing w:before="0" w:beforeAutospacing="off" w:after="0" w:afterAutospacing="off"/>
      </w:pPr>
      <w:r w:rsidRPr="60D503FB" w:rsidR="6EDEC453">
        <w:rPr>
          <w:rFonts w:ascii="Arial" w:hAnsi="Arial" w:eastAsia="Arial" w:cs="Arial"/>
          <w:b w:val="0"/>
          <w:bCs w:val="0"/>
          <w:i w:val="0"/>
          <w:iCs w:val="0"/>
          <w:strike w:val="0"/>
          <w:dstrike w:val="0"/>
          <w:noProof w:val="0"/>
          <w:color w:val="000000" w:themeColor="text1" w:themeTint="FF" w:themeShade="FF"/>
          <w:sz w:val="24"/>
          <w:szCs w:val="24"/>
          <w:u w:val="none"/>
          <w:lang w:val="en-US"/>
        </w:rPr>
        <w:t>‘Stevenson Jaques &amp; Co. v McLean’ (1880) 5 QBD 346</w:t>
      </w:r>
    </w:p>
    <w:p w:rsidR="38D43D07" w:rsidP="60D503FB" w:rsidRDefault="38D43D07" w14:paraId="191237C8" w14:textId="159808FB">
      <w:pPr/>
    </w:p>
    <w:p w:rsidR="38D43D07" w:rsidP="60D503FB" w:rsidRDefault="38D43D07" w14:paraId="6308CC08" w14:textId="398F97C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38D43D07" w:rsidP="60D503FB" w:rsidRDefault="38D43D07" w14:paraId="2C6259DC" w14:textId="5B977FE5">
      <w:pPr/>
    </w:p>
    <w:p w:rsidR="38D43D07" w:rsidP="60D503FB" w:rsidRDefault="38D43D07" w14:paraId="420C2942" w14:textId="69E5AAF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38D43D07" w:rsidP="60D503FB" w:rsidRDefault="38D43D07" w14:paraId="637A69C7" w14:textId="52D6862D">
      <w:pPr/>
    </w:p>
    <w:p w:rsidR="38D43D07" w:rsidP="60D503FB" w:rsidRDefault="38D43D07" w14:paraId="2BE590A0" w14:textId="10803C97">
      <w:pPr>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38D43D07" w:rsidP="60D503FB" w:rsidRDefault="38D43D07" w14:paraId="5E1092CE" w14:textId="7BB2642E">
      <w:pPr/>
    </w:p>
    <w:p w:rsidR="38D43D07" w:rsidP="38D43D07" w:rsidRDefault="38D43D07" w14:paraId="024B0874" w14:textId="20A17340">
      <w:pPr>
        <w:pStyle w:val="Normal"/>
        <w:rPr>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53d66636"/>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3b91ed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b6b6e6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e7444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72e3e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c33f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69b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3bbb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ebc0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0c6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4440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c0a4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86A910"/>
    <w:rsid w:val="0057FADA"/>
    <w:rsid w:val="01DBB911"/>
    <w:rsid w:val="053A1A27"/>
    <w:rsid w:val="059B8819"/>
    <w:rsid w:val="062BA9B8"/>
    <w:rsid w:val="0686A910"/>
    <w:rsid w:val="0E536C77"/>
    <w:rsid w:val="0ECDE691"/>
    <w:rsid w:val="11AB796E"/>
    <w:rsid w:val="16348CA4"/>
    <w:rsid w:val="165A4757"/>
    <w:rsid w:val="1664B533"/>
    <w:rsid w:val="17A53759"/>
    <w:rsid w:val="1A051FB8"/>
    <w:rsid w:val="1AEFAA69"/>
    <w:rsid w:val="1DC0D556"/>
    <w:rsid w:val="20D2FA0F"/>
    <w:rsid w:val="24BBA25E"/>
    <w:rsid w:val="2793043B"/>
    <w:rsid w:val="2A37DD01"/>
    <w:rsid w:val="2CADEC92"/>
    <w:rsid w:val="2D7329DD"/>
    <w:rsid w:val="2FEFD240"/>
    <w:rsid w:val="30412F22"/>
    <w:rsid w:val="31740755"/>
    <w:rsid w:val="34347863"/>
    <w:rsid w:val="34A97519"/>
    <w:rsid w:val="38D43D07"/>
    <w:rsid w:val="3A291E41"/>
    <w:rsid w:val="3C938F8F"/>
    <w:rsid w:val="3CD40E46"/>
    <w:rsid w:val="3F26C642"/>
    <w:rsid w:val="3FCCE115"/>
    <w:rsid w:val="40657EB0"/>
    <w:rsid w:val="4226EEB1"/>
    <w:rsid w:val="46F30A6C"/>
    <w:rsid w:val="4800C787"/>
    <w:rsid w:val="480FABA6"/>
    <w:rsid w:val="4A81E4C7"/>
    <w:rsid w:val="4ED85C1B"/>
    <w:rsid w:val="4F7FBC79"/>
    <w:rsid w:val="553B1CDA"/>
    <w:rsid w:val="5B1E418D"/>
    <w:rsid w:val="5BEEAB9A"/>
    <w:rsid w:val="5C6B99DC"/>
    <w:rsid w:val="5CE6AA98"/>
    <w:rsid w:val="5E210ACE"/>
    <w:rsid w:val="5EBD149E"/>
    <w:rsid w:val="5EE480A0"/>
    <w:rsid w:val="5FA287F0"/>
    <w:rsid w:val="60D503FB"/>
    <w:rsid w:val="63C4ADF1"/>
    <w:rsid w:val="654EEA96"/>
    <w:rsid w:val="65EFFB8C"/>
    <w:rsid w:val="6BB8588B"/>
    <w:rsid w:val="6C63E188"/>
    <w:rsid w:val="6EDEC453"/>
    <w:rsid w:val="6FB6D13A"/>
    <w:rsid w:val="6FC791CD"/>
    <w:rsid w:val="700FBFFD"/>
    <w:rsid w:val="726E924B"/>
    <w:rsid w:val="74423C43"/>
    <w:rsid w:val="748B2BF0"/>
    <w:rsid w:val="7B6640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6A910"/>
  <w15:chartTrackingRefBased/>
  <w15:docId w15:val="{A8076FFB-A3D0-4136-8AD3-AE1B879092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8D43D07"/>
    <w:pPr>
      <w:spacing/>
      <w:ind w:left="720"/>
      <w:contextualSpacing/>
    </w:pPr>
  </w:style>
  <w:style w:type="character" w:styleId="Hyperlink">
    <w:uiPriority w:val="99"/>
    <w:name w:val="Hyperlink"/>
    <w:basedOn w:val="DefaultParagraphFont"/>
    <w:unhideWhenUsed/>
    <w:rsid w:val="60D503FB"/>
    <w:rPr>
      <w:color w:val="467886"/>
      <w:u w:val="single"/>
    </w:rPr>
  </w:style>
  <w:style w:type="paragraph" w:styleId="NoSpacing">
    <w:uiPriority w:val="1"/>
    <w:name w:val="No Spacing"/>
    <w:qFormat/>
    <w:rsid w:val="60D503F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39120e4f1cf41b8" /><Relationship Type="http://schemas.openxmlformats.org/officeDocument/2006/relationships/hyperlink" Target="https://civillitigationlawyers.co.uk/civil-litigation-process/" TargetMode="External" Id="R91a21fec5b7847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2025-02-21T13:34:55.5176966Z</dcterms:created>
  <dcterms:modified xsi:type="dcterms:W3CDTF">2025-03-07T17:17:16.0222719Z</dcterms:modified>
  <dc:creator>Nathan Barlow (2318300)</dc:creator>
  <lastModifiedBy>Nathan Barlow (2318300)</lastModifiedBy>
</coreProperties>
</file>