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A2CD8" w:rsidRPr="006A2CD8" w:rsidRDefault="006A2CD8" w:rsidP="006A2CD8">
      <w:pPr>
        <w:pageBreakBefore/>
        <w:suppressAutoHyphens/>
        <w:spacing w:after="0" w:line="360" w:lineRule="auto"/>
        <w:jc w:val="center"/>
        <w:rPr>
          <w:rFonts w:ascii="Times New Roman" w:eastAsia="Calibri" w:hAnsi="Times New Roman" w:cs="Times New Roman"/>
          <w:kern w:val="0"/>
          <w:sz w:val="88"/>
          <w:szCs w:val="88"/>
          <w:lang w:eastAsia="ar-SA"/>
          <w14:ligatures w14:val="none"/>
        </w:rPr>
      </w:pPr>
      <w:r w:rsidRPr="006A2CD8">
        <w:rPr>
          <w:rFonts w:ascii="Times New Roman" w:eastAsia="Calibri" w:hAnsi="Times New Roman" w:cs="Times New Roman"/>
          <w:noProof/>
          <w:color w:val="000000"/>
          <w:kern w:val="0"/>
          <w:szCs w:val="22"/>
          <w:lang w:eastAsia="ar-SA"/>
          <w14:ligatures w14:val="none"/>
        </w:rPr>
        <w:drawing>
          <wp:anchor distT="0" distB="0" distL="114300" distR="114300" simplePos="0" relativeHeight="251658240" behindDoc="0" locked="0" layoutInCell="1" allowOverlap="1" wp14:anchorId="3F3A5B0D">
            <wp:simplePos x="0" y="0"/>
            <wp:positionH relativeFrom="column">
              <wp:posOffset>-95250</wp:posOffset>
            </wp:positionH>
            <wp:positionV relativeFrom="paragraph">
              <wp:posOffset>0</wp:posOffset>
            </wp:positionV>
            <wp:extent cx="2200275" cy="742950"/>
            <wp:effectExtent l="0" t="0" r="9525" b="0"/>
            <wp:wrapNone/>
            <wp:docPr id="1999364037" name="Picture 1999364037"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anchor>
        </w:drawing>
      </w:r>
    </w:p>
    <w:tbl>
      <w:tblPr>
        <w:tblStyle w:val="TableGrid"/>
        <w:tblpPr w:leftFromText="180" w:rightFromText="180" w:vertAnchor="text" w:horzAnchor="margin" w:tblpY="674"/>
        <w:tblW w:w="936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392"/>
        <w:gridCol w:w="5968"/>
      </w:tblGrid>
      <w:tr w:rsidR="006A2CD8" w:rsidRPr="006A2CD8" w:rsidTr="006A2CD8">
        <w:trPr>
          <w:trHeight w:val="300"/>
        </w:trPr>
        <w:tc>
          <w:tcPr>
            <w:tcW w:w="33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rsidR="006A2CD8" w:rsidRPr="006A2CD8" w:rsidRDefault="006A2CD8" w:rsidP="006A2CD8">
            <w:pPr>
              <w:suppressAutoHyphens/>
              <w:spacing w:before="120" w:after="120" w:line="360" w:lineRule="auto"/>
              <w:rPr>
                <w:rFonts w:asciiTheme="minorHAnsi" w:eastAsia="Tahoma" w:hAnsiTheme="minorHAnsi" w:cstheme="minorHAnsi"/>
                <w:color w:val="000000"/>
                <w:sz w:val="28"/>
                <w:szCs w:val="28"/>
                <w:lang w:eastAsia="ar-SA"/>
              </w:rPr>
            </w:pPr>
            <w:r w:rsidRPr="006A2CD8">
              <w:rPr>
                <w:rFonts w:asciiTheme="minorHAnsi" w:eastAsia="Tahoma" w:hAnsiTheme="minorHAnsi" w:cstheme="minorHAnsi"/>
                <w:color w:val="000000"/>
                <w:sz w:val="28"/>
                <w:szCs w:val="28"/>
                <w:lang w:eastAsia="ar-SA"/>
              </w:rPr>
              <w:t>Student Name:</w:t>
            </w:r>
          </w:p>
        </w:tc>
        <w:tc>
          <w:tcPr>
            <w:tcW w:w="59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rsidR="006A2CD8" w:rsidRPr="006A2CD8" w:rsidRDefault="006A2CD8" w:rsidP="006A2CD8">
            <w:pPr>
              <w:suppressAutoHyphens/>
              <w:spacing w:before="120" w:after="120" w:line="360" w:lineRule="auto"/>
              <w:rPr>
                <w:rFonts w:asciiTheme="minorHAnsi" w:eastAsia="Arial" w:hAnsiTheme="minorHAnsi" w:cstheme="minorHAnsi"/>
                <w:b/>
                <w:bCs/>
                <w:color w:val="000000"/>
                <w:sz w:val="28"/>
                <w:szCs w:val="28"/>
                <w:lang w:eastAsia="ar-SA"/>
              </w:rPr>
            </w:pPr>
            <w:r w:rsidRPr="006A2CD8">
              <w:rPr>
                <w:rFonts w:asciiTheme="minorHAnsi" w:eastAsia="Arial" w:hAnsiTheme="minorHAnsi" w:cstheme="minorHAnsi"/>
                <w:b/>
                <w:bCs/>
                <w:color w:val="000000"/>
                <w:sz w:val="28"/>
                <w:szCs w:val="28"/>
                <w:lang w:eastAsia="ar-SA"/>
              </w:rPr>
              <w:t>Karine Williams</w:t>
            </w:r>
          </w:p>
        </w:tc>
      </w:tr>
      <w:tr w:rsidR="006A2CD8" w:rsidRPr="006A2CD8" w:rsidTr="006A2CD8">
        <w:trPr>
          <w:trHeight w:val="300"/>
        </w:trPr>
        <w:tc>
          <w:tcPr>
            <w:tcW w:w="33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rsidR="006A2CD8" w:rsidRPr="006A2CD8" w:rsidRDefault="006A2CD8" w:rsidP="006A2CD8">
            <w:pPr>
              <w:suppressAutoHyphens/>
              <w:spacing w:before="120" w:after="120" w:line="360" w:lineRule="auto"/>
              <w:rPr>
                <w:rFonts w:asciiTheme="minorHAnsi" w:eastAsia="Tahoma" w:hAnsiTheme="minorHAnsi" w:cstheme="minorHAnsi"/>
                <w:color w:val="000000"/>
                <w:sz w:val="28"/>
                <w:szCs w:val="28"/>
                <w:lang w:eastAsia="ar-SA"/>
              </w:rPr>
            </w:pPr>
            <w:r w:rsidRPr="006A2CD8">
              <w:rPr>
                <w:rFonts w:asciiTheme="minorHAnsi" w:eastAsia="Tahoma" w:hAnsiTheme="minorHAnsi" w:cstheme="minorHAnsi"/>
                <w:color w:val="000000"/>
                <w:sz w:val="28"/>
                <w:szCs w:val="28"/>
                <w:lang w:eastAsia="ar-SA"/>
              </w:rPr>
              <w:t>Student Number:</w:t>
            </w:r>
          </w:p>
        </w:tc>
        <w:tc>
          <w:tcPr>
            <w:tcW w:w="59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rsidR="006A2CD8" w:rsidRPr="006A2CD8" w:rsidRDefault="006A2CD8" w:rsidP="006A2CD8">
            <w:pPr>
              <w:suppressAutoHyphens/>
              <w:spacing w:before="120" w:after="120" w:line="360" w:lineRule="auto"/>
              <w:rPr>
                <w:rFonts w:asciiTheme="minorHAnsi" w:eastAsia="Arial" w:hAnsiTheme="minorHAnsi" w:cstheme="minorHAnsi"/>
                <w:b/>
                <w:bCs/>
                <w:color w:val="000000"/>
                <w:sz w:val="28"/>
                <w:szCs w:val="28"/>
                <w:lang w:eastAsia="ar-SA"/>
              </w:rPr>
            </w:pPr>
            <w:r w:rsidRPr="006A2CD8">
              <w:rPr>
                <w:rFonts w:asciiTheme="minorHAnsi" w:eastAsia="Arial" w:hAnsiTheme="minorHAnsi" w:cstheme="minorHAnsi"/>
                <w:b/>
                <w:bCs/>
                <w:color w:val="000000"/>
                <w:sz w:val="28"/>
                <w:szCs w:val="28"/>
                <w:lang w:eastAsia="ar-SA"/>
              </w:rPr>
              <w:t>2424373</w:t>
            </w:r>
          </w:p>
        </w:tc>
      </w:tr>
      <w:tr w:rsidR="006A2CD8" w:rsidRPr="006A2CD8" w:rsidTr="006A2CD8">
        <w:trPr>
          <w:trHeight w:val="300"/>
        </w:trPr>
        <w:tc>
          <w:tcPr>
            <w:tcW w:w="33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rsidR="006A2CD8" w:rsidRPr="006A2CD8" w:rsidRDefault="006A2CD8" w:rsidP="006A2CD8">
            <w:pPr>
              <w:suppressAutoHyphens/>
              <w:spacing w:before="120" w:after="120" w:line="360" w:lineRule="auto"/>
              <w:rPr>
                <w:rFonts w:asciiTheme="minorHAnsi" w:eastAsia="Tahoma" w:hAnsiTheme="minorHAnsi" w:cstheme="minorHAnsi"/>
                <w:color w:val="000000"/>
                <w:sz w:val="28"/>
                <w:szCs w:val="28"/>
                <w:lang w:eastAsia="ar-SA"/>
              </w:rPr>
            </w:pPr>
            <w:r w:rsidRPr="006A2CD8">
              <w:rPr>
                <w:rFonts w:asciiTheme="minorHAnsi" w:eastAsia="Tahoma" w:hAnsiTheme="minorHAnsi" w:cstheme="minorHAnsi"/>
                <w:color w:val="000000"/>
                <w:sz w:val="28"/>
                <w:szCs w:val="28"/>
                <w:lang w:eastAsia="ar-SA"/>
              </w:rPr>
              <w:t>Module No:</w:t>
            </w:r>
          </w:p>
        </w:tc>
        <w:tc>
          <w:tcPr>
            <w:tcW w:w="59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rsidR="006A2CD8" w:rsidRPr="006A2CD8" w:rsidRDefault="006A2CD8" w:rsidP="006A2CD8">
            <w:pPr>
              <w:suppressAutoHyphens/>
              <w:spacing w:before="120" w:after="120" w:line="360" w:lineRule="auto"/>
              <w:rPr>
                <w:rFonts w:asciiTheme="minorHAnsi" w:eastAsia="Tahoma" w:hAnsiTheme="minorHAnsi" w:cstheme="minorHAnsi"/>
                <w:b/>
                <w:bCs/>
                <w:color w:val="000000" w:themeColor="text1"/>
                <w:sz w:val="28"/>
                <w:szCs w:val="28"/>
                <w:lang w:eastAsia="ar-SA"/>
              </w:rPr>
            </w:pPr>
            <w:proofErr w:type="spellStart"/>
            <w:r w:rsidRPr="006A2CD8">
              <w:rPr>
                <w:rFonts w:asciiTheme="minorHAnsi" w:eastAsia="Tahoma" w:hAnsiTheme="minorHAnsi" w:cstheme="minorHAnsi"/>
                <w:b/>
                <w:bCs/>
                <w:color w:val="000000" w:themeColor="text1"/>
                <w:sz w:val="28"/>
                <w:szCs w:val="28"/>
                <w:lang w:eastAsia="ar-SA"/>
              </w:rPr>
              <w:t>BMDP</w:t>
            </w:r>
            <w:proofErr w:type="spellEnd"/>
            <w:r w:rsidRPr="006A2CD8">
              <w:rPr>
                <w:rFonts w:asciiTheme="minorHAnsi" w:eastAsia="Tahoma" w:hAnsiTheme="minorHAnsi" w:cstheme="minorHAnsi"/>
                <w:b/>
                <w:bCs/>
                <w:color w:val="000000" w:themeColor="text1"/>
                <w:sz w:val="28"/>
                <w:szCs w:val="28"/>
                <w:lang w:eastAsia="ar-SA"/>
              </w:rPr>
              <w:t xml:space="preserve"> </w:t>
            </w:r>
            <w:r w:rsidRPr="006A2CD8">
              <w:rPr>
                <w:rFonts w:asciiTheme="minorHAnsi" w:eastAsia="Tahoma" w:hAnsiTheme="minorHAnsi" w:cstheme="minorHAnsi"/>
                <w:b/>
                <w:bCs/>
                <w:color w:val="000000" w:themeColor="text1"/>
                <w:sz w:val="28"/>
                <w:szCs w:val="28"/>
                <w:lang w:eastAsia="ar-SA"/>
              </w:rPr>
              <w:t>7000</w:t>
            </w:r>
          </w:p>
        </w:tc>
      </w:tr>
      <w:tr w:rsidR="006A2CD8" w:rsidRPr="006A2CD8" w:rsidTr="006A2CD8">
        <w:trPr>
          <w:trHeight w:val="300"/>
        </w:trPr>
        <w:tc>
          <w:tcPr>
            <w:tcW w:w="339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rsidR="006A2CD8" w:rsidRPr="006A2CD8" w:rsidRDefault="006A2CD8" w:rsidP="006A2CD8">
            <w:pPr>
              <w:suppressAutoHyphens/>
              <w:spacing w:before="120" w:after="120" w:line="360" w:lineRule="auto"/>
              <w:rPr>
                <w:rFonts w:asciiTheme="minorHAnsi" w:eastAsia="Tahoma" w:hAnsiTheme="minorHAnsi" w:cstheme="minorHAnsi"/>
                <w:color w:val="000000"/>
                <w:sz w:val="28"/>
                <w:szCs w:val="28"/>
                <w:lang w:eastAsia="ar-SA"/>
              </w:rPr>
            </w:pPr>
            <w:r w:rsidRPr="006A2CD8">
              <w:rPr>
                <w:rFonts w:asciiTheme="minorHAnsi" w:eastAsia="Tahoma" w:hAnsiTheme="minorHAnsi" w:cstheme="minorHAnsi"/>
                <w:color w:val="000000"/>
                <w:sz w:val="28"/>
                <w:szCs w:val="28"/>
                <w:lang w:eastAsia="ar-SA"/>
              </w:rPr>
              <w:t>Module Title:</w:t>
            </w:r>
          </w:p>
        </w:tc>
        <w:tc>
          <w:tcPr>
            <w:tcW w:w="596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rsidR="006A2CD8" w:rsidRPr="006A2CD8" w:rsidRDefault="006A2CD8" w:rsidP="006A2CD8">
            <w:pPr>
              <w:suppressAutoHyphens/>
              <w:spacing w:before="120" w:after="120" w:line="360" w:lineRule="auto"/>
              <w:rPr>
                <w:rFonts w:asciiTheme="minorHAnsi" w:eastAsia="Tahoma" w:hAnsiTheme="minorHAnsi" w:cstheme="minorHAnsi"/>
                <w:b/>
                <w:bCs/>
                <w:color w:val="000000" w:themeColor="text1"/>
                <w:sz w:val="28"/>
                <w:szCs w:val="28"/>
                <w:lang w:eastAsia="ar-SA"/>
              </w:rPr>
            </w:pPr>
            <w:r w:rsidRPr="006A2CD8">
              <w:rPr>
                <w:rFonts w:asciiTheme="minorHAnsi" w:eastAsia="Tahoma" w:hAnsiTheme="minorHAnsi" w:cstheme="minorHAnsi"/>
                <w:b/>
                <w:bCs/>
                <w:color w:val="000000" w:themeColor="text1"/>
                <w:sz w:val="28"/>
                <w:szCs w:val="28"/>
                <w:lang w:eastAsia="ar-SA"/>
              </w:rPr>
              <w:t>Approaches to Research and Academic Communication</w:t>
            </w:r>
          </w:p>
        </w:tc>
      </w:tr>
    </w:tbl>
    <w:p w:rsidR="006A2CD8" w:rsidRPr="006A2CD8" w:rsidRDefault="006A2CD8" w:rsidP="006A2CD8">
      <w:pPr>
        <w:suppressAutoHyphens/>
        <w:spacing w:before="120" w:after="120" w:line="360" w:lineRule="auto"/>
        <w:jc w:val="both"/>
        <w:rPr>
          <w:rFonts w:ascii="Calibri" w:eastAsia="Calibri" w:hAnsi="Calibri" w:cs="Calibri"/>
          <w:b/>
          <w:bCs/>
          <w:color w:val="FF0000"/>
          <w:kern w:val="0"/>
          <w:sz w:val="36"/>
          <w:szCs w:val="36"/>
          <w:lang w:eastAsia="ar-SA"/>
          <w14:ligatures w14:val="none"/>
        </w:rPr>
      </w:pPr>
      <w:r w:rsidRPr="006A2CD8">
        <w:rPr>
          <w:rFonts w:ascii="Segoe UI" w:hAnsi="Segoe UI" w:cs="Segoe UI"/>
          <w:b/>
          <w:bCs/>
          <w:color w:val="212529"/>
          <w:sz w:val="28"/>
          <w:szCs w:val="28"/>
        </w:rPr>
        <w:t>Doctorate in Professional Practice</w:t>
      </w:r>
    </w:p>
    <w:p w:rsidR="006A2CD8" w:rsidRDefault="006A2CD8" w:rsidP="006A2CD8">
      <w:pPr>
        <w:suppressAutoHyphens/>
        <w:spacing w:before="120" w:after="120" w:line="360" w:lineRule="auto"/>
        <w:jc w:val="both"/>
        <w:rPr>
          <w:rFonts w:ascii="Tahoma" w:eastAsia="Tahoma" w:hAnsi="Tahoma" w:cs="Tahoma"/>
          <w:b/>
          <w:bCs/>
          <w:color w:val="000000" w:themeColor="text1"/>
          <w:kern w:val="0"/>
          <w:lang w:eastAsia="ar-SA"/>
          <w14:ligatures w14:val="none"/>
        </w:rPr>
      </w:pPr>
    </w:p>
    <w:p w:rsidR="006A2CD8" w:rsidRPr="006A2CD8" w:rsidRDefault="006A2CD8" w:rsidP="006A2CD8">
      <w:pPr>
        <w:suppressAutoHyphens/>
        <w:spacing w:before="120" w:after="120" w:line="360" w:lineRule="auto"/>
        <w:jc w:val="both"/>
        <w:rPr>
          <w:rFonts w:ascii="Tahoma" w:eastAsia="Tahoma" w:hAnsi="Tahoma" w:cs="Tahoma"/>
          <w:color w:val="000000" w:themeColor="text1"/>
          <w:kern w:val="0"/>
          <w:lang w:eastAsia="ar-SA"/>
          <w14:ligatures w14:val="none"/>
        </w:rPr>
      </w:pPr>
      <w:r w:rsidRPr="006A2CD8">
        <w:rPr>
          <w:rFonts w:ascii="Tahoma" w:eastAsia="Tahoma" w:hAnsi="Tahoma" w:cs="Tahoma"/>
          <w:b/>
          <w:bCs/>
          <w:color w:val="000000" w:themeColor="text1"/>
          <w:kern w:val="0"/>
          <w:lang w:eastAsia="ar-SA"/>
          <w14:ligatures w14:val="none"/>
        </w:rPr>
        <w:t>Statement of Confirmation of Authenticity</w:t>
      </w:r>
    </w:p>
    <w:p w:rsidR="006A2CD8" w:rsidRPr="006A2CD8" w:rsidRDefault="006A2CD8" w:rsidP="006A2CD8">
      <w:pPr>
        <w:suppressAutoHyphens/>
        <w:spacing w:before="120" w:after="120" w:line="360" w:lineRule="auto"/>
        <w:jc w:val="both"/>
        <w:rPr>
          <w:rFonts w:ascii="Tahoma" w:eastAsia="Tahoma" w:hAnsi="Tahoma" w:cs="Tahoma"/>
          <w:color w:val="000000" w:themeColor="text1"/>
          <w:kern w:val="0"/>
          <w:sz w:val="22"/>
          <w:szCs w:val="22"/>
          <w:lang w:eastAsia="ar-SA"/>
          <w14:ligatures w14:val="none"/>
        </w:rPr>
      </w:pPr>
      <w:r w:rsidRPr="006A2CD8">
        <w:rPr>
          <w:rFonts w:ascii="Tahoma" w:eastAsia="Tahoma" w:hAnsi="Tahoma" w:cs="Tahoma"/>
          <w:color w:val="000000" w:themeColor="text1"/>
          <w:kern w:val="0"/>
          <w:sz w:val="22"/>
          <w:szCs w:val="22"/>
          <w:lang w:eastAsia="ar-SA"/>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6A2CD8" w:rsidRDefault="006A2CD8" w:rsidP="006A2CD8">
      <w:pPr>
        <w:rPr>
          <w:rFonts w:ascii="Times New Roman" w:eastAsia="Calibri" w:hAnsi="Times New Roman" w:cs="Times New Roman"/>
          <w:color w:val="000000"/>
          <w:kern w:val="0"/>
          <w:szCs w:val="22"/>
          <w:lang w:eastAsia="ar-SA"/>
          <w14:ligatures w14:val="none"/>
        </w:rPr>
      </w:pPr>
      <w:r w:rsidRPr="006A2CD8">
        <w:rPr>
          <w:rFonts w:ascii="Tahoma" w:eastAsia="Tahoma" w:hAnsi="Tahoma" w:cs="Tahoma"/>
          <w:color w:val="000000" w:themeColor="text1"/>
          <w:kern w:val="0"/>
          <w:sz w:val="22"/>
          <w:szCs w:val="22"/>
          <w:lang w:eastAsia="ar-SA"/>
          <w14:ligatures w14:val="none"/>
        </w:rPr>
        <w:t>Attention is drawn to the plagiarism and unfair practice policies of both the University and of ILM.</w:t>
      </w:r>
      <w:r w:rsidRPr="006A2CD8">
        <w:rPr>
          <w:rFonts w:ascii="Times New Roman" w:eastAsia="Calibri" w:hAnsi="Times New Roman" w:cs="Times New Roman"/>
          <w:color w:val="000000"/>
          <w:kern w:val="0"/>
          <w:szCs w:val="22"/>
          <w:lang w:eastAsia="ar-SA"/>
          <w14:ligatures w14:val="none"/>
        </w:rPr>
        <w:br/>
      </w:r>
    </w:p>
    <w:p w:rsidR="006A2CD8" w:rsidRDefault="006A2CD8" w:rsidP="006A2CD8">
      <w:pPr>
        <w:rPr>
          <w:rFonts w:ascii="Times New Roman" w:eastAsia="Calibri" w:hAnsi="Times New Roman" w:cs="Times New Roman"/>
          <w:color w:val="000000"/>
          <w:kern w:val="0"/>
          <w:szCs w:val="22"/>
          <w:lang w:eastAsia="ar-SA"/>
          <w14:ligatures w14:val="none"/>
        </w:rPr>
      </w:pPr>
    </w:p>
    <w:p w:rsidR="006A2CD8" w:rsidRDefault="006A2CD8" w:rsidP="006A2CD8">
      <w:pPr>
        <w:rPr>
          <w:rFonts w:ascii="Times New Roman" w:eastAsia="Calibri" w:hAnsi="Times New Roman" w:cs="Times New Roman"/>
          <w:color w:val="000000"/>
          <w:kern w:val="0"/>
          <w:szCs w:val="22"/>
          <w:lang w:eastAsia="ar-SA"/>
          <w14:ligatures w14:val="none"/>
        </w:rPr>
      </w:pPr>
    </w:p>
    <w:p w:rsidR="006A2CD8" w:rsidRDefault="006A2CD8" w:rsidP="006A2CD8">
      <w:pPr>
        <w:rPr>
          <w:rFonts w:ascii="Times New Roman" w:eastAsia="Calibri" w:hAnsi="Times New Roman" w:cs="Times New Roman"/>
          <w:color w:val="000000"/>
          <w:kern w:val="0"/>
          <w:szCs w:val="22"/>
          <w:lang w:eastAsia="ar-SA"/>
          <w14:ligatures w14:val="none"/>
        </w:rPr>
      </w:pPr>
    </w:p>
    <w:p w:rsidR="006A2CD8" w:rsidRDefault="006A2CD8" w:rsidP="006A2CD8">
      <w:pPr>
        <w:rPr>
          <w:rFonts w:ascii="Times New Roman" w:eastAsia="Calibri" w:hAnsi="Times New Roman" w:cs="Times New Roman"/>
          <w:color w:val="000000"/>
          <w:kern w:val="0"/>
          <w:szCs w:val="22"/>
          <w:lang w:eastAsia="ar-SA"/>
          <w14:ligatures w14:val="none"/>
        </w:rPr>
      </w:pPr>
    </w:p>
    <w:p w:rsidR="006A2CD8" w:rsidRDefault="006A2CD8" w:rsidP="006A2CD8">
      <w:pPr>
        <w:rPr>
          <w:rFonts w:ascii="Times New Roman" w:eastAsia="Calibri" w:hAnsi="Times New Roman" w:cs="Times New Roman"/>
          <w:color w:val="000000"/>
          <w:kern w:val="0"/>
          <w:szCs w:val="22"/>
          <w:lang w:eastAsia="ar-SA"/>
          <w14:ligatures w14:val="none"/>
        </w:rPr>
      </w:pPr>
    </w:p>
    <w:p w:rsidR="006A2CD8" w:rsidRDefault="006A2CD8" w:rsidP="006A2CD8">
      <w:pPr>
        <w:rPr>
          <w:rFonts w:ascii="Times New Roman" w:eastAsia="Calibri" w:hAnsi="Times New Roman" w:cs="Times New Roman"/>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r>
        <w:rPr>
          <w:rFonts w:eastAsia="Calibri" w:cstheme="minorHAnsi"/>
          <w:b/>
          <w:bCs/>
          <w:color w:val="000000"/>
          <w:kern w:val="0"/>
          <w:szCs w:val="22"/>
          <w:lang w:eastAsia="ar-SA"/>
          <w14:ligatures w14:val="none"/>
        </w:rPr>
        <w:lastRenderedPageBreak/>
        <w:t>Abstract</w:t>
      </w: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eastAsia="Calibri" w:cstheme="minorHAnsi"/>
          <w:b/>
          <w:bCs/>
          <w:color w:val="000000"/>
          <w:kern w:val="0"/>
          <w:szCs w:val="22"/>
          <w:lang w:eastAsia="ar-SA"/>
          <w14:ligatures w14:val="none"/>
        </w:rPr>
      </w:pPr>
    </w:p>
    <w:p w:rsidR="006A2CD8" w:rsidRDefault="006A2CD8" w:rsidP="006A2CD8">
      <w:pPr>
        <w:rPr>
          <w:rFonts w:cstheme="minorHAnsi"/>
          <w:b/>
          <w:bCs/>
        </w:rPr>
      </w:pPr>
      <w:r w:rsidRPr="006A2CD8">
        <w:rPr>
          <w:rFonts w:eastAsia="Calibri" w:cstheme="minorHAnsi"/>
          <w:b/>
          <w:bCs/>
          <w:color w:val="000000"/>
          <w:kern w:val="0"/>
          <w:szCs w:val="22"/>
          <w:lang w:eastAsia="ar-SA"/>
          <w14:ligatures w14:val="none"/>
        </w:rPr>
        <w:lastRenderedPageBreak/>
        <w:t>Table of Contents</w:t>
      </w:r>
      <w:r w:rsidRPr="006A2CD8">
        <w:rPr>
          <w:rFonts w:eastAsia="Calibri" w:cstheme="minorHAnsi"/>
          <w:b/>
          <w:bCs/>
          <w:color w:val="000000"/>
          <w:kern w:val="0"/>
          <w:szCs w:val="22"/>
          <w:lang w:eastAsia="ar-SA"/>
          <w14:ligatures w14:val="none"/>
        </w:rPr>
        <w:br/>
      </w:r>
      <w:r w:rsidRPr="006A2CD8">
        <w:rPr>
          <w:rFonts w:eastAsia="Calibri" w:cstheme="minorHAnsi"/>
          <w:b/>
          <w:bCs/>
          <w:color w:val="000000"/>
          <w:kern w:val="0"/>
          <w:szCs w:val="22"/>
          <w:lang w:eastAsia="ar-SA"/>
          <w14:ligatures w14:val="none"/>
        </w:rPr>
        <w:br/>
      </w:r>
      <w:r w:rsidRPr="006A2CD8">
        <w:rPr>
          <w:rFonts w:eastAsia="Calibri" w:cstheme="minorHAnsi"/>
          <w:b/>
          <w:bCs/>
          <w:color w:val="000000"/>
          <w:kern w:val="0"/>
          <w:szCs w:val="22"/>
          <w:lang w:eastAsia="ar-SA"/>
          <w14:ligatures w14:val="none"/>
        </w:rPr>
        <w:br/>
      </w: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6A2CD8" w:rsidP="006A2CD8">
      <w:pPr>
        <w:rPr>
          <w:rFonts w:cstheme="minorHAnsi"/>
          <w:b/>
          <w:bCs/>
        </w:rPr>
      </w:pPr>
    </w:p>
    <w:p w:rsidR="006A2CD8" w:rsidRDefault="008C3E3C" w:rsidP="006A2CD8">
      <w:pPr>
        <w:rPr>
          <w:rFonts w:cstheme="minorHAnsi"/>
          <w:b/>
          <w:bCs/>
        </w:rPr>
      </w:pPr>
      <w:r>
        <w:rPr>
          <w:rFonts w:cstheme="minorHAnsi"/>
          <w:b/>
          <w:bCs/>
        </w:rPr>
        <w:lastRenderedPageBreak/>
        <w:t>Introduction</w:t>
      </w:r>
    </w:p>
    <w:p w:rsidR="008C3E3C" w:rsidRDefault="008C3E3C" w:rsidP="008C3E3C">
      <w:pPr>
        <w:rPr>
          <w:rFonts w:cstheme="minorHAnsi"/>
          <w:color w:val="7030A0"/>
        </w:rPr>
      </w:pPr>
      <w:r w:rsidRPr="008C3E3C">
        <w:rPr>
          <w:rFonts w:cstheme="minorHAnsi"/>
          <w:color w:val="7030A0"/>
        </w:rPr>
        <w:t>Define epistemology, ontology, and axiology and their importance.</w:t>
      </w:r>
    </w:p>
    <w:p w:rsidR="00480690" w:rsidRPr="00AE3EFA" w:rsidRDefault="00480690" w:rsidP="004806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kern w:val="0"/>
          <w:lang w:eastAsia="en-GB"/>
          <w14:ligatures w14:val="none"/>
        </w:rPr>
        <w:t>Ontology, epistemology, and axiology are crucial in shaping research outcomes, ensuring alignment between the researcher's worldview, chosen methodology, and the study's purpose. Ontology addresses the nature of reality, asking what exists and can be studied. For example, a positivist ontology assumes an objective reality that can be measured, making it suitable for quantitative studies. Constructivist ontology, on the other hand, views reality as socially constructed, aligning better with qualitative methods that explore lived experiences.</w:t>
      </w:r>
    </w:p>
    <w:p w:rsidR="00480690" w:rsidRPr="00AE3EFA" w:rsidRDefault="00480690" w:rsidP="004806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kern w:val="0"/>
          <w:lang w:eastAsia="en-GB"/>
          <w14:ligatures w14:val="none"/>
        </w:rPr>
        <w:t xml:space="preserve">Epistemology concerns the nature of knowledge—how it is acquired and validated. Positivist epistemology prioritizes empirical observation and measurable outcomes, </w:t>
      </w:r>
      <w:proofErr w:type="spellStart"/>
      <w:r w:rsidRPr="00AE3EFA">
        <w:rPr>
          <w:rFonts w:ascii="Times New Roman" w:eastAsia="Times New Roman" w:hAnsi="Times New Roman" w:cs="Times New Roman"/>
          <w:kern w:val="0"/>
          <w:lang w:eastAsia="en-GB"/>
          <w14:ligatures w14:val="none"/>
        </w:rPr>
        <w:t>favoring</w:t>
      </w:r>
      <w:proofErr w:type="spellEnd"/>
      <w:r w:rsidRPr="00AE3EFA">
        <w:rPr>
          <w:rFonts w:ascii="Times New Roman" w:eastAsia="Times New Roman" w:hAnsi="Times New Roman" w:cs="Times New Roman"/>
          <w:kern w:val="0"/>
          <w:lang w:eastAsia="en-GB"/>
          <w14:ligatures w14:val="none"/>
        </w:rPr>
        <w:t xml:space="preserve"> statistical and experimental methods. Constructivist epistemology values subjective knowledge, often employing interpretive methods to uncover patterns in human </w:t>
      </w:r>
      <w:proofErr w:type="spellStart"/>
      <w:r w:rsidRPr="00AE3EFA">
        <w:rPr>
          <w:rFonts w:ascii="Times New Roman" w:eastAsia="Times New Roman" w:hAnsi="Times New Roman" w:cs="Times New Roman"/>
          <w:kern w:val="0"/>
          <w:lang w:eastAsia="en-GB"/>
          <w14:ligatures w14:val="none"/>
        </w:rPr>
        <w:t>behavior</w:t>
      </w:r>
      <w:proofErr w:type="spellEnd"/>
      <w:r w:rsidRPr="00AE3EFA">
        <w:rPr>
          <w:rFonts w:ascii="Times New Roman" w:eastAsia="Times New Roman" w:hAnsi="Times New Roman" w:cs="Times New Roman"/>
          <w:kern w:val="0"/>
          <w:lang w:eastAsia="en-GB"/>
          <w14:ligatures w14:val="none"/>
        </w:rPr>
        <w:t xml:space="preserve"> and social structures.</w:t>
      </w:r>
    </w:p>
    <w:p w:rsidR="00480690" w:rsidRPr="00AE3EFA" w:rsidRDefault="00480690" w:rsidP="00480690">
      <w:pPr>
        <w:spacing w:before="100" w:beforeAutospacing="1" w:after="100" w:afterAutospacing="1"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kern w:val="0"/>
          <w:lang w:eastAsia="en-GB"/>
          <w14:ligatures w14:val="none"/>
        </w:rPr>
        <w:t>Axiology, the study of values and ethics, influences what researchers prioritize, whether economic metrics, personal narratives, or equity-driven reforms. For example, equity-focused axiology emphasizes structural changes to address systemic barriers, while outcome-driven axiology may prioritize measurable improvements like employment rates.</w:t>
      </w:r>
    </w:p>
    <w:p w:rsidR="00480690" w:rsidRPr="00AE3EFA" w:rsidRDefault="00480690" w:rsidP="0048069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E3EFA">
        <w:rPr>
          <w:rFonts w:ascii="Times New Roman" w:eastAsia="Times New Roman" w:hAnsi="Times New Roman" w:cs="Times New Roman"/>
          <w:b/>
          <w:bCs/>
          <w:kern w:val="0"/>
          <w:sz w:val="27"/>
          <w:szCs w:val="27"/>
          <w:lang w:eastAsia="en-GB"/>
          <w14:ligatures w14:val="none"/>
        </w:rPr>
        <w:t>Key Considerations</w:t>
      </w:r>
    </w:p>
    <w:p w:rsidR="00480690" w:rsidRPr="00AE3EFA" w:rsidRDefault="00480690" w:rsidP="00480690">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b/>
          <w:bCs/>
          <w:kern w:val="0"/>
          <w:lang w:eastAsia="en-GB"/>
          <w14:ligatures w14:val="none"/>
        </w:rPr>
        <w:t>Misalignment Risks</w:t>
      </w:r>
      <w:r w:rsidRPr="00AE3EFA">
        <w:rPr>
          <w:rFonts w:ascii="Times New Roman" w:eastAsia="Times New Roman" w:hAnsi="Times New Roman" w:cs="Times New Roman"/>
          <w:kern w:val="0"/>
          <w:lang w:eastAsia="en-GB"/>
          <w14:ligatures w14:val="none"/>
        </w:rPr>
        <w:t>: A mismatch between ontology, epistemology, and methodology (e.g., using qualitative methods with a positivist ontology) risks producing findings that lack coherence or applicability.</w:t>
      </w:r>
    </w:p>
    <w:p w:rsidR="00480690" w:rsidRPr="00AE3EFA" w:rsidRDefault="00480690" w:rsidP="00480690">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b/>
          <w:bCs/>
          <w:kern w:val="0"/>
          <w:lang w:eastAsia="en-GB"/>
          <w14:ligatures w14:val="none"/>
        </w:rPr>
        <w:t>Strengths and Weaknesses</w:t>
      </w:r>
      <w:r w:rsidRPr="00AE3EFA">
        <w:rPr>
          <w:rFonts w:ascii="Times New Roman" w:eastAsia="Times New Roman" w:hAnsi="Times New Roman" w:cs="Times New Roman"/>
          <w:kern w:val="0"/>
          <w:lang w:eastAsia="en-GB"/>
          <w14:ligatures w14:val="none"/>
        </w:rPr>
        <w:t>: Positivism offers replicability but may miss nuanced social dynamics. Constructivism provides depth but may lack scalability.</w:t>
      </w:r>
    </w:p>
    <w:p w:rsidR="00480690" w:rsidRPr="00AE3EFA" w:rsidRDefault="00480690" w:rsidP="0048069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E3EFA">
        <w:rPr>
          <w:rFonts w:ascii="Times New Roman" w:eastAsia="Times New Roman" w:hAnsi="Times New Roman" w:cs="Times New Roman"/>
          <w:b/>
          <w:bCs/>
          <w:kern w:val="0"/>
          <w:sz w:val="27"/>
          <w:szCs w:val="27"/>
          <w:lang w:eastAsia="en-GB"/>
          <w14:ligatures w14:val="none"/>
        </w:rPr>
        <w:t>Table: Overview of Ontology, Epistemology, and Axiology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2"/>
        <w:gridCol w:w="1902"/>
        <w:gridCol w:w="2402"/>
        <w:gridCol w:w="3260"/>
      </w:tblGrid>
      <w:tr w:rsidR="00480690" w:rsidRPr="00AE3EFA" w:rsidTr="00E002CC">
        <w:trPr>
          <w:tblHeader/>
          <w:tblCellSpacing w:w="15" w:type="dxa"/>
        </w:trPr>
        <w:tc>
          <w:tcPr>
            <w:tcW w:w="0" w:type="auto"/>
            <w:vAlign w:val="center"/>
            <w:hideMark/>
          </w:tcPr>
          <w:p w:rsidR="00480690" w:rsidRPr="00AE3EFA" w:rsidRDefault="00480690" w:rsidP="00E002CC">
            <w:pPr>
              <w:spacing w:after="0" w:line="240" w:lineRule="auto"/>
              <w:jc w:val="center"/>
              <w:rPr>
                <w:rFonts w:ascii="Times New Roman" w:eastAsia="Times New Roman" w:hAnsi="Times New Roman" w:cs="Times New Roman"/>
                <w:b/>
                <w:bCs/>
                <w:kern w:val="0"/>
                <w:lang w:eastAsia="en-GB"/>
                <w14:ligatures w14:val="none"/>
              </w:rPr>
            </w:pPr>
            <w:r w:rsidRPr="00AE3EFA">
              <w:rPr>
                <w:rFonts w:ascii="Times New Roman" w:eastAsia="Times New Roman" w:hAnsi="Times New Roman" w:cs="Times New Roman"/>
                <w:b/>
                <w:bCs/>
                <w:kern w:val="0"/>
                <w:lang w:eastAsia="en-GB"/>
                <w14:ligatures w14:val="none"/>
              </w:rPr>
              <w:t>Aspect</w:t>
            </w:r>
          </w:p>
        </w:tc>
        <w:tc>
          <w:tcPr>
            <w:tcW w:w="0" w:type="auto"/>
            <w:vAlign w:val="center"/>
            <w:hideMark/>
          </w:tcPr>
          <w:p w:rsidR="00480690" w:rsidRPr="00AE3EFA" w:rsidRDefault="00480690" w:rsidP="00E002CC">
            <w:pPr>
              <w:spacing w:after="0" w:line="240" w:lineRule="auto"/>
              <w:jc w:val="center"/>
              <w:rPr>
                <w:rFonts w:ascii="Times New Roman" w:eastAsia="Times New Roman" w:hAnsi="Times New Roman" w:cs="Times New Roman"/>
                <w:b/>
                <w:bCs/>
                <w:kern w:val="0"/>
                <w:lang w:eastAsia="en-GB"/>
                <w14:ligatures w14:val="none"/>
              </w:rPr>
            </w:pPr>
            <w:r w:rsidRPr="00AE3EFA">
              <w:rPr>
                <w:rFonts w:ascii="Times New Roman" w:eastAsia="Times New Roman" w:hAnsi="Times New Roman" w:cs="Times New Roman"/>
                <w:b/>
                <w:bCs/>
                <w:kern w:val="0"/>
                <w:lang w:eastAsia="en-GB"/>
                <w14:ligatures w14:val="none"/>
              </w:rPr>
              <w:t>Definition</w:t>
            </w:r>
          </w:p>
        </w:tc>
        <w:tc>
          <w:tcPr>
            <w:tcW w:w="0" w:type="auto"/>
            <w:vAlign w:val="center"/>
            <w:hideMark/>
          </w:tcPr>
          <w:p w:rsidR="00480690" w:rsidRPr="00AE3EFA" w:rsidRDefault="00480690" w:rsidP="00E002CC">
            <w:pPr>
              <w:spacing w:after="0" w:line="240" w:lineRule="auto"/>
              <w:jc w:val="center"/>
              <w:rPr>
                <w:rFonts w:ascii="Times New Roman" w:eastAsia="Times New Roman" w:hAnsi="Times New Roman" w:cs="Times New Roman"/>
                <w:b/>
                <w:bCs/>
                <w:kern w:val="0"/>
                <w:lang w:eastAsia="en-GB"/>
                <w14:ligatures w14:val="none"/>
              </w:rPr>
            </w:pPr>
            <w:r w:rsidRPr="00AE3EFA">
              <w:rPr>
                <w:rFonts w:ascii="Times New Roman" w:eastAsia="Times New Roman" w:hAnsi="Times New Roman" w:cs="Times New Roman"/>
                <w:b/>
                <w:bCs/>
                <w:kern w:val="0"/>
                <w:lang w:eastAsia="en-GB"/>
                <w14:ligatures w14:val="none"/>
              </w:rPr>
              <w:t>Purpose</w:t>
            </w:r>
          </w:p>
        </w:tc>
        <w:tc>
          <w:tcPr>
            <w:tcW w:w="0" w:type="auto"/>
            <w:vAlign w:val="center"/>
            <w:hideMark/>
          </w:tcPr>
          <w:p w:rsidR="00480690" w:rsidRPr="00AE3EFA" w:rsidRDefault="00480690" w:rsidP="00E002CC">
            <w:pPr>
              <w:spacing w:after="0" w:line="240" w:lineRule="auto"/>
              <w:jc w:val="center"/>
              <w:rPr>
                <w:rFonts w:ascii="Times New Roman" w:eastAsia="Times New Roman" w:hAnsi="Times New Roman" w:cs="Times New Roman"/>
                <w:b/>
                <w:bCs/>
                <w:kern w:val="0"/>
                <w:lang w:eastAsia="en-GB"/>
                <w14:ligatures w14:val="none"/>
              </w:rPr>
            </w:pPr>
            <w:r w:rsidRPr="00AE3EFA">
              <w:rPr>
                <w:rFonts w:ascii="Times New Roman" w:eastAsia="Times New Roman" w:hAnsi="Times New Roman" w:cs="Times New Roman"/>
                <w:b/>
                <w:bCs/>
                <w:kern w:val="0"/>
                <w:lang w:eastAsia="en-GB"/>
                <w14:ligatures w14:val="none"/>
              </w:rPr>
              <w:t>Relationship to Research Approaches</w:t>
            </w:r>
          </w:p>
        </w:tc>
      </w:tr>
      <w:tr w:rsidR="00480690" w:rsidRPr="00AE3EFA" w:rsidTr="00E002CC">
        <w:trPr>
          <w:tblCellSpacing w:w="15" w:type="dxa"/>
        </w:trPr>
        <w:tc>
          <w:tcPr>
            <w:tcW w:w="0" w:type="auto"/>
            <w:vAlign w:val="center"/>
            <w:hideMark/>
          </w:tcPr>
          <w:p w:rsidR="00480690" w:rsidRPr="00AE3EFA" w:rsidRDefault="00480690" w:rsidP="00E002CC">
            <w:pPr>
              <w:spacing w:after="0"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b/>
                <w:bCs/>
                <w:kern w:val="0"/>
                <w:lang w:eastAsia="en-GB"/>
                <w14:ligatures w14:val="none"/>
              </w:rPr>
              <w:t>Ontology</w:t>
            </w:r>
          </w:p>
        </w:tc>
        <w:tc>
          <w:tcPr>
            <w:tcW w:w="0" w:type="auto"/>
            <w:vAlign w:val="center"/>
            <w:hideMark/>
          </w:tcPr>
          <w:p w:rsidR="00480690" w:rsidRPr="00AE3EFA" w:rsidRDefault="00480690" w:rsidP="00E002CC">
            <w:pPr>
              <w:spacing w:after="0"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kern w:val="0"/>
                <w:lang w:eastAsia="en-GB"/>
                <w14:ligatures w14:val="none"/>
              </w:rPr>
              <w:t>Nature of reality</w:t>
            </w:r>
          </w:p>
        </w:tc>
        <w:tc>
          <w:tcPr>
            <w:tcW w:w="0" w:type="auto"/>
            <w:vAlign w:val="center"/>
            <w:hideMark/>
          </w:tcPr>
          <w:p w:rsidR="00480690" w:rsidRPr="00AE3EFA" w:rsidRDefault="00480690" w:rsidP="00E002CC">
            <w:pPr>
              <w:spacing w:after="0"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kern w:val="0"/>
                <w:lang w:eastAsia="en-GB"/>
                <w14:ligatures w14:val="none"/>
              </w:rPr>
              <w:t>Defines what exists and can be studied</w:t>
            </w:r>
          </w:p>
        </w:tc>
        <w:tc>
          <w:tcPr>
            <w:tcW w:w="0" w:type="auto"/>
            <w:vAlign w:val="center"/>
            <w:hideMark/>
          </w:tcPr>
          <w:p w:rsidR="00480690" w:rsidRPr="00AE3EFA" w:rsidRDefault="00480690" w:rsidP="00E002CC">
            <w:pPr>
              <w:spacing w:after="0"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kern w:val="0"/>
                <w:lang w:eastAsia="en-GB"/>
                <w14:ligatures w14:val="none"/>
              </w:rPr>
              <w:t>Positivist: Objective reality; Constructivist: Socially constructed realities</w:t>
            </w:r>
          </w:p>
        </w:tc>
      </w:tr>
      <w:tr w:rsidR="00480690" w:rsidRPr="00AE3EFA" w:rsidTr="00E002CC">
        <w:trPr>
          <w:tblCellSpacing w:w="15" w:type="dxa"/>
        </w:trPr>
        <w:tc>
          <w:tcPr>
            <w:tcW w:w="0" w:type="auto"/>
            <w:vAlign w:val="center"/>
            <w:hideMark/>
          </w:tcPr>
          <w:p w:rsidR="00480690" w:rsidRPr="00AE3EFA" w:rsidRDefault="00480690" w:rsidP="00E002CC">
            <w:pPr>
              <w:spacing w:after="0"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b/>
                <w:bCs/>
                <w:kern w:val="0"/>
                <w:lang w:eastAsia="en-GB"/>
                <w14:ligatures w14:val="none"/>
              </w:rPr>
              <w:t>Epistemology</w:t>
            </w:r>
          </w:p>
        </w:tc>
        <w:tc>
          <w:tcPr>
            <w:tcW w:w="0" w:type="auto"/>
            <w:vAlign w:val="center"/>
            <w:hideMark/>
          </w:tcPr>
          <w:p w:rsidR="00480690" w:rsidRPr="00AE3EFA" w:rsidRDefault="00480690" w:rsidP="00E002CC">
            <w:pPr>
              <w:spacing w:after="0"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kern w:val="0"/>
                <w:lang w:eastAsia="en-GB"/>
                <w14:ligatures w14:val="none"/>
              </w:rPr>
              <w:t>Nature and source of knowledge</w:t>
            </w:r>
          </w:p>
        </w:tc>
        <w:tc>
          <w:tcPr>
            <w:tcW w:w="0" w:type="auto"/>
            <w:vAlign w:val="center"/>
            <w:hideMark/>
          </w:tcPr>
          <w:p w:rsidR="00480690" w:rsidRPr="00AE3EFA" w:rsidRDefault="00480690" w:rsidP="00E002CC">
            <w:pPr>
              <w:spacing w:after="0"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kern w:val="0"/>
                <w:lang w:eastAsia="en-GB"/>
                <w14:ligatures w14:val="none"/>
              </w:rPr>
              <w:t>Guides how knowledge is acquired and validated</w:t>
            </w:r>
          </w:p>
        </w:tc>
        <w:tc>
          <w:tcPr>
            <w:tcW w:w="0" w:type="auto"/>
            <w:vAlign w:val="center"/>
            <w:hideMark/>
          </w:tcPr>
          <w:p w:rsidR="00480690" w:rsidRPr="00AE3EFA" w:rsidRDefault="00480690" w:rsidP="00E002CC">
            <w:pPr>
              <w:spacing w:after="0"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kern w:val="0"/>
                <w:lang w:eastAsia="en-GB"/>
                <w14:ligatures w14:val="none"/>
              </w:rPr>
              <w:t>Positivist: Empirical methods; Constructivist: Interpretive approaches</w:t>
            </w:r>
          </w:p>
        </w:tc>
      </w:tr>
      <w:tr w:rsidR="00480690" w:rsidRPr="00AE3EFA" w:rsidTr="00E002CC">
        <w:trPr>
          <w:tblCellSpacing w:w="15" w:type="dxa"/>
        </w:trPr>
        <w:tc>
          <w:tcPr>
            <w:tcW w:w="0" w:type="auto"/>
            <w:vAlign w:val="center"/>
            <w:hideMark/>
          </w:tcPr>
          <w:p w:rsidR="00480690" w:rsidRPr="00AE3EFA" w:rsidRDefault="00480690" w:rsidP="00E002CC">
            <w:pPr>
              <w:spacing w:after="0"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b/>
                <w:bCs/>
                <w:kern w:val="0"/>
                <w:lang w:eastAsia="en-GB"/>
                <w14:ligatures w14:val="none"/>
              </w:rPr>
              <w:t>Axiology</w:t>
            </w:r>
          </w:p>
        </w:tc>
        <w:tc>
          <w:tcPr>
            <w:tcW w:w="0" w:type="auto"/>
            <w:vAlign w:val="center"/>
            <w:hideMark/>
          </w:tcPr>
          <w:p w:rsidR="00480690" w:rsidRPr="00AE3EFA" w:rsidRDefault="00480690" w:rsidP="00E002CC">
            <w:pPr>
              <w:spacing w:after="0"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kern w:val="0"/>
                <w:lang w:eastAsia="en-GB"/>
                <w14:ligatures w14:val="none"/>
              </w:rPr>
              <w:t>Values and ethics influencing research</w:t>
            </w:r>
          </w:p>
        </w:tc>
        <w:tc>
          <w:tcPr>
            <w:tcW w:w="0" w:type="auto"/>
            <w:vAlign w:val="center"/>
            <w:hideMark/>
          </w:tcPr>
          <w:p w:rsidR="00480690" w:rsidRPr="00AE3EFA" w:rsidRDefault="00480690" w:rsidP="00E002CC">
            <w:pPr>
              <w:spacing w:after="0"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kern w:val="0"/>
                <w:lang w:eastAsia="en-GB"/>
                <w14:ligatures w14:val="none"/>
              </w:rPr>
              <w:t>Determines priorities and ethical considerations</w:t>
            </w:r>
          </w:p>
        </w:tc>
        <w:tc>
          <w:tcPr>
            <w:tcW w:w="0" w:type="auto"/>
            <w:vAlign w:val="center"/>
            <w:hideMark/>
          </w:tcPr>
          <w:p w:rsidR="00480690" w:rsidRPr="00AE3EFA" w:rsidRDefault="00480690" w:rsidP="00E002CC">
            <w:pPr>
              <w:spacing w:after="0" w:line="240" w:lineRule="auto"/>
              <w:rPr>
                <w:rFonts w:ascii="Times New Roman" w:eastAsia="Times New Roman" w:hAnsi="Times New Roman" w:cs="Times New Roman"/>
                <w:kern w:val="0"/>
                <w:lang w:eastAsia="en-GB"/>
                <w14:ligatures w14:val="none"/>
              </w:rPr>
            </w:pPr>
            <w:r w:rsidRPr="00AE3EFA">
              <w:rPr>
                <w:rFonts w:ascii="Times New Roman" w:eastAsia="Times New Roman" w:hAnsi="Times New Roman" w:cs="Times New Roman"/>
                <w:kern w:val="0"/>
                <w:lang w:eastAsia="en-GB"/>
                <w14:ligatures w14:val="none"/>
              </w:rPr>
              <w:t>Equity-driven: Structural reforms; Outcome-driven: Measurable improvements</w:t>
            </w:r>
          </w:p>
        </w:tc>
      </w:tr>
    </w:tbl>
    <w:p w:rsidR="00480690" w:rsidRDefault="00480690" w:rsidP="008C3E3C">
      <w:pPr>
        <w:rPr>
          <w:rFonts w:cstheme="minorHAnsi"/>
          <w:color w:val="7030A0"/>
        </w:rPr>
      </w:pPr>
    </w:p>
    <w:p w:rsidR="00480690" w:rsidRDefault="00480690" w:rsidP="008C3E3C">
      <w:pPr>
        <w:rPr>
          <w:rFonts w:cstheme="minorHAnsi"/>
          <w:color w:val="7030A0"/>
        </w:rPr>
      </w:pPr>
    </w:p>
    <w:p w:rsidR="00AA2A9A" w:rsidRPr="00AA2A9A" w:rsidRDefault="00AA2A9A" w:rsidP="00AA2A9A">
      <w:pPr>
        <w:rPr>
          <w:rFonts w:cstheme="minorHAnsi"/>
          <w:color w:val="002060"/>
        </w:rPr>
      </w:pPr>
      <w:r w:rsidRPr="00AA2A9A">
        <w:rPr>
          <w:rFonts w:cstheme="minorHAnsi"/>
          <w:color w:val="002060"/>
        </w:rPr>
        <w:t xml:space="preserve">Ontology, epistemology, and axiology are foundational in ensuring research yields accurate and actionable findings. Ontology addresses the nature of reality and being, defining what researchers consider to exist and be knowable. Epistemology focuses on the nature of </w:t>
      </w:r>
      <w:r w:rsidRPr="00AA2A9A">
        <w:rPr>
          <w:rFonts w:cstheme="minorHAnsi"/>
          <w:color w:val="002060"/>
        </w:rPr>
        <w:lastRenderedPageBreak/>
        <w:t>knowledge, including how it is acquired and validated. Axiology considers the values and ethics influencing research, shaping what is prioritized and how findings are interpreted. These three elements influence every aspect of research, from the framing of questions to the interpretation of data.</w:t>
      </w:r>
    </w:p>
    <w:p w:rsidR="00AA2A9A" w:rsidRPr="00AA2A9A" w:rsidRDefault="00AA2A9A" w:rsidP="00AA2A9A">
      <w:pPr>
        <w:rPr>
          <w:rFonts w:cstheme="minorHAnsi"/>
          <w:color w:val="002060"/>
        </w:rPr>
      </w:pPr>
      <w:r w:rsidRPr="00AA2A9A">
        <w:rPr>
          <w:rFonts w:cstheme="minorHAnsi"/>
          <w:color w:val="002060"/>
        </w:rPr>
        <w:t>Different ontological perspectives, such as positivism and constructivism, provide contrasting views of reality. Positivism assumes that reality is objective and independent of human perception, aligning with quantitative methods and deductive reasoning. Constructivism views reality as socially constructed, aligning with qualitative methods and inductive reasoning. The choice of ontology impacts how researchers frame problems and determine what constitutes valid data. Misalignment between ontology, methodology, and methods can lead to findings that lack coherence or fail to address the research problem effectively.</w:t>
      </w:r>
    </w:p>
    <w:p w:rsidR="00AA2A9A" w:rsidRPr="00AA2A9A" w:rsidRDefault="00AA2A9A" w:rsidP="00AA2A9A">
      <w:pPr>
        <w:rPr>
          <w:rFonts w:cstheme="minorHAnsi"/>
          <w:color w:val="002060"/>
        </w:rPr>
      </w:pPr>
      <w:r w:rsidRPr="00AA2A9A">
        <w:rPr>
          <w:rFonts w:cstheme="minorHAnsi"/>
          <w:color w:val="002060"/>
        </w:rPr>
        <w:t xml:space="preserve">Epistemology connects directly to methodology. Positivist epistemologies prioritize empirical observation and measurable outcomes, </w:t>
      </w:r>
      <w:proofErr w:type="spellStart"/>
      <w:r w:rsidRPr="00AA2A9A">
        <w:rPr>
          <w:rFonts w:cstheme="minorHAnsi"/>
          <w:color w:val="002060"/>
        </w:rPr>
        <w:t>favoring</w:t>
      </w:r>
      <w:proofErr w:type="spellEnd"/>
      <w:r w:rsidRPr="00AA2A9A">
        <w:rPr>
          <w:rFonts w:cstheme="minorHAnsi"/>
          <w:color w:val="002060"/>
        </w:rPr>
        <w:t xml:space="preserve"> statistical and experimental methods. Constructivist epistemologies focus on subjective experiences and interpretive frameworks, emphasizing themes and patterns over measurable variables. Axiology further shapes research by determining what is valued—whether economic outcomes, individual experiences, or structural critiques take precedence.</w:t>
      </w:r>
    </w:p>
    <w:p w:rsidR="00AA2A9A" w:rsidRPr="00AA2A9A" w:rsidRDefault="00AA2A9A" w:rsidP="00AA2A9A">
      <w:pPr>
        <w:rPr>
          <w:rFonts w:cstheme="minorHAnsi"/>
          <w:color w:val="002060"/>
        </w:rPr>
      </w:pPr>
      <w:r w:rsidRPr="00AA2A9A">
        <w:rPr>
          <w:rFonts w:cstheme="minorHAnsi"/>
          <w:color w:val="002060"/>
        </w:rPr>
        <w:t xml:space="preserve">Alignment between these elements is essential. For instance, a constructivist ontology paired with a </w:t>
      </w:r>
      <w:proofErr w:type="gramStart"/>
      <w:r w:rsidRPr="00AA2A9A">
        <w:rPr>
          <w:rFonts w:cstheme="minorHAnsi"/>
          <w:color w:val="002060"/>
        </w:rPr>
        <w:t>positivist methodology risks</w:t>
      </w:r>
      <w:proofErr w:type="gramEnd"/>
      <w:r w:rsidRPr="00AA2A9A">
        <w:rPr>
          <w:rFonts w:cstheme="minorHAnsi"/>
          <w:color w:val="002060"/>
        </w:rPr>
        <w:t xml:space="preserve"> undermining the depth of interpretive insights. Conversely, a positivist approach combined with qualitative methods might fail to provide the objective data expected by the chosen framework. Each approach has strengths and weaknesses. Positivism allows for generalizability and replicability but may overlook individual nuances. Constructivism provides rich, contextual insights but may lack scalability or broader applicability.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4"/>
        <w:gridCol w:w="1748"/>
        <w:gridCol w:w="2499"/>
        <w:gridCol w:w="3365"/>
      </w:tblGrid>
      <w:tr w:rsidR="00480690" w:rsidRPr="00480690" w:rsidTr="00AA2A9A">
        <w:trPr>
          <w:tblCellSpacing w:w="15" w:type="dxa"/>
        </w:trPr>
        <w:tc>
          <w:tcPr>
            <w:tcW w:w="0" w:type="auto"/>
            <w:vAlign w:val="center"/>
            <w:hideMark/>
          </w:tcPr>
          <w:p w:rsidR="00AA2A9A" w:rsidRPr="00AA2A9A" w:rsidRDefault="00AA2A9A" w:rsidP="00AA2A9A">
            <w:pPr>
              <w:rPr>
                <w:rFonts w:cstheme="minorHAnsi"/>
                <w:b/>
                <w:bCs/>
                <w:color w:val="002060"/>
              </w:rPr>
            </w:pPr>
            <w:r w:rsidRPr="00AA2A9A">
              <w:rPr>
                <w:rFonts w:cstheme="minorHAnsi"/>
                <w:b/>
                <w:bCs/>
                <w:color w:val="002060"/>
              </w:rPr>
              <w:t>Category</w:t>
            </w:r>
          </w:p>
        </w:tc>
        <w:tc>
          <w:tcPr>
            <w:tcW w:w="0" w:type="auto"/>
            <w:vAlign w:val="center"/>
            <w:hideMark/>
          </w:tcPr>
          <w:p w:rsidR="00AA2A9A" w:rsidRPr="00AA2A9A" w:rsidRDefault="00AA2A9A" w:rsidP="00AA2A9A">
            <w:pPr>
              <w:rPr>
                <w:rFonts w:cstheme="minorHAnsi"/>
                <w:b/>
                <w:bCs/>
                <w:color w:val="002060"/>
              </w:rPr>
            </w:pPr>
            <w:r w:rsidRPr="00AA2A9A">
              <w:rPr>
                <w:rFonts w:cstheme="minorHAnsi"/>
                <w:b/>
                <w:bCs/>
                <w:color w:val="002060"/>
              </w:rPr>
              <w:t>Definition</w:t>
            </w:r>
          </w:p>
        </w:tc>
        <w:tc>
          <w:tcPr>
            <w:tcW w:w="0" w:type="auto"/>
            <w:vAlign w:val="center"/>
            <w:hideMark/>
          </w:tcPr>
          <w:p w:rsidR="00AA2A9A" w:rsidRPr="00AA2A9A" w:rsidRDefault="00AA2A9A" w:rsidP="00AA2A9A">
            <w:pPr>
              <w:rPr>
                <w:rFonts w:cstheme="minorHAnsi"/>
                <w:b/>
                <w:bCs/>
                <w:color w:val="002060"/>
              </w:rPr>
            </w:pPr>
            <w:r w:rsidRPr="00AA2A9A">
              <w:rPr>
                <w:rFonts w:cstheme="minorHAnsi"/>
                <w:b/>
                <w:bCs/>
                <w:color w:val="002060"/>
              </w:rPr>
              <w:t>Purpose</w:t>
            </w:r>
          </w:p>
        </w:tc>
        <w:tc>
          <w:tcPr>
            <w:tcW w:w="0" w:type="auto"/>
            <w:vAlign w:val="center"/>
            <w:hideMark/>
          </w:tcPr>
          <w:p w:rsidR="00AA2A9A" w:rsidRPr="00AA2A9A" w:rsidRDefault="00AA2A9A" w:rsidP="00AA2A9A">
            <w:pPr>
              <w:rPr>
                <w:rFonts w:cstheme="minorHAnsi"/>
                <w:b/>
                <w:bCs/>
                <w:color w:val="002060"/>
              </w:rPr>
            </w:pPr>
            <w:r w:rsidRPr="00AA2A9A">
              <w:rPr>
                <w:rFonts w:cstheme="minorHAnsi"/>
                <w:b/>
                <w:bCs/>
                <w:color w:val="002060"/>
              </w:rPr>
              <w:t>Relationship to Research Approaches</w:t>
            </w:r>
          </w:p>
        </w:tc>
      </w:tr>
      <w:tr w:rsidR="00480690" w:rsidRPr="00480690" w:rsidTr="00AA2A9A">
        <w:trPr>
          <w:tblCellSpacing w:w="15" w:type="dxa"/>
        </w:trPr>
        <w:tc>
          <w:tcPr>
            <w:tcW w:w="0" w:type="auto"/>
            <w:vAlign w:val="center"/>
            <w:hideMark/>
          </w:tcPr>
          <w:p w:rsidR="00AA2A9A" w:rsidRPr="00AA2A9A" w:rsidRDefault="00AA2A9A" w:rsidP="00AA2A9A">
            <w:pPr>
              <w:rPr>
                <w:rFonts w:cstheme="minorHAnsi"/>
                <w:color w:val="002060"/>
              </w:rPr>
            </w:pPr>
            <w:r w:rsidRPr="00AA2A9A">
              <w:rPr>
                <w:rFonts w:cstheme="minorHAnsi"/>
                <w:b/>
                <w:bCs/>
                <w:color w:val="002060"/>
              </w:rPr>
              <w:t>Ontology</w:t>
            </w:r>
          </w:p>
        </w:tc>
        <w:tc>
          <w:tcPr>
            <w:tcW w:w="0" w:type="auto"/>
            <w:vAlign w:val="center"/>
            <w:hideMark/>
          </w:tcPr>
          <w:p w:rsidR="00AA2A9A" w:rsidRPr="00AA2A9A" w:rsidRDefault="00AA2A9A" w:rsidP="00AA2A9A">
            <w:pPr>
              <w:rPr>
                <w:rFonts w:cstheme="minorHAnsi"/>
                <w:color w:val="002060"/>
              </w:rPr>
            </w:pPr>
            <w:r w:rsidRPr="00AA2A9A">
              <w:rPr>
                <w:rFonts w:cstheme="minorHAnsi"/>
                <w:color w:val="002060"/>
              </w:rPr>
              <w:t>Nature of reality and existence</w:t>
            </w:r>
          </w:p>
        </w:tc>
        <w:tc>
          <w:tcPr>
            <w:tcW w:w="0" w:type="auto"/>
            <w:vAlign w:val="center"/>
            <w:hideMark/>
          </w:tcPr>
          <w:p w:rsidR="00AA2A9A" w:rsidRPr="00AA2A9A" w:rsidRDefault="00AA2A9A" w:rsidP="00AA2A9A">
            <w:pPr>
              <w:rPr>
                <w:rFonts w:cstheme="minorHAnsi"/>
                <w:color w:val="002060"/>
              </w:rPr>
            </w:pPr>
            <w:r w:rsidRPr="00AA2A9A">
              <w:rPr>
                <w:rFonts w:cstheme="minorHAnsi"/>
                <w:color w:val="002060"/>
              </w:rPr>
              <w:t>Defines what is real and what can be studied</w:t>
            </w:r>
          </w:p>
        </w:tc>
        <w:tc>
          <w:tcPr>
            <w:tcW w:w="0" w:type="auto"/>
            <w:vAlign w:val="center"/>
            <w:hideMark/>
          </w:tcPr>
          <w:p w:rsidR="00AA2A9A" w:rsidRPr="00AA2A9A" w:rsidRDefault="00AA2A9A" w:rsidP="00AA2A9A">
            <w:pPr>
              <w:rPr>
                <w:rFonts w:cstheme="minorHAnsi"/>
                <w:color w:val="002060"/>
              </w:rPr>
            </w:pPr>
            <w:r w:rsidRPr="00AA2A9A">
              <w:rPr>
                <w:rFonts w:cstheme="minorHAnsi"/>
                <w:color w:val="002060"/>
              </w:rPr>
              <w:t>Positivist: Reality is objective; Constructivist: Reality is socially constructed</w:t>
            </w:r>
          </w:p>
        </w:tc>
      </w:tr>
      <w:tr w:rsidR="00480690" w:rsidRPr="00480690" w:rsidTr="00AA2A9A">
        <w:trPr>
          <w:tblCellSpacing w:w="15" w:type="dxa"/>
        </w:trPr>
        <w:tc>
          <w:tcPr>
            <w:tcW w:w="0" w:type="auto"/>
            <w:vAlign w:val="center"/>
            <w:hideMark/>
          </w:tcPr>
          <w:p w:rsidR="00AA2A9A" w:rsidRPr="00AA2A9A" w:rsidRDefault="00AA2A9A" w:rsidP="00AA2A9A">
            <w:pPr>
              <w:rPr>
                <w:rFonts w:cstheme="minorHAnsi"/>
                <w:color w:val="002060"/>
              </w:rPr>
            </w:pPr>
            <w:r w:rsidRPr="00AA2A9A">
              <w:rPr>
                <w:rFonts w:cstheme="minorHAnsi"/>
                <w:b/>
                <w:bCs/>
                <w:color w:val="002060"/>
              </w:rPr>
              <w:t>Epistemology</w:t>
            </w:r>
          </w:p>
        </w:tc>
        <w:tc>
          <w:tcPr>
            <w:tcW w:w="0" w:type="auto"/>
            <w:vAlign w:val="center"/>
            <w:hideMark/>
          </w:tcPr>
          <w:p w:rsidR="00AA2A9A" w:rsidRPr="00AA2A9A" w:rsidRDefault="00AA2A9A" w:rsidP="00AA2A9A">
            <w:pPr>
              <w:rPr>
                <w:rFonts w:cstheme="minorHAnsi"/>
                <w:color w:val="002060"/>
              </w:rPr>
            </w:pPr>
            <w:r w:rsidRPr="00AA2A9A">
              <w:rPr>
                <w:rFonts w:cstheme="minorHAnsi"/>
                <w:color w:val="002060"/>
              </w:rPr>
              <w:t>Nature and source of knowledge</w:t>
            </w:r>
          </w:p>
        </w:tc>
        <w:tc>
          <w:tcPr>
            <w:tcW w:w="0" w:type="auto"/>
            <w:vAlign w:val="center"/>
            <w:hideMark/>
          </w:tcPr>
          <w:p w:rsidR="00AA2A9A" w:rsidRPr="00AA2A9A" w:rsidRDefault="00AA2A9A" w:rsidP="00AA2A9A">
            <w:pPr>
              <w:rPr>
                <w:rFonts w:cstheme="minorHAnsi"/>
                <w:color w:val="002060"/>
              </w:rPr>
            </w:pPr>
            <w:r w:rsidRPr="00AA2A9A">
              <w:rPr>
                <w:rFonts w:cstheme="minorHAnsi"/>
                <w:color w:val="002060"/>
              </w:rPr>
              <w:t>Guides how knowledge is acquired and validated</w:t>
            </w:r>
          </w:p>
        </w:tc>
        <w:tc>
          <w:tcPr>
            <w:tcW w:w="0" w:type="auto"/>
            <w:vAlign w:val="center"/>
            <w:hideMark/>
          </w:tcPr>
          <w:p w:rsidR="00AA2A9A" w:rsidRPr="00AA2A9A" w:rsidRDefault="00AA2A9A" w:rsidP="00AA2A9A">
            <w:pPr>
              <w:rPr>
                <w:rFonts w:cstheme="minorHAnsi"/>
                <w:color w:val="002060"/>
              </w:rPr>
            </w:pPr>
            <w:r w:rsidRPr="00AA2A9A">
              <w:rPr>
                <w:rFonts w:cstheme="minorHAnsi"/>
                <w:color w:val="002060"/>
              </w:rPr>
              <w:t>Positivist: Empirical methods; Constructivist: Interpretive methods</w:t>
            </w:r>
          </w:p>
        </w:tc>
      </w:tr>
      <w:tr w:rsidR="00480690" w:rsidRPr="00480690" w:rsidTr="00AA2A9A">
        <w:trPr>
          <w:tblCellSpacing w:w="15" w:type="dxa"/>
        </w:trPr>
        <w:tc>
          <w:tcPr>
            <w:tcW w:w="0" w:type="auto"/>
            <w:vAlign w:val="center"/>
            <w:hideMark/>
          </w:tcPr>
          <w:p w:rsidR="00AA2A9A" w:rsidRPr="00AA2A9A" w:rsidRDefault="00AA2A9A" w:rsidP="00AA2A9A">
            <w:pPr>
              <w:rPr>
                <w:rFonts w:cstheme="minorHAnsi"/>
                <w:color w:val="002060"/>
              </w:rPr>
            </w:pPr>
            <w:r w:rsidRPr="00AA2A9A">
              <w:rPr>
                <w:rFonts w:cstheme="minorHAnsi"/>
                <w:b/>
                <w:bCs/>
                <w:color w:val="002060"/>
              </w:rPr>
              <w:t>Axiology</w:t>
            </w:r>
          </w:p>
        </w:tc>
        <w:tc>
          <w:tcPr>
            <w:tcW w:w="0" w:type="auto"/>
            <w:vAlign w:val="center"/>
            <w:hideMark/>
          </w:tcPr>
          <w:p w:rsidR="00AA2A9A" w:rsidRPr="00AA2A9A" w:rsidRDefault="00AA2A9A" w:rsidP="00AA2A9A">
            <w:pPr>
              <w:rPr>
                <w:rFonts w:cstheme="minorHAnsi"/>
                <w:color w:val="002060"/>
              </w:rPr>
            </w:pPr>
            <w:r w:rsidRPr="00AA2A9A">
              <w:rPr>
                <w:rFonts w:cstheme="minorHAnsi"/>
                <w:color w:val="002060"/>
              </w:rPr>
              <w:t>Values and ethics influencing research</w:t>
            </w:r>
          </w:p>
        </w:tc>
        <w:tc>
          <w:tcPr>
            <w:tcW w:w="0" w:type="auto"/>
            <w:vAlign w:val="center"/>
            <w:hideMark/>
          </w:tcPr>
          <w:p w:rsidR="00AA2A9A" w:rsidRPr="00AA2A9A" w:rsidRDefault="00AA2A9A" w:rsidP="00AA2A9A">
            <w:pPr>
              <w:rPr>
                <w:rFonts w:cstheme="minorHAnsi"/>
                <w:color w:val="002060"/>
              </w:rPr>
            </w:pPr>
            <w:r w:rsidRPr="00AA2A9A">
              <w:rPr>
                <w:rFonts w:cstheme="minorHAnsi"/>
                <w:color w:val="002060"/>
              </w:rPr>
              <w:t>Determines priorities and ethical considerations in research</w:t>
            </w:r>
          </w:p>
        </w:tc>
        <w:tc>
          <w:tcPr>
            <w:tcW w:w="0" w:type="auto"/>
            <w:vAlign w:val="center"/>
            <w:hideMark/>
          </w:tcPr>
          <w:p w:rsidR="00AA2A9A" w:rsidRPr="00AA2A9A" w:rsidRDefault="00AA2A9A" w:rsidP="00AA2A9A">
            <w:pPr>
              <w:rPr>
                <w:rFonts w:cstheme="minorHAnsi"/>
                <w:color w:val="002060"/>
              </w:rPr>
            </w:pPr>
            <w:r w:rsidRPr="00AA2A9A">
              <w:rPr>
                <w:rFonts w:cstheme="minorHAnsi"/>
                <w:color w:val="002060"/>
              </w:rPr>
              <w:t>Positivist: Focus on outcomes and measurability; Constructivist: Focus on experiences and context</w:t>
            </w:r>
          </w:p>
        </w:tc>
      </w:tr>
    </w:tbl>
    <w:p w:rsidR="00AA2A9A" w:rsidRPr="00AA2A9A" w:rsidRDefault="00AA2A9A" w:rsidP="00AA2A9A">
      <w:pPr>
        <w:rPr>
          <w:rFonts w:cstheme="minorHAnsi"/>
          <w:color w:val="002060"/>
        </w:rPr>
      </w:pPr>
      <w:r w:rsidRPr="00AA2A9A">
        <w:rPr>
          <w:rFonts w:cstheme="minorHAnsi"/>
          <w:color w:val="002060"/>
        </w:rPr>
        <w:lastRenderedPageBreak/>
        <w:t>This foundation ensures research on SES in higher education remains aligned with its goals, producing findings that are both meaningful and methodologically sound.</w:t>
      </w:r>
    </w:p>
    <w:p w:rsidR="00AA2A9A" w:rsidRPr="008C3E3C" w:rsidRDefault="00AA2A9A" w:rsidP="008C3E3C">
      <w:pPr>
        <w:rPr>
          <w:rFonts w:cstheme="minorHAnsi"/>
          <w:color w:val="7030A0"/>
        </w:rPr>
      </w:pPr>
    </w:p>
    <w:p w:rsidR="008C3E3C" w:rsidRDefault="008C3E3C" w:rsidP="008C3E3C">
      <w:pPr>
        <w:rPr>
          <w:rFonts w:cstheme="minorHAnsi"/>
          <w:color w:val="7030A0"/>
        </w:rPr>
      </w:pPr>
      <w:r w:rsidRPr="008C3E3C">
        <w:rPr>
          <w:rFonts w:cstheme="minorHAnsi"/>
          <w:color w:val="7030A0"/>
        </w:rPr>
        <w:t>Briefly describe the scope and focus of my literature review. (Narrative Literature Review).</w:t>
      </w:r>
    </w:p>
    <w:p w:rsidR="008C3E3C" w:rsidRPr="008C3E3C" w:rsidRDefault="008C3E3C" w:rsidP="008C3E3C">
      <w:pPr>
        <w:rPr>
          <w:rFonts w:cstheme="minorHAnsi"/>
          <w:color w:val="000000" w:themeColor="text1"/>
        </w:rPr>
      </w:pPr>
      <w:r w:rsidRPr="008C3E3C">
        <w:rPr>
          <w:rFonts w:cstheme="minorHAnsi"/>
          <w:color w:val="000000" w:themeColor="text1"/>
        </w:rPr>
        <w:t>Socioeconomic status (SES) plays a pivotal role in shaping outcomes within higher education. Research indicates that students from lower-income backgrounds face systemic barriers to access, integration, retention, and long-term opportunities. These challenges are not isolated to admissions but persist throughout the academic and post-graduation journey. This literature review examines ten significant studies that explore the role of SES in higher education through various lenses, offering diverse methodologies and frameworks to address this pressing issue.</w:t>
      </w:r>
    </w:p>
    <w:p w:rsidR="008C3E3C" w:rsidRPr="008C3E3C" w:rsidRDefault="008C3E3C" w:rsidP="008C3E3C">
      <w:pPr>
        <w:rPr>
          <w:rFonts w:cstheme="minorHAnsi"/>
          <w:color w:val="000000" w:themeColor="text1"/>
        </w:rPr>
      </w:pPr>
      <w:r w:rsidRPr="008C3E3C">
        <w:rPr>
          <w:rFonts w:cstheme="minorHAnsi"/>
          <w:color w:val="000000" w:themeColor="text1"/>
        </w:rPr>
        <w:t>The disparity in access to higher education is well-documented. Financial limitations, early academic tracking, and institutional biases disproportionately affect students from low-SES backgrounds. Studies such as those by Britton et al. and Mateos-González and Wakeling provide quantitative insights into these barriers, focusing on enrolment trends and economic returns. However, these analyses often omit the nuanced lived experiences of affected students, which are central to works like Reay’s, where qualitative methods highlight structural inequities and psychological barriers.</w:t>
      </w:r>
    </w:p>
    <w:p w:rsidR="008C3E3C" w:rsidRPr="008C3E3C" w:rsidRDefault="008C3E3C" w:rsidP="008C3E3C">
      <w:pPr>
        <w:rPr>
          <w:rFonts w:cstheme="minorHAnsi"/>
          <w:color w:val="000000" w:themeColor="text1"/>
        </w:rPr>
      </w:pPr>
      <w:r w:rsidRPr="008C3E3C">
        <w:rPr>
          <w:rFonts w:cstheme="minorHAnsi"/>
          <w:color w:val="000000" w:themeColor="text1"/>
        </w:rPr>
        <w:t>Once admitted, integration into academic and social environments presents further hurdles for low-SES students. Cultural capital, or the familiarity with norms and expectations prevalent in higher education, is often limited among this group. Ahn and Davis suggest that fostering engagement can mitigate feelings of isolation, yet their quantitative focus contrasts with the more systemic critiques provided by Reay and Cunningham. These works argue that without addressing structural inequities, attempts to improve engagement remain superficial.</w:t>
      </w:r>
    </w:p>
    <w:p w:rsidR="008C3E3C" w:rsidRPr="008C3E3C" w:rsidRDefault="008C3E3C" w:rsidP="008C3E3C">
      <w:pPr>
        <w:rPr>
          <w:rFonts w:cstheme="minorHAnsi"/>
          <w:color w:val="000000" w:themeColor="text1"/>
        </w:rPr>
      </w:pPr>
      <w:r w:rsidRPr="008C3E3C">
        <w:rPr>
          <w:rFonts w:cstheme="minorHAnsi"/>
          <w:color w:val="000000" w:themeColor="text1"/>
        </w:rPr>
        <w:t>Financial barriers remain a significant determinant of both access and retention. Studies like those by Bakour identify targeted interventions, such as financial aid and mentorship programs, as effective measures to reduce barriers. In contrast, Aina et al. emphasize the broader systemic challenges, such as balancing academic demands with financial constraints, which are not resolved by interventions alone. This divergence highlights ongoing debates regarding the effectiveness of addressing immediate needs versus implementing long-term systemic reforms.</w:t>
      </w:r>
    </w:p>
    <w:p w:rsidR="008C3E3C" w:rsidRPr="008C3E3C" w:rsidRDefault="008C3E3C" w:rsidP="008C3E3C">
      <w:pPr>
        <w:rPr>
          <w:rFonts w:cstheme="minorHAnsi"/>
          <w:color w:val="000000" w:themeColor="text1"/>
        </w:rPr>
      </w:pPr>
      <w:r w:rsidRPr="008C3E3C">
        <w:rPr>
          <w:rFonts w:cstheme="minorHAnsi"/>
          <w:color w:val="000000" w:themeColor="text1"/>
        </w:rPr>
        <w:t>Policy efforts to widen participation have achieved mixed outcomes. While some initiatives show promise in improving access, critiques such as those by Cunningham and Samson suggest that many policies reinforce existing inequities rather than dismantling them. These critiques are grounded in the broader discussion of neoliberal meritocracy, where market-driven priorities shape institutional practices at the expense of equity.</w:t>
      </w:r>
    </w:p>
    <w:p w:rsidR="008C3E3C" w:rsidRPr="008C3E3C" w:rsidRDefault="008C3E3C" w:rsidP="008C3E3C">
      <w:pPr>
        <w:rPr>
          <w:rFonts w:cstheme="minorHAnsi"/>
          <w:color w:val="000000" w:themeColor="text1"/>
        </w:rPr>
      </w:pPr>
      <w:r w:rsidRPr="008C3E3C">
        <w:rPr>
          <w:rFonts w:cstheme="minorHAnsi"/>
          <w:color w:val="000000" w:themeColor="text1"/>
        </w:rPr>
        <w:lastRenderedPageBreak/>
        <w:t>The impact of SES extends beyond the university experience, influencing access to postgraduate education and career opportunities. Higher-income graduates are more likely to secure advanced degrees and higher-paying roles, as documented by Mateos-González and Wakeling, while low-SES graduates face systemic barriers in both employment and career progression. These findings challenge the notion of higher education as an equalizer, instead pointing to persistent structural disparities.</w:t>
      </w:r>
    </w:p>
    <w:p w:rsidR="008C3E3C" w:rsidRPr="008C3E3C" w:rsidRDefault="008C3E3C" w:rsidP="008C3E3C">
      <w:pPr>
        <w:rPr>
          <w:rFonts w:cstheme="minorHAnsi"/>
          <w:color w:val="000000" w:themeColor="text1"/>
        </w:rPr>
      </w:pPr>
      <w:r w:rsidRPr="008C3E3C">
        <w:rPr>
          <w:rFonts w:cstheme="minorHAnsi"/>
          <w:color w:val="000000" w:themeColor="text1"/>
        </w:rPr>
        <w:t>This review highlights the multifaceted relationship between SES and higher education, with studies differing in their methodological approaches, ontological assumptions, and epistemological frameworks. Quantitative research provides critical data on trends and outcomes, while qualitative studies offer depth by capturing individual experiences. Bridging these approaches and addressing contradictions in findings are crucial for developing effective strategies to ensure equitable access and outcomes for all students.</w:t>
      </w:r>
    </w:p>
    <w:p w:rsidR="008C3E3C" w:rsidRDefault="008C3E3C" w:rsidP="008C3E3C">
      <w:pPr>
        <w:rPr>
          <w:rFonts w:cstheme="minorHAnsi"/>
          <w:color w:val="7030A0"/>
        </w:rPr>
      </w:pPr>
    </w:p>
    <w:p w:rsidR="008C3E3C" w:rsidRDefault="008C3E3C" w:rsidP="008C3E3C">
      <w:pPr>
        <w:rPr>
          <w:rFonts w:cstheme="minorHAnsi"/>
          <w:b/>
          <w:bCs/>
          <w:color w:val="000000" w:themeColor="text1"/>
        </w:rPr>
      </w:pPr>
      <w:r w:rsidRPr="008C3E3C">
        <w:rPr>
          <w:rFonts w:cstheme="minorHAnsi"/>
          <w:b/>
          <w:bCs/>
          <w:color w:val="000000" w:themeColor="text1"/>
        </w:rPr>
        <w:t>Search Methodology</w:t>
      </w:r>
    </w:p>
    <w:p w:rsidR="00C61E9C" w:rsidRPr="00C61E9C" w:rsidRDefault="00C61E9C" w:rsidP="00C61E9C">
      <w:pPr>
        <w:rPr>
          <w:rFonts w:cstheme="minorHAnsi"/>
          <w:color w:val="000000" w:themeColor="text1"/>
        </w:rPr>
      </w:pPr>
      <w:r w:rsidRPr="00C61E9C">
        <w:rPr>
          <w:rFonts w:cstheme="minorHAnsi"/>
          <w:color w:val="000000" w:themeColor="text1"/>
        </w:rPr>
        <w:t>The impact of socioeconomic status on access to and success within UK higher education institutions was examined through a systematic search strategy. Google Scholar was employed as a primary tool, using Boolean operators to combine terms like "socioeconomic status," "higher education," "UK," "access," and "retention." Advanced search features filtered results to include only sources published within the last five years to ensure relevance. Journals accessed included platforms such as Springer, Taylor &amp; Francis, and Sage to locate peer-reviewed materials and reports.</w:t>
      </w:r>
    </w:p>
    <w:p w:rsidR="00C61E9C" w:rsidRPr="00C61E9C" w:rsidRDefault="00C61E9C" w:rsidP="00C61E9C">
      <w:pPr>
        <w:rPr>
          <w:rFonts w:cstheme="minorHAnsi"/>
          <w:color w:val="000000" w:themeColor="text1"/>
        </w:rPr>
      </w:pPr>
      <w:r w:rsidRPr="00C61E9C">
        <w:rPr>
          <w:rFonts w:cstheme="minorHAnsi"/>
          <w:color w:val="000000" w:themeColor="text1"/>
        </w:rPr>
        <w:t xml:space="preserve">The University of Wales Trinity Saint David (UWTSD) library resources provided additional access to databases including </w:t>
      </w:r>
      <w:proofErr w:type="spellStart"/>
      <w:r w:rsidRPr="00C61E9C">
        <w:rPr>
          <w:rFonts w:cstheme="minorHAnsi"/>
          <w:color w:val="000000" w:themeColor="text1"/>
        </w:rPr>
        <w:t>JSTOR</w:t>
      </w:r>
      <w:proofErr w:type="spellEnd"/>
      <w:r w:rsidRPr="00C61E9C">
        <w:rPr>
          <w:rFonts w:cstheme="minorHAnsi"/>
          <w:color w:val="000000" w:themeColor="text1"/>
        </w:rPr>
        <w:t xml:space="preserve"> and ProQuest. Specialized sites like ResearchGate were searched to find emerging studies and preprints. Grey literature, including institutional analyses and policy reports, was considered where peer-reviewed sources were unavailable. This expanded the scope to include practical perspectives on systemic and institutional challenges.</w:t>
      </w:r>
    </w:p>
    <w:p w:rsidR="00C61E9C" w:rsidRPr="00C61E9C" w:rsidRDefault="00C61E9C" w:rsidP="00C61E9C">
      <w:pPr>
        <w:rPr>
          <w:rFonts w:cstheme="minorHAnsi"/>
          <w:color w:val="000000" w:themeColor="text1"/>
        </w:rPr>
      </w:pPr>
      <w:r w:rsidRPr="00C61E9C">
        <w:rPr>
          <w:rFonts w:cstheme="minorHAnsi"/>
          <w:color w:val="000000" w:themeColor="text1"/>
        </w:rPr>
        <w:t>The search revealed a limited body of literature addressing low-SES students’ access and success in UK higher education. This scarcity required selecting studies based on their direct relevance to the research focus. By concentrating on recent and focused contributions, the chosen studies provided valuable insights into the barriers faced by low-SES students and highlighted efforts to address these issues.</w:t>
      </w:r>
    </w:p>
    <w:p w:rsidR="008C3E3C" w:rsidRDefault="008C3E3C" w:rsidP="008C3E3C">
      <w:pPr>
        <w:rPr>
          <w:rFonts w:cstheme="minorHAnsi"/>
          <w:b/>
          <w:bCs/>
          <w:color w:val="000000" w:themeColor="text1"/>
        </w:rPr>
      </w:pPr>
    </w:p>
    <w:p w:rsidR="008C3E3C" w:rsidRDefault="008C3E3C" w:rsidP="008C3E3C">
      <w:pPr>
        <w:rPr>
          <w:rFonts w:cstheme="minorHAnsi"/>
          <w:b/>
          <w:bCs/>
          <w:color w:val="000000" w:themeColor="text1"/>
        </w:rPr>
      </w:pPr>
    </w:p>
    <w:p w:rsidR="008C3E3C" w:rsidRDefault="008C3E3C" w:rsidP="008C3E3C">
      <w:pPr>
        <w:rPr>
          <w:rFonts w:cstheme="minorHAnsi"/>
          <w:b/>
          <w:bCs/>
          <w:color w:val="000000" w:themeColor="text1"/>
        </w:rPr>
      </w:pPr>
    </w:p>
    <w:p w:rsidR="008C3E3C" w:rsidRDefault="008C3E3C" w:rsidP="008C3E3C">
      <w:pPr>
        <w:rPr>
          <w:rFonts w:cstheme="minorHAnsi"/>
          <w:b/>
          <w:bCs/>
          <w:color w:val="000000" w:themeColor="text1"/>
        </w:rPr>
      </w:pPr>
    </w:p>
    <w:p w:rsidR="008C3E3C" w:rsidRDefault="008C3E3C" w:rsidP="008C3E3C">
      <w:pPr>
        <w:rPr>
          <w:rFonts w:cstheme="minorHAnsi"/>
          <w:b/>
          <w:bCs/>
          <w:color w:val="000000" w:themeColor="text1"/>
        </w:rPr>
      </w:pPr>
      <w:r>
        <w:rPr>
          <w:rFonts w:cstheme="minorHAnsi"/>
          <w:b/>
          <w:bCs/>
          <w:color w:val="000000" w:themeColor="text1"/>
        </w:rPr>
        <w:lastRenderedPageBreak/>
        <w:t>Paper I</w:t>
      </w:r>
    </w:p>
    <w:p w:rsidR="00BC487E" w:rsidRPr="00BA20A2" w:rsidRDefault="00BC487E" w:rsidP="00BC487E">
      <w:pPr>
        <w:rPr>
          <w:rFonts w:cstheme="minorHAnsi"/>
          <w:b/>
          <w:bCs/>
          <w:color w:val="000000" w:themeColor="text1"/>
        </w:rPr>
      </w:pPr>
      <w:r w:rsidRPr="00BA20A2">
        <w:rPr>
          <w:b/>
          <w:bCs/>
        </w:rPr>
        <w:t>A Critical Review of "Which University Degrees Are Best for Intergenerational Mobility?"</w:t>
      </w:r>
      <w:r w:rsidRPr="00BA20A2">
        <w:rPr>
          <w:b/>
          <w:bCs/>
        </w:rPr>
        <w:t xml:space="preserve"> </w:t>
      </w:r>
      <w:r w:rsidRPr="00BA20A2">
        <w:rPr>
          <w:rFonts w:cstheme="minorHAnsi"/>
          <w:b/>
          <w:bCs/>
          <w:color w:val="000000" w:themeColor="text1"/>
        </w:rPr>
        <w:t>Britton et al.</w:t>
      </w:r>
    </w:p>
    <w:p w:rsidR="00BC487E" w:rsidRDefault="00BC487E" w:rsidP="00BC487E">
      <w:r>
        <w:t>Content Summary (100 Words)</w:t>
      </w:r>
      <w:r>
        <w:t xml:space="preserve"> </w:t>
      </w:r>
    </w:p>
    <w:p w:rsidR="00BC487E" w:rsidRDefault="00BC487E" w:rsidP="00BC487E">
      <w:r>
        <w:t>The study by Britton, Drayton, and van der Erve (2021) investigates the impact of university courses and institutions on intergenerational mobility in England. Using the Longitudinal Education Outcomes (LEO) dataset, the authors define mobility rates by combining access rates (representation of students from low-income backgrounds) with success rates (these students' transition into the top 20% of earners by age 30). The findings highlight significant disparities in mobility rates, with less selective universities in London and high-return fields such as pharmacology, computing, and law performing well. Conversely, elite institutions like Oxford and Cambridge achieve low mobility due to minimal access for disadvantaged groups.</w:t>
      </w:r>
    </w:p>
    <w:p w:rsidR="00BC487E" w:rsidRDefault="00BC487E" w:rsidP="00BC487E"/>
    <w:p w:rsidR="00BC487E" w:rsidRDefault="00BC487E" w:rsidP="00BC487E">
      <w:r>
        <w:t>Analysis (100 Words)</w:t>
      </w:r>
    </w:p>
    <w:p w:rsidR="00BC487E" w:rsidRDefault="00BC487E" w:rsidP="00BC487E">
      <w:r>
        <w:t>Authority</w:t>
      </w:r>
    </w:p>
    <w:p w:rsidR="00BC487E" w:rsidRDefault="00BC487E" w:rsidP="00BC487E">
      <w:r>
        <w:t>The research team, affiliated with the reputable Institute for Fiscal Studies, has strong expertise in educational and economic policy analysis. The use of robust national datasets and established methodologies underpins their credibility.</w:t>
      </w:r>
    </w:p>
    <w:p w:rsidR="00BC487E" w:rsidRDefault="00BC487E" w:rsidP="00BC487E"/>
    <w:p w:rsidR="00BC487E" w:rsidRDefault="00BC487E" w:rsidP="00BC487E">
      <w:r>
        <w:t>Methodology</w:t>
      </w:r>
    </w:p>
    <w:p w:rsidR="00BC487E" w:rsidRDefault="00BC487E" w:rsidP="00BC487E">
      <w:r>
        <w:t>The study adopts a quantitative approach with a positivist epistemology, emphasizing measurable outcomes like earnings and access rates. Ontologically, it assumes that mobility outcomes are objective and systemic. Axiologically, the research focuses on equity, advocating for reforms that enhance opportunities for disadvantaged students.</w:t>
      </w:r>
    </w:p>
    <w:p w:rsidR="00BC487E" w:rsidRDefault="00BC487E" w:rsidP="00BC487E"/>
    <w:p w:rsidR="00BC487E" w:rsidRDefault="00BC487E" w:rsidP="00BC487E">
      <w:r>
        <w:t>Critical Assessment (200 Words)</w:t>
      </w:r>
    </w:p>
    <w:p w:rsidR="00BC487E" w:rsidRDefault="00BC487E" w:rsidP="00BC487E">
      <w:r>
        <w:t>Accuracy</w:t>
      </w:r>
    </w:p>
    <w:p w:rsidR="00BC487E" w:rsidRDefault="00BC487E" w:rsidP="00BC487E">
      <w:r>
        <w:t>The study is highly reliable, leveraging a robust dataset of approximately 570,000 individuals. Results align with established theories on systemic inequities in higher education. However, the reliance on Free School Meals (FSM) eligibility as a sole socioeconomic indicator omits nuanced factors such as ethnicity and disability.</w:t>
      </w:r>
    </w:p>
    <w:p w:rsidR="00BC487E" w:rsidRDefault="00BC487E" w:rsidP="00BC487E"/>
    <w:p w:rsidR="00BC487E" w:rsidRDefault="00BC487E" w:rsidP="00BC487E">
      <w:r>
        <w:lastRenderedPageBreak/>
        <w:t>Objectivity</w:t>
      </w:r>
    </w:p>
    <w:p w:rsidR="00BC487E" w:rsidRDefault="00BC487E" w:rsidP="00BC487E">
      <w:r>
        <w:t>The research primarily uses quantitative data, aiming to provide objective insights into mobility rates. However, the exclusion of qualitative perspectives limits understanding of the lived experiences of disadvantaged students. While the recommendations align with empirical evidence, the study lacks a critique of institutional cultures sustaining stratification.</w:t>
      </w:r>
    </w:p>
    <w:p w:rsidR="00BC487E" w:rsidRDefault="00BC487E" w:rsidP="00BC487E"/>
    <w:p w:rsidR="00BC487E" w:rsidRDefault="00BC487E" w:rsidP="00BC487E">
      <w:r>
        <w:t>Currency</w:t>
      </w:r>
    </w:p>
    <w:p w:rsidR="00BC487E" w:rsidRDefault="00BC487E" w:rsidP="00BC487E">
      <w:r>
        <w:t>Published in 2021, the report is current and aligns with ongoing discussions about equity in UK higher education. As policies continue evolving, periodic updates are essential to maintain relevance.</w:t>
      </w:r>
    </w:p>
    <w:p w:rsidR="00BC487E" w:rsidRDefault="00BC487E" w:rsidP="00BC487E"/>
    <w:p w:rsidR="00BC487E" w:rsidRDefault="00BC487E" w:rsidP="00BC487E">
      <w:r>
        <w:t>Coverage</w:t>
      </w:r>
    </w:p>
    <w:p w:rsidR="00BC487E" w:rsidRDefault="00BC487E" w:rsidP="00BC487E">
      <w:r>
        <w:t>The report offers in-depth coverage of mobility rates by university and subject but could expand its analysis to include intersectional factors such as gender and ethnicity.</w:t>
      </w:r>
    </w:p>
    <w:p w:rsidR="00BC487E" w:rsidRDefault="00BC487E" w:rsidP="00BC487E"/>
    <w:p w:rsidR="00BC487E" w:rsidRDefault="00BC487E" w:rsidP="00BC487E">
      <w:r>
        <w:t>Conclusion and Future Directions</w:t>
      </w:r>
    </w:p>
    <w:p w:rsidR="00BC487E" w:rsidRDefault="00BC487E" w:rsidP="00BC487E">
      <w:r>
        <w:t>The study significantly contributes to understanding intergenerational mobility in higher education. Future research should adopt mixed-methods approaches, incorporating qualitative data to explore lived experiences and intersectionality. Longitudinal analyses could also deepen insights into systemic barriers and policy impacts over time.</w:t>
      </w:r>
    </w:p>
    <w:p w:rsidR="00BC487E" w:rsidRDefault="00BC487E" w:rsidP="00BC487E"/>
    <w:p w:rsidR="00BC487E" w:rsidRPr="002004BF" w:rsidRDefault="00BC487E" w:rsidP="00BC487E">
      <w:pPr>
        <w:rPr>
          <w:b/>
          <w:bCs/>
        </w:rPr>
      </w:pPr>
      <w:r w:rsidRPr="002004BF">
        <w:rPr>
          <w:b/>
          <w:bCs/>
        </w:rPr>
        <w:t>Table Summary of Research</w:t>
      </w:r>
    </w:p>
    <w:p w:rsidR="00BC487E" w:rsidRDefault="00BC487E" w:rsidP="00BC487E">
      <w:r w:rsidRPr="00BA20A2">
        <w:rPr>
          <w:b/>
          <w:bCs/>
        </w:rPr>
        <w:t>Aspect</w:t>
      </w:r>
      <w:r w:rsidRPr="00BA20A2">
        <w:rPr>
          <w:b/>
          <w:bCs/>
        </w:rPr>
        <w:tab/>
      </w:r>
      <w:r>
        <w:tab/>
      </w:r>
      <w:r>
        <w:tab/>
      </w:r>
      <w:r w:rsidRPr="00BA20A2">
        <w:rPr>
          <w:b/>
          <w:bCs/>
        </w:rPr>
        <w:t>Details</w:t>
      </w:r>
    </w:p>
    <w:p w:rsidR="00BC487E" w:rsidRDefault="00BC487E" w:rsidP="00BC487E">
      <w:r>
        <w:t>Author:</w:t>
      </w:r>
      <w:r>
        <w:tab/>
      </w:r>
      <w:r>
        <w:tab/>
        <w:t>Britton, Drayton, and van der Erve</w:t>
      </w:r>
    </w:p>
    <w:p w:rsidR="00BC487E" w:rsidRDefault="00BC487E" w:rsidP="00BC487E">
      <w:r>
        <w:t>Publication Date</w:t>
      </w:r>
      <w:r>
        <w:tab/>
        <w:t>2021</w:t>
      </w:r>
    </w:p>
    <w:p w:rsidR="00BC487E" w:rsidRDefault="00BC487E" w:rsidP="00BC487E">
      <w:pPr>
        <w:ind w:left="2160" w:hanging="2160"/>
      </w:pPr>
      <w:r>
        <w:t>Purpose</w:t>
      </w:r>
      <w:r>
        <w:tab/>
        <w:t>To evaluate the impact of universities and subjects on intergenerational mobility</w:t>
      </w:r>
    </w:p>
    <w:p w:rsidR="00BC487E" w:rsidRDefault="00BC487E" w:rsidP="00BC487E">
      <w:r>
        <w:t>Method</w:t>
      </w:r>
      <w:r>
        <w:tab/>
      </w:r>
      <w:r>
        <w:tab/>
        <w:t>Quantitative analysis using LEO data</w:t>
      </w:r>
    </w:p>
    <w:p w:rsidR="00BC487E" w:rsidRDefault="00BC487E" w:rsidP="00BC487E">
      <w:r>
        <w:t>Sample Size</w:t>
      </w:r>
      <w:r>
        <w:tab/>
      </w:r>
      <w:r>
        <w:tab/>
        <w:t>~570,000 individuals</w:t>
      </w:r>
    </w:p>
    <w:p w:rsidR="00BC487E" w:rsidRDefault="00BC487E" w:rsidP="00BC487E">
      <w:pPr>
        <w:ind w:left="2160" w:hanging="2160"/>
      </w:pPr>
      <w:r>
        <w:t>Findings</w:t>
      </w:r>
      <w:r>
        <w:tab/>
        <w:t>Disparities in mobility rates; elite universities perform poorly due to low access rates</w:t>
      </w:r>
    </w:p>
    <w:p w:rsidR="00BC487E" w:rsidRDefault="00BC487E" w:rsidP="00BC487E">
      <w:pPr>
        <w:ind w:left="2160" w:hanging="2160"/>
      </w:pPr>
      <w:r>
        <w:lastRenderedPageBreak/>
        <w:t>Uniqueness</w:t>
      </w:r>
      <w:r>
        <w:tab/>
        <w:t>Combines access and success rates; highlights variation within institutions and subjects</w:t>
      </w:r>
    </w:p>
    <w:p w:rsidR="00BC487E" w:rsidRDefault="00BC487E" w:rsidP="00BC487E">
      <w:r>
        <w:t>Critical Reflection on Epistemology, Ontology, and Axiology</w:t>
      </w:r>
    </w:p>
    <w:p w:rsidR="00BC487E" w:rsidRDefault="00BC487E" w:rsidP="00BC487E">
      <w:r>
        <w:t>The research aligns with a positivist epistemology, emphasizing objective measurements. Ontologically, it frames social mobility as a systemic and quantifiable phenomenon. Axiologically, it advocates equity-focused reforms, prioritizing underrepresented groups. Strengths include methodological rigor and actionable recommendations. However, the lack of qualitative insights and limited intersectional analysis are key limitations.</w:t>
      </w:r>
    </w:p>
    <w:p w:rsidR="00BC487E" w:rsidRDefault="00BC487E" w:rsidP="00BC487E"/>
    <w:p w:rsidR="00BC487E" w:rsidRDefault="00BC487E" w:rsidP="00BC487E">
      <w:r>
        <w:t>Reliability, Validity, and Ethical Considerations</w:t>
      </w:r>
    </w:p>
    <w:p w:rsidR="00BC487E" w:rsidRDefault="00BC487E" w:rsidP="00BC487E">
      <w:r>
        <w:t>Reliability is supported through robust data and methods. However, the focus on FSM as a proxy for socioeconomic status affects validity. Ethical standards are well-addressed, ensuring data confidentiality and prioritizing equitable outcomes. Future studies could benefit from more inclusive socioeconomic measures and direct engagement with affected populations.</w:t>
      </w:r>
    </w:p>
    <w:p w:rsidR="00BC487E" w:rsidRDefault="00BC487E" w:rsidP="00BC487E"/>
    <w:p w:rsidR="00BC487E" w:rsidRDefault="00BC487E" w:rsidP="00BC487E">
      <w:r>
        <w:t>Synthesis and Future Research Directions</w:t>
      </w:r>
    </w:p>
    <w:p w:rsidR="00BC487E" w:rsidRDefault="00BC487E" w:rsidP="00BC487E">
      <w:r>
        <w:t>This research underscores the need for systemic reforms in higher education to enhance mobility for disadvantaged students. Integrating qualitative methods and intersectional analysis can provide a holistic understanding of systemic barriers. Expanding the scope to include international comparisons may also inform global equity strategies.</w:t>
      </w:r>
    </w:p>
    <w:p w:rsidR="00BC487E" w:rsidRPr="00BC487E" w:rsidRDefault="00BC487E" w:rsidP="008C3E3C">
      <w:pPr>
        <w:rPr>
          <w:rFonts w:cstheme="minorHAnsi"/>
          <w:color w:val="000000" w:themeColor="text1"/>
        </w:rPr>
      </w:pPr>
    </w:p>
    <w:p w:rsidR="008C3E3C" w:rsidRDefault="008C3E3C" w:rsidP="008C3E3C">
      <w:pPr>
        <w:rPr>
          <w:rFonts w:cstheme="minorHAnsi"/>
          <w:b/>
          <w:bCs/>
          <w:color w:val="000000" w:themeColor="text1"/>
        </w:rPr>
      </w:pPr>
      <w:r>
        <w:rPr>
          <w:rFonts w:cstheme="minorHAnsi"/>
          <w:b/>
          <w:bCs/>
          <w:color w:val="000000" w:themeColor="text1"/>
        </w:rPr>
        <w:t>Paper 2</w:t>
      </w:r>
    </w:p>
    <w:p w:rsidR="00BA20A2" w:rsidRPr="00BA20A2" w:rsidRDefault="00BA20A2" w:rsidP="00BA20A2">
      <w:pPr>
        <w:rPr>
          <w:b/>
          <w:bCs/>
        </w:rPr>
      </w:pPr>
      <w:r w:rsidRPr="00264193">
        <w:rPr>
          <w:b/>
          <w:bCs/>
        </w:rPr>
        <w:t>Title: A Critical Review of "Determining Factors of Access and Equity in Higher Education: A Systematic Review"</w:t>
      </w:r>
    </w:p>
    <w:p w:rsidR="00BA20A2" w:rsidRPr="00264193" w:rsidRDefault="00BA20A2" w:rsidP="00BA20A2">
      <w:pPr>
        <w:rPr>
          <w:b/>
          <w:bCs/>
        </w:rPr>
      </w:pPr>
      <w:r w:rsidRPr="00264193">
        <w:rPr>
          <w:b/>
          <w:bCs/>
        </w:rPr>
        <w:t>Content Summary (100 Words)</w:t>
      </w:r>
    </w:p>
    <w:p w:rsidR="00BA20A2" w:rsidRPr="00264193" w:rsidRDefault="00BA20A2" w:rsidP="00BA20A2">
      <w:r w:rsidRPr="00264193">
        <w:t xml:space="preserve">Mega Wanti et al. (2022) conduct a systematic review to identify factors influencing access and equity in higher education (HE). The study synthesizes global research and highlights systemic, institutional, and financial barriers that disproportionately impact marginalized groups, including students from low-income backgrounds. Key determinants include tuition costs, cultural norms, geographic location, and inadequate institutional support. The authors critique deficit-based approaches, advocating for systemic reforms to address structural inequities. Recommendations include targeted financial aid, culturally responsive policies, and institutional reforms prioritizing inclusivity. Although comprehensive, the review’s </w:t>
      </w:r>
      <w:r w:rsidRPr="00264193">
        <w:lastRenderedPageBreak/>
        <w:t>reliance on secondary data limits its ability to address contemporary issues or region-specific nuances.</w:t>
      </w:r>
    </w:p>
    <w:p w:rsidR="00BA20A2" w:rsidRPr="00264193" w:rsidRDefault="00BA20A2" w:rsidP="00BA20A2">
      <w:pPr>
        <w:rPr>
          <w:b/>
          <w:bCs/>
        </w:rPr>
      </w:pPr>
      <w:r w:rsidRPr="00264193">
        <w:rPr>
          <w:b/>
          <w:bCs/>
        </w:rPr>
        <w:t>Analysis (100 Words)</w:t>
      </w:r>
    </w:p>
    <w:p w:rsidR="00BA20A2" w:rsidRPr="00264193" w:rsidRDefault="00BA20A2" w:rsidP="00BA20A2">
      <w:pPr>
        <w:rPr>
          <w:b/>
          <w:bCs/>
        </w:rPr>
      </w:pPr>
      <w:r w:rsidRPr="00264193">
        <w:rPr>
          <w:b/>
          <w:bCs/>
        </w:rPr>
        <w:t>Authority</w:t>
      </w:r>
    </w:p>
    <w:p w:rsidR="00BA20A2" w:rsidRPr="00264193" w:rsidRDefault="00BA20A2" w:rsidP="00BA20A2">
      <w:r w:rsidRPr="00264193">
        <w:t>The authors demonstrate credibility through their affiliation with reputable academic institutions and their focus on a systematic methodology. The study's inclusion of diverse global perspectives further enhances its scholarly contribution.</w:t>
      </w:r>
    </w:p>
    <w:p w:rsidR="00BA20A2" w:rsidRPr="00264193" w:rsidRDefault="00BA20A2" w:rsidP="00BA20A2">
      <w:pPr>
        <w:rPr>
          <w:b/>
          <w:bCs/>
        </w:rPr>
      </w:pPr>
      <w:r w:rsidRPr="00264193">
        <w:rPr>
          <w:b/>
          <w:bCs/>
        </w:rPr>
        <w:t>Methodology</w:t>
      </w:r>
    </w:p>
    <w:p w:rsidR="00BA20A2" w:rsidRPr="00264193" w:rsidRDefault="00BA20A2" w:rsidP="00BA20A2">
      <w:r w:rsidRPr="00264193">
        <w:t>The review employs a systematic, qualitative approach, grounded in a critical constructivist epistemology. Ontologically, it treats inequities as deeply embedded within societal and institutional systems. Axiologically, it emphasizes equity, aiming to uncover and address barriers affecting marginalized populations. The reliance on secondary sources, however, limits the study's ability to capture evolving regional and contextual dynamics.</w:t>
      </w:r>
    </w:p>
    <w:p w:rsidR="00BA20A2" w:rsidRPr="00264193" w:rsidRDefault="00BA20A2" w:rsidP="00BA20A2">
      <w:pPr>
        <w:rPr>
          <w:b/>
          <w:bCs/>
        </w:rPr>
      </w:pPr>
      <w:r w:rsidRPr="00264193">
        <w:rPr>
          <w:b/>
          <w:bCs/>
        </w:rPr>
        <w:t>Critical Assessment (200 Words)</w:t>
      </w:r>
    </w:p>
    <w:p w:rsidR="00BA20A2" w:rsidRPr="00264193" w:rsidRDefault="00BA20A2" w:rsidP="00BA20A2">
      <w:pPr>
        <w:rPr>
          <w:b/>
          <w:bCs/>
        </w:rPr>
      </w:pPr>
      <w:r w:rsidRPr="00264193">
        <w:rPr>
          <w:b/>
          <w:bCs/>
        </w:rPr>
        <w:t>Accuracy</w:t>
      </w:r>
    </w:p>
    <w:p w:rsidR="00BA20A2" w:rsidRPr="00264193" w:rsidRDefault="00BA20A2" w:rsidP="00BA20A2">
      <w:r w:rsidRPr="00264193">
        <w:t>The study is reliable due to its systematic methodology and robust inclusion criteria, synthesizing findings across multiple contexts. However, reliance on secondary sources introduces potential biases, as the selected literature may omit emerging challenges or underrepresented perspectives.</w:t>
      </w:r>
    </w:p>
    <w:p w:rsidR="00BA20A2" w:rsidRPr="00264193" w:rsidRDefault="00BA20A2" w:rsidP="00BA20A2">
      <w:pPr>
        <w:rPr>
          <w:b/>
          <w:bCs/>
        </w:rPr>
      </w:pPr>
      <w:r w:rsidRPr="00264193">
        <w:rPr>
          <w:b/>
          <w:bCs/>
        </w:rPr>
        <w:t>Objectivity</w:t>
      </w:r>
    </w:p>
    <w:p w:rsidR="00BA20A2" w:rsidRPr="00264193" w:rsidRDefault="00BA20A2" w:rsidP="00BA20A2">
      <w:r w:rsidRPr="00264193">
        <w:t>The research critiques deficit-based models, advocating systemic reforms to promote equity in HE. While this approach provides a balanced critique, its limited exploration of specific regional dynamics or intersectional identities weakens the overall scope.</w:t>
      </w:r>
    </w:p>
    <w:p w:rsidR="00BA20A2" w:rsidRPr="00264193" w:rsidRDefault="00BA20A2" w:rsidP="00BA20A2">
      <w:pPr>
        <w:rPr>
          <w:b/>
          <w:bCs/>
        </w:rPr>
      </w:pPr>
      <w:r w:rsidRPr="00264193">
        <w:rPr>
          <w:b/>
          <w:bCs/>
        </w:rPr>
        <w:t>Currency</w:t>
      </w:r>
    </w:p>
    <w:p w:rsidR="00BA20A2" w:rsidRPr="00264193" w:rsidRDefault="00BA20A2" w:rsidP="00BA20A2">
      <w:r w:rsidRPr="00264193">
        <w:t>Published in 2022, the study is current and aligns with ongoing discussions on equity in HE. However, rapid changes in global education, exacerbated by the COVID-19 pandemic, underscore the need for periodic updates.</w:t>
      </w:r>
    </w:p>
    <w:p w:rsidR="00BA20A2" w:rsidRPr="00264193" w:rsidRDefault="00BA20A2" w:rsidP="00BA20A2">
      <w:pPr>
        <w:rPr>
          <w:b/>
          <w:bCs/>
        </w:rPr>
      </w:pPr>
      <w:r w:rsidRPr="00264193">
        <w:rPr>
          <w:b/>
          <w:bCs/>
        </w:rPr>
        <w:t>Coverage</w:t>
      </w:r>
    </w:p>
    <w:p w:rsidR="00BA20A2" w:rsidRPr="00264193" w:rsidRDefault="00BA20A2" w:rsidP="00BA20A2">
      <w:r w:rsidRPr="00264193">
        <w:t>The study offers broad insights into systemic barriers but lacks a detailed analysis of how intersecting factors like gender, ethnicity, or disability influence access and equity. Expanding this focus could enhance its applicability and relevance.</w:t>
      </w:r>
    </w:p>
    <w:p w:rsidR="00BA20A2" w:rsidRPr="00264193" w:rsidRDefault="00BA20A2" w:rsidP="00BA20A2">
      <w:pPr>
        <w:rPr>
          <w:b/>
          <w:bCs/>
        </w:rPr>
      </w:pPr>
      <w:r w:rsidRPr="00264193">
        <w:rPr>
          <w:b/>
          <w:bCs/>
        </w:rPr>
        <w:t>Conclusion and Future Directions</w:t>
      </w:r>
    </w:p>
    <w:p w:rsidR="00BA20A2" w:rsidRPr="00264193" w:rsidRDefault="00BA20A2" w:rsidP="00BA20A2">
      <w:r w:rsidRPr="00264193">
        <w:lastRenderedPageBreak/>
        <w:t>Mega Wanti et al. (2022) contribute significantly to understanding systemic barriers in HE. Future research should adopt mixed-methods approaches to incorporate quantitative data and explore intersectionality in greater depth. Longitudinal analyses and region-specific studies are critical for contextualizing equity challenges and informing targeted reforms.</w:t>
      </w:r>
    </w:p>
    <w:p w:rsidR="00BA20A2" w:rsidRPr="00264193" w:rsidRDefault="00BA20A2" w:rsidP="00BA20A2">
      <w:r>
        <w:pict>
          <v:rect id="_x0000_i1053" style="width:0;height:1.5pt" o:hralign="center" o:hrstd="t" o:hr="t" fillcolor="#a0a0a0" stroked="f"/>
        </w:pict>
      </w:r>
    </w:p>
    <w:p w:rsidR="00BA20A2" w:rsidRPr="00264193" w:rsidRDefault="00BA20A2" w:rsidP="00BA20A2">
      <w:pPr>
        <w:rPr>
          <w:b/>
          <w:bCs/>
        </w:rPr>
      </w:pPr>
      <w:r w:rsidRPr="00264193">
        <w:rPr>
          <w:b/>
          <w:bCs/>
        </w:rPr>
        <w:t>Table Summary of Research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8"/>
        <w:gridCol w:w="7388"/>
      </w:tblGrid>
      <w:tr w:rsidR="00BA20A2" w:rsidRPr="00264193" w:rsidTr="00E002CC">
        <w:trPr>
          <w:tblHeader/>
          <w:tblCellSpacing w:w="15" w:type="dxa"/>
        </w:trPr>
        <w:tc>
          <w:tcPr>
            <w:tcW w:w="0" w:type="auto"/>
            <w:vAlign w:val="center"/>
            <w:hideMark/>
          </w:tcPr>
          <w:p w:rsidR="00BA20A2" w:rsidRPr="00264193" w:rsidRDefault="00BA20A2" w:rsidP="00E002CC">
            <w:pPr>
              <w:rPr>
                <w:b/>
                <w:bCs/>
              </w:rPr>
            </w:pPr>
            <w:r w:rsidRPr="00264193">
              <w:rPr>
                <w:b/>
                <w:bCs/>
              </w:rPr>
              <w:t>Aspect</w:t>
            </w:r>
          </w:p>
        </w:tc>
        <w:tc>
          <w:tcPr>
            <w:tcW w:w="0" w:type="auto"/>
            <w:vAlign w:val="center"/>
            <w:hideMark/>
          </w:tcPr>
          <w:p w:rsidR="00BA20A2" w:rsidRPr="00264193" w:rsidRDefault="00BA20A2" w:rsidP="00E002CC">
            <w:pPr>
              <w:rPr>
                <w:b/>
                <w:bCs/>
              </w:rPr>
            </w:pPr>
            <w:r w:rsidRPr="00264193">
              <w:rPr>
                <w:b/>
                <w:bCs/>
              </w:rPr>
              <w:t>Details</w:t>
            </w:r>
          </w:p>
        </w:tc>
      </w:tr>
      <w:tr w:rsidR="00BA20A2" w:rsidRPr="00264193" w:rsidTr="00E002CC">
        <w:trPr>
          <w:tblCellSpacing w:w="15" w:type="dxa"/>
        </w:trPr>
        <w:tc>
          <w:tcPr>
            <w:tcW w:w="0" w:type="auto"/>
            <w:vAlign w:val="center"/>
            <w:hideMark/>
          </w:tcPr>
          <w:p w:rsidR="00BA20A2" w:rsidRPr="00264193" w:rsidRDefault="00BA20A2" w:rsidP="00E002CC">
            <w:r w:rsidRPr="00264193">
              <w:rPr>
                <w:b/>
                <w:bCs/>
              </w:rPr>
              <w:t>Author</w:t>
            </w:r>
          </w:p>
        </w:tc>
        <w:tc>
          <w:tcPr>
            <w:tcW w:w="0" w:type="auto"/>
            <w:vAlign w:val="center"/>
            <w:hideMark/>
          </w:tcPr>
          <w:p w:rsidR="00BA20A2" w:rsidRPr="00264193" w:rsidRDefault="00BA20A2" w:rsidP="00E002CC">
            <w:r w:rsidRPr="00264193">
              <w:t>Mega Wanti et al.</w:t>
            </w:r>
          </w:p>
        </w:tc>
      </w:tr>
      <w:tr w:rsidR="00BA20A2" w:rsidRPr="00264193" w:rsidTr="00E002CC">
        <w:trPr>
          <w:tblCellSpacing w:w="15" w:type="dxa"/>
        </w:trPr>
        <w:tc>
          <w:tcPr>
            <w:tcW w:w="0" w:type="auto"/>
            <w:vAlign w:val="center"/>
            <w:hideMark/>
          </w:tcPr>
          <w:p w:rsidR="00BA20A2" w:rsidRPr="00264193" w:rsidRDefault="00BA20A2" w:rsidP="00E002CC">
            <w:r w:rsidRPr="00264193">
              <w:rPr>
                <w:b/>
                <w:bCs/>
              </w:rPr>
              <w:t>Publication Date</w:t>
            </w:r>
          </w:p>
        </w:tc>
        <w:tc>
          <w:tcPr>
            <w:tcW w:w="0" w:type="auto"/>
            <w:vAlign w:val="center"/>
            <w:hideMark/>
          </w:tcPr>
          <w:p w:rsidR="00BA20A2" w:rsidRPr="00264193" w:rsidRDefault="00BA20A2" w:rsidP="00E002CC">
            <w:r w:rsidRPr="00264193">
              <w:t>2022</w:t>
            </w:r>
          </w:p>
        </w:tc>
      </w:tr>
      <w:tr w:rsidR="00BA20A2" w:rsidRPr="00264193" w:rsidTr="00E002CC">
        <w:trPr>
          <w:tblCellSpacing w:w="15" w:type="dxa"/>
        </w:trPr>
        <w:tc>
          <w:tcPr>
            <w:tcW w:w="0" w:type="auto"/>
            <w:vAlign w:val="center"/>
            <w:hideMark/>
          </w:tcPr>
          <w:p w:rsidR="00BA20A2" w:rsidRPr="00264193" w:rsidRDefault="00BA20A2" w:rsidP="00E002CC">
            <w:r w:rsidRPr="00264193">
              <w:rPr>
                <w:b/>
                <w:bCs/>
              </w:rPr>
              <w:t>Purpose</w:t>
            </w:r>
          </w:p>
        </w:tc>
        <w:tc>
          <w:tcPr>
            <w:tcW w:w="0" w:type="auto"/>
            <w:vAlign w:val="center"/>
            <w:hideMark/>
          </w:tcPr>
          <w:p w:rsidR="00BA20A2" w:rsidRPr="00264193" w:rsidRDefault="00BA20A2" w:rsidP="00E002CC">
            <w:r w:rsidRPr="00264193">
              <w:t>To identify systemic, institutional, and financial factors influencing HE access and equity</w:t>
            </w:r>
          </w:p>
        </w:tc>
      </w:tr>
      <w:tr w:rsidR="00BA20A2" w:rsidRPr="00264193" w:rsidTr="00E002CC">
        <w:trPr>
          <w:tblCellSpacing w:w="15" w:type="dxa"/>
        </w:trPr>
        <w:tc>
          <w:tcPr>
            <w:tcW w:w="0" w:type="auto"/>
            <w:vAlign w:val="center"/>
            <w:hideMark/>
          </w:tcPr>
          <w:p w:rsidR="00BA20A2" w:rsidRPr="00264193" w:rsidRDefault="00BA20A2" w:rsidP="00E002CC">
            <w:r w:rsidRPr="00264193">
              <w:rPr>
                <w:b/>
                <w:bCs/>
              </w:rPr>
              <w:t>Method</w:t>
            </w:r>
          </w:p>
        </w:tc>
        <w:tc>
          <w:tcPr>
            <w:tcW w:w="0" w:type="auto"/>
            <w:vAlign w:val="center"/>
            <w:hideMark/>
          </w:tcPr>
          <w:p w:rsidR="00BA20A2" w:rsidRPr="00264193" w:rsidRDefault="00BA20A2" w:rsidP="00E002CC">
            <w:r w:rsidRPr="00264193">
              <w:t>Systematic qualitative review</w:t>
            </w:r>
          </w:p>
        </w:tc>
      </w:tr>
      <w:tr w:rsidR="00BA20A2" w:rsidRPr="00264193" w:rsidTr="00E002CC">
        <w:trPr>
          <w:tblCellSpacing w:w="15" w:type="dxa"/>
        </w:trPr>
        <w:tc>
          <w:tcPr>
            <w:tcW w:w="0" w:type="auto"/>
            <w:vAlign w:val="center"/>
            <w:hideMark/>
          </w:tcPr>
          <w:p w:rsidR="00BA20A2" w:rsidRPr="00264193" w:rsidRDefault="00BA20A2" w:rsidP="00E002CC">
            <w:r w:rsidRPr="00264193">
              <w:rPr>
                <w:b/>
                <w:bCs/>
              </w:rPr>
              <w:t>Sample Size</w:t>
            </w:r>
          </w:p>
        </w:tc>
        <w:tc>
          <w:tcPr>
            <w:tcW w:w="0" w:type="auto"/>
            <w:vAlign w:val="center"/>
            <w:hideMark/>
          </w:tcPr>
          <w:p w:rsidR="00BA20A2" w:rsidRPr="00264193" w:rsidRDefault="00BA20A2" w:rsidP="00E002CC">
            <w:r w:rsidRPr="00264193">
              <w:t>Analysis of multiple global studies</w:t>
            </w:r>
          </w:p>
        </w:tc>
      </w:tr>
      <w:tr w:rsidR="00BA20A2" w:rsidRPr="00264193" w:rsidTr="00E002CC">
        <w:trPr>
          <w:tblCellSpacing w:w="15" w:type="dxa"/>
        </w:trPr>
        <w:tc>
          <w:tcPr>
            <w:tcW w:w="0" w:type="auto"/>
            <w:vAlign w:val="center"/>
            <w:hideMark/>
          </w:tcPr>
          <w:p w:rsidR="00BA20A2" w:rsidRPr="00264193" w:rsidRDefault="00BA20A2" w:rsidP="00E002CC">
            <w:r w:rsidRPr="00264193">
              <w:rPr>
                <w:b/>
                <w:bCs/>
              </w:rPr>
              <w:t>Findings</w:t>
            </w:r>
          </w:p>
        </w:tc>
        <w:tc>
          <w:tcPr>
            <w:tcW w:w="0" w:type="auto"/>
            <w:vAlign w:val="center"/>
            <w:hideMark/>
          </w:tcPr>
          <w:p w:rsidR="00BA20A2" w:rsidRPr="00264193" w:rsidRDefault="00BA20A2" w:rsidP="00E002CC">
            <w:r w:rsidRPr="00264193">
              <w:t>Identified financial, cultural, and systemic barriers; emphasized systemic reforms</w:t>
            </w:r>
          </w:p>
        </w:tc>
      </w:tr>
      <w:tr w:rsidR="00BA20A2" w:rsidRPr="00264193" w:rsidTr="00E002CC">
        <w:trPr>
          <w:tblCellSpacing w:w="15" w:type="dxa"/>
        </w:trPr>
        <w:tc>
          <w:tcPr>
            <w:tcW w:w="0" w:type="auto"/>
            <w:vAlign w:val="center"/>
            <w:hideMark/>
          </w:tcPr>
          <w:p w:rsidR="00BA20A2" w:rsidRPr="00264193" w:rsidRDefault="00BA20A2" w:rsidP="00E002CC">
            <w:r w:rsidRPr="00264193">
              <w:rPr>
                <w:b/>
                <w:bCs/>
              </w:rPr>
              <w:t>Uniqueness</w:t>
            </w:r>
          </w:p>
        </w:tc>
        <w:tc>
          <w:tcPr>
            <w:tcW w:w="0" w:type="auto"/>
            <w:vAlign w:val="center"/>
            <w:hideMark/>
          </w:tcPr>
          <w:p w:rsidR="00BA20A2" w:rsidRPr="00264193" w:rsidRDefault="00BA20A2" w:rsidP="00E002CC">
            <w:r w:rsidRPr="00264193">
              <w:t>Highlights global barriers and critiques deficit-based approaches</w:t>
            </w:r>
          </w:p>
        </w:tc>
      </w:tr>
    </w:tbl>
    <w:p w:rsidR="00BA20A2" w:rsidRPr="00264193" w:rsidRDefault="00BA20A2" w:rsidP="00BA20A2">
      <w:r>
        <w:pict>
          <v:rect id="_x0000_i1054" style="width:0;height:1.5pt" o:hralign="center" o:hrstd="t" o:hr="t" fillcolor="#a0a0a0" stroked="f"/>
        </w:pict>
      </w:r>
    </w:p>
    <w:p w:rsidR="00BA20A2" w:rsidRPr="00264193" w:rsidRDefault="00BA20A2" w:rsidP="00BA20A2">
      <w:pPr>
        <w:rPr>
          <w:b/>
          <w:bCs/>
        </w:rPr>
      </w:pPr>
      <w:r w:rsidRPr="00264193">
        <w:rPr>
          <w:b/>
          <w:bCs/>
        </w:rPr>
        <w:t>Critical Reflection on Epistemology, Ontology, and Axiology</w:t>
      </w:r>
    </w:p>
    <w:p w:rsidR="00BA20A2" w:rsidRPr="00264193" w:rsidRDefault="00BA20A2" w:rsidP="00BA20A2">
      <w:r w:rsidRPr="00264193">
        <w:t>The study’s critical constructivist epistemology emphasizes socially constructed barriers, while its ontology frames inequities as systemic and institutionalized. Its axiological stance advocates equity-focused reforms, prioritizing structural changes to address barriers. While this approach provides valuable insights, the reliance on secondary data limits its ability to explore lived experiences or regional disparities.</w:t>
      </w:r>
    </w:p>
    <w:p w:rsidR="00BA20A2" w:rsidRPr="00264193" w:rsidRDefault="00BA20A2" w:rsidP="00BA20A2">
      <w:r>
        <w:pict>
          <v:rect id="_x0000_i1055" style="width:0;height:1.5pt" o:hralign="center" o:hrstd="t" o:hr="t" fillcolor="#a0a0a0" stroked="f"/>
        </w:pict>
      </w:r>
    </w:p>
    <w:p w:rsidR="00BA20A2" w:rsidRPr="00264193" w:rsidRDefault="00BA20A2" w:rsidP="00BA20A2">
      <w:pPr>
        <w:rPr>
          <w:b/>
          <w:bCs/>
        </w:rPr>
      </w:pPr>
      <w:r w:rsidRPr="00264193">
        <w:rPr>
          <w:b/>
          <w:bCs/>
        </w:rPr>
        <w:t>Reliability, Validity, and Ethical Considerations</w:t>
      </w:r>
    </w:p>
    <w:p w:rsidR="00BA20A2" w:rsidRPr="00264193" w:rsidRDefault="00BA20A2" w:rsidP="00BA20A2">
      <w:r w:rsidRPr="00264193">
        <w:t>Reliability is reinforced through rigorous inclusion criteria and transparent methodology. However, validity could be enhanced by incorporating primary data or region-specific analyses. Ethical considerations are addressed by prioritizing equity and advocating inclusive policies. Future studies should incorporate participatory methods to amplify marginalized voices and ensure equitable representation.</w:t>
      </w:r>
    </w:p>
    <w:p w:rsidR="00BA20A2" w:rsidRPr="00264193" w:rsidRDefault="00BA20A2" w:rsidP="00BA20A2">
      <w:r>
        <w:lastRenderedPageBreak/>
        <w:pict>
          <v:rect id="_x0000_i1056" style="width:0;height:1.5pt" o:hralign="center" o:hrstd="t" o:hr="t" fillcolor="#a0a0a0" stroked="f"/>
        </w:pict>
      </w:r>
    </w:p>
    <w:p w:rsidR="00BA20A2" w:rsidRPr="00264193" w:rsidRDefault="00BA20A2" w:rsidP="00BA20A2">
      <w:pPr>
        <w:rPr>
          <w:b/>
          <w:bCs/>
        </w:rPr>
      </w:pPr>
      <w:r w:rsidRPr="00264193">
        <w:rPr>
          <w:b/>
          <w:bCs/>
        </w:rPr>
        <w:t>Synthesis and Future Research Directions</w:t>
      </w:r>
    </w:p>
    <w:p w:rsidR="00BA20A2" w:rsidRPr="00264193" w:rsidRDefault="00BA20A2" w:rsidP="00BA20A2">
      <w:r w:rsidRPr="00264193">
        <w:t>This review underscores the need for systemic reforms in HE to address structural inequities. Future research should integrate mixed methods, longitudinal analyses, and regional case studies to contextualize systemic barriers and capture intersectional dynamics. Such an approach can better inform policies and interventions aimed at fostering equity in HE.</w:t>
      </w:r>
    </w:p>
    <w:p w:rsidR="00BC487E" w:rsidRPr="00BC487E" w:rsidRDefault="00BC487E" w:rsidP="008C3E3C">
      <w:pPr>
        <w:rPr>
          <w:rFonts w:cstheme="minorHAnsi"/>
          <w:color w:val="000000" w:themeColor="text1"/>
        </w:rPr>
      </w:pPr>
    </w:p>
    <w:p w:rsidR="008C3E3C" w:rsidRDefault="008C3E3C" w:rsidP="008C3E3C">
      <w:pPr>
        <w:rPr>
          <w:rFonts w:cstheme="minorHAnsi"/>
          <w:b/>
          <w:bCs/>
          <w:color w:val="000000" w:themeColor="text1"/>
        </w:rPr>
      </w:pPr>
      <w:r>
        <w:rPr>
          <w:rFonts w:cstheme="minorHAnsi"/>
          <w:b/>
          <w:bCs/>
          <w:color w:val="000000" w:themeColor="text1"/>
        </w:rPr>
        <w:t>Paper 3</w:t>
      </w:r>
    </w:p>
    <w:p w:rsidR="00BA20A2" w:rsidRPr="00952D2E" w:rsidRDefault="00BA20A2" w:rsidP="00BA20A2">
      <w:r w:rsidRPr="00952D2E">
        <w:rPr>
          <w:b/>
          <w:bCs/>
        </w:rPr>
        <w:t>Title: Neoliberal Meritocracy and Class Divisions in Higher Education</w:t>
      </w:r>
    </w:p>
    <w:p w:rsidR="00BA20A2" w:rsidRPr="00952D2E" w:rsidRDefault="00BA20A2" w:rsidP="00BA20A2">
      <w:pPr>
        <w:rPr>
          <w:b/>
          <w:bCs/>
        </w:rPr>
      </w:pPr>
      <w:r w:rsidRPr="00952D2E">
        <w:rPr>
          <w:b/>
          <w:bCs/>
        </w:rPr>
        <w:t>Content Summary (100 Words)</w:t>
      </w:r>
    </w:p>
    <w:p w:rsidR="00BA20A2" w:rsidRPr="00952D2E" w:rsidRDefault="00BA20A2" w:rsidP="00BA20A2">
      <w:r w:rsidRPr="00952D2E">
        <w:rPr>
          <w:b/>
          <w:bCs/>
        </w:rPr>
        <w:t>Purpose:</w:t>
      </w:r>
      <w:r w:rsidRPr="00952D2E">
        <w:t xml:space="preserve"> The study examines how widening participation policies in English universities reinforce class divisions instead of promoting social mobility. It critiques neoliberal meritocracy and its role in institutionalizing inequality through education.</w:t>
      </w:r>
      <w:r w:rsidRPr="00952D2E">
        <w:br/>
      </w:r>
      <w:r w:rsidRPr="00952D2E">
        <w:rPr>
          <w:b/>
          <w:bCs/>
        </w:rPr>
        <w:t>Currency:</w:t>
      </w:r>
      <w:r w:rsidRPr="00952D2E">
        <w:t xml:space="preserve"> Published in 2021, the paper is timely, addressing current higher education policies in England.</w:t>
      </w:r>
      <w:r w:rsidRPr="00952D2E">
        <w:br/>
      </w:r>
      <w:r w:rsidRPr="00952D2E">
        <w:rPr>
          <w:b/>
          <w:bCs/>
        </w:rPr>
        <w:t>Key Findings:</w:t>
      </w:r>
      <w:r w:rsidRPr="00952D2E">
        <w:t xml:space="preserve"> Despite increasing access to universities for disadvantaged groups, systemic inequalities persist. Universities commodify education and fail to deliver promised social mobility. Economic aspirations drive participation, but structural barriers reinforce class hierarchies.</w:t>
      </w:r>
      <w:r w:rsidRPr="00952D2E">
        <w:br/>
      </w:r>
      <w:r w:rsidRPr="00952D2E">
        <w:rPr>
          <w:b/>
          <w:bCs/>
        </w:rPr>
        <w:t>Recommendations:</w:t>
      </w:r>
      <w:r w:rsidRPr="00952D2E">
        <w:t xml:space="preserve"> Reforming funding models, prioritizing equity-driven policies, and addressing systemic inequalities in higher education to foster genuine mobility.</w:t>
      </w:r>
    </w:p>
    <w:p w:rsidR="00BA20A2" w:rsidRPr="00952D2E" w:rsidRDefault="00BA20A2" w:rsidP="00BA20A2">
      <w:r>
        <w:pict>
          <v:rect id="_x0000_i1093" style="width:0;height:1.5pt" o:hralign="center" o:hrstd="t" o:hr="t" fillcolor="#a0a0a0" stroked="f"/>
        </w:pict>
      </w:r>
    </w:p>
    <w:p w:rsidR="00BA20A2" w:rsidRPr="00952D2E" w:rsidRDefault="00BA20A2" w:rsidP="00BA20A2">
      <w:pPr>
        <w:rPr>
          <w:b/>
          <w:bCs/>
        </w:rPr>
      </w:pPr>
      <w:r w:rsidRPr="00952D2E">
        <w:rPr>
          <w:b/>
          <w:bCs/>
        </w:rPr>
        <w:t>Analysis (100 Words)</w:t>
      </w:r>
    </w:p>
    <w:p w:rsidR="00BA20A2" w:rsidRPr="00952D2E" w:rsidRDefault="00BA20A2" w:rsidP="00BA20A2">
      <w:r w:rsidRPr="00952D2E">
        <w:rPr>
          <w:b/>
          <w:bCs/>
        </w:rPr>
        <w:t>Authority:</w:t>
      </w:r>
      <w:r w:rsidRPr="00952D2E">
        <w:t xml:space="preserve"> Authored by Chris Cunningham and Colin Samson, with strong academic credentials and affiliations with the University of Essex, the research demonstrates expertise in critical social mobility studies.</w:t>
      </w:r>
      <w:r w:rsidRPr="00952D2E">
        <w:br/>
      </w:r>
      <w:r w:rsidRPr="00952D2E">
        <w:rPr>
          <w:b/>
          <w:bCs/>
        </w:rPr>
        <w:t>Methodology:</w:t>
      </w:r>
      <w:r w:rsidRPr="00952D2E">
        <w:t xml:space="preserve"> The study employs critical policy analysis, emphasizing qualitative insights.</w:t>
      </w:r>
      <w:r w:rsidRPr="00952D2E">
        <w:br/>
      </w:r>
      <w:r w:rsidRPr="00952D2E">
        <w:rPr>
          <w:b/>
          <w:bCs/>
        </w:rPr>
        <w:t>Ontological Perspective:</w:t>
      </w:r>
      <w:r w:rsidRPr="00952D2E">
        <w:t xml:space="preserve"> Structuralist, viewing class divisions as embedded in institutional frameworks.</w:t>
      </w:r>
      <w:r w:rsidRPr="00952D2E">
        <w:br/>
      </w:r>
      <w:r w:rsidRPr="00952D2E">
        <w:rPr>
          <w:b/>
          <w:bCs/>
        </w:rPr>
        <w:t>Epistemological Perspective:</w:t>
      </w:r>
      <w:r w:rsidRPr="00952D2E">
        <w:t xml:space="preserve"> Critical constructivist, interrogating the societal and institutional power dynamics shaping education.</w:t>
      </w:r>
      <w:r w:rsidRPr="00952D2E">
        <w:br/>
      </w:r>
      <w:r w:rsidRPr="00952D2E">
        <w:rPr>
          <w:b/>
          <w:bCs/>
        </w:rPr>
        <w:t>Axiology:</w:t>
      </w:r>
      <w:r w:rsidRPr="00952D2E">
        <w:t xml:space="preserve"> Advocates for systemic equity, challenging neoliberal ideologies that perpetuate social stratification.</w:t>
      </w:r>
    </w:p>
    <w:p w:rsidR="00BA20A2" w:rsidRPr="00952D2E" w:rsidRDefault="00BA20A2" w:rsidP="00BA20A2">
      <w:r>
        <w:pict>
          <v:rect id="_x0000_i1094" style="width:0;height:1.5pt" o:hralign="center" o:hrstd="t" o:hr="t" fillcolor="#a0a0a0" stroked="f"/>
        </w:pict>
      </w:r>
    </w:p>
    <w:p w:rsidR="00BA20A2" w:rsidRPr="00952D2E" w:rsidRDefault="00BA20A2" w:rsidP="00BA20A2">
      <w:pPr>
        <w:rPr>
          <w:b/>
          <w:bCs/>
        </w:rPr>
      </w:pPr>
      <w:r w:rsidRPr="00952D2E">
        <w:rPr>
          <w:b/>
          <w:bCs/>
        </w:rPr>
        <w:t>Critical Assessment (200 Words)</w:t>
      </w:r>
    </w:p>
    <w:p w:rsidR="00BA20A2" w:rsidRPr="00952D2E" w:rsidRDefault="00BA20A2" w:rsidP="00BA20A2">
      <w:r w:rsidRPr="00952D2E">
        <w:rPr>
          <w:b/>
          <w:bCs/>
        </w:rPr>
        <w:lastRenderedPageBreak/>
        <w:t>Accuracy:</w:t>
      </w:r>
      <w:r w:rsidRPr="00952D2E">
        <w:t xml:space="preserve"> The information is reliable, grounded in historical and contemporary policy analysis, supported by governmental and academic sources. While robust in its critique, the lack of primary data collection limits empirical validation.</w:t>
      </w:r>
      <w:r w:rsidRPr="00952D2E">
        <w:br/>
      </w:r>
      <w:r w:rsidRPr="00952D2E">
        <w:rPr>
          <w:b/>
          <w:bCs/>
        </w:rPr>
        <w:t>Objectivity:</w:t>
      </w:r>
      <w:r w:rsidRPr="00952D2E">
        <w:t xml:space="preserve"> While objective in addressing systemic flaws, the study critiques neoliberalism heavily. This ideological stance, though well-argued, may limit balanced consideration of alternative perspectives.</w:t>
      </w:r>
      <w:r w:rsidRPr="00952D2E">
        <w:br/>
      </w:r>
      <w:r w:rsidRPr="00952D2E">
        <w:rPr>
          <w:b/>
          <w:bCs/>
        </w:rPr>
        <w:t>Currency:</w:t>
      </w:r>
      <w:r w:rsidRPr="00952D2E">
        <w:t xml:space="preserve"> The paper addresses ongoing issues in higher education, making its relevance enduring.</w:t>
      </w:r>
      <w:r w:rsidRPr="00952D2E">
        <w:br/>
      </w:r>
      <w:r w:rsidRPr="00952D2E">
        <w:rPr>
          <w:b/>
          <w:bCs/>
        </w:rPr>
        <w:t>Coverage:</w:t>
      </w:r>
      <w:r w:rsidRPr="00952D2E">
        <w:t xml:space="preserve"> It provides a thorough critique of widening participation but lacks intersectional perspectives, such as the interplay of ethnicity and gender.</w:t>
      </w:r>
    </w:p>
    <w:p w:rsidR="00BA20A2" w:rsidRPr="00952D2E" w:rsidRDefault="00BA20A2" w:rsidP="00BA20A2">
      <w:r w:rsidRPr="00952D2E">
        <w:rPr>
          <w:b/>
          <w:bCs/>
        </w:rPr>
        <w:t>Future Research Directions:</w:t>
      </w:r>
      <w:r w:rsidRPr="00952D2E">
        <w:t xml:space="preserve"> Incorporating mixed-method approaches, longitudinal studies, and intersectionality to understand nuanced barriers. Exploring practical implementations of equity-driven policies could enrich the discourse.</w:t>
      </w:r>
    </w:p>
    <w:p w:rsidR="00BA20A2" w:rsidRPr="00952D2E" w:rsidRDefault="00BA20A2" w:rsidP="00BA20A2">
      <w:r>
        <w:pict>
          <v:rect id="_x0000_i1095" style="width:0;height:1.5pt" o:hralign="center" o:hrstd="t" o:hr="t" fillcolor="#a0a0a0" stroked="f"/>
        </w:pict>
      </w:r>
    </w:p>
    <w:p w:rsidR="00BA20A2" w:rsidRPr="00952D2E" w:rsidRDefault="00BA20A2" w:rsidP="00BA20A2">
      <w:pPr>
        <w:rPr>
          <w:b/>
          <w:bCs/>
        </w:rPr>
      </w:pPr>
      <w:r w:rsidRPr="00952D2E">
        <w:rPr>
          <w:b/>
          <w:bCs/>
        </w:rPr>
        <w:t>Table: Study Overview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3"/>
        <w:gridCol w:w="547"/>
        <w:gridCol w:w="1409"/>
        <w:gridCol w:w="1436"/>
        <w:gridCol w:w="1094"/>
        <w:gridCol w:w="1588"/>
        <w:gridCol w:w="1599"/>
      </w:tblGrid>
      <w:tr w:rsidR="00BA20A2" w:rsidRPr="00952D2E" w:rsidTr="00E002CC">
        <w:trPr>
          <w:tblHeader/>
          <w:tblCellSpacing w:w="15" w:type="dxa"/>
        </w:trPr>
        <w:tc>
          <w:tcPr>
            <w:tcW w:w="0" w:type="auto"/>
            <w:vAlign w:val="center"/>
            <w:hideMark/>
          </w:tcPr>
          <w:p w:rsidR="00BA20A2" w:rsidRPr="00952D2E" w:rsidRDefault="00BA20A2" w:rsidP="00E002CC">
            <w:pPr>
              <w:rPr>
                <w:b/>
                <w:bCs/>
              </w:rPr>
            </w:pPr>
            <w:r w:rsidRPr="00952D2E">
              <w:rPr>
                <w:b/>
                <w:bCs/>
              </w:rPr>
              <w:t>Author</w:t>
            </w:r>
          </w:p>
        </w:tc>
        <w:tc>
          <w:tcPr>
            <w:tcW w:w="0" w:type="auto"/>
            <w:vAlign w:val="center"/>
            <w:hideMark/>
          </w:tcPr>
          <w:p w:rsidR="00BA20A2" w:rsidRPr="00952D2E" w:rsidRDefault="00BA20A2" w:rsidP="00E002CC">
            <w:pPr>
              <w:rPr>
                <w:b/>
                <w:bCs/>
              </w:rPr>
            </w:pPr>
            <w:r w:rsidRPr="00952D2E">
              <w:rPr>
                <w:b/>
                <w:bCs/>
              </w:rPr>
              <w:t>Date</w:t>
            </w:r>
          </w:p>
        </w:tc>
        <w:tc>
          <w:tcPr>
            <w:tcW w:w="0" w:type="auto"/>
            <w:vAlign w:val="center"/>
            <w:hideMark/>
          </w:tcPr>
          <w:p w:rsidR="00BA20A2" w:rsidRPr="00952D2E" w:rsidRDefault="00BA20A2" w:rsidP="00E002CC">
            <w:pPr>
              <w:rPr>
                <w:b/>
                <w:bCs/>
              </w:rPr>
            </w:pPr>
            <w:r w:rsidRPr="00952D2E">
              <w:rPr>
                <w:b/>
                <w:bCs/>
              </w:rPr>
              <w:t>Purpose</w:t>
            </w:r>
          </w:p>
        </w:tc>
        <w:tc>
          <w:tcPr>
            <w:tcW w:w="0" w:type="auto"/>
            <w:vAlign w:val="center"/>
            <w:hideMark/>
          </w:tcPr>
          <w:p w:rsidR="00BA20A2" w:rsidRPr="00952D2E" w:rsidRDefault="00BA20A2" w:rsidP="00E002CC">
            <w:pPr>
              <w:rPr>
                <w:b/>
                <w:bCs/>
              </w:rPr>
            </w:pPr>
            <w:r w:rsidRPr="00952D2E">
              <w:rPr>
                <w:b/>
                <w:bCs/>
              </w:rPr>
              <w:t>Methodology</w:t>
            </w:r>
          </w:p>
        </w:tc>
        <w:tc>
          <w:tcPr>
            <w:tcW w:w="0" w:type="auto"/>
            <w:vAlign w:val="center"/>
            <w:hideMark/>
          </w:tcPr>
          <w:p w:rsidR="00BA20A2" w:rsidRPr="00952D2E" w:rsidRDefault="00BA20A2" w:rsidP="00E002CC">
            <w:pPr>
              <w:rPr>
                <w:b/>
                <w:bCs/>
              </w:rPr>
            </w:pPr>
            <w:r w:rsidRPr="00952D2E">
              <w:rPr>
                <w:b/>
                <w:bCs/>
              </w:rPr>
              <w:t>Sample Size</w:t>
            </w:r>
          </w:p>
        </w:tc>
        <w:tc>
          <w:tcPr>
            <w:tcW w:w="0" w:type="auto"/>
            <w:vAlign w:val="center"/>
            <w:hideMark/>
          </w:tcPr>
          <w:p w:rsidR="00BA20A2" w:rsidRPr="00952D2E" w:rsidRDefault="00BA20A2" w:rsidP="00E002CC">
            <w:pPr>
              <w:rPr>
                <w:b/>
                <w:bCs/>
              </w:rPr>
            </w:pPr>
            <w:r w:rsidRPr="00952D2E">
              <w:rPr>
                <w:b/>
                <w:bCs/>
              </w:rPr>
              <w:t>Findings</w:t>
            </w:r>
          </w:p>
        </w:tc>
        <w:tc>
          <w:tcPr>
            <w:tcW w:w="0" w:type="auto"/>
            <w:vAlign w:val="center"/>
            <w:hideMark/>
          </w:tcPr>
          <w:p w:rsidR="00BA20A2" w:rsidRPr="00952D2E" w:rsidRDefault="00BA20A2" w:rsidP="00E002CC">
            <w:pPr>
              <w:rPr>
                <w:b/>
                <w:bCs/>
              </w:rPr>
            </w:pPr>
            <w:r w:rsidRPr="00952D2E">
              <w:rPr>
                <w:b/>
                <w:bCs/>
              </w:rPr>
              <w:t>Uniqueness</w:t>
            </w:r>
          </w:p>
        </w:tc>
      </w:tr>
      <w:tr w:rsidR="00BA20A2" w:rsidRPr="00952D2E" w:rsidTr="00E002CC">
        <w:trPr>
          <w:tblCellSpacing w:w="15" w:type="dxa"/>
        </w:trPr>
        <w:tc>
          <w:tcPr>
            <w:tcW w:w="0" w:type="auto"/>
            <w:vAlign w:val="center"/>
            <w:hideMark/>
          </w:tcPr>
          <w:p w:rsidR="00BA20A2" w:rsidRPr="00952D2E" w:rsidRDefault="00BA20A2" w:rsidP="00E002CC">
            <w:r w:rsidRPr="00952D2E">
              <w:t>Cunningham &amp; Samson</w:t>
            </w:r>
          </w:p>
        </w:tc>
        <w:tc>
          <w:tcPr>
            <w:tcW w:w="0" w:type="auto"/>
            <w:vAlign w:val="center"/>
            <w:hideMark/>
          </w:tcPr>
          <w:p w:rsidR="00BA20A2" w:rsidRPr="00952D2E" w:rsidRDefault="00BA20A2" w:rsidP="00E002CC">
            <w:r w:rsidRPr="00952D2E">
              <w:t>2021</w:t>
            </w:r>
          </w:p>
        </w:tc>
        <w:tc>
          <w:tcPr>
            <w:tcW w:w="0" w:type="auto"/>
            <w:vAlign w:val="center"/>
            <w:hideMark/>
          </w:tcPr>
          <w:p w:rsidR="00BA20A2" w:rsidRPr="00952D2E" w:rsidRDefault="00BA20A2" w:rsidP="00E002CC">
            <w:r w:rsidRPr="00952D2E">
              <w:t>Critique widening participation policies</w:t>
            </w:r>
          </w:p>
        </w:tc>
        <w:tc>
          <w:tcPr>
            <w:tcW w:w="0" w:type="auto"/>
            <w:vAlign w:val="center"/>
            <w:hideMark/>
          </w:tcPr>
          <w:p w:rsidR="00BA20A2" w:rsidRPr="00952D2E" w:rsidRDefault="00BA20A2" w:rsidP="00E002CC">
            <w:r w:rsidRPr="00952D2E">
              <w:t>Critical policy analysis</w:t>
            </w:r>
          </w:p>
        </w:tc>
        <w:tc>
          <w:tcPr>
            <w:tcW w:w="0" w:type="auto"/>
            <w:vAlign w:val="center"/>
            <w:hideMark/>
          </w:tcPr>
          <w:p w:rsidR="00BA20A2" w:rsidRPr="00952D2E" w:rsidRDefault="00BA20A2" w:rsidP="00E002CC">
            <w:r w:rsidRPr="00952D2E">
              <w:t>Not Applicable</w:t>
            </w:r>
          </w:p>
        </w:tc>
        <w:tc>
          <w:tcPr>
            <w:tcW w:w="0" w:type="auto"/>
            <w:vAlign w:val="center"/>
            <w:hideMark/>
          </w:tcPr>
          <w:p w:rsidR="00BA20A2" w:rsidRPr="00952D2E" w:rsidRDefault="00BA20A2" w:rsidP="00E002CC">
            <w:r w:rsidRPr="00952D2E">
              <w:t>Widening participation reinforces class divisions; universities commodify education</w:t>
            </w:r>
          </w:p>
        </w:tc>
        <w:tc>
          <w:tcPr>
            <w:tcW w:w="0" w:type="auto"/>
            <w:vAlign w:val="center"/>
            <w:hideMark/>
          </w:tcPr>
          <w:p w:rsidR="00BA20A2" w:rsidRPr="00952D2E" w:rsidRDefault="00BA20A2" w:rsidP="00E002CC">
            <w:r w:rsidRPr="00952D2E">
              <w:t>Challenges the meritocratic narrative, linking policies to systemic inequality in higher education.</w:t>
            </w:r>
          </w:p>
        </w:tc>
      </w:tr>
    </w:tbl>
    <w:p w:rsidR="00BA20A2" w:rsidRPr="00952D2E" w:rsidRDefault="00BA20A2" w:rsidP="00BA20A2">
      <w:r>
        <w:pict>
          <v:rect id="_x0000_i1096" style="width:0;height:1.5pt" o:hralign="center" o:hrstd="t" o:hr="t" fillcolor="#a0a0a0" stroked="f"/>
        </w:pict>
      </w:r>
    </w:p>
    <w:p w:rsidR="00BA20A2" w:rsidRPr="00952D2E" w:rsidRDefault="00BA20A2" w:rsidP="00BA20A2">
      <w:pPr>
        <w:rPr>
          <w:b/>
          <w:bCs/>
        </w:rPr>
      </w:pPr>
      <w:r w:rsidRPr="00952D2E">
        <w:rPr>
          <w:b/>
          <w:bCs/>
        </w:rPr>
        <w:t>Conclusion</w:t>
      </w:r>
    </w:p>
    <w:p w:rsidR="00BA20A2" w:rsidRPr="00952D2E" w:rsidRDefault="00BA20A2" w:rsidP="00BA20A2">
      <w:r w:rsidRPr="00952D2E">
        <w:t>Cunningham and Samson’s work offers a critical lens on systemic inequities in English higher education. Its emphasis on neoliberal policies’ role in sustaining class divisions highlights the need for equity-driven reforms. By aligning structural critique with policy recommendations, the study lays a foundation for further intersectional and empirical research.</w:t>
      </w:r>
    </w:p>
    <w:p w:rsidR="00BA20A2" w:rsidRDefault="00BA20A2" w:rsidP="008C3E3C">
      <w:pPr>
        <w:rPr>
          <w:rFonts w:cstheme="minorHAnsi"/>
          <w:b/>
          <w:bCs/>
          <w:color w:val="000000" w:themeColor="text1"/>
        </w:rPr>
      </w:pPr>
    </w:p>
    <w:p w:rsidR="008C3E3C" w:rsidRDefault="008C3E3C" w:rsidP="008C3E3C">
      <w:pPr>
        <w:rPr>
          <w:rFonts w:cstheme="minorHAnsi"/>
          <w:b/>
          <w:bCs/>
          <w:color w:val="000000" w:themeColor="text1"/>
        </w:rPr>
      </w:pPr>
      <w:r>
        <w:rPr>
          <w:rFonts w:cstheme="minorHAnsi"/>
          <w:b/>
          <w:bCs/>
          <w:color w:val="000000" w:themeColor="text1"/>
        </w:rPr>
        <w:t>Paper 4</w:t>
      </w:r>
    </w:p>
    <w:p w:rsidR="00BA20A2" w:rsidRPr="00AF4467" w:rsidRDefault="00BA20A2" w:rsidP="00BA20A2">
      <w:r w:rsidRPr="00AF4467">
        <w:t>Critical Review of "The Working Classes and Higher Education: Meritocratic Fallacies of Upward Mobility in the United Kingdom" by Diane Reay</w:t>
      </w:r>
    </w:p>
    <w:p w:rsidR="00BA20A2" w:rsidRPr="00AF4467" w:rsidRDefault="00BA20A2" w:rsidP="00BA20A2">
      <w:r>
        <w:lastRenderedPageBreak/>
        <w:pict>
          <v:rect id="_x0000_i1101" style="width:0;height:1.5pt" o:hralign="center" o:hrstd="t" o:hr="t" fillcolor="#a0a0a0" stroked="f"/>
        </w:pict>
      </w:r>
    </w:p>
    <w:p w:rsidR="00BA20A2" w:rsidRPr="00AF4467" w:rsidRDefault="00BA20A2" w:rsidP="00BA20A2">
      <w:pPr>
        <w:rPr>
          <w:b/>
          <w:bCs/>
        </w:rPr>
      </w:pPr>
      <w:r w:rsidRPr="00AF4467">
        <w:rPr>
          <w:b/>
          <w:bCs/>
        </w:rPr>
        <w:t>Content Summary (100 Words)</w:t>
      </w:r>
    </w:p>
    <w:p w:rsidR="00BA20A2" w:rsidRPr="00AF4467" w:rsidRDefault="00BA20A2" w:rsidP="00BA20A2">
      <w:pPr>
        <w:numPr>
          <w:ilvl w:val="0"/>
          <w:numId w:val="1"/>
        </w:numPr>
      </w:pPr>
      <w:r w:rsidRPr="00AF4467">
        <w:rPr>
          <w:b/>
          <w:bCs/>
        </w:rPr>
        <w:t>Purpose</w:t>
      </w:r>
      <w:r w:rsidRPr="00AF4467">
        <w:t>: The study explores the systemic disadvantages experienced by working-class students in elite UK universities, focusing on their marginalization in academic and social settings. Using Bourdieu's concepts of habitus, capitals, and field, the research examines the tensions between working-class habitus and elite educational institutions.</w:t>
      </w:r>
    </w:p>
    <w:p w:rsidR="00BA20A2" w:rsidRPr="00AF4467" w:rsidRDefault="00BA20A2" w:rsidP="00BA20A2">
      <w:pPr>
        <w:numPr>
          <w:ilvl w:val="0"/>
          <w:numId w:val="1"/>
        </w:numPr>
      </w:pPr>
      <w:r w:rsidRPr="00AF4467">
        <w:rPr>
          <w:b/>
          <w:bCs/>
        </w:rPr>
        <w:t>Currency</w:t>
      </w:r>
      <w:r w:rsidRPr="00AF4467">
        <w:t>: Published in 2021, the study is current, reflecting ongoing debates on inequality in higher education. It highlights critical social issues and advocates for systemic reforms.</w:t>
      </w:r>
    </w:p>
    <w:p w:rsidR="00BA20A2" w:rsidRPr="00AF4467" w:rsidRDefault="00BA20A2" w:rsidP="00BA20A2">
      <w:r>
        <w:pict>
          <v:rect id="_x0000_i1102" style="width:0;height:1.5pt" o:hralign="center" o:hrstd="t" o:hr="t" fillcolor="#a0a0a0" stroked="f"/>
        </w:pict>
      </w:r>
    </w:p>
    <w:p w:rsidR="00BA20A2" w:rsidRPr="00AF4467" w:rsidRDefault="00BA20A2" w:rsidP="00BA20A2">
      <w:pPr>
        <w:rPr>
          <w:b/>
          <w:bCs/>
        </w:rPr>
      </w:pPr>
      <w:r w:rsidRPr="00AF4467">
        <w:rPr>
          <w:b/>
          <w:bCs/>
        </w:rPr>
        <w:t>Analysis (100 Words)</w:t>
      </w:r>
    </w:p>
    <w:p w:rsidR="00BA20A2" w:rsidRPr="00AF4467" w:rsidRDefault="00BA20A2" w:rsidP="00BA20A2">
      <w:pPr>
        <w:rPr>
          <w:b/>
          <w:bCs/>
        </w:rPr>
      </w:pPr>
      <w:r w:rsidRPr="00AF4467">
        <w:rPr>
          <w:b/>
          <w:bCs/>
        </w:rPr>
        <w:t>Authority</w:t>
      </w:r>
    </w:p>
    <w:p w:rsidR="00BA20A2" w:rsidRPr="00AF4467" w:rsidRDefault="00BA20A2" w:rsidP="00BA20A2">
      <w:pPr>
        <w:numPr>
          <w:ilvl w:val="0"/>
          <w:numId w:val="2"/>
        </w:numPr>
      </w:pPr>
      <w:r w:rsidRPr="00AF4467">
        <w:rPr>
          <w:b/>
          <w:bCs/>
        </w:rPr>
        <w:t>Author</w:t>
      </w:r>
      <w:r w:rsidRPr="00AF4467">
        <w:t>: Diane Reay is a professor at the University of Cambridge, specializing in sociology and education.</w:t>
      </w:r>
    </w:p>
    <w:p w:rsidR="00BA20A2" w:rsidRPr="00AF4467" w:rsidRDefault="00BA20A2" w:rsidP="00BA20A2">
      <w:pPr>
        <w:numPr>
          <w:ilvl w:val="0"/>
          <w:numId w:val="2"/>
        </w:numPr>
      </w:pPr>
      <w:r w:rsidRPr="00AF4467">
        <w:rPr>
          <w:b/>
          <w:bCs/>
        </w:rPr>
        <w:t>Credibility</w:t>
      </w:r>
      <w:r w:rsidRPr="00AF4467">
        <w:t>: Reay is widely recognized for her expertise in class-based inequalities and higher education. Her affiliation with Cambridge enhances the study's authority.</w:t>
      </w:r>
    </w:p>
    <w:p w:rsidR="00BA20A2" w:rsidRPr="00AF4467" w:rsidRDefault="00BA20A2" w:rsidP="00BA20A2">
      <w:pPr>
        <w:rPr>
          <w:b/>
          <w:bCs/>
        </w:rPr>
      </w:pPr>
      <w:r w:rsidRPr="00AF4467">
        <w:rPr>
          <w:b/>
          <w:bCs/>
        </w:rPr>
        <w:t>Methodology</w:t>
      </w:r>
    </w:p>
    <w:p w:rsidR="00BA20A2" w:rsidRPr="00AF4467" w:rsidRDefault="00BA20A2" w:rsidP="00BA20A2">
      <w:pPr>
        <w:numPr>
          <w:ilvl w:val="0"/>
          <w:numId w:val="3"/>
        </w:numPr>
      </w:pPr>
      <w:r w:rsidRPr="00AF4467">
        <w:rPr>
          <w:b/>
          <w:bCs/>
        </w:rPr>
        <w:t>Qualitative</w:t>
      </w:r>
      <w:r w:rsidRPr="00AF4467">
        <w:t xml:space="preserve">: Grounded theory and Bourdieu’s framework were used to </w:t>
      </w:r>
      <w:proofErr w:type="spellStart"/>
      <w:r w:rsidRPr="00AF4467">
        <w:t>analyze</w:t>
      </w:r>
      <w:proofErr w:type="spellEnd"/>
      <w:r w:rsidRPr="00AF4467">
        <w:t xml:space="preserve"> nine interviews with working-class students and focus groups with 11 upper/middle-class peers.</w:t>
      </w:r>
    </w:p>
    <w:p w:rsidR="00BA20A2" w:rsidRPr="00AF4467" w:rsidRDefault="00BA20A2" w:rsidP="00BA20A2">
      <w:pPr>
        <w:numPr>
          <w:ilvl w:val="0"/>
          <w:numId w:val="3"/>
        </w:numPr>
      </w:pPr>
      <w:r w:rsidRPr="00AF4467">
        <w:rPr>
          <w:b/>
          <w:bCs/>
        </w:rPr>
        <w:t>Ontological Perspective</w:t>
      </w:r>
      <w:r w:rsidRPr="00AF4467">
        <w:t>: Social realities are treated as constructed and shaped by class hierarchies and power dynamics.</w:t>
      </w:r>
    </w:p>
    <w:p w:rsidR="00BA20A2" w:rsidRPr="00AF4467" w:rsidRDefault="00BA20A2" w:rsidP="00BA20A2">
      <w:pPr>
        <w:numPr>
          <w:ilvl w:val="0"/>
          <w:numId w:val="3"/>
        </w:numPr>
      </w:pPr>
      <w:r w:rsidRPr="00AF4467">
        <w:rPr>
          <w:b/>
          <w:bCs/>
        </w:rPr>
        <w:t>Epistemological Perspective</w:t>
      </w:r>
      <w:r w:rsidRPr="00AF4467">
        <w:t>: Interpretivist; knowledge is generated through participants' lived experiences and narratives.</w:t>
      </w:r>
    </w:p>
    <w:p w:rsidR="00BA20A2" w:rsidRPr="00AF4467" w:rsidRDefault="00BA20A2" w:rsidP="00BA20A2">
      <w:r>
        <w:pict>
          <v:rect id="_x0000_i1103" style="width:0;height:1.5pt" o:hralign="center" o:hrstd="t" o:hr="t" fillcolor="#a0a0a0" stroked="f"/>
        </w:pict>
      </w:r>
    </w:p>
    <w:p w:rsidR="00BA20A2" w:rsidRPr="00AF4467" w:rsidRDefault="00BA20A2" w:rsidP="00BA20A2">
      <w:pPr>
        <w:rPr>
          <w:b/>
          <w:bCs/>
        </w:rPr>
      </w:pPr>
      <w:r w:rsidRPr="00AF4467">
        <w:rPr>
          <w:b/>
          <w:bCs/>
        </w:rPr>
        <w:t>Critical Assessment (200 Words)</w:t>
      </w:r>
    </w:p>
    <w:p w:rsidR="00BA20A2" w:rsidRPr="00AF4467" w:rsidRDefault="00BA20A2" w:rsidP="00BA20A2">
      <w:pPr>
        <w:rPr>
          <w:b/>
          <w:bCs/>
        </w:rPr>
      </w:pPr>
      <w:r w:rsidRPr="00AF4467">
        <w:rPr>
          <w:b/>
          <w:bCs/>
        </w:rPr>
        <w:t>Accuracy</w:t>
      </w:r>
    </w:p>
    <w:p w:rsidR="00BA20A2" w:rsidRPr="00AF4467" w:rsidRDefault="00BA20A2" w:rsidP="00BA20A2">
      <w:r w:rsidRPr="00AF4467">
        <w:t>The study employs rigorous methods, using Bourdieu's framework to interpret social class impacts on educational experiences. Interviews and focus groups ensure robust primary data collection. However, limited sample diversity (e.g., absence of BAME participants) reduces generalizability.</w:t>
      </w:r>
    </w:p>
    <w:p w:rsidR="00BA20A2" w:rsidRPr="00AF4467" w:rsidRDefault="00BA20A2" w:rsidP="00BA20A2">
      <w:pPr>
        <w:rPr>
          <w:b/>
          <w:bCs/>
        </w:rPr>
      </w:pPr>
      <w:r w:rsidRPr="00AF4467">
        <w:rPr>
          <w:b/>
          <w:bCs/>
        </w:rPr>
        <w:t>Objectivity</w:t>
      </w:r>
    </w:p>
    <w:p w:rsidR="00BA20A2" w:rsidRPr="00AF4467" w:rsidRDefault="00BA20A2" w:rsidP="00BA20A2">
      <w:r w:rsidRPr="00AF4467">
        <w:lastRenderedPageBreak/>
        <w:t>The research critically examines institutional cultures but may reflect implicit biases toward elite universities. While evidence supports claims, stronger inclusion of participant diversity (e.g., race, gender) would provide a fuller perspective.</w:t>
      </w:r>
    </w:p>
    <w:p w:rsidR="00BA20A2" w:rsidRPr="00AF4467" w:rsidRDefault="00BA20A2" w:rsidP="00BA20A2">
      <w:pPr>
        <w:rPr>
          <w:b/>
          <w:bCs/>
        </w:rPr>
      </w:pPr>
      <w:r w:rsidRPr="00AF4467">
        <w:rPr>
          <w:b/>
          <w:bCs/>
        </w:rPr>
        <w:t>Currency</w:t>
      </w:r>
    </w:p>
    <w:p w:rsidR="00BA20A2" w:rsidRPr="00AF4467" w:rsidRDefault="00BA20A2" w:rsidP="00BA20A2">
      <w:r w:rsidRPr="00AF4467">
        <w:t>Given the persistence of inequality in elite UK universities, the study remains relevant. Its critique of meritocracy aligns with contemporary social mobility debates.</w:t>
      </w:r>
    </w:p>
    <w:p w:rsidR="00BA20A2" w:rsidRPr="00AF4467" w:rsidRDefault="00BA20A2" w:rsidP="00BA20A2">
      <w:pPr>
        <w:rPr>
          <w:b/>
          <w:bCs/>
        </w:rPr>
      </w:pPr>
      <w:r w:rsidRPr="00AF4467">
        <w:rPr>
          <w:b/>
          <w:bCs/>
        </w:rPr>
        <w:t>Coverage</w:t>
      </w:r>
    </w:p>
    <w:p w:rsidR="00BA20A2" w:rsidRPr="00AF4467" w:rsidRDefault="00BA20A2" w:rsidP="00BA20A2">
      <w:r w:rsidRPr="00AF4467">
        <w:t>The study provides a nuanced understanding of class exclusions but lacks intersectional insights (e.g., race and gender). More diverse participant demographics and longitudinal approaches could enhance findings.</w:t>
      </w:r>
    </w:p>
    <w:p w:rsidR="00BA20A2" w:rsidRPr="00AF4467" w:rsidRDefault="00BA20A2" w:rsidP="00BA20A2">
      <w:r>
        <w:pict>
          <v:rect id="_x0000_i1104" style="width:0;height:1.5pt" o:hralign="center" o:hrstd="t" o:hr="t" fillcolor="#a0a0a0" stroked="f"/>
        </w:pict>
      </w:r>
    </w:p>
    <w:p w:rsidR="00BA20A2" w:rsidRPr="00AF4467" w:rsidRDefault="00BA20A2" w:rsidP="00BA20A2">
      <w:pPr>
        <w:rPr>
          <w:b/>
          <w:bCs/>
        </w:rPr>
      </w:pPr>
      <w:r w:rsidRPr="00AF4467">
        <w:rPr>
          <w:b/>
          <w:bCs/>
        </w:rPr>
        <w:t>Synthesis</w:t>
      </w:r>
    </w:p>
    <w:p w:rsidR="00BA20A2" w:rsidRPr="00AF4467" w:rsidRDefault="00BA20A2" w:rsidP="00BA20A2">
      <w:r w:rsidRPr="00AF4467">
        <w:t>This research effectively critiques meritocratic narratives and emphasizes systemic reform. It highlights exclusionary practices but could deepen its impact through broader intersectional analysis and larger, more diverse sample sizes. Future studies should explore race, gender, and socioeconomic intersections and include longitudinal data to understand long-term outcomes of institutional reforms.</w:t>
      </w:r>
    </w:p>
    <w:p w:rsidR="00BA20A2" w:rsidRPr="00AF4467" w:rsidRDefault="00BA20A2" w:rsidP="00BA20A2">
      <w:r>
        <w:pict>
          <v:rect id="_x0000_i1105" style="width:0;height:1.5pt" o:hralign="center" o:hrstd="t" o:hr="t" fillcolor="#a0a0a0" stroked="f"/>
        </w:pict>
      </w:r>
    </w:p>
    <w:p w:rsidR="00BA20A2" w:rsidRPr="00AF4467" w:rsidRDefault="00BA20A2" w:rsidP="00BA20A2">
      <w:pPr>
        <w:rPr>
          <w:b/>
          <w:bCs/>
        </w:rPr>
      </w:pPr>
      <w:r w:rsidRPr="00AF4467">
        <w:rPr>
          <w:b/>
          <w:bCs/>
        </w:rPr>
        <w:t>Ontological, Epistemological, and Axiological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4"/>
        <w:gridCol w:w="7612"/>
      </w:tblGrid>
      <w:tr w:rsidR="00BA20A2" w:rsidRPr="00AF4467" w:rsidTr="00E002CC">
        <w:trPr>
          <w:tblHeader/>
          <w:tblCellSpacing w:w="15" w:type="dxa"/>
        </w:trPr>
        <w:tc>
          <w:tcPr>
            <w:tcW w:w="0" w:type="auto"/>
            <w:vAlign w:val="center"/>
            <w:hideMark/>
          </w:tcPr>
          <w:p w:rsidR="00BA20A2" w:rsidRPr="00AF4467" w:rsidRDefault="00BA20A2" w:rsidP="00E002CC">
            <w:pPr>
              <w:rPr>
                <w:b/>
                <w:bCs/>
              </w:rPr>
            </w:pPr>
            <w:r w:rsidRPr="00AF4467">
              <w:rPr>
                <w:b/>
                <w:bCs/>
              </w:rPr>
              <w:t>Aspect</w:t>
            </w:r>
          </w:p>
        </w:tc>
        <w:tc>
          <w:tcPr>
            <w:tcW w:w="0" w:type="auto"/>
            <w:vAlign w:val="center"/>
            <w:hideMark/>
          </w:tcPr>
          <w:p w:rsidR="00BA20A2" w:rsidRPr="00AF4467" w:rsidRDefault="00BA20A2" w:rsidP="00E002CC">
            <w:pPr>
              <w:rPr>
                <w:b/>
                <w:bCs/>
              </w:rPr>
            </w:pPr>
            <w:r w:rsidRPr="00AF4467">
              <w:rPr>
                <w:b/>
                <w:bCs/>
              </w:rPr>
              <w:t>Details</w:t>
            </w:r>
          </w:p>
        </w:tc>
      </w:tr>
      <w:tr w:rsidR="00BA20A2" w:rsidRPr="00AF4467" w:rsidTr="00E002CC">
        <w:trPr>
          <w:tblCellSpacing w:w="15" w:type="dxa"/>
        </w:trPr>
        <w:tc>
          <w:tcPr>
            <w:tcW w:w="0" w:type="auto"/>
            <w:vAlign w:val="center"/>
            <w:hideMark/>
          </w:tcPr>
          <w:p w:rsidR="00BA20A2" w:rsidRPr="00AF4467" w:rsidRDefault="00BA20A2" w:rsidP="00E002CC">
            <w:r w:rsidRPr="00AF4467">
              <w:rPr>
                <w:b/>
                <w:bCs/>
              </w:rPr>
              <w:t>Ontology</w:t>
            </w:r>
          </w:p>
        </w:tc>
        <w:tc>
          <w:tcPr>
            <w:tcW w:w="0" w:type="auto"/>
            <w:vAlign w:val="center"/>
            <w:hideMark/>
          </w:tcPr>
          <w:p w:rsidR="00BA20A2" w:rsidRPr="00AF4467" w:rsidRDefault="00BA20A2" w:rsidP="00E002CC">
            <w:r w:rsidRPr="00AF4467">
              <w:t>Reality is socially constructed; elite education perpetuates class hierarchies.</w:t>
            </w:r>
          </w:p>
        </w:tc>
      </w:tr>
      <w:tr w:rsidR="00BA20A2" w:rsidRPr="00AF4467" w:rsidTr="00E002CC">
        <w:trPr>
          <w:tblCellSpacing w:w="15" w:type="dxa"/>
        </w:trPr>
        <w:tc>
          <w:tcPr>
            <w:tcW w:w="0" w:type="auto"/>
            <w:vAlign w:val="center"/>
            <w:hideMark/>
          </w:tcPr>
          <w:p w:rsidR="00BA20A2" w:rsidRPr="00AF4467" w:rsidRDefault="00BA20A2" w:rsidP="00E002CC">
            <w:r w:rsidRPr="00AF4467">
              <w:rPr>
                <w:b/>
                <w:bCs/>
              </w:rPr>
              <w:t>Epistemology</w:t>
            </w:r>
          </w:p>
        </w:tc>
        <w:tc>
          <w:tcPr>
            <w:tcW w:w="0" w:type="auto"/>
            <w:vAlign w:val="center"/>
            <w:hideMark/>
          </w:tcPr>
          <w:p w:rsidR="00BA20A2" w:rsidRPr="00AF4467" w:rsidRDefault="00BA20A2" w:rsidP="00E002CC">
            <w:r w:rsidRPr="00AF4467">
              <w:t>Knowledge is derived through lived experiences of working-class students.</w:t>
            </w:r>
          </w:p>
        </w:tc>
      </w:tr>
      <w:tr w:rsidR="00BA20A2" w:rsidRPr="00AF4467" w:rsidTr="00E002CC">
        <w:trPr>
          <w:tblCellSpacing w:w="15" w:type="dxa"/>
        </w:trPr>
        <w:tc>
          <w:tcPr>
            <w:tcW w:w="0" w:type="auto"/>
            <w:vAlign w:val="center"/>
            <w:hideMark/>
          </w:tcPr>
          <w:p w:rsidR="00BA20A2" w:rsidRPr="00AF4467" w:rsidRDefault="00BA20A2" w:rsidP="00E002CC">
            <w:r w:rsidRPr="00AF4467">
              <w:rPr>
                <w:b/>
                <w:bCs/>
              </w:rPr>
              <w:t>Axiology</w:t>
            </w:r>
          </w:p>
        </w:tc>
        <w:tc>
          <w:tcPr>
            <w:tcW w:w="0" w:type="auto"/>
            <w:vAlign w:val="center"/>
            <w:hideMark/>
          </w:tcPr>
          <w:p w:rsidR="00BA20A2" w:rsidRPr="00AF4467" w:rsidRDefault="00BA20A2" w:rsidP="00E002CC">
            <w:r w:rsidRPr="00AF4467">
              <w:t>Advocates for equity and systemic change to address educational inequalities.</w:t>
            </w:r>
          </w:p>
        </w:tc>
      </w:tr>
      <w:tr w:rsidR="00BA20A2" w:rsidRPr="00AF4467" w:rsidTr="00E002CC">
        <w:trPr>
          <w:tblCellSpacing w:w="15" w:type="dxa"/>
        </w:trPr>
        <w:tc>
          <w:tcPr>
            <w:tcW w:w="0" w:type="auto"/>
            <w:vAlign w:val="center"/>
            <w:hideMark/>
          </w:tcPr>
          <w:p w:rsidR="00BA20A2" w:rsidRPr="00AF4467" w:rsidRDefault="00BA20A2" w:rsidP="00E002CC">
            <w:r w:rsidRPr="00AF4467">
              <w:rPr>
                <w:b/>
                <w:bCs/>
              </w:rPr>
              <w:t>Strengths</w:t>
            </w:r>
          </w:p>
        </w:tc>
        <w:tc>
          <w:tcPr>
            <w:tcW w:w="0" w:type="auto"/>
            <w:vAlign w:val="center"/>
            <w:hideMark/>
          </w:tcPr>
          <w:p w:rsidR="00BA20A2" w:rsidRPr="00AF4467" w:rsidRDefault="00BA20A2" w:rsidP="00E002CC">
            <w:r w:rsidRPr="00AF4467">
              <w:t>Comprehensive use of Bourdieu’s framework; robust qualitative approach.</w:t>
            </w:r>
          </w:p>
        </w:tc>
      </w:tr>
      <w:tr w:rsidR="00BA20A2" w:rsidRPr="00AF4467" w:rsidTr="00E002CC">
        <w:trPr>
          <w:tblCellSpacing w:w="15" w:type="dxa"/>
        </w:trPr>
        <w:tc>
          <w:tcPr>
            <w:tcW w:w="0" w:type="auto"/>
            <w:vAlign w:val="center"/>
            <w:hideMark/>
          </w:tcPr>
          <w:p w:rsidR="00BA20A2" w:rsidRPr="00AF4467" w:rsidRDefault="00BA20A2" w:rsidP="00E002CC">
            <w:r w:rsidRPr="00AF4467">
              <w:rPr>
                <w:b/>
                <w:bCs/>
              </w:rPr>
              <w:t>Weaknesses</w:t>
            </w:r>
          </w:p>
        </w:tc>
        <w:tc>
          <w:tcPr>
            <w:tcW w:w="0" w:type="auto"/>
            <w:vAlign w:val="center"/>
            <w:hideMark/>
          </w:tcPr>
          <w:p w:rsidR="00BA20A2" w:rsidRPr="00AF4467" w:rsidRDefault="00BA20A2" w:rsidP="00E002CC">
            <w:r w:rsidRPr="00AF4467">
              <w:t>Limited sample size and diversity; absence of longitudinal analysis or intersectionality.</w:t>
            </w:r>
          </w:p>
        </w:tc>
      </w:tr>
    </w:tbl>
    <w:p w:rsidR="00BA20A2" w:rsidRPr="00AF4467" w:rsidRDefault="00BA20A2" w:rsidP="00BA20A2">
      <w:pPr>
        <w:rPr>
          <w:b/>
          <w:bCs/>
        </w:rPr>
      </w:pPr>
      <w:r w:rsidRPr="00AF4467">
        <w:rPr>
          <w:b/>
          <w:bCs/>
        </w:rPr>
        <w:t>Recommendations for Improvement</w:t>
      </w:r>
    </w:p>
    <w:p w:rsidR="00BA20A2" w:rsidRPr="00AF4467" w:rsidRDefault="00BA20A2" w:rsidP="00BA20A2">
      <w:pPr>
        <w:numPr>
          <w:ilvl w:val="0"/>
          <w:numId w:val="4"/>
        </w:numPr>
      </w:pPr>
      <w:r w:rsidRPr="00AF4467">
        <w:t>Broaden participant demographics (include BAME and gender-diverse perspectives).</w:t>
      </w:r>
    </w:p>
    <w:p w:rsidR="00BA20A2" w:rsidRPr="00AF4467" w:rsidRDefault="00BA20A2" w:rsidP="00BA20A2">
      <w:pPr>
        <w:numPr>
          <w:ilvl w:val="0"/>
          <w:numId w:val="4"/>
        </w:numPr>
      </w:pPr>
      <w:r w:rsidRPr="00AF4467">
        <w:t>Incorporate intersectional and longitudinal methodologies.</w:t>
      </w:r>
    </w:p>
    <w:p w:rsidR="00BA20A2" w:rsidRPr="00AF4467" w:rsidRDefault="00BA20A2" w:rsidP="00BA20A2">
      <w:pPr>
        <w:numPr>
          <w:ilvl w:val="0"/>
          <w:numId w:val="4"/>
        </w:numPr>
      </w:pPr>
      <w:r w:rsidRPr="00AF4467">
        <w:t>Expand the study to explore systemic reforms beyond elite institutions.</w:t>
      </w:r>
    </w:p>
    <w:p w:rsidR="00BA20A2" w:rsidRDefault="00BA20A2" w:rsidP="008C3E3C">
      <w:pPr>
        <w:rPr>
          <w:rFonts w:cstheme="minorHAnsi"/>
          <w:b/>
          <w:bCs/>
          <w:color w:val="000000" w:themeColor="text1"/>
        </w:rPr>
      </w:pPr>
    </w:p>
    <w:p w:rsidR="00BA20A2" w:rsidRDefault="00BA20A2" w:rsidP="008C3E3C">
      <w:pPr>
        <w:rPr>
          <w:rFonts w:cstheme="minorHAnsi"/>
          <w:color w:val="000000" w:themeColor="text1"/>
        </w:rPr>
      </w:pPr>
    </w:p>
    <w:p w:rsidR="00BA20A2" w:rsidRDefault="00BA20A2" w:rsidP="008C3E3C">
      <w:pPr>
        <w:rPr>
          <w:rFonts w:cstheme="minorHAnsi"/>
          <w:color w:val="000000" w:themeColor="text1"/>
        </w:rPr>
      </w:pPr>
    </w:p>
    <w:p w:rsidR="008C3E3C" w:rsidRDefault="008C3E3C" w:rsidP="008C3E3C">
      <w:pPr>
        <w:rPr>
          <w:rFonts w:cstheme="minorHAnsi"/>
          <w:b/>
          <w:bCs/>
          <w:color w:val="000000" w:themeColor="text1"/>
        </w:rPr>
      </w:pPr>
      <w:r>
        <w:rPr>
          <w:rFonts w:cstheme="minorHAnsi"/>
          <w:b/>
          <w:bCs/>
          <w:color w:val="000000" w:themeColor="text1"/>
        </w:rPr>
        <w:t>Paper 5</w:t>
      </w:r>
    </w:p>
    <w:p w:rsidR="00BA20A2" w:rsidRPr="00D73C36" w:rsidRDefault="00BA20A2" w:rsidP="00BA20A2">
      <w:r w:rsidRPr="00D73C36">
        <w:t>Exploring Socioeconomic Inequalities and Access to Elite Postgraduate Education Among English Graduates</w:t>
      </w:r>
    </w:p>
    <w:p w:rsidR="00BA20A2" w:rsidRPr="00D73C36" w:rsidRDefault="00BA20A2" w:rsidP="00BA20A2">
      <w:r w:rsidRPr="00D73C36">
        <w:rPr>
          <w:b/>
          <w:bCs/>
        </w:rPr>
        <w:t>Content Summary (100 Words)</w:t>
      </w:r>
      <w:r w:rsidRPr="00D73C36">
        <w:br/>
      </w:r>
      <w:r w:rsidRPr="00D73C36">
        <w:rPr>
          <w:b/>
          <w:bCs/>
        </w:rPr>
        <w:t>Purpose</w:t>
      </w:r>
      <w:r w:rsidRPr="00D73C36">
        <w:t>: This study investigates how socioeconomic factors influence access to postgraduate education in elite UK institutions, focusing on Russell Group universities.</w:t>
      </w:r>
      <w:r w:rsidRPr="00D73C36">
        <w:br/>
      </w:r>
      <w:r w:rsidRPr="00D73C36">
        <w:rPr>
          <w:b/>
          <w:bCs/>
        </w:rPr>
        <w:t>Currency</w:t>
      </w:r>
      <w:r w:rsidRPr="00D73C36">
        <w:t>: Published in 2021, the research uses data from the UK Higher Education Statistics Agency (</w:t>
      </w:r>
      <w:proofErr w:type="spellStart"/>
      <w:r w:rsidRPr="00D73C36">
        <w:t>HESA</w:t>
      </w:r>
      <w:proofErr w:type="spellEnd"/>
      <w:r w:rsidRPr="00D73C36">
        <w:t>), specifically for graduates between 2015–2017.</w:t>
      </w:r>
      <w:r w:rsidRPr="00D73C36">
        <w:br/>
        <w:t>Key findings show significant inequalities mediated by undergraduate institutional type and academic achievement, with advantaged students more likely to access elite postgraduate programs. Educational pathways strongly predict progression. The paper emphasizes institutional stratification and advocates for reforms to broaden access.</w:t>
      </w:r>
    </w:p>
    <w:p w:rsidR="00BA20A2" w:rsidRPr="00D73C36" w:rsidRDefault="00BA20A2" w:rsidP="00BA20A2">
      <w:r w:rsidRPr="00D73C36">
        <w:rPr>
          <w:b/>
          <w:bCs/>
        </w:rPr>
        <w:t>Analysis (Description) (100 Words)</w:t>
      </w:r>
      <w:r w:rsidRPr="00D73C36">
        <w:br/>
      </w:r>
      <w:r w:rsidRPr="00D73C36">
        <w:rPr>
          <w:b/>
          <w:bCs/>
        </w:rPr>
        <w:t>Authority</w:t>
      </w:r>
      <w:r w:rsidRPr="00D73C36">
        <w:t>: José Luis Mateos-González and Paul Wakeling are affiliated with the University of York, a reputable institution. Their expertise in higher education and social mobility reinforces their credibility.</w:t>
      </w:r>
      <w:r w:rsidRPr="00D73C36">
        <w:br/>
      </w:r>
      <w:r w:rsidRPr="00D73C36">
        <w:rPr>
          <w:b/>
          <w:bCs/>
        </w:rPr>
        <w:t>Methodology</w:t>
      </w:r>
      <w:r w:rsidRPr="00D73C36">
        <w:t xml:space="preserve">: Quantitative analysis using </w:t>
      </w:r>
      <w:proofErr w:type="spellStart"/>
      <w:r w:rsidRPr="00D73C36">
        <w:t>HESA</w:t>
      </w:r>
      <w:proofErr w:type="spellEnd"/>
      <w:r w:rsidRPr="00D73C36">
        <w:t xml:space="preserve"> data (N=533,885). A multinomial logistic regression approach was employed.</w:t>
      </w:r>
      <w:r w:rsidRPr="00D73C36">
        <w:br/>
      </w:r>
      <w:r w:rsidRPr="00D73C36">
        <w:rPr>
          <w:b/>
          <w:bCs/>
        </w:rPr>
        <w:t>Ontological Perspective</w:t>
      </w:r>
      <w:r w:rsidRPr="00D73C36">
        <w:t>: Relational ontology, focusing on how structural inequalities are mediated by educational pathways.</w:t>
      </w:r>
      <w:r w:rsidRPr="00D73C36">
        <w:br/>
      </w:r>
      <w:r w:rsidRPr="00D73C36">
        <w:rPr>
          <w:b/>
          <w:bCs/>
        </w:rPr>
        <w:t>Epistemological Perspective</w:t>
      </w:r>
      <w:r w:rsidRPr="00D73C36">
        <w:t>: Positivist epistemology, relying on measurable variables such as socioeconomic background and academic trajectories to quantify inequalities.</w:t>
      </w:r>
    </w:p>
    <w:p w:rsidR="00BA20A2" w:rsidRPr="00D73C36" w:rsidRDefault="00BA20A2" w:rsidP="00BA20A2">
      <w:r w:rsidRPr="00D73C36">
        <w:rPr>
          <w:b/>
          <w:bCs/>
        </w:rPr>
        <w:t>Critical Assessment (200 Words)</w:t>
      </w:r>
      <w:r w:rsidRPr="00D73C36">
        <w:br/>
      </w:r>
      <w:r w:rsidRPr="00D73C36">
        <w:rPr>
          <w:b/>
          <w:bCs/>
        </w:rPr>
        <w:t>Accuracy</w:t>
      </w:r>
      <w:r w:rsidRPr="00D73C36">
        <w:t>: The study provides reliable data using large-scale datasets and robust statistical methods, including post-stratification weighting to address survey non-response. However, the reliance on quantitative methods limits the nuanced understanding of individual decision-making processes.</w:t>
      </w:r>
      <w:r w:rsidRPr="00D73C36">
        <w:br/>
      </w:r>
      <w:r w:rsidRPr="00D73C36">
        <w:rPr>
          <w:b/>
          <w:bCs/>
        </w:rPr>
        <w:t>Objectivity</w:t>
      </w:r>
      <w:r w:rsidRPr="00D73C36">
        <w:t>: While advocating for equity, the analysis maintains neutrality in examining institutional stratification's role in perpetuating inequalities. The focus on measurable outcomes reduces potential bias, though qualitative perspectives on lived experiences are absent.</w:t>
      </w:r>
      <w:r w:rsidRPr="00D73C36">
        <w:br/>
      </w:r>
      <w:r w:rsidRPr="00D73C36">
        <w:rPr>
          <w:b/>
          <w:bCs/>
        </w:rPr>
        <w:t>Currency</w:t>
      </w:r>
      <w:r w:rsidRPr="00D73C36">
        <w:t>: Published in 2021, the research is relevant for contemporary discussions on postgraduate education and social mobility. Currency matters given policy changes such as postgraduate loans introduced in 2016.</w:t>
      </w:r>
      <w:r w:rsidRPr="00D73C36">
        <w:br/>
      </w:r>
      <w:r w:rsidRPr="00D73C36">
        <w:rPr>
          <w:b/>
          <w:bCs/>
        </w:rPr>
        <w:lastRenderedPageBreak/>
        <w:t>Coverage</w:t>
      </w:r>
      <w:r w:rsidRPr="00D73C36">
        <w:t>: Comprehensive in examining how socioeconomic and educational variables influence postgraduate access. However, it lacks intersectional analyses of ethnicity and gender, which could broaden its insights.</w:t>
      </w:r>
    </w:p>
    <w:p w:rsidR="00BA20A2" w:rsidRPr="00D73C36" w:rsidRDefault="00BA20A2" w:rsidP="00BA20A2">
      <w:r w:rsidRPr="00D73C36">
        <w:rPr>
          <w:b/>
          <w:bCs/>
        </w:rPr>
        <w:t>Conclusion and Recommendations</w:t>
      </w:r>
      <w:r w:rsidRPr="00D73C36">
        <w:br/>
        <w:t>The authors highlight the persistent inequality in elite postgraduate education, driven by institutional stratification and prior academic achievement. Recommendations include widening access at the undergraduate level to elite institutions to facilitate progression.</w:t>
      </w:r>
    </w:p>
    <w:p w:rsidR="00BA20A2" w:rsidRPr="00D73C36" w:rsidRDefault="00BA20A2" w:rsidP="00BA20A2">
      <w:r w:rsidRPr="00D73C36">
        <w:rPr>
          <w:b/>
          <w:bCs/>
        </w:rPr>
        <w:t>Future Research Directions</w:t>
      </w:r>
      <w:r w:rsidRPr="00D73C36">
        <w:br/>
        <w:t>The study identifies gaps in understanding subjective decision-making processes, institutional stratification across domestic and international contexts, and intersectional dimensions of inequality.</w:t>
      </w:r>
    </w:p>
    <w:p w:rsidR="00BA20A2" w:rsidRPr="00D73C36" w:rsidRDefault="00BA20A2" w:rsidP="00BA20A2">
      <w:r w:rsidRPr="00D73C36">
        <w:rPr>
          <w:b/>
          <w:bCs/>
        </w:rPr>
        <w:t>Table: Summary of Research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3"/>
        <w:gridCol w:w="547"/>
        <w:gridCol w:w="1598"/>
        <w:gridCol w:w="1484"/>
        <w:gridCol w:w="879"/>
        <w:gridCol w:w="1827"/>
        <w:gridCol w:w="1578"/>
      </w:tblGrid>
      <w:tr w:rsidR="00BA20A2" w:rsidRPr="00D73C36" w:rsidTr="00E002CC">
        <w:trPr>
          <w:tblHeader/>
          <w:tblCellSpacing w:w="15" w:type="dxa"/>
        </w:trPr>
        <w:tc>
          <w:tcPr>
            <w:tcW w:w="0" w:type="auto"/>
            <w:vAlign w:val="center"/>
            <w:hideMark/>
          </w:tcPr>
          <w:p w:rsidR="00BA20A2" w:rsidRPr="00D73C36" w:rsidRDefault="00BA20A2" w:rsidP="00E002CC">
            <w:pPr>
              <w:rPr>
                <w:b/>
                <w:bCs/>
              </w:rPr>
            </w:pPr>
            <w:r w:rsidRPr="00D73C36">
              <w:rPr>
                <w:b/>
                <w:bCs/>
              </w:rPr>
              <w:t>Author</w:t>
            </w:r>
          </w:p>
        </w:tc>
        <w:tc>
          <w:tcPr>
            <w:tcW w:w="0" w:type="auto"/>
            <w:vAlign w:val="center"/>
            <w:hideMark/>
          </w:tcPr>
          <w:p w:rsidR="00BA20A2" w:rsidRPr="00D73C36" w:rsidRDefault="00BA20A2" w:rsidP="00E002CC">
            <w:pPr>
              <w:rPr>
                <w:b/>
                <w:bCs/>
              </w:rPr>
            </w:pPr>
            <w:r w:rsidRPr="00D73C36">
              <w:rPr>
                <w:b/>
                <w:bCs/>
              </w:rPr>
              <w:t>Year</w:t>
            </w:r>
          </w:p>
        </w:tc>
        <w:tc>
          <w:tcPr>
            <w:tcW w:w="0" w:type="auto"/>
            <w:vAlign w:val="center"/>
            <w:hideMark/>
          </w:tcPr>
          <w:p w:rsidR="00BA20A2" w:rsidRPr="00D73C36" w:rsidRDefault="00BA20A2" w:rsidP="00E002CC">
            <w:pPr>
              <w:rPr>
                <w:b/>
                <w:bCs/>
              </w:rPr>
            </w:pPr>
            <w:r w:rsidRPr="00D73C36">
              <w:rPr>
                <w:b/>
                <w:bCs/>
              </w:rPr>
              <w:t>Purpose</w:t>
            </w:r>
          </w:p>
        </w:tc>
        <w:tc>
          <w:tcPr>
            <w:tcW w:w="0" w:type="auto"/>
            <w:vAlign w:val="center"/>
            <w:hideMark/>
          </w:tcPr>
          <w:p w:rsidR="00BA20A2" w:rsidRPr="00D73C36" w:rsidRDefault="00BA20A2" w:rsidP="00E002CC">
            <w:pPr>
              <w:rPr>
                <w:b/>
                <w:bCs/>
              </w:rPr>
            </w:pPr>
            <w:r w:rsidRPr="00D73C36">
              <w:rPr>
                <w:b/>
                <w:bCs/>
              </w:rPr>
              <w:t>Methodology</w:t>
            </w:r>
          </w:p>
        </w:tc>
        <w:tc>
          <w:tcPr>
            <w:tcW w:w="0" w:type="auto"/>
            <w:vAlign w:val="center"/>
            <w:hideMark/>
          </w:tcPr>
          <w:p w:rsidR="00BA20A2" w:rsidRPr="00D73C36" w:rsidRDefault="00BA20A2" w:rsidP="00E002CC">
            <w:pPr>
              <w:rPr>
                <w:b/>
                <w:bCs/>
              </w:rPr>
            </w:pPr>
            <w:r w:rsidRPr="00D73C36">
              <w:rPr>
                <w:b/>
                <w:bCs/>
              </w:rPr>
              <w:t>Sample Size</w:t>
            </w:r>
          </w:p>
        </w:tc>
        <w:tc>
          <w:tcPr>
            <w:tcW w:w="0" w:type="auto"/>
            <w:vAlign w:val="center"/>
            <w:hideMark/>
          </w:tcPr>
          <w:p w:rsidR="00BA20A2" w:rsidRPr="00D73C36" w:rsidRDefault="00BA20A2" w:rsidP="00E002CC">
            <w:pPr>
              <w:rPr>
                <w:b/>
                <w:bCs/>
              </w:rPr>
            </w:pPr>
            <w:r w:rsidRPr="00D73C36">
              <w:rPr>
                <w:b/>
                <w:bCs/>
              </w:rPr>
              <w:t>Findings</w:t>
            </w:r>
          </w:p>
        </w:tc>
        <w:tc>
          <w:tcPr>
            <w:tcW w:w="0" w:type="auto"/>
            <w:vAlign w:val="center"/>
            <w:hideMark/>
          </w:tcPr>
          <w:p w:rsidR="00BA20A2" w:rsidRPr="00D73C36" w:rsidRDefault="00BA20A2" w:rsidP="00E002CC">
            <w:pPr>
              <w:rPr>
                <w:b/>
                <w:bCs/>
              </w:rPr>
            </w:pPr>
            <w:r w:rsidRPr="00D73C36">
              <w:rPr>
                <w:b/>
                <w:bCs/>
              </w:rPr>
              <w:t>Uniqueness</w:t>
            </w:r>
          </w:p>
        </w:tc>
      </w:tr>
      <w:tr w:rsidR="00BA20A2" w:rsidRPr="00D73C36" w:rsidTr="00E002CC">
        <w:trPr>
          <w:tblCellSpacing w:w="15" w:type="dxa"/>
        </w:trPr>
        <w:tc>
          <w:tcPr>
            <w:tcW w:w="0" w:type="auto"/>
            <w:vAlign w:val="center"/>
            <w:hideMark/>
          </w:tcPr>
          <w:p w:rsidR="00BA20A2" w:rsidRPr="00D73C36" w:rsidRDefault="00BA20A2" w:rsidP="00E002CC">
            <w:r w:rsidRPr="00D73C36">
              <w:t>Mateos-González &amp; Wakeling</w:t>
            </w:r>
          </w:p>
        </w:tc>
        <w:tc>
          <w:tcPr>
            <w:tcW w:w="0" w:type="auto"/>
            <w:vAlign w:val="center"/>
            <w:hideMark/>
          </w:tcPr>
          <w:p w:rsidR="00BA20A2" w:rsidRPr="00D73C36" w:rsidRDefault="00BA20A2" w:rsidP="00E002CC">
            <w:r w:rsidRPr="00D73C36">
              <w:t>2021</w:t>
            </w:r>
          </w:p>
        </w:tc>
        <w:tc>
          <w:tcPr>
            <w:tcW w:w="0" w:type="auto"/>
            <w:vAlign w:val="center"/>
            <w:hideMark/>
          </w:tcPr>
          <w:p w:rsidR="00BA20A2" w:rsidRPr="00D73C36" w:rsidRDefault="00BA20A2" w:rsidP="00E002CC">
            <w:proofErr w:type="spellStart"/>
            <w:r w:rsidRPr="00D73C36">
              <w:t>Analyze</w:t>
            </w:r>
            <w:proofErr w:type="spellEnd"/>
            <w:r w:rsidRPr="00D73C36">
              <w:t xml:space="preserve"> access to elite postgraduate education</w:t>
            </w:r>
          </w:p>
        </w:tc>
        <w:tc>
          <w:tcPr>
            <w:tcW w:w="0" w:type="auto"/>
            <w:vAlign w:val="center"/>
            <w:hideMark/>
          </w:tcPr>
          <w:p w:rsidR="00BA20A2" w:rsidRPr="00D73C36" w:rsidRDefault="00BA20A2" w:rsidP="00E002CC">
            <w:r w:rsidRPr="00D73C36">
              <w:t>Quantitative (</w:t>
            </w:r>
            <w:proofErr w:type="spellStart"/>
            <w:r w:rsidRPr="00D73C36">
              <w:t>HESA</w:t>
            </w:r>
            <w:proofErr w:type="spellEnd"/>
            <w:r w:rsidRPr="00D73C36">
              <w:t xml:space="preserve"> data)</w:t>
            </w:r>
          </w:p>
        </w:tc>
        <w:tc>
          <w:tcPr>
            <w:tcW w:w="0" w:type="auto"/>
            <w:vAlign w:val="center"/>
            <w:hideMark/>
          </w:tcPr>
          <w:p w:rsidR="00BA20A2" w:rsidRPr="00D73C36" w:rsidRDefault="00BA20A2" w:rsidP="00E002CC">
            <w:r w:rsidRPr="00D73C36">
              <w:t>533,885</w:t>
            </w:r>
          </w:p>
        </w:tc>
        <w:tc>
          <w:tcPr>
            <w:tcW w:w="0" w:type="auto"/>
            <w:vAlign w:val="center"/>
            <w:hideMark/>
          </w:tcPr>
          <w:p w:rsidR="00BA20A2" w:rsidRPr="00D73C36" w:rsidRDefault="00BA20A2" w:rsidP="00E002CC">
            <w:r w:rsidRPr="00D73C36">
              <w:t>Socioeconomic inequality mediated by academic factors</w:t>
            </w:r>
          </w:p>
        </w:tc>
        <w:tc>
          <w:tcPr>
            <w:tcW w:w="0" w:type="auto"/>
            <w:vAlign w:val="center"/>
            <w:hideMark/>
          </w:tcPr>
          <w:p w:rsidR="00BA20A2" w:rsidRPr="00D73C36" w:rsidRDefault="00BA20A2" w:rsidP="00E002CC">
            <w:r w:rsidRPr="00D73C36">
              <w:t>Focus on institutional stratification in PG education</w:t>
            </w:r>
          </w:p>
        </w:tc>
      </w:tr>
    </w:tbl>
    <w:p w:rsidR="00BA20A2" w:rsidRPr="00D73C36" w:rsidRDefault="00BA20A2" w:rsidP="00BA20A2">
      <w:r w:rsidRPr="00D73C36">
        <w:rPr>
          <w:b/>
          <w:bCs/>
        </w:rPr>
        <w:t>Critical Reflection on Theory, Epistemology, Ontology, and Axiology</w:t>
      </w:r>
      <w:r w:rsidRPr="00D73C36">
        <w:br/>
        <w:t>The study effectively aligns its positivist epistemology and relational ontology with its quantitative approach, emphasizing structural barriers. Axiologically, it prioritizes equity in higher education but could incorporate qualitative methods to capture subjective experiences.</w:t>
      </w:r>
    </w:p>
    <w:p w:rsidR="00BA20A2" w:rsidRPr="00D73C36" w:rsidRDefault="00BA20A2" w:rsidP="00BA20A2">
      <w:r w:rsidRPr="00D73C36">
        <w:rPr>
          <w:b/>
          <w:bCs/>
        </w:rPr>
        <w:t>Reliability, Validity, and Bias</w:t>
      </w:r>
      <w:r w:rsidRPr="00D73C36">
        <w:br/>
        <w:t>Reliability is enhanced through a large dataset and robust methodology. Validity is supported by theoretical grounding in maximally and effectively maintained inequality. Potential bias arises from the exclusion of qualitative perspectives and limited intersectionality.</w:t>
      </w:r>
    </w:p>
    <w:p w:rsidR="00BA20A2" w:rsidRPr="00D73C36" w:rsidRDefault="00BA20A2" w:rsidP="00BA20A2">
      <w:r w:rsidRPr="00D73C36">
        <w:rPr>
          <w:b/>
          <w:bCs/>
        </w:rPr>
        <w:t>Ethical Considerations</w:t>
      </w:r>
      <w:r w:rsidRPr="00D73C36">
        <w:br/>
        <w:t>The study adheres to high ethical standards, including data anonymization and a focus on equity. Future research should ensure diverse participant representation to address underexplored dimensions.</w:t>
      </w:r>
    </w:p>
    <w:p w:rsidR="00BA20A2" w:rsidRPr="00D73C36" w:rsidRDefault="00BA20A2" w:rsidP="00BA20A2">
      <w:r w:rsidRPr="00D73C36">
        <w:t>This research emphasizes the importance of broadening access to elite postgraduate programs to mitigate systemic inequalities while suggesting further exploration of nuanced individual and institutional factors.</w:t>
      </w:r>
    </w:p>
    <w:p w:rsidR="00BA20A2" w:rsidRDefault="00BA20A2" w:rsidP="008C3E3C">
      <w:pPr>
        <w:rPr>
          <w:rFonts w:cstheme="minorHAnsi"/>
          <w:b/>
          <w:bCs/>
          <w:color w:val="000000" w:themeColor="text1"/>
        </w:rPr>
      </w:pPr>
    </w:p>
    <w:p w:rsidR="00BA20A2" w:rsidRDefault="00BA20A2" w:rsidP="008C3E3C">
      <w:pPr>
        <w:rPr>
          <w:rFonts w:cstheme="minorHAnsi"/>
          <w:b/>
          <w:bCs/>
          <w:color w:val="000000" w:themeColor="text1"/>
        </w:rPr>
      </w:pPr>
    </w:p>
    <w:p w:rsidR="00AD3D8F" w:rsidRPr="00BC487E" w:rsidRDefault="00AD3D8F" w:rsidP="008C3E3C">
      <w:pPr>
        <w:rPr>
          <w:rFonts w:cstheme="minorHAnsi"/>
          <w:color w:val="000000" w:themeColor="text1"/>
        </w:rPr>
      </w:pPr>
      <w:r w:rsidRPr="00BC487E">
        <w:rPr>
          <w:rFonts w:cstheme="minorHAnsi"/>
          <w:color w:val="000000" w:themeColor="text1"/>
        </w:rPr>
        <w:t>Bakour, Interventions for Enhancing Self-Belief</w:t>
      </w:r>
    </w:p>
    <w:p w:rsidR="008C3E3C" w:rsidRDefault="008C3E3C" w:rsidP="008C3E3C">
      <w:pPr>
        <w:rPr>
          <w:rFonts w:cstheme="minorHAnsi"/>
          <w:b/>
          <w:bCs/>
          <w:color w:val="000000" w:themeColor="text1"/>
        </w:rPr>
      </w:pPr>
      <w:r>
        <w:rPr>
          <w:rFonts w:cstheme="minorHAnsi"/>
          <w:b/>
          <w:bCs/>
          <w:color w:val="000000" w:themeColor="text1"/>
        </w:rPr>
        <w:t>Paper 6</w:t>
      </w:r>
    </w:p>
    <w:p w:rsidR="00AF66D1" w:rsidRPr="00CB79F9" w:rsidRDefault="00AF66D1" w:rsidP="00AF66D1">
      <w:pPr>
        <w:rPr>
          <w:b/>
          <w:bCs/>
        </w:rPr>
      </w:pPr>
      <w:r w:rsidRPr="00CB79F9">
        <w:rPr>
          <w:b/>
          <w:bCs/>
        </w:rPr>
        <w:t>Critical Analysis of "Students' Sense of Belonging and Their Socioeconomic Status in Higher Education: A Quantitative Approach"</w:t>
      </w:r>
    </w:p>
    <w:p w:rsidR="00AF66D1" w:rsidRPr="00CB79F9" w:rsidRDefault="00AF66D1" w:rsidP="00AF66D1">
      <w:r>
        <w:pict>
          <v:rect id="_x0000_i1111" style="width:0;height:1.5pt" o:hralign="center" o:hrstd="t" o:hr="t" fillcolor="#a0a0a0" stroked="f"/>
        </w:pict>
      </w:r>
    </w:p>
    <w:p w:rsidR="00AF66D1" w:rsidRPr="00CB79F9" w:rsidRDefault="00AF66D1" w:rsidP="00AF66D1">
      <w:pPr>
        <w:rPr>
          <w:b/>
          <w:bCs/>
        </w:rPr>
      </w:pPr>
      <w:r w:rsidRPr="00CB79F9">
        <w:rPr>
          <w:b/>
          <w:bCs/>
        </w:rPr>
        <w:t>Content Summary (100 Words)</w:t>
      </w:r>
    </w:p>
    <w:p w:rsidR="00AF66D1" w:rsidRPr="00CB79F9" w:rsidRDefault="00AF66D1" w:rsidP="00AF66D1">
      <w:r w:rsidRPr="00CB79F9">
        <w:rPr>
          <w:b/>
          <w:bCs/>
        </w:rPr>
        <w:t>Purpose</w:t>
      </w:r>
      <w:r w:rsidRPr="00CB79F9">
        <w:t>: The study explores how academic and social engagement impact students’ sense of belonging and retention in higher education, focusing on disadvantaged groups based on age, class, and ethnicity. It employs a quantitative approach using survey data from 380 participants across 16 academic departments.</w:t>
      </w:r>
    </w:p>
    <w:p w:rsidR="00AF66D1" w:rsidRPr="00CB79F9" w:rsidRDefault="00AF66D1" w:rsidP="00AF66D1">
      <w:r w:rsidRPr="00CB79F9">
        <w:rPr>
          <w:b/>
          <w:bCs/>
        </w:rPr>
        <w:t>Currency</w:t>
      </w:r>
      <w:r w:rsidRPr="00CB79F9">
        <w:t>: Published in 2023, the research is current and aligns with contemporary issues in higher education, including socio-economic equity and student retention.</w:t>
      </w:r>
    </w:p>
    <w:p w:rsidR="00AF66D1" w:rsidRPr="00CB79F9" w:rsidRDefault="00AF66D1" w:rsidP="00AF66D1">
      <w:r>
        <w:pict>
          <v:rect id="_x0000_i1112" style="width:0;height:1.5pt" o:hralign="center" o:hrstd="t" o:hr="t" fillcolor="#a0a0a0" stroked="f"/>
        </w:pict>
      </w:r>
    </w:p>
    <w:p w:rsidR="00AF66D1" w:rsidRPr="00CB79F9" w:rsidRDefault="00AF66D1" w:rsidP="00AF66D1">
      <w:pPr>
        <w:rPr>
          <w:b/>
          <w:bCs/>
        </w:rPr>
      </w:pPr>
      <w:r w:rsidRPr="00CB79F9">
        <w:rPr>
          <w:b/>
          <w:bCs/>
        </w:rPr>
        <w:t>Analysis (Description) (100 Words)</w:t>
      </w:r>
    </w:p>
    <w:p w:rsidR="00AF66D1" w:rsidRPr="00CB79F9" w:rsidRDefault="00AF66D1" w:rsidP="00AF66D1">
      <w:r w:rsidRPr="00CB79F9">
        <w:rPr>
          <w:b/>
          <w:bCs/>
        </w:rPr>
        <w:t>Authority</w:t>
      </w:r>
      <w:r w:rsidRPr="00CB79F9">
        <w:t>: The authors, Mi Young Ahn and Howard H. Davis, are affiliated with respected institutions (University College London and Bangor University), specializing in education and social sciences, lending credibility to the study.</w:t>
      </w:r>
    </w:p>
    <w:p w:rsidR="00AF66D1" w:rsidRPr="00CB79F9" w:rsidRDefault="00AF66D1" w:rsidP="00AF66D1">
      <w:r w:rsidRPr="00CB79F9">
        <w:rPr>
          <w:b/>
          <w:bCs/>
        </w:rPr>
        <w:t>Methodology</w:t>
      </w:r>
      <w:r w:rsidRPr="00CB79F9">
        <w:t>: The study uses a quantitative design, incorporating Principal Component Analysis (</w:t>
      </w:r>
      <w:proofErr w:type="spellStart"/>
      <w:r w:rsidRPr="00CB79F9">
        <w:t>PCA</w:t>
      </w:r>
      <w:proofErr w:type="spellEnd"/>
      <w:r w:rsidRPr="00CB79F9">
        <w:t xml:space="preserve">) and t-tests for </w:t>
      </w:r>
      <w:proofErr w:type="spellStart"/>
      <w:r w:rsidRPr="00CB79F9">
        <w:t>analyzing</w:t>
      </w:r>
      <w:proofErr w:type="spellEnd"/>
      <w:r w:rsidRPr="00CB79F9">
        <w:t xml:space="preserve"> survey data, effectively linking socio-economic and demographic factors to belonging and retention.</w:t>
      </w:r>
    </w:p>
    <w:p w:rsidR="00AF66D1" w:rsidRPr="00CB79F9" w:rsidRDefault="00AF66D1" w:rsidP="00AF66D1">
      <w:r w:rsidRPr="00CB79F9">
        <w:rPr>
          <w:b/>
          <w:bCs/>
        </w:rPr>
        <w:t>Ontological Perspective</w:t>
      </w:r>
      <w:r w:rsidRPr="00CB79F9">
        <w:t>: The research assumes belonging as a measurable, objective construct shaped by structural and institutional factors.</w:t>
      </w:r>
    </w:p>
    <w:p w:rsidR="00AF66D1" w:rsidRPr="00CB79F9" w:rsidRDefault="00AF66D1" w:rsidP="00AF66D1">
      <w:r w:rsidRPr="00CB79F9">
        <w:rPr>
          <w:b/>
          <w:bCs/>
        </w:rPr>
        <w:t>Epistemological Perspective</w:t>
      </w:r>
      <w:r w:rsidRPr="00CB79F9">
        <w:t>: It aligns with positivist epistemology, emphasizing quantitative data to establish relationships between belonging, socio-economic status, and retention.</w:t>
      </w:r>
    </w:p>
    <w:p w:rsidR="00AF66D1" w:rsidRPr="00CB79F9" w:rsidRDefault="00AF66D1" w:rsidP="00AF66D1">
      <w:r>
        <w:pict>
          <v:rect id="_x0000_i1113" style="width:0;height:1.5pt" o:hralign="center" o:hrstd="t" o:hr="t" fillcolor="#a0a0a0" stroked="f"/>
        </w:pict>
      </w:r>
    </w:p>
    <w:p w:rsidR="00AF66D1" w:rsidRPr="00CB79F9" w:rsidRDefault="00AF66D1" w:rsidP="00AF66D1">
      <w:pPr>
        <w:rPr>
          <w:b/>
          <w:bCs/>
        </w:rPr>
      </w:pPr>
      <w:r w:rsidRPr="00CB79F9">
        <w:rPr>
          <w:b/>
          <w:bCs/>
        </w:rPr>
        <w:t>Critical Assessment (200 Words)</w:t>
      </w:r>
    </w:p>
    <w:p w:rsidR="00AF66D1" w:rsidRPr="00CB79F9" w:rsidRDefault="00AF66D1" w:rsidP="00AF66D1">
      <w:r w:rsidRPr="00CB79F9">
        <w:rPr>
          <w:b/>
          <w:bCs/>
        </w:rPr>
        <w:t>Accuracy</w:t>
      </w:r>
      <w:r w:rsidRPr="00CB79F9">
        <w:t>: The study demonstrates reliability through validated survey instruments and statistical rigor, while validity is supported by aligning results with established literature. However, the reliance on self-reported data introduces potential biases.</w:t>
      </w:r>
    </w:p>
    <w:p w:rsidR="00AF66D1" w:rsidRPr="00CB79F9" w:rsidRDefault="00AF66D1" w:rsidP="00AF66D1">
      <w:r w:rsidRPr="00CB79F9">
        <w:rPr>
          <w:b/>
          <w:bCs/>
        </w:rPr>
        <w:t>Objectivity</w:t>
      </w:r>
      <w:r w:rsidRPr="00CB79F9">
        <w:t>: The findings are evidence-based and align with policy-oriented objectives. While aiming for equity, the focus on measurable constructs marginalizes subjective experiences.</w:t>
      </w:r>
    </w:p>
    <w:p w:rsidR="00AF66D1" w:rsidRPr="00CB79F9" w:rsidRDefault="00AF66D1" w:rsidP="00AF66D1">
      <w:r w:rsidRPr="00CB79F9">
        <w:rPr>
          <w:b/>
          <w:bCs/>
        </w:rPr>
        <w:lastRenderedPageBreak/>
        <w:t>Currency</w:t>
      </w:r>
      <w:r w:rsidRPr="00CB79F9">
        <w:t>: Published recently, the study remains relevant to ongoing debates around equity and retention in higher education, particularly for socio-economically disadvantaged students.</w:t>
      </w:r>
    </w:p>
    <w:p w:rsidR="00AF66D1" w:rsidRPr="00CB79F9" w:rsidRDefault="00AF66D1" w:rsidP="00AF66D1">
      <w:r w:rsidRPr="00CB79F9">
        <w:rPr>
          <w:b/>
          <w:bCs/>
        </w:rPr>
        <w:t>Coverage</w:t>
      </w:r>
      <w:r w:rsidRPr="00CB79F9">
        <w:t>: The research comprehensively addresses the impact of socio-economic status on belonging but overlooks longitudinal dynamics and intersectional factors such as gender and race.</w:t>
      </w:r>
    </w:p>
    <w:p w:rsidR="00AF66D1" w:rsidRPr="00CB79F9" w:rsidRDefault="00AF66D1" w:rsidP="00AF66D1">
      <w:r>
        <w:pict>
          <v:rect id="_x0000_i1114" style="width:0;height:1.5pt" o:hralign="center" o:hrstd="t" o:hr="t" fillcolor="#a0a0a0" stroked="f"/>
        </w:pict>
      </w:r>
    </w:p>
    <w:p w:rsidR="00AF66D1" w:rsidRPr="00CB79F9" w:rsidRDefault="00AF66D1" w:rsidP="00AF66D1">
      <w:pPr>
        <w:rPr>
          <w:b/>
          <w:bCs/>
        </w:rPr>
      </w:pPr>
      <w:r w:rsidRPr="00CB79F9">
        <w:rPr>
          <w:b/>
          <w:bCs/>
        </w:rPr>
        <w:t>Conclusion and Future Directions</w:t>
      </w:r>
    </w:p>
    <w:p w:rsidR="00AF66D1" w:rsidRPr="00CB79F9" w:rsidRDefault="00AF66D1" w:rsidP="00AF66D1">
      <w:r w:rsidRPr="00CB79F9">
        <w:t>The study offers actionable insights for higher education institutions to foster belonging and retention, particularly for disadvantaged groups. However, future research should incorporate longitudinal and intersectional analyses, integrating qualitative approaches to capture lived experiences. Addressing these gaps will enrich understanding and inform more effective policy interventions.</w:t>
      </w:r>
    </w:p>
    <w:p w:rsidR="00AF66D1" w:rsidRPr="00CB79F9" w:rsidRDefault="00AF66D1" w:rsidP="00AF66D1">
      <w:r>
        <w:pict>
          <v:rect id="_x0000_i1115" style="width:0;height:1.5pt" o:hralign="center" o:hrstd="t" o:hr="t" fillcolor="#a0a0a0" stroked="f"/>
        </w:pict>
      </w:r>
    </w:p>
    <w:p w:rsidR="00AF66D1" w:rsidRPr="00CB79F9" w:rsidRDefault="00AF66D1" w:rsidP="00AF66D1">
      <w:pPr>
        <w:rPr>
          <w:b/>
          <w:bCs/>
        </w:rPr>
      </w:pPr>
      <w:r w:rsidRPr="00CB79F9">
        <w:rPr>
          <w:b/>
          <w:bCs/>
        </w:rPr>
        <w:t>Epistemology, Ontology, and Ethical Reflections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4"/>
        <w:gridCol w:w="7612"/>
      </w:tblGrid>
      <w:tr w:rsidR="00AF66D1" w:rsidRPr="00CB79F9" w:rsidTr="00E002CC">
        <w:trPr>
          <w:tblHeader/>
          <w:tblCellSpacing w:w="15" w:type="dxa"/>
        </w:trPr>
        <w:tc>
          <w:tcPr>
            <w:tcW w:w="0" w:type="auto"/>
            <w:vAlign w:val="center"/>
            <w:hideMark/>
          </w:tcPr>
          <w:p w:rsidR="00AF66D1" w:rsidRPr="00CB79F9" w:rsidRDefault="00AF66D1" w:rsidP="00E002CC">
            <w:pPr>
              <w:rPr>
                <w:b/>
                <w:bCs/>
              </w:rPr>
            </w:pPr>
            <w:r w:rsidRPr="00CB79F9">
              <w:rPr>
                <w:b/>
                <w:bCs/>
              </w:rPr>
              <w:t>Aspect</w:t>
            </w:r>
          </w:p>
        </w:tc>
        <w:tc>
          <w:tcPr>
            <w:tcW w:w="0" w:type="auto"/>
            <w:vAlign w:val="center"/>
            <w:hideMark/>
          </w:tcPr>
          <w:p w:rsidR="00AF66D1" w:rsidRPr="00CB79F9" w:rsidRDefault="00AF66D1" w:rsidP="00E002CC">
            <w:pPr>
              <w:rPr>
                <w:b/>
                <w:bCs/>
              </w:rPr>
            </w:pPr>
            <w:r w:rsidRPr="00CB79F9">
              <w:rPr>
                <w:b/>
                <w:bCs/>
              </w:rPr>
              <w:t>Alignment with Research</w:t>
            </w:r>
          </w:p>
        </w:tc>
      </w:tr>
      <w:tr w:rsidR="00AF66D1" w:rsidRPr="00CB79F9" w:rsidTr="00E002CC">
        <w:trPr>
          <w:tblCellSpacing w:w="15" w:type="dxa"/>
        </w:trPr>
        <w:tc>
          <w:tcPr>
            <w:tcW w:w="0" w:type="auto"/>
            <w:vAlign w:val="center"/>
            <w:hideMark/>
          </w:tcPr>
          <w:p w:rsidR="00AF66D1" w:rsidRPr="00CB79F9" w:rsidRDefault="00AF66D1" w:rsidP="00E002CC">
            <w:r w:rsidRPr="00CB79F9">
              <w:rPr>
                <w:b/>
                <w:bCs/>
              </w:rPr>
              <w:t>Epistemology</w:t>
            </w:r>
          </w:p>
        </w:tc>
        <w:tc>
          <w:tcPr>
            <w:tcW w:w="0" w:type="auto"/>
            <w:vAlign w:val="center"/>
            <w:hideMark/>
          </w:tcPr>
          <w:p w:rsidR="00AF66D1" w:rsidRPr="00CB79F9" w:rsidRDefault="00AF66D1" w:rsidP="00E002CC">
            <w:r w:rsidRPr="00CB79F9">
              <w:t>Positivist: Reliance on statistical data provides measurable insights but risks oversimplifying complex dynamics.</w:t>
            </w:r>
          </w:p>
        </w:tc>
      </w:tr>
      <w:tr w:rsidR="00AF66D1" w:rsidRPr="00CB79F9" w:rsidTr="00E002CC">
        <w:trPr>
          <w:tblCellSpacing w:w="15" w:type="dxa"/>
        </w:trPr>
        <w:tc>
          <w:tcPr>
            <w:tcW w:w="0" w:type="auto"/>
            <w:vAlign w:val="center"/>
            <w:hideMark/>
          </w:tcPr>
          <w:p w:rsidR="00AF66D1" w:rsidRPr="00CB79F9" w:rsidRDefault="00AF66D1" w:rsidP="00E002CC">
            <w:r w:rsidRPr="00CB79F9">
              <w:rPr>
                <w:b/>
                <w:bCs/>
              </w:rPr>
              <w:t>Ontology</w:t>
            </w:r>
          </w:p>
        </w:tc>
        <w:tc>
          <w:tcPr>
            <w:tcW w:w="0" w:type="auto"/>
            <w:vAlign w:val="center"/>
            <w:hideMark/>
          </w:tcPr>
          <w:p w:rsidR="00AF66D1" w:rsidRPr="00CB79F9" w:rsidRDefault="00AF66D1" w:rsidP="00E002CC">
            <w:r w:rsidRPr="00CB79F9">
              <w:t>Objective: Assumes belonging is shaped by systemic structures, ignoring subjective interpretations.</w:t>
            </w:r>
          </w:p>
        </w:tc>
      </w:tr>
      <w:tr w:rsidR="00AF66D1" w:rsidRPr="00CB79F9" w:rsidTr="00E002CC">
        <w:trPr>
          <w:tblCellSpacing w:w="15" w:type="dxa"/>
        </w:trPr>
        <w:tc>
          <w:tcPr>
            <w:tcW w:w="0" w:type="auto"/>
            <w:vAlign w:val="center"/>
            <w:hideMark/>
          </w:tcPr>
          <w:p w:rsidR="00AF66D1" w:rsidRPr="00CB79F9" w:rsidRDefault="00AF66D1" w:rsidP="00E002CC">
            <w:r w:rsidRPr="00CB79F9">
              <w:rPr>
                <w:b/>
                <w:bCs/>
              </w:rPr>
              <w:t>Axiology</w:t>
            </w:r>
          </w:p>
        </w:tc>
        <w:tc>
          <w:tcPr>
            <w:tcW w:w="0" w:type="auto"/>
            <w:vAlign w:val="center"/>
            <w:hideMark/>
          </w:tcPr>
          <w:p w:rsidR="00AF66D1" w:rsidRPr="00CB79F9" w:rsidRDefault="00AF66D1" w:rsidP="00E002CC">
            <w:r w:rsidRPr="00CB79F9">
              <w:t>Equity-driven: Advocates interventions for disadvantaged groups but lacks depth in addressing individual narratives.</w:t>
            </w:r>
          </w:p>
        </w:tc>
      </w:tr>
    </w:tbl>
    <w:p w:rsidR="00AF66D1" w:rsidRPr="00CB79F9" w:rsidRDefault="00AF66D1" w:rsidP="00AF66D1">
      <w:r w:rsidRPr="00CB79F9">
        <w:t>Strengths include statistical rigor and actionable findings; weaknesses involve a lack of qualitative depth and longitudinal perspectives.</w:t>
      </w:r>
    </w:p>
    <w:p w:rsidR="00AF66D1" w:rsidRPr="00CB79F9" w:rsidRDefault="00AF66D1" w:rsidP="00AF66D1">
      <w:r w:rsidRPr="00CB79F9">
        <w:t>Future research should:</w:t>
      </w:r>
    </w:p>
    <w:p w:rsidR="00AF66D1" w:rsidRPr="00CB79F9" w:rsidRDefault="00AF66D1" w:rsidP="00AF66D1">
      <w:pPr>
        <w:numPr>
          <w:ilvl w:val="0"/>
          <w:numId w:val="5"/>
        </w:numPr>
      </w:pPr>
      <w:r w:rsidRPr="00CB79F9">
        <w:t>Combine quantitative and qualitative methodologies.</w:t>
      </w:r>
    </w:p>
    <w:p w:rsidR="00AF66D1" w:rsidRPr="00CB79F9" w:rsidRDefault="00AF66D1" w:rsidP="00AF66D1">
      <w:pPr>
        <w:numPr>
          <w:ilvl w:val="0"/>
          <w:numId w:val="5"/>
        </w:numPr>
      </w:pPr>
      <w:r w:rsidRPr="00CB79F9">
        <w:t>Address intersectionality for a nuanced understanding.</w:t>
      </w:r>
    </w:p>
    <w:p w:rsidR="00AF66D1" w:rsidRPr="00CB79F9" w:rsidRDefault="00AF66D1" w:rsidP="00AF66D1">
      <w:pPr>
        <w:numPr>
          <w:ilvl w:val="0"/>
          <w:numId w:val="5"/>
        </w:numPr>
      </w:pPr>
      <w:r w:rsidRPr="00CB79F9">
        <w:t>Explore belonging as a dynamic process through longitudinal designs.</w:t>
      </w:r>
    </w:p>
    <w:p w:rsidR="00AF66D1" w:rsidRPr="00CB79F9" w:rsidRDefault="00AF66D1" w:rsidP="00AF66D1">
      <w:r w:rsidRPr="00CB79F9">
        <w:t>This multi-faceted approach would enhance the reliability and applicability of findings while promoting ethical, inclusive research practices.</w:t>
      </w:r>
    </w:p>
    <w:p w:rsidR="00AF66D1" w:rsidRDefault="00AF66D1" w:rsidP="008C3E3C">
      <w:pPr>
        <w:rPr>
          <w:rFonts w:cstheme="minorHAnsi"/>
          <w:color w:val="000000" w:themeColor="text1"/>
        </w:rPr>
      </w:pPr>
    </w:p>
    <w:p w:rsidR="008C3E3C" w:rsidRDefault="008C3E3C" w:rsidP="008C3E3C">
      <w:pPr>
        <w:rPr>
          <w:rFonts w:cstheme="minorHAnsi"/>
          <w:b/>
          <w:bCs/>
          <w:color w:val="000000" w:themeColor="text1"/>
        </w:rPr>
      </w:pPr>
      <w:r>
        <w:rPr>
          <w:rFonts w:cstheme="minorHAnsi"/>
          <w:b/>
          <w:bCs/>
          <w:color w:val="000000" w:themeColor="text1"/>
        </w:rPr>
        <w:lastRenderedPageBreak/>
        <w:t>Paper 7</w:t>
      </w:r>
    </w:p>
    <w:p w:rsidR="00AF66D1" w:rsidRPr="0047078F" w:rsidRDefault="00AF66D1" w:rsidP="00AF66D1">
      <w:r w:rsidRPr="0047078F">
        <w:t>Analysis of Widening Participation Interventions in Higher Education: Enhancing Self-Belief and Confidence</w:t>
      </w:r>
    </w:p>
    <w:p w:rsidR="00AF66D1" w:rsidRPr="0047078F" w:rsidRDefault="00AF66D1" w:rsidP="00AF66D1">
      <w:r>
        <w:pict>
          <v:rect id="_x0000_i1121" style="width:0;height:1.5pt" o:hralign="center" o:hrstd="t" o:hr="t" fillcolor="#a0a0a0" stroked="f"/>
        </w:pict>
      </w:r>
    </w:p>
    <w:p w:rsidR="00AF66D1" w:rsidRPr="0047078F" w:rsidRDefault="00AF66D1" w:rsidP="00AF66D1">
      <w:r w:rsidRPr="0047078F">
        <w:rPr>
          <w:b/>
          <w:bCs/>
        </w:rPr>
        <w:t>Content Summary (100 words)</w:t>
      </w:r>
    </w:p>
    <w:p w:rsidR="00AF66D1" w:rsidRPr="0047078F" w:rsidRDefault="00AF66D1" w:rsidP="00AF66D1">
      <w:r w:rsidRPr="0047078F">
        <w:rPr>
          <w:b/>
          <w:bCs/>
        </w:rPr>
        <w:t>Purpose</w:t>
      </w:r>
      <w:r w:rsidRPr="0047078F">
        <w:br/>
        <w:t>The study investigates the effectiveness of widening participation (WP) interventions in enhancing the self-belief and confidence of underrepresented students, utilizing insights from WP tutors rather than students.</w:t>
      </w:r>
    </w:p>
    <w:p w:rsidR="00AF66D1" w:rsidRPr="0047078F" w:rsidRDefault="00AF66D1" w:rsidP="00AF66D1">
      <w:r w:rsidRPr="0047078F">
        <w:rPr>
          <w:b/>
          <w:bCs/>
        </w:rPr>
        <w:t>Currency</w:t>
      </w:r>
      <w:r w:rsidRPr="0047078F">
        <w:br/>
        <w:t>The research, published in 2024, offers timely insights into current WP efforts and their implications in addressing inequalities in access to higher education.</w:t>
      </w:r>
    </w:p>
    <w:p w:rsidR="00AF66D1" w:rsidRPr="0047078F" w:rsidRDefault="00AF66D1" w:rsidP="00AF66D1">
      <w:r>
        <w:pict>
          <v:rect id="_x0000_i1122" style="width:0;height:1.5pt" o:hralign="center" o:hrstd="t" o:hr="t" fillcolor="#a0a0a0" stroked="f"/>
        </w:pict>
      </w:r>
    </w:p>
    <w:p w:rsidR="00AF66D1" w:rsidRPr="0047078F" w:rsidRDefault="00AF66D1" w:rsidP="00AF66D1">
      <w:r w:rsidRPr="0047078F">
        <w:rPr>
          <w:b/>
          <w:bCs/>
        </w:rPr>
        <w:t>Analysis (100 words)</w:t>
      </w:r>
    </w:p>
    <w:p w:rsidR="00AF66D1" w:rsidRPr="0047078F" w:rsidRDefault="00AF66D1" w:rsidP="00AF66D1">
      <w:r w:rsidRPr="0047078F">
        <w:rPr>
          <w:b/>
          <w:bCs/>
        </w:rPr>
        <w:t>Authority</w:t>
      </w:r>
      <w:r w:rsidRPr="0047078F">
        <w:br/>
        <w:t xml:space="preserve">The research, authored by </w:t>
      </w:r>
      <w:proofErr w:type="spellStart"/>
      <w:r w:rsidRPr="0047078F">
        <w:t>Shagaf</w:t>
      </w:r>
      <w:proofErr w:type="spellEnd"/>
      <w:r w:rsidRPr="0047078F">
        <w:t xml:space="preserve"> Bakour, is affiliated with Aston University, demonstrating academic credibility and alignment with UK higher education priorities.</w:t>
      </w:r>
    </w:p>
    <w:p w:rsidR="00AF66D1" w:rsidRPr="0047078F" w:rsidRDefault="00AF66D1" w:rsidP="00AF66D1">
      <w:r w:rsidRPr="0047078F">
        <w:rPr>
          <w:b/>
          <w:bCs/>
        </w:rPr>
        <w:t>Methodology</w:t>
      </w:r>
      <w:r w:rsidRPr="0047078F">
        <w:br/>
        <w:t xml:space="preserve">This qualitative study uses semi-structured interviews with six WP tutors, employing a thematic approach to </w:t>
      </w:r>
      <w:proofErr w:type="spellStart"/>
      <w:r w:rsidRPr="0047078F">
        <w:t>analyze</w:t>
      </w:r>
      <w:proofErr w:type="spellEnd"/>
      <w:r w:rsidRPr="0047078F">
        <w:t xml:space="preserve"> their perceptions.</w:t>
      </w:r>
    </w:p>
    <w:p w:rsidR="00AF66D1" w:rsidRPr="0047078F" w:rsidRDefault="00AF66D1" w:rsidP="00AF66D1">
      <w:r w:rsidRPr="0047078F">
        <w:rPr>
          <w:b/>
          <w:bCs/>
        </w:rPr>
        <w:t>Ontological Perspective</w:t>
      </w:r>
      <w:r w:rsidRPr="0047078F">
        <w:br/>
        <w:t xml:space="preserve">Assumes inequalities in HE </w:t>
      </w:r>
      <w:proofErr w:type="gramStart"/>
      <w:r w:rsidRPr="0047078F">
        <w:t>are</w:t>
      </w:r>
      <w:proofErr w:type="gramEnd"/>
      <w:r w:rsidRPr="0047078F">
        <w:t xml:space="preserve"> systemic and structural.</w:t>
      </w:r>
    </w:p>
    <w:p w:rsidR="00AF66D1" w:rsidRPr="0047078F" w:rsidRDefault="00AF66D1" w:rsidP="00AF66D1">
      <w:r w:rsidRPr="0047078F">
        <w:rPr>
          <w:b/>
          <w:bCs/>
        </w:rPr>
        <w:t>Epistemological Perspective</w:t>
      </w:r>
      <w:r w:rsidRPr="0047078F">
        <w:br/>
        <w:t>Follows an interpretivist approach, prioritizing subjective experiences of WP tutors.</w:t>
      </w:r>
    </w:p>
    <w:p w:rsidR="00AF66D1" w:rsidRPr="0047078F" w:rsidRDefault="00AF66D1" w:rsidP="00AF66D1">
      <w:r>
        <w:pict>
          <v:rect id="_x0000_i1123" style="width:0;height:1.5pt" o:hralign="center" o:hrstd="t" o:hr="t" fillcolor="#a0a0a0" stroked="f"/>
        </w:pict>
      </w:r>
    </w:p>
    <w:p w:rsidR="00AF66D1" w:rsidRPr="0047078F" w:rsidRDefault="00AF66D1" w:rsidP="00AF66D1">
      <w:r w:rsidRPr="0047078F">
        <w:rPr>
          <w:b/>
          <w:bCs/>
        </w:rPr>
        <w:t>Critical Assessment (200 words)</w:t>
      </w:r>
    </w:p>
    <w:p w:rsidR="00AF66D1" w:rsidRPr="0047078F" w:rsidRDefault="00AF66D1" w:rsidP="00AF66D1">
      <w:r w:rsidRPr="0047078F">
        <w:rPr>
          <w:b/>
          <w:bCs/>
        </w:rPr>
        <w:t>Accuracy</w:t>
      </w:r>
      <w:r w:rsidRPr="0047078F">
        <w:br/>
        <w:t>The study uses thematic analysis rigorously and references credible frameworks like Self-Determination Theory. However, its reliance on qualitative data limits generalizability and presents potential interpretative bias.</w:t>
      </w:r>
    </w:p>
    <w:p w:rsidR="00AF66D1" w:rsidRPr="0047078F" w:rsidRDefault="00AF66D1" w:rsidP="00AF66D1">
      <w:r w:rsidRPr="0047078F">
        <w:rPr>
          <w:b/>
          <w:bCs/>
        </w:rPr>
        <w:t>Objectivity</w:t>
      </w:r>
      <w:r w:rsidRPr="0047078F">
        <w:br/>
        <w:t>The information aligns with facts and tutor perspectives but could benefit from corroboration through diverse stakeholder views. Limited quantitative evidence weakens claims' universality.</w:t>
      </w:r>
    </w:p>
    <w:p w:rsidR="00AF66D1" w:rsidRPr="0047078F" w:rsidRDefault="00AF66D1" w:rsidP="00AF66D1">
      <w:r w:rsidRPr="0047078F">
        <w:rPr>
          <w:b/>
          <w:bCs/>
        </w:rPr>
        <w:lastRenderedPageBreak/>
        <w:t>Currency</w:t>
      </w:r>
      <w:r w:rsidRPr="0047078F">
        <w:br/>
        <w:t>The research is contemporary and reflective of ongoing challenges in widening participation efforts. Its recent publication enhances its relevance.</w:t>
      </w:r>
    </w:p>
    <w:p w:rsidR="00AF66D1" w:rsidRPr="0047078F" w:rsidRDefault="00AF66D1" w:rsidP="00AF66D1">
      <w:r w:rsidRPr="0047078F">
        <w:rPr>
          <w:b/>
          <w:bCs/>
        </w:rPr>
        <w:t>Coverage</w:t>
      </w:r>
      <w:r w:rsidRPr="0047078F">
        <w:br/>
        <w:t>While the study provides a deep understanding of WP interventions' impact on student self-belief, its narrow focus on tutors excludes other crucial stakeholders like students or institutional leaders.</w:t>
      </w:r>
    </w:p>
    <w:p w:rsidR="00AF66D1" w:rsidRPr="0047078F" w:rsidRDefault="00AF66D1" w:rsidP="00AF66D1">
      <w:r>
        <w:pict>
          <v:rect id="_x0000_i1124" style="width:0;height:1.5pt" o:hralign="center" o:hrstd="t" o:hr="t" fillcolor="#a0a0a0" stroked="f"/>
        </w:pict>
      </w:r>
    </w:p>
    <w:p w:rsidR="00AF66D1" w:rsidRPr="0047078F" w:rsidRDefault="00AF66D1" w:rsidP="00AF66D1">
      <w:r w:rsidRPr="0047078F">
        <w:rPr>
          <w:b/>
          <w:bCs/>
        </w:rPr>
        <w:t>Conclusion and Recommendations</w:t>
      </w:r>
      <w:r w:rsidRPr="0047078F">
        <w:br/>
        <w:t>This study underscores the importance of WP interventions in fostering self-belief among underrepresented students. However, future research should adopt mixed methods, integrating quantitative data and broader participant perspectives for greater reliability. Addressing intersectionality and including diverse participant demographics would enhance comprehensiveness.</w:t>
      </w:r>
    </w:p>
    <w:p w:rsidR="00AF66D1" w:rsidRPr="0047078F" w:rsidRDefault="00AF66D1" w:rsidP="00AF66D1">
      <w:r>
        <w:pict>
          <v:rect id="_x0000_i1125" style="width:0;height:1.5pt" o:hralign="center" o:hrstd="t" o:hr="t" fillcolor="#a0a0a0" stroked="f"/>
        </w:pict>
      </w:r>
    </w:p>
    <w:p w:rsidR="00AF66D1" w:rsidRPr="0047078F" w:rsidRDefault="00AF66D1" w:rsidP="00AF66D1">
      <w:r w:rsidRPr="0047078F">
        <w:rPr>
          <w:b/>
          <w:bCs/>
        </w:rPr>
        <w:t>Epistemology, Ontology, Axiology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4"/>
        <w:gridCol w:w="2565"/>
        <w:gridCol w:w="2646"/>
        <w:gridCol w:w="2401"/>
      </w:tblGrid>
      <w:tr w:rsidR="00AF66D1" w:rsidRPr="0047078F" w:rsidTr="00E002CC">
        <w:trPr>
          <w:tblHeader/>
          <w:tblCellSpacing w:w="15" w:type="dxa"/>
        </w:trPr>
        <w:tc>
          <w:tcPr>
            <w:tcW w:w="0" w:type="auto"/>
            <w:vAlign w:val="center"/>
            <w:hideMark/>
          </w:tcPr>
          <w:p w:rsidR="00AF66D1" w:rsidRPr="0047078F" w:rsidRDefault="00AF66D1" w:rsidP="00E002CC">
            <w:pPr>
              <w:rPr>
                <w:b/>
                <w:bCs/>
              </w:rPr>
            </w:pPr>
            <w:r w:rsidRPr="0047078F">
              <w:rPr>
                <w:b/>
                <w:bCs/>
              </w:rPr>
              <w:t>Perspective</w:t>
            </w:r>
          </w:p>
        </w:tc>
        <w:tc>
          <w:tcPr>
            <w:tcW w:w="0" w:type="auto"/>
            <w:vAlign w:val="center"/>
            <w:hideMark/>
          </w:tcPr>
          <w:p w:rsidR="00AF66D1" w:rsidRPr="0047078F" w:rsidRDefault="00AF66D1" w:rsidP="00E002CC">
            <w:pPr>
              <w:rPr>
                <w:b/>
                <w:bCs/>
              </w:rPr>
            </w:pPr>
            <w:r w:rsidRPr="0047078F">
              <w:rPr>
                <w:b/>
                <w:bCs/>
              </w:rPr>
              <w:t>Alignment with Research</w:t>
            </w:r>
          </w:p>
        </w:tc>
        <w:tc>
          <w:tcPr>
            <w:tcW w:w="0" w:type="auto"/>
            <w:vAlign w:val="center"/>
            <w:hideMark/>
          </w:tcPr>
          <w:p w:rsidR="00AF66D1" w:rsidRPr="0047078F" w:rsidRDefault="00AF66D1" w:rsidP="00E002CC">
            <w:pPr>
              <w:rPr>
                <w:b/>
                <w:bCs/>
              </w:rPr>
            </w:pPr>
            <w:r w:rsidRPr="0047078F">
              <w:rPr>
                <w:b/>
                <w:bCs/>
              </w:rPr>
              <w:t>Strengths</w:t>
            </w:r>
          </w:p>
        </w:tc>
        <w:tc>
          <w:tcPr>
            <w:tcW w:w="0" w:type="auto"/>
            <w:vAlign w:val="center"/>
            <w:hideMark/>
          </w:tcPr>
          <w:p w:rsidR="00AF66D1" w:rsidRPr="0047078F" w:rsidRDefault="00AF66D1" w:rsidP="00E002CC">
            <w:pPr>
              <w:rPr>
                <w:b/>
                <w:bCs/>
              </w:rPr>
            </w:pPr>
            <w:r w:rsidRPr="0047078F">
              <w:rPr>
                <w:b/>
                <w:bCs/>
              </w:rPr>
              <w:t>Weaknesses</w:t>
            </w:r>
          </w:p>
        </w:tc>
      </w:tr>
      <w:tr w:rsidR="00AF66D1" w:rsidRPr="0047078F" w:rsidTr="00E002CC">
        <w:trPr>
          <w:tblCellSpacing w:w="15" w:type="dxa"/>
        </w:trPr>
        <w:tc>
          <w:tcPr>
            <w:tcW w:w="0" w:type="auto"/>
            <w:vAlign w:val="center"/>
            <w:hideMark/>
          </w:tcPr>
          <w:p w:rsidR="00AF66D1" w:rsidRPr="0047078F" w:rsidRDefault="00AF66D1" w:rsidP="00E002CC">
            <w:r w:rsidRPr="0047078F">
              <w:rPr>
                <w:b/>
                <w:bCs/>
              </w:rPr>
              <w:t>Ontology</w:t>
            </w:r>
          </w:p>
        </w:tc>
        <w:tc>
          <w:tcPr>
            <w:tcW w:w="0" w:type="auto"/>
            <w:vAlign w:val="center"/>
            <w:hideMark/>
          </w:tcPr>
          <w:p w:rsidR="00AF66D1" w:rsidRPr="0047078F" w:rsidRDefault="00AF66D1" w:rsidP="00E002CC">
            <w:r w:rsidRPr="0047078F">
              <w:t>Inequalities viewed as structural/systemic</w:t>
            </w:r>
          </w:p>
        </w:tc>
        <w:tc>
          <w:tcPr>
            <w:tcW w:w="0" w:type="auto"/>
            <w:vAlign w:val="center"/>
            <w:hideMark/>
          </w:tcPr>
          <w:p w:rsidR="00AF66D1" w:rsidRPr="0047078F" w:rsidRDefault="00AF66D1" w:rsidP="00E002CC">
            <w:r w:rsidRPr="0047078F">
              <w:t>Grounds recommendations in systemic change</w:t>
            </w:r>
          </w:p>
        </w:tc>
        <w:tc>
          <w:tcPr>
            <w:tcW w:w="0" w:type="auto"/>
            <w:vAlign w:val="center"/>
            <w:hideMark/>
          </w:tcPr>
          <w:p w:rsidR="00AF66D1" w:rsidRPr="0047078F" w:rsidRDefault="00AF66D1" w:rsidP="00E002CC">
            <w:r w:rsidRPr="0047078F">
              <w:t>Limited exploration of intersectionality</w:t>
            </w:r>
          </w:p>
        </w:tc>
      </w:tr>
      <w:tr w:rsidR="00AF66D1" w:rsidRPr="0047078F" w:rsidTr="00E002CC">
        <w:trPr>
          <w:tblCellSpacing w:w="15" w:type="dxa"/>
        </w:trPr>
        <w:tc>
          <w:tcPr>
            <w:tcW w:w="0" w:type="auto"/>
            <w:vAlign w:val="center"/>
            <w:hideMark/>
          </w:tcPr>
          <w:p w:rsidR="00AF66D1" w:rsidRPr="0047078F" w:rsidRDefault="00AF66D1" w:rsidP="00E002CC">
            <w:r w:rsidRPr="0047078F">
              <w:rPr>
                <w:b/>
                <w:bCs/>
              </w:rPr>
              <w:t>Epistemology</w:t>
            </w:r>
          </w:p>
        </w:tc>
        <w:tc>
          <w:tcPr>
            <w:tcW w:w="0" w:type="auto"/>
            <w:vAlign w:val="center"/>
            <w:hideMark/>
          </w:tcPr>
          <w:p w:rsidR="00AF66D1" w:rsidRPr="0047078F" w:rsidRDefault="00AF66D1" w:rsidP="00E002CC">
            <w:r w:rsidRPr="0047078F">
              <w:t>Interpretivist; tutors’ subjective views</w:t>
            </w:r>
          </w:p>
        </w:tc>
        <w:tc>
          <w:tcPr>
            <w:tcW w:w="0" w:type="auto"/>
            <w:vAlign w:val="center"/>
            <w:hideMark/>
          </w:tcPr>
          <w:p w:rsidR="00AF66D1" w:rsidRPr="0047078F" w:rsidRDefault="00AF66D1" w:rsidP="00E002CC">
            <w:r w:rsidRPr="0047078F">
              <w:t>Provides in-depth qualitative insights</w:t>
            </w:r>
          </w:p>
        </w:tc>
        <w:tc>
          <w:tcPr>
            <w:tcW w:w="0" w:type="auto"/>
            <w:vAlign w:val="center"/>
            <w:hideMark/>
          </w:tcPr>
          <w:p w:rsidR="00AF66D1" w:rsidRPr="0047078F" w:rsidRDefault="00AF66D1" w:rsidP="00E002CC">
            <w:r w:rsidRPr="0047078F">
              <w:t>Excludes quantitative evidence</w:t>
            </w:r>
          </w:p>
        </w:tc>
      </w:tr>
      <w:tr w:rsidR="00AF66D1" w:rsidRPr="0047078F" w:rsidTr="00E002CC">
        <w:trPr>
          <w:tblCellSpacing w:w="15" w:type="dxa"/>
        </w:trPr>
        <w:tc>
          <w:tcPr>
            <w:tcW w:w="0" w:type="auto"/>
            <w:vAlign w:val="center"/>
            <w:hideMark/>
          </w:tcPr>
          <w:p w:rsidR="00AF66D1" w:rsidRPr="0047078F" w:rsidRDefault="00AF66D1" w:rsidP="00E002CC">
            <w:r w:rsidRPr="0047078F">
              <w:rPr>
                <w:b/>
                <w:bCs/>
              </w:rPr>
              <w:t>Axiology</w:t>
            </w:r>
          </w:p>
        </w:tc>
        <w:tc>
          <w:tcPr>
            <w:tcW w:w="0" w:type="auto"/>
            <w:vAlign w:val="center"/>
            <w:hideMark/>
          </w:tcPr>
          <w:p w:rsidR="00AF66D1" w:rsidRPr="0047078F" w:rsidRDefault="00AF66D1" w:rsidP="00E002CC">
            <w:r w:rsidRPr="0047078F">
              <w:t>Advocates equity and inclusion</w:t>
            </w:r>
          </w:p>
        </w:tc>
        <w:tc>
          <w:tcPr>
            <w:tcW w:w="0" w:type="auto"/>
            <w:vAlign w:val="center"/>
            <w:hideMark/>
          </w:tcPr>
          <w:p w:rsidR="00AF66D1" w:rsidRPr="0047078F" w:rsidRDefault="00AF66D1" w:rsidP="00E002CC">
            <w:r w:rsidRPr="0047078F">
              <w:t>Promotes policy reforms</w:t>
            </w:r>
          </w:p>
        </w:tc>
        <w:tc>
          <w:tcPr>
            <w:tcW w:w="0" w:type="auto"/>
            <w:vAlign w:val="center"/>
            <w:hideMark/>
          </w:tcPr>
          <w:p w:rsidR="00AF66D1" w:rsidRPr="0047078F" w:rsidRDefault="00AF66D1" w:rsidP="00E002CC">
            <w:r w:rsidRPr="0047078F">
              <w:t>Does not fully address ethical complexities</w:t>
            </w:r>
          </w:p>
        </w:tc>
      </w:tr>
    </w:tbl>
    <w:p w:rsidR="00AF66D1" w:rsidRPr="0047078F" w:rsidRDefault="00AF66D1" w:rsidP="00AF66D1">
      <w:r>
        <w:pict>
          <v:rect id="_x0000_i1126" style="width:0;height:1.5pt" o:hralign="center" o:hrstd="t" o:hr="t" fillcolor="#a0a0a0" stroked="f"/>
        </w:pict>
      </w:r>
    </w:p>
    <w:p w:rsidR="00AF66D1" w:rsidRPr="0047078F" w:rsidRDefault="00AF66D1" w:rsidP="00AF66D1">
      <w:r w:rsidRPr="0047078F">
        <w:rPr>
          <w:b/>
          <w:bCs/>
        </w:rPr>
        <w:t>Final Evaluation</w:t>
      </w:r>
      <w:r w:rsidRPr="0047078F">
        <w:br/>
        <w:t>The study effectively addresses WP strategies’ role in higher education, but limitations in scope and data diversity highlight the need for mixed methods and broader longitudinal research to enhance applicability and robustness.</w:t>
      </w:r>
    </w:p>
    <w:p w:rsidR="00AF66D1" w:rsidRDefault="00AF66D1" w:rsidP="008C3E3C">
      <w:pPr>
        <w:rPr>
          <w:rFonts w:cstheme="minorHAnsi"/>
          <w:color w:val="000000" w:themeColor="text1"/>
        </w:rPr>
      </w:pPr>
    </w:p>
    <w:p w:rsidR="008C3E3C" w:rsidRDefault="008C3E3C" w:rsidP="008C3E3C">
      <w:pPr>
        <w:rPr>
          <w:rFonts w:cstheme="minorHAnsi"/>
          <w:b/>
          <w:bCs/>
          <w:color w:val="000000" w:themeColor="text1"/>
        </w:rPr>
      </w:pPr>
      <w:r>
        <w:rPr>
          <w:rFonts w:cstheme="minorHAnsi"/>
          <w:b/>
          <w:bCs/>
          <w:color w:val="000000" w:themeColor="text1"/>
        </w:rPr>
        <w:t>Paper 8</w:t>
      </w:r>
    </w:p>
    <w:p w:rsidR="00AF66D1" w:rsidRPr="00683A0A" w:rsidRDefault="00AF66D1" w:rsidP="00AF66D1">
      <w:r w:rsidRPr="00683A0A">
        <w:rPr>
          <w:b/>
          <w:bCs/>
        </w:rPr>
        <w:t>Socio-Economic Status and Subject Choice at Age 14: Influence on University Access and Inequality</w:t>
      </w:r>
    </w:p>
    <w:p w:rsidR="00AF66D1" w:rsidRPr="00683A0A" w:rsidRDefault="00AF66D1" w:rsidP="00AF66D1">
      <w:r>
        <w:lastRenderedPageBreak/>
        <w:pict>
          <v:rect id="_x0000_i1133" style="width:0;height:1.5pt" o:hralign="center" o:hrstd="t" o:hr="t" fillcolor="#a0a0a0" stroked="f"/>
        </w:pict>
      </w:r>
    </w:p>
    <w:p w:rsidR="00AF66D1" w:rsidRPr="00683A0A" w:rsidRDefault="00AF66D1" w:rsidP="00AF66D1">
      <w:pPr>
        <w:rPr>
          <w:b/>
          <w:bCs/>
        </w:rPr>
      </w:pPr>
      <w:r w:rsidRPr="00683A0A">
        <w:rPr>
          <w:b/>
          <w:bCs/>
        </w:rPr>
        <w:t>Content Summary</w:t>
      </w:r>
    </w:p>
    <w:p w:rsidR="00AF66D1" w:rsidRPr="00683A0A" w:rsidRDefault="00AF66D1" w:rsidP="00AF66D1">
      <w:r w:rsidRPr="00683A0A">
        <w:rPr>
          <w:b/>
          <w:bCs/>
        </w:rPr>
        <w:t>Purpose</w:t>
      </w:r>
      <w:r w:rsidRPr="00683A0A">
        <w:br/>
        <w:t>The study investigates how socio-economic status (SES) and subject choices at age 14 influence access to higher education (HE) and highly selective universities in England.</w:t>
      </w:r>
    </w:p>
    <w:p w:rsidR="00AF66D1" w:rsidRPr="00683A0A" w:rsidRDefault="00AF66D1" w:rsidP="00AF66D1">
      <w:r w:rsidRPr="00683A0A">
        <w:rPr>
          <w:b/>
          <w:bCs/>
        </w:rPr>
        <w:t>Currency</w:t>
      </w:r>
      <w:r w:rsidRPr="00683A0A">
        <w:br/>
        <w:t xml:space="preserve">Published on </w:t>
      </w:r>
      <w:r w:rsidRPr="00683A0A">
        <w:rPr>
          <w:b/>
          <w:bCs/>
        </w:rPr>
        <w:t>November 29, 2017</w:t>
      </w:r>
      <w:r w:rsidRPr="00683A0A">
        <w:t xml:space="preserve">, the paper addresses the persistent gaps in HE </w:t>
      </w:r>
      <w:proofErr w:type="gramStart"/>
      <w:r w:rsidRPr="00683A0A">
        <w:t>access</w:t>
      </w:r>
      <w:proofErr w:type="gramEnd"/>
      <w:r w:rsidRPr="00683A0A">
        <w:t xml:space="preserve"> influenced by SES and curriculum decisions during compulsory education.</w:t>
      </w:r>
    </w:p>
    <w:p w:rsidR="00AF66D1" w:rsidRPr="00683A0A" w:rsidRDefault="00AF66D1" w:rsidP="00AF66D1">
      <w:r>
        <w:pict>
          <v:rect id="_x0000_i1134" style="width:0;height:1.5pt" o:hralign="center" o:hrstd="t" o:hr="t" fillcolor="#a0a0a0" stroked="f"/>
        </w:pict>
      </w:r>
    </w:p>
    <w:p w:rsidR="00AF66D1" w:rsidRPr="00683A0A" w:rsidRDefault="00AF66D1" w:rsidP="00AF66D1">
      <w:pPr>
        <w:rPr>
          <w:b/>
          <w:bCs/>
        </w:rPr>
      </w:pPr>
      <w:r w:rsidRPr="00683A0A">
        <w:rPr>
          <w:b/>
          <w:bCs/>
        </w:rPr>
        <w:t>Analysis</w:t>
      </w:r>
    </w:p>
    <w:p w:rsidR="00AF66D1" w:rsidRPr="00683A0A" w:rsidRDefault="00AF66D1" w:rsidP="00AF66D1">
      <w:pPr>
        <w:rPr>
          <w:b/>
          <w:bCs/>
        </w:rPr>
      </w:pPr>
      <w:r w:rsidRPr="00683A0A">
        <w:rPr>
          <w:b/>
          <w:bCs/>
        </w:rPr>
        <w:t>Authority</w:t>
      </w:r>
    </w:p>
    <w:p w:rsidR="00AF66D1" w:rsidRPr="00683A0A" w:rsidRDefault="00AF66D1" w:rsidP="00AF66D1">
      <w:r w:rsidRPr="00683A0A">
        <w:t xml:space="preserve">The authors, including Jake Anders and colleagues from the UCL Institute of Education, are credible scholars supported by reputable grants from the Nuffield Foundation and </w:t>
      </w:r>
      <w:proofErr w:type="spellStart"/>
      <w:r w:rsidRPr="00683A0A">
        <w:t>ESRC</w:t>
      </w:r>
      <w:proofErr w:type="spellEnd"/>
      <w:r w:rsidRPr="00683A0A">
        <w:t>, lending weight to their research.</w:t>
      </w:r>
    </w:p>
    <w:p w:rsidR="00AF66D1" w:rsidRPr="00683A0A" w:rsidRDefault="00AF66D1" w:rsidP="00AF66D1">
      <w:pPr>
        <w:rPr>
          <w:b/>
          <w:bCs/>
        </w:rPr>
      </w:pPr>
      <w:r w:rsidRPr="00683A0A">
        <w:rPr>
          <w:b/>
          <w:bCs/>
        </w:rPr>
        <w:t>Methodology</w:t>
      </w:r>
    </w:p>
    <w:p w:rsidR="00AF66D1" w:rsidRPr="00683A0A" w:rsidRDefault="00AF66D1" w:rsidP="00AF66D1">
      <w:r w:rsidRPr="00683A0A">
        <w:t xml:space="preserve">The research employs </w:t>
      </w:r>
      <w:r w:rsidRPr="00683A0A">
        <w:rPr>
          <w:b/>
          <w:bCs/>
        </w:rPr>
        <w:t>quantitative analysis</w:t>
      </w:r>
      <w:r w:rsidRPr="00683A0A">
        <w:t xml:space="preserve"> using administrative data (NPD) and longitudinal data (Next Steps), focusing on multivariate regression models to evaluate SES and subject choices.</w:t>
      </w:r>
      <w:r w:rsidRPr="00683A0A">
        <w:br/>
      </w:r>
      <w:r w:rsidRPr="00683A0A">
        <w:rPr>
          <w:b/>
          <w:bCs/>
        </w:rPr>
        <w:t>Ontological Perspective</w:t>
      </w:r>
      <w:r w:rsidRPr="00683A0A">
        <w:br/>
        <w:t>The study assumes objective realities in educational inequalities, emphasizing measurable differences in SES and subject choices.</w:t>
      </w:r>
      <w:r w:rsidRPr="00683A0A">
        <w:br/>
      </w:r>
      <w:r w:rsidRPr="00683A0A">
        <w:rPr>
          <w:b/>
          <w:bCs/>
        </w:rPr>
        <w:t>Epistemological Perspective</w:t>
      </w:r>
      <w:r w:rsidRPr="00683A0A">
        <w:br/>
        <w:t>A positivist approach is applied, relying on data-driven evidence to explore systemic patterns.</w:t>
      </w:r>
    </w:p>
    <w:p w:rsidR="00AF66D1" w:rsidRPr="00683A0A" w:rsidRDefault="00AF66D1" w:rsidP="00AF66D1">
      <w:r>
        <w:pict>
          <v:rect id="_x0000_i1135" style="width:0;height:1.5pt" o:hralign="center" o:hrstd="t" o:hr="t" fillcolor="#a0a0a0" stroked="f"/>
        </w:pict>
      </w:r>
    </w:p>
    <w:p w:rsidR="00AF66D1" w:rsidRPr="00683A0A" w:rsidRDefault="00AF66D1" w:rsidP="00AF66D1">
      <w:pPr>
        <w:rPr>
          <w:b/>
          <w:bCs/>
        </w:rPr>
      </w:pPr>
      <w:r w:rsidRPr="00683A0A">
        <w:rPr>
          <w:b/>
          <w:bCs/>
        </w:rPr>
        <w:t>Critical Assessment</w:t>
      </w:r>
    </w:p>
    <w:p w:rsidR="00AF66D1" w:rsidRPr="00683A0A" w:rsidRDefault="00AF66D1" w:rsidP="00AF66D1">
      <w:pPr>
        <w:rPr>
          <w:b/>
          <w:bCs/>
        </w:rPr>
      </w:pPr>
      <w:r w:rsidRPr="00683A0A">
        <w:rPr>
          <w:b/>
          <w:bCs/>
        </w:rPr>
        <w:t>Accuracy</w:t>
      </w:r>
    </w:p>
    <w:p w:rsidR="00AF66D1" w:rsidRPr="00683A0A" w:rsidRDefault="00AF66D1" w:rsidP="00AF66D1">
      <w:r w:rsidRPr="00683A0A">
        <w:t xml:space="preserve">The research is </w:t>
      </w:r>
      <w:r w:rsidRPr="00683A0A">
        <w:rPr>
          <w:b/>
          <w:bCs/>
        </w:rPr>
        <w:t>reliable</w:t>
      </w:r>
      <w:r w:rsidRPr="00683A0A">
        <w:t>, utilizing large datasets such as NPD and Next Steps to ensure comprehensive coverage. The methods are statistically robust, including multilevel regression models.</w:t>
      </w:r>
    </w:p>
    <w:p w:rsidR="00AF66D1" w:rsidRPr="00683A0A" w:rsidRDefault="00AF66D1" w:rsidP="00AF66D1">
      <w:pPr>
        <w:rPr>
          <w:b/>
          <w:bCs/>
        </w:rPr>
      </w:pPr>
      <w:r w:rsidRPr="00683A0A">
        <w:rPr>
          <w:b/>
          <w:bCs/>
        </w:rPr>
        <w:t>Objectivity</w:t>
      </w:r>
    </w:p>
    <w:p w:rsidR="00AF66D1" w:rsidRPr="00683A0A" w:rsidRDefault="00AF66D1" w:rsidP="00AF66D1">
      <w:r w:rsidRPr="00683A0A">
        <w:t>While grounded in factual data, the study advocates equity-focused policies, suggesting a slight normative bias. However, it avoids undue subjectivity and provides evidence-based conclusions.</w:t>
      </w:r>
    </w:p>
    <w:p w:rsidR="00AF66D1" w:rsidRPr="00683A0A" w:rsidRDefault="00AF66D1" w:rsidP="00AF66D1">
      <w:pPr>
        <w:rPr>
          <w:b/>
          <w:bCs/>
        </w:rPr>
      </w:pPr>
      <w:r w:rsidRPr="00683A0A">
        <w:rPr>
          <w:b/>
          <w:bCs/>
        </w:rPr>
        <w:lastRenderedPageBreak/>
        <w:t>Currency</w:t>
      </w:r>
    </w:p>
    <w:p w:rsidR="00AF66D1" w:rsidRPr="00683A0A" w:rsidRDefault="00AF66D1" w:rsidP="00AF66D1">
      <w:r w:rsidRPr="00683A0A">
        <w:t xml:space="preserve">Published in 2017, the study reflects ongoing concerns in HE </w:t>
      </w:r>
      <w:proofErr w:type="gramStart"/>
      <w:r w:rsidRPr="00683A0A">
        <w:t>access</w:t>
      </w:r>
      <w:proofErr w:type="gramEnd"/>
      <w:r w:rsidRPr="00683A0A">
        <w:t xml:space="preserve"> and remains relevant to contemporary educational policy discussions in the UK.</w:t>
      </w:r>
    </w:p>
    <w:p w:rsidR="00AF66D1" w:rsidRPr="00683A0A" w:rsidRDefault="00AF66D1" w:rsidP="00AF66D1">
      <w:pPr>
        <w:rPr>
          <w:b/>
          <w:bCs/>
        </w:rPr>
      </w:pPr>
      <w:r w:rsidRPr="00683A0A">
        <w:rPr>
          <w:b/>
          <w:bCs/>
        </w:rPr>
        <w:t>Coverage</w:t>
      </w:r>
    </w:p>
    <w:p w:rsidR="00AF66D1" w:rsidRPr="00683A0A" w:rsidRDefault="00AF66D1" w:rsidP="00AF66D1">
      <w:r w:rsidRPr="00683A0A">
        <w:t>The research extensively examines SES effects on subject choice and university access, though its omission of qualitative perspectives limits depth in understanding lived experiences of students.</w:t>
      </w:r>
    </w:p>
    <w:p w:rsidR="00AF66D1" w:rsidRPr="00683A0A" w:rsidRDefault="00AF66D1" w:rsidP="00AF66D1">
      <w:r>
        <w:pict>
          <v:rect id="_x0000_i1136" style="width:0;height:1.5pt" o:hralign="center" o:hrstd="t" o:hr="t" fillcolor="#a0a0a0" stroked="f"/>
        </w:pict>
      </w:r>
    </w:p>
    <w:p w:rsidR="00AF66D1" w:rsidRPr="00683A0A" w:rsidRDefault="00AF66D1" w:rsidP="00AF66D1">
      <w:pPr>
        <w:rPr>
          <w:b/>
          <w:bCs/>
        </w:rPr>
      </w:pPr>
      <w:r w:rsidRPr="00683A0A">
        <w:rPr>
          <w:b/>
          <w:bCs/>
        </w:rPr>
        <w:t>Table: Key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5"/>
        <w:gridCol w:w="1119"/>
        <w:gridCol w:w="1164"/>
        <w:gridCol w:w="1374"/>
        <w:gridCol w:w="873"/>
        <w:gridCol w:w="1658"/>
        <w:gridCol w:w="1773"/>
      </w:tblGrid>
      <w:tr w:rsidR="00AF66D1" w:rsidRPr="00683A0A" w:rsidTr="00E002CC">
        <w:trPr>
          <w:tblHeader/>
          <w:tblCellSpacing w:w="15" w:type="dxa"/>
        </w:trPr>
        <w:tc>
          <w:tcPr>
            <w:tcW w:w="0" w:type="auto"/>
            <w:vAlign w:val="center"/>
            <w:hideMark/>
          </w:tcPr>
          <w:p w:rsidR="00AF66D1" w:rsidRPr="00683A0A" w:rsidRDefault="00AF66D1" w:rsidP="00E002CC">
            <w:pPr>
              <w:rPr>
                <w:b/>
                <w:bCs/>
              </w:rPr>
            </w:pPr>
            <w:r w:rsidRPr="00683A0A">
              <w:rPr>
                <w:b/>
                <w:bCs/>
              </w:rPr>
              <w:t>Author(s)</w:t>
            </w:r>
          </w:p>
        </w:tc>
        <w:tc>
          <w:tcPr>
            <w:tcW w:w="0" w:type="auto"/>
            <w:vAlign w:val="center"/>
            <w:hideMark/>
          </w:tcPr>
          <w:p w:rsidR="00AF66D1" w:rsidRPr="00683A0A" w:rsidRDefault="00AF66D1" w:rsidP="00E002CC">
            <w:pPr>
              <w:rPr>
                <w:b/>
                <w:bCs/>
              </w:rPr>
            </w:pPr>
            <w:r w:rsidRPr="00683A0A">
              <w:rPr>
                <w:b/>
                <w:bCs/>
              </w:rPr>
              <w:t>Date</w:t>
            </w:r>
          </w:p>
        </w:tc>
        <w:tc>
          <w:tcPr>
            <w:tcW w:w="0" w:type="auto"/>
            <w:vAlign w:val="center"/>
            <w:hideMark/>
          </w:tcPr>
          <w:p w:rsidR="00AF66D1" w:rsidRPr="00683A0A" w:rsidRDefault="00AF66D1" w:rsidP="00E002CC">
            <w:pPr>
              <w:rPr>
                <w:b/>
                <w:bCs/>
              </w:rPr>
            </w:pPr>
            <w:r w:rsidRPr="00683A0A">
              <w:rPr>
                <w:b/>
                <w:bCs/>
              </w:rPr>
              <w:t>Purpose</w:t>
            </w:r>
          </w:p>
        </w:tc>
        <w:tc>
          <w:tcPr>
            <w:tcW w:w="0" w:type="auto"/>
            <w:vAlign w:val="center"/>
            <w:hideMark/>
          </w:tcPr>
          <w:p w:rsidR="00AF66D1" w:rsidRPr="00683A0A" w:rsidRDefault="00AF66D1" w:rsidP="00E002CC">
            <w:pPr>
              <w:rPr>
                <w:b/>
                <w:bCs/>
              </w:rPr>
            </w:pPr>
            <w:r w:rsidRPr="00683A0A">
              <w:rPr>
                <w:b/>
                <w:bCs/>
              </w:rPr>
              <w:t>Method</w:t>
            </w:r>
          </w:p>
        </w:tc>
        <w:tc>
          <w:tcPr>
            <w:tcW w:w="0" w:type="auto"/>
            <w:vAlign w:val="center"/>
            <w:hideMark/>
          </w:tcPr>
          <w:p w:rsidR="00AF66D1" w:rsidRPr="00683A0A" w:rsidRDefault="00AF66D1" w:rsidP="00E002CC">
            <w:pPr>
              <w:rPr>
                <w:b/>
                <w:bCs/>
              </w:rPr>
            </w:pPr>
            <w:r w:rsidRPr="00683A0A">
              <w:rPr>
                <w:b/>
                <w:bCs/>
              </w:rPr>
              <w:t>Sample Size</w:t>
            </w:r>
          </w:p>
        </w:tc>
        <w:tc>
          <w:tcPr>
            <w:tcW w:w="0" w:type="auto"/>
            <w:vAlign w:val="center"/>
            <w:hideMark/>
          </w:tcPr>
          <w:p w:rsidR="00AF66D1" w:rsidRPr="00683A0A" w:rsidRDefault="00AF66D1" w:rsidP="00E002CC">
            <w:pPr>
              <w:rPr>
                <w:b/>
                <w:bCs/>
              </w:rPr>
            </w:pPr>
            <w:r w:rsidRPr="00683A0A">
              <w:rPr>
                <w:b/>
                <w:bCs/>
              </w:rPr>
              <w:t>Findings</w:t>
            </w:r>
          </w:p>
        </w:tc>
        <w:tc>
          <w:tcPr>
            <w:tcW w:w="0" w:type="auto"/>
            <w:vAlign w:val="center"/>
            <w:hideMark/>
          </w:tcPr>
          <w:p w:rsidR="00AF66D1" w:rsidRPr="00683A0A" w:rsidRDefault="00AF66D1" w:rsidP="00E002CC">
            <w:pPr>
              <w:rPr>
                <w:b/>
                <w:bCs/>
              </w:rPr>
            </w:pPr>
            <w:r w:rsidRPr="00683A0A">
              <w:rPr>
                <w:b/>
                <w:bCs/>
              </w:rPr>
              <w:t>Uniqueness</w:t>
            </w:r>
          </w:p>
        </w:tc>
      </w:tr>
      <w:tr w:rsidR="00AF66D1" w:rsidRPr="00683A0A" w:rsidTr="00E002CC">
        <w:trPr>
          <w:tblCellSpacing w:w="15" w:type="dxa"/>
        </w:trPr>
        <w:tc>
          <w:tcPr>
            <w:tcW w:w="0" w:type="auto"/>
            <w:vAlign w:val="center"/>
            <w:hideMark/>
          </w:tcPr>
          <w:p w:rsidR="00AF66D1" w:rsidRPr="00683A0A" w:rsidRDefault="00AF66D1" w:rsidP="00E002CC">
            <w:r w:rsidRPr="00683A0A">
              <w:t>Jake Anders et al.</w:t>
            </w:r>
          </w:p>
        </w:tc>
        <w:tc>
          <w:tcPr>
            <w:tcW w:w="0" w:type="auto"/>
            <w:vAlign w:val="center"/>
            <w:hideMark/>
          </w:tcPr>
          <w:p w:rsidR="00AF66D1" w:rsidRPr="00683A0A" w:rsidRDefault="00AF66D1" w:rsidP="00E002CC">
            <w:r w:rsidRPr="00683A0A">
              <w:t>November 2017</w:t>
            </w:r>
          </w:p>
        </w:tc>
        <w:tc>
          <w:tcPr>
            <w:tcW w:w="0" w:type="auto"/>
            <w:vAlign w:val="center"/>
            <w:hideMark/>
          </w:tcPr>
          <w:p w:rsidR="00AF66D1" w:rsidRPr="00683A0A" w:rsidRDefault="00AF66D1" w:rsidP="00E002CC">
            <w:r w:rsidRPr="00683A0A">
              <w:t xml:space="preserve">To explore SES-based subject choice impacts on HE </w:t>
            </w:r>
            <w:proofErr w:type="gramStart"/>
            <w:r w:rsidRPr="00683A0A">
              <w:t>access</w:t>
            </w:r>
            <w:proofErr w:type="gramEnd"/>
            <w:r w:rsidRPr="00683A0A">
              <w:t>.</w:t>
            </w:r>
          </w:p>
        </w:tc>
        <w:tc>
          <w:tcPr>
            <w:tcW w:w="0" w:type="auto"/>
            <w:vAlign w:val="center"/>
            <w:hideMark/>
          </w:tcPr>
          <w:p w:rsidR="00AF66D1" w:rsidRPr="00683A0A" w:rsidRDefault="00AF66D1" w:rsidP="00E002CC">
            <w:r w:rsidRPr="00683A0A">
              <w:t>Quantitative (NPD, Next Steps)</w:t>
            </w:r>
          </w:p>
        </w:tc>
        <w:tc>
          <w:tcPr>
            <w:tcW w:w="0" w:type="auto"/>
            <w:vAlign w:val="center"/>
            <w:hideMark/>
          </w:tcPr>
          <w:p w:rsidR="00AF66D1" w:rsidRPr="00683A0A" w:rsidRDefault="00AF66D1" w:rsidP="00E002CC">
            <w:r w:rsidRPr="00683A0A">
              <w:t>542,944</w:t>
            </w:r>
          </w:p>
        </w:tc>
        <w:tc>
          <w:tcPr>
            <w:tcW w:w="0" w:type="auto"/>
            <w:vAlign w:val="center"/>
            <w:hideMark/>
          </w:tcPr>
          <w:p w:rsidR="00AF66D1" w:rsidRPr="00683A0A" w:rsidRDefault="00AF66D1" w:rsidP="00E002CC">
            <w:r w:rsidRPr="00683A0A">
              <w:t>SES disparities influence curriculum selectivity and HE access, mediated by school type and local authority.</w:t>
            </w:r>
          </w:p>
        </w:tc>
        <w:tc>
          <w:tcPr>
            <w:tcW w:w="0" w:type="auto"/>
            <w:vAlign w:val="center"/>
            <w:hideMark/>
          </w:tcPr>
          <w:p w:rsidR="00AF66D1" w:rsidRPr="00683A0A" w:rsidRDefault="00AF66D1" w:rsidP="00E002CC">
            <w:r w:rsidRPr="00683A0A">
              <w:t xml:space="preserve">Introduces a new metric of curriculum selectivity for 14–16-year-olds and its implications for HE </w:t>
            </w:r>
            <w:proofErr w:type="gramStart"/>
            <w:r w:rsidRPr="00683A0A">
              <w:t>access</w:t>
            </w:r>
            <w:proofErr w:type="gramEnd"/>
            <w:r w:rsidRPr="00683A0A">
              <w:t>.</w:t>
            </w:r>
          </w:p>
        </w:tc>
      </w:tr>
    </w:tbl>
    <w:p w:rsidR="00AF66D1" w:rsidRPr="00683A0A" w:rsidRDefault="00AF66D1" w:rsidP="00AF66D1">
      <w:r>
        <w:pict>
          <v:rect id="_x0000_i1137" style="width:0;height:1.5pt" o:hralign="center" o:hrstd="t" o:hr="t" fillcolor="#a0a0a0" stroked="f"/>
        </w:pict>
      </w:r>
    </w:p>
    <w:p w:rsidR="00AF66D1" w:rsidRPr="00683A0A" w:rsidRDefault="00AF66D1" w:rsidP="00AF66D1">
      <w:pPr>
        <w:rPr>
          <w:b/>
          <w:bCs/>
        </w:rPr>
      </w:pPr>
      <w:r w:rsidRPr="00683A0A">
        <w:rPr>
          <w:b/>
          <w:bCs/>
        </w:rPr>
        <w:t>Critique</w:t>
      </w:r>
    </w:p>
    <w:p w:rsidR="00AF66D1" w:rsidRPr="00683A0A" w:rsidRDefault="00AF66D1" w:rsidP="00AF66D1">
      <w:pPr>
        <w:rPr>
          <w:b/>
          <w:bCs/>
        </w:rPr>
      </w:pPr>
      <w:r w:rsidRPr="00683A0A">
        <w:rPr>
          <w:b/>
          <w:bCs/>
        </w:rPr>
        <w:t>Role of Theory</w:t>
      </w:r>
    </w:p>
    <w:p w:rsidR="00AF66D1" w:rsidRPr="00683A0A" w:rsidRDefault="00AF66D1" w:rsidP="00AF66D1">
      <w:r w:rsidRPr="00683A0A">
        <w:t>The study integrates structural theories to highlight systemic SES inequalities. While effective in grounding findings, it could benefit from additional theories like intersectionality to broaden analysis.</w:t>
      </w:r>
    </w:p>
    <w:p w:rsidR="00AF66D1" w:rsidRPr="00683A0A" w:rsidRDefault="00AF66D1" w:rsidP="00AF66D1">
      <w:pPr>
        <w:rPr>
          <w:b/>
          <w:bCs/>
        </w:rPr>
      </w:pPr>
      <w:r w:rsidRPr="00683A0A">
        <w:rPr>
          <w:b/>
          <w:bCs/>
        </w:rPr>
        <w:t>Reliability, Validity, and Bias</w:t>
      </w:r>
    </w:p>
    <w:p w:rsidR="00AF66D1" w:rsidRPr="00683A0A" w:rsidRDefault="00AF66D1" w:rsidP="00AF66D1">
      <w:pPr>
        <w:numPr>
          <w:ilvl w:val="0"/>
          <w:numId w:val="6"/>
        </w:numPr>
      </w:pPr>
      <w:r w:rsidRPr="00683A0A">
        <w:rPr>
          <w:b/>
          <w:bCs/>
        </w:rPr>
        <w:t>Reliability</w:t>
      </w:r>
      <w:r w:rsidRPr="00683A0A">
        <w:t xml:space="preserve">: High, supported by extensive datasets and robust statistical </w:t>
      </w:r>
      <w:proofErr w:type="spellStart"/>
      <w:r w:rsidRPr="00683A0A">
        <w:t>modeling</w:t>
      </w:r>
      <w:proofErr w:type="spellEnd"/>
      <w:r w:rsidRPr="00683A0A">
        <w:t>.</w:t>
      </w:r>
    </w:p>
    <w:p w:rsidR="00AF66D1" w:rsidRPr="00683A0A" w:rsidRDefault="00AF66D1" w:rsidP="00AF66D1">
      <w:pPr>
        <w:numPr>
          <w:ilvl w:val="0"/>
          <w:numId w:val="6"/>
        </w:numPr>
      </w:pPr>
      <w:r w:rsidRPr="00683A0A">
        <w:rPr>
          <w:b/>
          <w:bCs/>
        </w:rPr>
        <w:t>Validity</w:t>
      </w:r>
      <w:r w:rsidRPr="00683A0A">
        <w:t>: Strong, as prior attainment and school characteristics are controlled. Potential for unmeasured variables, such as individual aspirations, limits full internal validity.</w:t>
      </w:r>
    </w:p>
    <w:p w:rsidR="00AF66D1" w:rsidRPr="00683A0A" w:rsidRDefault="00AF66D1" w:rsidP="00AF66D1">
      <w:pPr>
        <w:numPr>
          <w:ilvl w:val="0"/>
          <w:numId w:val="6"/>
        </w:numPr>
      </w:pPr>
      <w:r w:rsidRPr="00683A0A">
        <w:rPr>
          <w:b/>
          <w:bCs/>
        </w:rPr>
        <w:t>Bias</w:t>
      </w:r>
      <w:r w:rsidRPr="00683A0A">
        <w:t>: The focus on quantitative data may underrepresent qualitative insights into the lived experiences of disadvantaged students.</w:t>
      </w:r>
    </w:p>
    <w:p w:rsidR="00AF66D1" w:rsidRPr="00683A0A" w:rsidRDefault="00AF66D1" w:rsidP="00AF66D1">
      <w:pPr>
        <w:rPr>
          <w:b/>
          <w:bCs/>
        </w:rPr>
      </w:pPr>
      <w:r w:rsidRPr="00683A0A">
        <w:rPr>
          <w:b/>
          <w:bCs/>
        </w:rPr>
        <w:t>Ethical Considerations</w:t>
      </w:r>
    </w:p>
    <w:p w:rsidR="00AF66D1" w:rsidRPr="00683A0A" w:rsidRDefault="00AF66D1" w:rsidP="00AF66D1">
      <w:r w:rsidRPr="00683A0A">
        <w:lastRenderedPageBreak/>
        <w:t>The study adheres to ethical research standards, anonymizing data and prioritizing equity. However, a more explicit discussion of ethical safeguards would enhance transparency.</w:t>
      </w:r>
    </w:p>
    <w:p w:rsidR="00AF66D1" w:rsidRPr="00683A0A" w:rsidRDefault="00AF66D1" w:rsidP="00AF66D1">
      <w:r>
        <w:pict>
          <v:rect id="_x0000_i1138" style="width:0;height:1.5pt" o:hralign="center" o:hrstd="t" o:hr="t" fillcolor="#a0a0a0" stroked="f"/>
        </w:pict>
      </w:r>
    </w:p>
    <w:p w:rsidR="00AF66D1" w:rsidRPr="00683A0A" w:rsidRDefault="00AF66D1" w:rsidP="00AF66D1">
      <w:pPr>
        <w:rPr>
          <w:b/>
          <w:bCs/>
        </w:rPr>
      </w:pPr>
      <w:r w:rsidRPr="00683A0A">
        <w:rPr>
          <w:b/>
          <w:bCs/>
        </w:rPr>
        <w:t>Reasoning and Relevance</w:t>
      </w:r>
    </w:p>
    <w:p w:rsidR="00AF66D1" w:rsidRPr="00683A0A" w:rsidRDefault="00AF66D1" w:rsidP="00AF66D1">
      <w:pPr>
        <w:numPr>
          <w:ilvl w:val="0"/>
          <w:numId w:val="7"/>
        </w:numPr>
      </w:pPr>
      <w:r w:rsidRPr="00683A0A">
        <w:rPr>
          <w:b/>
          <w:bCs/>
        </w:rPr>
        <w:t>Reasoning</w:t>
      </w:r>
      <w:r w:rsidRPr="00683A0A">
        <w:t xml:space="preserve">: Evidence robustly supports claims of SES-driven inequalities in HE </w:t>
      </w:r>
      <w:proofErr w:type="gramStart"/>
      <w:r w:rsidRPr="00683A0A">
        <w:t>access</w:t>
      </w:r>
      <w:proofErr w:type="gramEnd"/>
      <w:r w:rsidRPr="00683A0A">
        <w:t>, though opposing claims (e.g., individual agency) are underexplored.</w:t>
      </w:r>
    </w:p>
    <w:p w:rsidR="00AF66D1" w:rsidRPr="00683A0A" w:rsidRDefault="00AF66D1" w:rsidP="00AF66D1">
      <w:pPr>
        <w:numPr>
          <w:ilvl w:val="0"/>
          <w:numId w:val="7"/>
        </w:numPr>
      </w:pPr>
      <w:r w:rsidRPr="00683A0A">
        <w:rPr>
          <w:b/>
          <w:bCs/>
        </w:rPr>
        <w:t>Relevance</w:t>
      </w:r>
      <w:r w:rsidRPr="00683A0A">
        <w:t>: Directly applicable to UK HE policies aiming to address socio-economic disparities. The implications emphasize the need for systemic reforms over individual interventions.</w:t>
      </w:r>
    </w:p>
    <w:p w:rsidR="00AF66D1" w:rsidRPr="00683A0A" w:rsidRDefault="00AF66D1" w:rsidP="00AF66D1">
      <w:r>
        <w:pict>
          <v:rect id="_x0000_i1139" style="width:0;height:1.5pt" o:hralign="center" o:hrstd="t" o:hr="t" fillcolor="#a0a0a0" stroked="f"/>
        </w:pict>
      </w:r>
    </w:p>
    <w:p w:rsidR="00AF66D1" w:rsidRPr="00683A0A" w:rsidRDefault="00AF66D1" w:rsidP="00AF66D1">
      <w:pPr>
        <w:rPr>
          <w:b/>
          <w:bCs/>
        </w:rPr>
      </w:pPr>
      <w:r w:rsidRPr="00683A0A">
        <w:rPr>
          <w:b/>
          <w:bCs/>
        </w:rPr>
        <w:t>Overall Evaluation</w:t>
      </w:r>
    </w:p>
    <w:p w:rsidR="00AF66D1" w:rsidRPr="00683A0A" w:rsidRDefault="00AF66D1" w:rsidP="00AF66D1">
      <w:r w:rsidRPr="00683A0A">
        <w:t xml:space="preserve">The study is a significant contribution to understanding SES disparities in HE </w:t>
      </w:r>
      <w:proofErr w:type="gramStart"/>
      <w:r w:rsidRPr="00683A0A">
        <w:t>access</w:t>
      </w:r>
      <w:proofErr w:type="gramEnd"/>
      <w:r w:rsidRPr="00683A0A">
        <w:t xml:space="preserve">. Its quantitative rigor provides policymakers with actionable insights, though its scope could expand to include qualitative methods for a richer analysis. This work is crucial for informing interventions aimed at addressing SES inequalities in HE </w:t>
      </w:r>
      <w:proofErr w:type="gramStart"/>
      <w:r w:rsidRPr="00683A0A">
        <w:t>access</w:t>
      </w:r>
      <w:proofErr w:type="gramEnd"/>
      <w:r w:rsidRPr="00683A0A">
        <w:t>.</w:t>
      </w:r>
    </w:p>
    <w:p w:rsidR="00AF66D1" w:rsidRPr="00683A0A" w:rsidRDefault="00AF66D1" w:rsidP="00AF66D1">
      <w:r>
        <w:pict>
          <v:rect id="_x0000_i1140" style="width:0;height:1.5pt" o:hralign="center" o:hrstd="t" o:hr="t" fillcolor="#a0a0a0" stroked="f"/>
        </w:pict>
      </w:r>
    </w:p>
    <w:p w:rsidR="00AF66D1" w:rsidRPr="00683A0A" w:rsidRDefault="00AF66D1" w:rsidP="00AF66D1">
      <w:pPr>
        <w:rPr>
          <w:b/>
          <w:bCs/>
        </w:rPr>
      </w:pPr>
      <w:r w:rsidRPr="00683A0A">
        <w:rPr>
          <w:b/>
          <w:bCs/>
        </w:rPr>
        <w:t>Synthesis</w:t>
      </w:r>
    </w:p>
    <w:p w:rsidR="00AF66D1" w:rsidRPr="00683A0A" w:rsidRDefault="00AF66D1" w:rsidP="00AF66D1">
      <w:r w:rsidRPr="00683A0A">
        <w:t>The paper underscores systemic SES inequalities in educational trajectories, aligning with theories of social reproduction. By linking early curriculum decisions to HE access, it highlights the structural constraints faced by disadvantaged students. Future research should integrate longitudinal and qualitative methods to explore intersectionality and lived experiences, deepening the understanding of how systemic barriers shape outcomes.</w:t>
      </w:r>
    </w:p>
    <w:p w:rsidR="00AF66D1" w:rsidRPr="00683A0A" w:rsidRDefault="00AF66D1" w:rsidP="00AF66D1">
      <w:r>
        <w:pict>
          <v:rect id="_x0000_i1141" style="width:0;height:1.5pt" o:hralign="center" o:hrstd="t" o:hr="t" fillcolor="#a0a0a0" stroked="f"/>
        </w:pict>
      </w:r>
    </w:p>
    <w:p w:rsidR="00AF66D1" w:rsidRPr="00683A0A" w:rsidRDefault="00AF66D1" w:rsidP="00AF66D1">
      <w:pPr>
        <w:rPr>
          <w:b/>
          <w:bCs/>
        </w:rPr>
      </w:pPr>
      <w:r w:rsidRPr="00683A0A">
        <w:rPr>
          <w:b/>
          <w:bCs/>
        </w:rPr>
        <w:t>Ontology, Epistemology, and Axiology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4"/>
        <w:gridCol w:w="7612"/>
      </w:tblGrid>
      <w:tr w:rsidR="00AF66D1" w:rsidRPr="00683A0A" w:rsidTr="00E002CC">
        <w:trPr>
          <w:tblHeader/>
          <w:tblCellSpacing w:w="15" w:type="dxa"/>
        </w:trPr>
        <w:tc>
          <w:tcPr>
            <w:tcW w:w="0" w:type="auto"/>
            <w:vAlign w:val="center"/>
            <w:hideMark/>
          </w:tcPr>
          <w:p w:rsidR="00AF66D1" w:rsidRPr="00683A0A" w:rsidRDefault="00AF66D1" w:rsidP="00E002CC">
            <w:pPr>
              <w:rPr>
                <w:b/>
                <w:bCs/>
              </w:rPr>
            </w:pPr>
            <w:r w:rsidRPr="00683A0A">
              <w:rPr>
                <w:b/>
                <w:bCs/>
              </w:rPr>
              <w:t>Aspect</w:t>
            </w:r>
          </w:p>
        </w:tc>
        <w:tc>
          <w:tcPr>
            <w:tcW w:w="0" w:type="auto"/>
            <w:vAlign w:val="center"/>
            <w:hideMark/>
          </w:tcPr>
          <w:p w:rsidR="00AF66D1" w:rsidRPr="00683A0A" w:rsidRDefault="00AF66D1" w:rsidP="00E002CC">
            <w:pPr>
              <w:rPr>
                <w:b/>
                <w:bCs/>
              </w:rPr>
            </w:pPr>
            <w:r w:rsidRPr="00683A0A">
              <w:rPr>
                <w:b/>
                <w:bCs/>
              </w:rPr>
              <w:t>Alignment with Research</w:t>
            </w:r>
          </w:p>
        </w:tc>
      </w:tr>
      <w:tr w:rsidR="00AF66D1" w:rsidRPr="00683A0A" w:rsidTr="00E002CC">
        <w:trPr>
          <w:tblCellSpacing w:w="15" w:type="dxa"/>
        </w:trPr>
        <w:tc>
          <w:tcPr>
            <w:tcW w:w="0" w:type="auto"/>
            <w:vAlign w:val="center"/>
            <w:hideMark/>
          </w:tcPr>
          <w:p w:rsidR="00AF66D1" w:rsidRPr="00683A0A" w:rsidRDefault="00AF66D1" w:rsidP="00E002CC">
            <w:r w:rsidRPr="00683A0A">
              <w:rPr>
                <w:b/>
                <w:bCs/>
              </w:rPr>
              <w:t>Ontology</w:t>
            </w:r>
          </w:p>
        </w:tc>
        <w:tc>
          <w:tcPr>
            <w:tcW w:w="0" w:type="auto"/>
            <w:vAlign w:val="center"/>
            <w:hideMark/>
          </w:tcPr>
          <w:p w:rsidR="00AF66D1" w:rsidRPr="00683A0A" w:rsidRDefault="00AF66D1" w:rsidP="00E002CC">
            <w:r w:rsidRPr="00683A0A">
              <w:t>Objective focus on measurable inequalities in SES and educational outcomes.</w:t>
            </w:r>
          </w:p>
        </w:tc>
      </w:tr>
      <w:tr w:rsidR="00AF66D1" w:rsidRPr="00683A0A" w:rsidTr="00E002CC">
        <w:trPr>
          <w:tblCellSpacing w:w="15" w:type="dxa"/>
        </w:trPr>
        <w:tc>
          <w:tcPr>
            <w:tcW w:w="0" w:type="auto"/>
            <w:vAlign w:val="center"/>
            <w:hideMark/>
          </w:tcPr>
          <w:p w:rsidR="00AF66D1" w:rsidRPr="00683A0A" w:rsidRDefault="00AF66D1" w:rsidP="00E002CC">
            <w:r w:rsidRPr="00683A0A">
              <w:rPr>
                <w:b/>
                <w:bCs/>
              </w:rPr>
              <w:t>Epistemology</w:t>
            </w:r>
          </w:p>
        </w:tc>
        <w:tc>
          <w:tcPr>
            <w:tcW w:w="0" w:type="auto"/>
            <w:vAlign w:val="center"/>
            <w:hideMark/>
          </w:tcPr>
          <w:p w:rsidR="00AF66D1" w:rsidRPr="00683A0A" w:rsidRDefault="00AF66D1" w:rsidP="00E002CC">
            <w:r w:rsidRPr="00683A0A">
              <w:t>Positivist approach through quantitative analysis.</w:t>
            </w:r>
          </w:p>
        </w:tc>
      </w:tr>
      <w:tr w:rsidR="00AF66D1" w:rsidRPr="00683A0A" w:rsidTr="00E002CC">
        <w:trPr>
          <w:tblCellSpacing w:w="15" w:type="dxa"/>
        </w:trPr>
        <w:tc>
          <w:tcPr>
            <w:tcW w:w="0" w:type="auto"/>
            <w:vAlign w:val="center"/>
            <w:hideMark/>
          </w:tcPr>
          <w:p w:rsidR="00AF66D1" w:rsidRPr="00683A0A" w:rsidRDefault="00AF66D1" w:rsidP="00E002CC">
            <w:r w:rsidRPr="00683A0A">
              <w:rPr>
                <w:b/>
                <w:bCs/>
              </w:rPr>
              <w:t>Axiology</w:t>
            </w:r>
          </w:p>
        </w:tc>
        <w:tc>
          <w:tcPr>
            <w:tcW w:w="0" w:type="auto"/>
            <w:vAlign w:val="center"/>
            <w:hideMark/>
          </w:tcPr>
          <w:p w:rsidR="00AF66D1" w:rsidRPr="00683A0A" w:rsidRDefault="00AF66D1" w:rsidP="00E002CC">
            <w:r w:rsidRPr="00683A0A">
              <w:t>Commitment to equity, emphasizing policy reforms to mitigate socio-economic disparities.</w:t>
            </w:r>
          </w:p>
        </w:tc>
      </w:tr>
    </w:tbl>
    <w:p w:rsidR="00AF66D1" w:rsidRPr="00683A0A" w:rsidRDefault="00AF66D1" w:rsidP="00AF66D1">
      <w:r w:rsidRPr="00683A0A">
        <w:rPr>
          <w:b/>
          <w:bCs/>
        </w:rPr>
        <w:t>Good</w:t>
      </w:r>
      <w:r w:rsidRPr="00683A0A">
        <w:t>: Comprehensive dataset and quantitative rigor.</w:t>
      </w:r>
      <w:r w:rsidRPr="00683A0A">
        <w:br/>
      </w:r>
      <w:r w:rsidRPr="00683A0A">
        <w:rPr>
          <w:b/>
          <w:bCs/>
        </w:rPr>
        <w:t>Improvement</w:t>
      </w:r>
      <w:r w:rsidRPr="00683A0A">
        <w:t>: Integrate intersectional and qualitative perspectives for a holistic analysis.</w:t>
      </w:r>
    </w:p>
    <w:p w:rsidR="00AF66D1" w:rsidRDefault="00AF66D1" w:rsidP="008C3E3C">
      <w:pPr>
        <w:rPr>
          <w:rFonts w:cstheme="minorHAnsi"/>
          <w:b/>
          <w:bCs/>
          <w:color w:val="000000" w:themeColor="text1"/>
        </w:rPr>
      </w:pPr>
    </w:p>
    <w:p w:rsidR="008C3E3C" w:rsidRDefault="008C3E3C" w:rsidP="008C3E3C">
      <w:pPr>
        <w:rPr>
          <w:rFonts w:cstheme="minorHAnsi"/>
          <w:b/>
          <w:bCs/>
          <w:color w:val="000000" w:themeColor="text1"/>
        </w:rPr>
      </w:pPr>
      <w:r>
        <w:rPr>
          <w:rFonts w:cstheme="minorHAnsi"/>
          <w:b/>
          <w:bCs/>
          <w:color w:val="000000" w:themeColor="text1"/>
        </w:rPr>
        <w:t>Paper 9</w:t>
      </w:r>
    </w:p>
    <w:p w:rsidR="00AF66D1" w:rsidRPr="001321C6" w:rsidRDefault="00AF66D1" w:rsidP="00AF66D1">
      <w:pPr>
        <w:rPr>
          <w:b/>
          <w:bCs/>
        </w:rPr>
      </w:pPr>
      <w:r w:rsidRPr="001321C6">
        <w:rPr>
          <w:b/>
          <w:bCs/>
        </w:rPr>
        <w:t>Determinants of University Dropout: A Review of the Socio-Economic Literature</w:t>
      </w:r>
    </w:p>
    <w:p w:rsidR="00AF66D1" w:rsidRPr="001321C6" w:rsidRDefault="00AF66D1" w:rsidP="00AF66D1">
      <w:pPr>
        <w:rPr>
          <w:b/>
          <w:bCs/>
        </w:rPr>
      </w:pPr>
      <w:r w:rsidRPr="001321C6">
        <w:rPr>
          <w:b/>
          <w:bCs/>
        </w:rPr>
        <w:t>Content Summary</w:t>
      </w:r>
    </w:p>
    <w:p w:rsidR="00AF66D1" w:rsidRPr="001321C6" w:rsidRDefault="00AF66D1" w:rsidP="00AF66D1">
      <w:r w:rsidRPr="001321C6">
        <w:rPr>
          <w:b/>
          <w:bCs/>
        </w:rPr>
        <w:t>Purpose</w:t>
      </w:r>
      <w:r w:rsidRPr="001321C6">
        <w:t>:</w:t>
      </w:r>
      <w:r w:rsidRPr="001321C6">
        <w:br/>
        <w:t>This paper explores the socio-economic factors influencing university dropout rates. By integrating economic and sociological frameworks, the study investigates individual, institutional, and relational determinants of student retention, offering policy-relevant insights.</w:t>
      </w:r>
    </w:p>
    <w:p w:rsidR="00AF66D1" w:rsidRPr="001321C6" w:rsidRDefault="00AF66D1" w:rsidP="00AF66D1">
      <w:r w:rsidRPr="001321C6">
        <w:rPr>
          <w:b/>
          <w:bCs/>
        </w:rPr>
        <w:t>Currency</w:t>
      </w:r>
      <w:r w:rsidRPr="001321C6">
        <w:t>:</w:t>
      </w:r>
      <w:r w:rsidRPr="001321C6">
        <w:br/>
        <w:t>Published in 2022, the paper incorporates recent data and theories, ensuring its relevance in contemporary educational discourse.</w:t>
      </w:r>
    </w:p>
    <w:p w:rsidR="00AF66D1" w:rsidRPr="001321C6" w:rsidRDefault="00AF66D1" w:rsidP="00AF66D1">
      <w:pPr>
        <w:rPr>
          <w:b/>
          <w:bCs/>
        </w:rPr>
      </w:pPr>
      <w:r w:rsidRPr="001321C6">
        <w:rPr>
          <w:b/>
          <w:bCs/>
        </w:rPr>
        <w:t>Analysis</w:t>
      </w:r>
    </w:p>
    <w:p w:rsidR="00AF66D1" w:rsidRPr="001321C6" w:rsidRDefault="00AF66D1" w:rsidP="00AF66D1">
      <w:r w:rsidRPr="001321C6">
        <w:rPr>
          <w:b/>
          <w:bCs/>
        </w:rPr>
        <w:t>Authority</w:t>
      </w:r>
      <w:r w:rsidRPr="001321C6">
        <w:t>:</w:t>
      </w:r>
      <w:r w:rsidRPr="001321C6">
        <w:br/>
        <w:t>Authored by Carmen Aina et al., the researchers are affiliated with reputed academic institutions in economics and social policy, lending credibility to their analysis.</w:t>
      </w:r>
    </w:p>
    <w:p w:rsidR="00AF66D1" w:rsidRPr="001321C6" w:rsidRDefault="00AF66D1" w:rsidP="00AF66D1">
      <w:r w:rsidRPr="001321C6">
        <w:rPr>
          <w:b/>
          <w:bCs/>
        </w:rPr>
        <w:t>Methodology</w:t>
      </w:r>
      <w:r w:rsidRPr="001321C6">
        <w:t>:</w:t>
      </w:r>
      <w:r w:rsidRPr="001321C6">
        <w:br/>
        <w:t>A qualitative review synthesizing empirical evidence from economics and sociology. It employs a unified theoretical framework that combines human capital models with sociological insights.</w:t>
      </w:r>
    </w:p>
    <w:p w:rsidR="00AF66D1" w:rsidRPr="001321C6" w:rsidRDefault="00AF66D1" w:rsidP="00AF66D1">
      <w:pPr>
        <w:numPr>
          <w:ilvl w:val="0"/>
          <w:numId w:val="8"/>
        </w:numPr>
      </w:pPr>
      <w:r w:rsidRPr="001321C6">
        <w:rPr>
          <w:b/>
          <w:bCs/>
        </w:rPr>
        <w:t>Ontological Perspective</w:t>
      </w:r>
      <w:r w:rsidRPr="001321C6">
        <w:t>: Dropout is treated as a dynamic, multivariate phenomenon shaped by individual and systemic factors.</w:t>
      </w:r>
    </w:p>
    <w:p w:rsidR="00AF66D1" w:rsidRPr="001321C6" w:rsidRDefault="00AF66D1" w:rsidP="00AF66D1">
      <w:pPr>
        <w:numPr>
          <w:ilvl w:val="0"/>
          <w:numId w:val="8"/>
        </w:numPr>
      </w:pPr>
      <w:r w:rsidRPr="001321C6">
        <w:rPr>
          <w:b/>
          <w:bCs/>
        </w:rPr>
        <w:t>Epistemological Perspective</w:t>
      </w:r>
      <w:r w:rsidRPr="001321C6">
        <w:t xml:space="preserve">: Positivist, employing quantifiable data to </w:t>
      </w:r>
      <w:proofErr w:type="spellStart"/>
      <w:r w:rsidRPr="001321C6">
        <w:t>analyze</w:t>
      </w:r>
      <w:proofErr w:type="spellEnd"/>
      <w:r w:rsidRPr="001321C6">
        <w:t xml:space="preserve"> relationships between dropout determinants and outcomes.</w:t>
      </w:r>
    </w:p>
    <w:p w:rsidR="00AF66D1" w:rsidRPr="001321C6" w:rsidRDefault="00AF66D1" w:rsidP="00AF66D1">
      <w:pPr>
        <w:rPr>
          <w:b/>
          <w:bCs/>
        </w:rPr>
      </w:pPr>
      <w:r w:rsidRPr="001321C6">
        <w:rPr>
          <w:b/>
          <w:bCs/>
        </w:rPr>
        <w:t>Critical Assessment</w:t>
      </w:r>
    </w:p>
    <w:p w:rsidR="00AF66D1" w:rsidRPr="001321C6" w:rsidRDefault="00AF66D1" w:rsidP="00AF66D1">
      <w:r w:rsidRPr="001321C6">
        <w:rPr>
          <w:b/>
          <w:bCs/>
        </w:rPr>
        <w:t>Accuracy</w:t>
      </w:r>
      <w:r w:rsidRPr="001321C6">
        <w:t>:</w:t>
      </w:r>
      <w:r w:rsidRPr="001321C6">
        <w:br/>
        <w:t>The study uses reliable datasets (OECD, national surveys) and integrates decades of research. While robust, it relies on secondary data, which may limit contextual depth.</w:t>
      </w:r>
    </w:p>
    <w:p w:rsidR="00AF66D1" w:rsidRPr="001321C6" w:rsidRDefault="00AF66D1" w:rsidP="00AF66D1">
      <w:r w:rsidRPr="001321C6">
        <w:rPr>
          <w:b/>
          <w:bCs/>
        </w:rPr>
        <w:t>Objectivity</w:t>
      </w:r>
      <w:r w:rsidRPr="001321C6">
        <w:t>:</w:t>
      </w:r>
      <w:r w:rsidRPr="001321C6">
        <w:br/>
        <w:t>The paper objectively critiques existing models, combining empirical data with theoretical insights. However, its heavy reliance on quantitative studies may overlook subjective, lived experiences.</w:t>
      </w:r>
    </w:p>
    <w:p w:rsidR="00AF66D1" w:rsidRPr="001321C6" w:rsidRDefault="00AF66D1" w:rsidP="00AF66D1">
      <w:r w:rsidRPr="001321C6">
        <w:rPr>
          <w:b/>
          <w:bCs/>
        </w:rPr>
        <w:lastRenderedPageBreak/>
        <w:t>Currency</w:t>
      </w:r>
      <w:r w:rsidRPr="001321C6">
        <w:t>:</w:t>
      </w:r>
      <w:r w:rsidRPr="001321C6">
        <w:br/>
        <w:t>The recent publication ensures up-to-date relevance, though longitudinal studies for validating trends are limited.</w:t>
      </w:r>
    </w:p>
    <w:p w:rsidR="00AF66D1" w:rsidRPr="001321C6" w:rsidRDefault="00AF66D1" w:rsidP="00AF66D1">
      <w:r w:rsidRPr="001321C6">
        <w:rPr>
          <w:b/>
          <w:bCs/>
        </w:rPr>
        <w:t>Coverage</w:t>
      </w:r>
      <w:r w:rsidRPr="001321C6">
        <w:t>:</w:t>
      </w:r>
      <w:r w:rsidRPr="001321C6">
        <w:br/>
        <w:t xml:space="preserve">The paper comprehensively addresses dropout determinants across micro, </w:t>
      </w:r>
      <w:proofErr w:type="spellStart"/>
      <w:r w:rsidRPr="001321C6">
        <w:t>meso</w:t>
      </w:r>
      <w:proofErr w:type="spellEnd"/>
      <w:r w:rsidRPr="001321C6">
        <w:t>, and macro levels. However, the global scope sacrifices in-depth regional or contextual analyses.</w:t>
      </w:r>
    </w:p>
    <w:p w:rsidR="00AF66D1" w:rsidRPr="001321C6" w:rsidRDefault="00AF66D1" w:rsidP="00AF66D1">
      <w:pPr>
        <w:rPr>
          <w:b/>
          <w:bCs/>
        </w:rPr>
      </w:pPr>
      <w:r w:rsidRPr="001321C6">
        <w:rPr>
          <w:b/>
          <w:bCs/>
        </w:rPr>
        <w:t>Conclusion</w:t>
      </w:r>
    </w:p>
    <w:p w:rsidR="00AF66D1" w:rsidRDefault="00AF66D1" w:rsidP="008C3E3C">
      <w:r w:rsidRPr="001321C6">
        <w:t>Future research should integrate qualitative methods to explore lived experiences and intersectional factors like race and gender. Mixed-methods approaches could enhance understanding and inform policies targeting systemic inequities.</w:t>
      </w:r>
    </w:p>
    <w:p w:rsidR="00AF66D1" w:rsidRPr="00AF66D1" w:rsidRDefault="00AF66D1" w:rsidP="008C3E3C"/>
    <w:p w:rsidR="008C3E3C" w:rsidRDefault="008C3E3C" w:rsidP="008C3E3C">
      <w:pPr>
        <w:rPr>
          <w:rFonts w:cstheme="minorHAnsi"/>
          <w:b/>
          <w:bCs/>
          <w:color w:val="000000" w:themeColor="text1"/>
        </w:rPr>
      </w:pPr>
      <w:r>
        <w:rPr>
          <w:rFonts w:cstheme="minorHAnsi"/>
          <w:b/>
          <w:bCs/>
          <w:color w:val="000000" w:themeColor="text1"/>
        </w:rPr>
        <w:t>Paper 10</w:t>
      </w:r>
    </w:p>
    <w:p w:rsidR="00AF66D1" w:rsidRPr="00460088" w:rsidRDefault="00AF66D1" w:rsidP="00AF66D1">
      <w:pPr>
        <w:rPr>
          <w:b/>
          <w:bCs/>
        </w:rPr>
      </w:pPr>
      <w:r w:rsidRPr="00460088">
        <w:rPr>
          <w:b/>
          <w:bCs/>
        </w:rPr>
        <w:t>Socioeconomic Status and Student Learning: Insights from an Umbrella Review</w:t>
      </w:r>
    </w:p>
    <w:p w:rsidR="00AF66D1" w:rsidRPr="00460088" w:rsidRDefault="00AF66D1" w:rsidP="00AF66D1">
      <w:pPr>
        <w:rPr>
          <w:b/>
          <w:bCs/>
        </w:rPr>
      </w:pPr>
      <w:r w:rsidRPr="00460088">
        <w:rPr>
          <w:b/>
          <w:bCs/>
        </w:rPr>
        <w:t>Content Summary:</w:t>
      </w:r>
    </w:p>
    <w:p w:rsidR="00AF66D1" w:rsidRPr="00460088" w:rsidRDefault="00AF66D1" w:rsidP="00AF66D1">
      <w:pPr>
        <w:numPr>
          <w:ilvl w:val="0"/>
          <w:numId w:val="9"/>
        </w:numPr>
      </w:pPr>
      <w:r w:rsidRPr="00460088">
        <w:rPr>
          <w:b/>
          <w:bCs/>
        </w:rPr>
        <w:t>Purpose:</w:t>
      </w:r>
      <w:r w:rsidRPr="00460088">
        <w:t xml:space="preserve"> The study explores the relationship between socioeconomic status (SES) and student learning outcomes. It investigates how SES influences learning, identifies mediators and moderators of this relationship, and evaluates SES's conceptualization and measurement.</w:t>
      </w:r>
    </w:p>
    <w:p w:rsidR="00AF66D1" w:rsidRPr="00460088" w:rsidRDefault="00AF66D1" w:rsidP="00AF66D1">
      <w:pPr>
        <w:numPr>
          <w:ilvl w:val="0"/>
          <w:numId w:val="9"/>
        </w:numPr>
      </w:pPr>
      <w:r w:rsidRPr="00460088">
        <w:rPr>
          <w:b/>
          <w:bCs/>
        </w:rPr>
        <w:t>Currency:</w:t>
      </w:r>
      <w:r w:rsidRPr="00460088">
        <w:t xml:space="preserve"> Published in 2024, the study incorporates findings from 48 reviews, ensuring relevance to contemporary educational challenges.</w:t>
      </w:r>
    </w:p>
    <w:p w:rsidR="00AF66D1" w:rsidRPr="00460088" w:rsidRDefault="00AF66D1" w:rsidP="00AF66D1">
      <w:pPr>
        <w:rPr>
          <w:b/>
          <w:bCs/>
        </w:rPr>
      </w:pPr>
      <w:r w:rsidRPr="00460088">
        <w:rPr>
          <w:b/>
          <w:bCs/>
        </w:rPr>
        <w:t>Analysis:</w:t>
      </w:r>
    </w:p>
    <w:p w:rsidR="00AF66D1" w:rsidRPr="00460088" w:rsidRDefault="00AF66D1" w:rsidP="00AF66D1">
      <w:pPr>
        <w:numPr>
          <w:ilvl w:val="0"/>
          <w:numId w:val="10"/>
        </w:numPr>
      </w:pPr>
      <w:r w:rsidRPr="00460088">
        <w:rPr>
          <w:b/>
          <w:bCs/>
        </w:rPr>
        <w:t>Authority:</w:t>
      </w:r>
      <w:r w:rsidRPr="00460088">
        <w:t xml:space="preserve"> Authored by Cheng Yong Tan, a scholar affiliated with the Faculty of Education at The University of Hong Kong, demonstrating credibility in educational research.</w:t>
      </w:r>
    </w:p>
    <w:p w:rsidR="00AF66D1" w:rsidRPr="00460088" w:rsidRDefault="00AF66D1" w:rsidP="00AF66D1">
      <w:pPr>
        <w:numPr>
          <w:ilvl w:val="0"/>
          <w:numId w:val="10"/>
        </w:numPr>
      </w:pPr>
      <w:r w:rsidRPr="00460088">
        <w:rPr>
          <w:b/>
          <w:bCs/>
        </w:rPr>
        <w:t>Methodology:</w:t>
      </w:r>
      <w:r w:rsidRPr="00460088">
        <w:t xml:space="preserve"> The study employs a mixed-methods umbrella review that synthesizes findings from qualitative, quantitative, and systematic reviews to explore SES's impact on learning.</w:t>
      </w:r>
    </w:p>
    <w:p w:rsidR="00AF66D1" w:rsidRPr="00460088" w:rsidRDefault="00AF66D1" w:rsidP="00AF66D1">
      <w:pPr>
        <w:numPr>
          <w:ilvl w:val="0"/>
          <w:numId w:val="10"/>
        </w:numPr>
      </w:pPr>
      <w:r w:rsidRPr="00460088">
        <w:rPr>
          <w:b/>
          <w:bCs/>
        </w:rPr>
        <w:t>Ontological Perspective:</w:t>
      </w:r>
      <w:r w:rsidRPr="00460088">
        <w:t xml:space="preserve"> SES and its impact on learning are treated as dynamic, multifaceted phenomena shaped by systemic, individual, and familial interactions.</w:t>
      </w:r>
    </w:p>
    <w:p w:rsidR="00AF66D1" w:rsidRPr="00460088" w:rsidRDefault="00AF66D1" w:rsidP="00AF66D1">
      <w:pPr>
        <w:numPr>
          <w:ilvl w:val="0"/>
          <w:numId w:val="10"/>
        </w:numPr>
      </w:pPr>
      <w:r w:rsidRPr="00460088">
        <w:rPr>
          <w:b/>
          <w:bCs/>
        </w:rPr>
        <w:t>Epistemological Perspective:</w:t>
      </w:r>
      <w:r w:rsidRPr="00460088">
        <w:t xml:space="preserve"> Post-positivist, incorporating both measurable and subjective dimensions of SES, and focusing on ecological and relational aspects.</w:t>
      </w:r>
    </w:p>
    <w:p w:rsidR="00AF66D1" w:rsidRPr="00460088" w:rsidRDefault="00AF66D1" w:rsidP="00AF66D1">
      <w:pPr>
        <w:rPr>
          <w:b/>
          <w:bCs/>
        </w:rPr>
      </w:pPr>
      <w:r w:rsidRPr="00460088">
        <w:rPr>
          <w:b/>
          <w:bCs/>
        </w:rPr>
        <w:t>Critical Assessment:</w:t>
      </w:r>
    </w:p>
    <w:p w:rsidR="00AF66D1" w:rsidRPr="00460088" w:rsidRDefault="00AF66D1" w:rsidP="00AF66D1">
      <w:pPr>
        <w:numPr>
          <w:ilvl w:val="0"/>
          <w:numId w:val="11"/>
        </w:numPr>
      </w:pPr>
      <w:r w:rsidRPr="00460088">
        <w:rPr>
          <w:b/>
          <w:bCs/>
        </w:rPr>
        <w:lastRenderedPageBreak/>
        <w:t>Accuracy:</w:t>
      </w:r>
      <w:r w:rsidRPr="00460088">
        <w:t xml:space="preserve"> The study is grounded in rigorous data synthesis, employing thematic and meta-analytical approaches to ensure reliability. However, some limitations stem from the reliance on secondary data, which might not fully capture cultural biases in SES measures.</w:t>
      </w:r>
    </w:p>
    <w:p w:rsidR="00AF66D1" w:rsidRPr="00460088" w:rsidRDefault="00AF66D1" w:rsidP="00AF66D1">
      <w:pPr>
        <w:numPr>
          <w:ilvl w:val="0"/>
          <w:numId w:val="11"/>
        </w:numPr>
      </w:pPr>
      <w:r w:rsidRPr="00460088">
        <w:rPr>
          <w:b/>
          <w:bCs/>
        </w:rPr>
        <w:t>Objectivity:</w:t>
      </w:r>
      <w:r w:rsidRPr="00460088">
        <w:t xml:space="preserve"> The research is equity-driven and aims to challenge deficit-based narratives. It advocates systemic reforms to improve educational access and outcomes for low-SES students.</w:t>
      </w:r>
    </w:p>
    <w:p w:rsidR="00AF66D1" w:rsidRPr="00460088" w:rsidRDefault="00AF66D1" w:rsidP="00AF66D1">
      <w:pPr>
        <w:numPr>
          <w:ilvl w:val="0"/>
          <w:numId w:val="11"/>
        </w:numPr>
      </w:pPr>
      <w:r w:rsidRPr="00460088">
        <w:rPr>
          <w:b/>
          <w:bCs/>
        </w:rPr>
        <w:t>Currency:</w:t>
      </w:r>
      <w:r w:rsidRPr="00460088">
        <w:t xml:space="preserve"> The findings are highly current, with implications for addressing SES-related disparities in education systems globally.</w:t>
      </w:r>
    </w:p>
    <w:p w:rsidR="00AF66D1" w:rsidRPr="00460088" w:rsidRDefault="00AF66D1" w:rsidP="00AF66D1">
      <w:pPr>
        <w:numPr>
          <w:ilvl w:val="0"/>
          <w:numId w:val="11"/>
        </w:numPr>
      </w:pPr>
      <w:r w:rsidRPr="00460088">
        <w:rPr>
          <w:b/>
          <w:bCs/>
        </w:rPr>
        <w:t>Coverage:</w:t>
      </w:r>
      <w:r w:rsidRPr="00460088">
        <w:t xml:space="preserve"> Comprehensive, examining SES through multiple lenses—conceptual, relational, and ecological—while identifying gaps in the literature for future research.</w:t>
      </w:r>
    </w:p>
    <w:p w:rsidR="00AF66D1" w:rsidRPr="00460088" w:rsidRDefault="00AF66D1" w:rsidP="00AF66D1">
      <w:pPr>
        <w:rPr>
          <w:b/>
          <w:bCs/>
        </w:rPr>
      </w:pPr>
      <w:r w:rsidRPr="00460088">
        <w:rPr>
          <w:b/>
          <w:bCs/>
        </w:rPr>
        <w:t>Conclusion:</w:t>
      </w:r>
    </w:p>
    <w:p w:rsidR="00AF66D1" w:rsidRPr="00460088" w:rsidRDefault="00AF66D1" w:rsidP="00AF66D1">
      <w:r w:rsidRPr="00460088">
        <w:t>The study highlights SES as a critical determinant of student learning, emphasizing the need for policies addressing systemic inequities. Future research should incorporate longitudinal studies and intersectional analyses to further explore how SES interacts with variables like race, gender, and regional differences in educational outcomes.</w:t>
      </w:r>
    </w:p>
    <w:p w:rsidR="00AF66D1" w:rsidRPr="00460088" w:rsidRDefault="00AF66D1" w:rsidP="00AF66D1">
      <w:pPr>
        <w:rPr>
          <w:b/>
          <w:bCs/>
        </w:rPr>
      </w:pPr>
      <w:r w:rsidRPr="00460088">
        <w:rPr>
          <w:b/>
          <w:bCs/>
        </w:rPr>
        <w:t>Table of Key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3"/>
        <w:gridCol w:w="547"/>
        <w:gridCol w:w="1494"/>
        <w:gridCol w:w="1035"/>
        <w:gridCol w:w="824"/>
        <w:gridCol w:w="2065"/>
        <w:gridCol w:w="2248"/>
      </w:tblGrid>
      <w:tr w:rsidR="00AF66D1" w:rsidRPr="00460088" w:rsidTr="00E002CC">
        <w:trPr>
          <w:tblHeader/>
          <w:tblCellSpacing w:w="15" w:type="dxa"/>
        </w:trPr>
        <w:tc>
          <w:tcPr>
            <w:tcW w:w="0" w:type="auto"/>
            <w:vAlign w:val="center"/>
            <w:hideMark/>
          </w:tcPr>
          <w:p w:rsidR="00AF66D1" w:rsidRPr="00460088" w:rsidRDefault="00AF66D1" w:rsidP="00E002CC">
            <w:pPr>
              <w:rPr>
                <w:b/>
                <w:bCs/>
              </w:rPr>
            </w:pPr>
            <w:r w:rsidRPr="00460088">
              <w:rPr>
                <w:b/>
                <w:bCs/>
              </w:rPr>
              <w:t>Author</w:t>
            </w:r>
          </w:p>
        </w:tc>
        <w:tc>
          <w:tcPr>
            <w:tcW w:w="0" w:type="auto"/>
            <w:vAlign w:val="center"/>
            <w:hideMark/>
          </w:tcPr>
          <w:p w:rsidR="00AF66D1" w:rsidRPr="00460088" w:rsidRDefault="00AF66D1" w:rsidP="00E002CC">
            <w:pPr>
              <w:rPr>
                <w:b/>
                <w:bCs/>
              </w:rPr>
            </w:pPr>
            <w:r w:rsidRPr="00460088">
              <w:rPr>
                <w:b/>
                <w:bCs/>
              </w:rPr>
              <w:t>Date</w:t>
            </w:r>
          </w:p>
        </w:tc>
        <w:tc>
          <w:tcPr>
            <w:tcW w:w="0" w:type="auto"/>
            <w:vAlign w:val="center"/>
            <w:hideMark/>
          </w:tcPr>
          <w:p w:rsidR="00AF66D1" w:rsidRPr="00460088" w:rsidRDefault="00AF66D1" w:rsidP="00E002CC">
            <w:pPr>
              <w:rPr>
                <w:b/>
                <w:bCs/>
              </w:rPr>
            </w:pPr>
            <w:r w:rsidRPr="00460088">
              <w:rPr>
                <w:b/>
                <w:bCs/>
              </w:rPr>
              <w:t>Purpose</w:t>
            </w:r>
          </w:p>
        </w:tc>
        <w:tc>
          <w:tcPr>
            <w:tcW w:w="0" w:type="auto"/>
            <w:vAlign w:val="center"/>
            <w:hideMark/>
          </w:tcPr>
          <w:p w:rsidR="00AF66D1" w:rsidRPr="00460088" w:rsidRDefault="00AF66D1" w:rsidP="00E002CC">
            <w:pPr>
              <w:rPr>
                <w:b/>
                <w:bCs/>
              </w:rPr>
            </w:pPr>
            <w:r w:rsidRPr="00460088">
              <w:rPr>
                <w:b/>
                <w:bCs/>
              </w:rPr>
              <w:t>Method</w:t>
            </w:r>
          </w:p>
        </w:tc>
        <w:tc>
          <w:tcPr>
            <w:tcW w:w="0" w:type="auto"/>
            <w:vAlign w:val="center"/>
            <w:hideMark/>
          </w:tcPr>
          <w:p w:rsidR="00AF66D1" w:rsidRPr="00460088" w:rsidRDefault="00AF66D1" w:rsidP="00E002CC">
            <w:pPr>
              <w:rPr>
                <w:b/>
                <w:bCs/>
              </w:rPr>
            </w:pPr>
            <w:r w:rsidRPr="00460088">
              <w:rPr>
                <w:b/>
                <w:bCs/>
              </w:rPr>
              <w:t>Sample Size</w:t>
            </w:r>
          </w:p>
        </w:tc>
        <w:tc>
          <w:tcPr>
            <w:tcW w:w="0" w:type="auto"/>
            <w:vAlign w:val="center"/>
            <w:hideMark/>
          </w:tcPr>
          <w:p w:rsidR="00AF66D1" w:rsidRPr="00460088" w:rsidRDefault="00AF66D1" w:rsidP="00E002CC">
            <w:pPr>
              <w:rPr>
                <w:b/>
                <w:bCs/>
              </w:rPr>
            </w:pPr>
            <w:r w:rsidRPr="00460088">
              <w:rPr>
                <w:b/>
                <w:bCs/>
              </w:rPr>
              <w:t>Findings</w:t>
            </w:r>
          </w:p>
        </w:tc>
        <w:tc>
          <w:tcPr>
            <w:tcW w:w="0" w:type="auto"/>
            <w:vAlign w:val="center"/>
            <w:hideMark/>
          </w:tcPr>
          <w:p w:rsidR="00AF66D1" w:rsidRPr="00460088" w:rsidRDefault="00AF66D1" w:rsidP="00E002CC">
            <w:pPr>
              <w:rPr>
                <w:b/>
                <w:bCs/>
              </w:rPr>
            </w:pPr>
            <w:r w:rsidRPr="00460088">
              <w:rPr>
                <w:b/>
                <w:bCs/>
              </w:rPr>
              <w:t>Uniqueness</w:t>
            </w:r>
          </w:p>
        </w:tc>
      </w:tr>
      <w:tr w:rsidR="00AF66D1" w:rsidRPr="00460088" w:rsidTr="00E002CC">
        <w:trPr>
          <w:tblCellSpacing w:w="15" w:type="dxa"/>
        </w:trPr>
        <w:tc>
          <w:tcPr>
            <w:tcW w:w="0" w:type="auto"/>
            <w:vAlign w:val="center"/>
            <w:hideMark/>
          </w:tcPr>
          <w:p w:rsidR="00AF66D1" w:rsidRPr="00460088" w:rsidRDefault="00AF66D1" w:rsidP="00E002CC">
            <w:r w:rsidRPr="00460088">
              <w:t>Cheng Yong Tan</w:t>
            </w:r>
          </w:p>
        </w:tc>
        <w:tc>
          <w:tcPr>
            <w:tcW w:w="0" w:type="auto"/>
            <w:vAlign w:val="center"/>
            <w:hideMark/>
          </w:tcPr>
          <w:p w:rsidR="00AF66D1" w:rsidRPr="00460088" w:rsidRDefault="00AF66D1" w:rsidP="00E002CC">
            <w:r w:rsidRPr="00460088">
              <w:t>2024</w:t>
            </w:r>
          </w:p>
        </w:tc>
        <w:tc>
          <w:tcPr>
            <w:tcW w:w="0" w:type="auto"/>
            <w:vAlign w:val="center"/>
            <w:hideMark/>
          </w:tcPr>
          <w:p w:rsidR="00AF66D1" w:rsidRPr="00460088" w:rsidRDefault="00AF66D1" w:rsidP="00E002CC">
            <w:r w:rsidRPr="00460088">
              <w:t>To synthesize SES-learning relationships and mediators</w:t>
            </w:r>
          </w:p>
        </w:tc>
        <w:tc>
          <w:tcPr>
            <w:tcW w:w="0" w:type="auto"/>
            <w:vAlign w:val="center"/>
            <w:hideMark/>
          </w:tcPr>
          <w:p w:rsidR="00AF66D1" w:rsidRPr="00460088" w:rsidRDefault="00AF66D1" w:rsidP="00E002CC">
            <w:r w:rsidRPr="00460088">
              <w:t>Mixed-methods umbrella review</w:t>
            </w:r>
          </w:p>
        </w:tc>
        <w:tc>
          <w:tcPr>
            <w:tcW w:w="0" w:type="auto"/>
            <w:vAlign w:val="center"/>
            <w:hideMark/>
          </w:tcPr>
          <w:p w:rsidR="00AF66D1" w:rsidRPr="00460088" w:rsidRDefault="00AF66D1" w:rsidP="00E002CC">
            <w:r w:rsidRPr="00460088">
              <w:t>48 reviews</w:t>
            </w:r>
          </w:p>
        </w:tc>
        <w:tc>
          <w:tcPr>
            <w:tcW w:w="0" w:type="auto"/>
            <w:vAlign w:val="center"/>
            <w:hideMark/>
          </w:tcPr>
          <w:p w:rsidR="00AF66D1" w:rsidRPr="00460088" w:rsidRDefault="00AF66D1" w:rsidP="00E002CC">
            <w:r w:rsidRPr="00460088">
              <w:t>SES effects on learning are significant (mean effect size r = 0.22); SES measures need diversification; ecological models explain SES impacts better.</w:t>
            </w:r>
          </w:p>
        </w:tc>
        <w:tc>
          <w:tcPr>
            <w:tcW w:w="0" w:type="auto"/>
            <w:vAlign w:val="center"/>
            <w:hideMark/>
          </w:tcPr>
          <w:p w:rsidR="00AF66D1" w:rsidRPr="00460088" w:rsidRDefault="00AF66D1" w:rsidP="00E002CC">
            <w:r w:rsidRPr="00460088">
              <w:t>Expands SES conceptualization to include both objective and subjective measures, emphasizing ecological perspectives.</w:t>
            </w:r>
          </w:p>
        </w:tc>
      </w:tr>
    </w:tbl>
    <w:p w:rsidR="00AF66D1" w:rsidRPr="00460088" w:rsidRDefault="00AF66D1" w:rsidP="00AF66D1">
      <w:pPr>
        <w:rPr>
          <w:b/>
          <w:bCs/>
        </w:rPr>
      </w:pPr>
      <w:r w:rsidRPr="00460088">
        <w:rPr>
          <w:b/>
          <w:bCs/>
        </w:rPr>
        <w:t>Epistemology, Ontology, Axiology:</w:t>
      </w:r>
    </w:p>
    <w:p w:rsidR="00AF66D1" w:rsidRPr="00460088" w:rsidRDefault="00AF66D1" w:rsidP="00AF66D1">
      <w:pPr>
        <w:numPr>
          <w:ilvl w:val="0"/>
          <w:numId w:val="12"/>
        </w:numPr>
      </w:pPr>
      <w:r w:rsidRPr="00460088">
        <w:rPr>
          <w:b/>
          <w:bCs/>
        </w:rPr>
        <w:t>Epistemology:</w:t>
      </w:r>
      <w:r w:rsidRPr="00460088">
        <w:t xml:space="preserve"> Post-positivist; synthesizes evidence from diverse sources to present comprehensive insights while acknowledging inherent biases.</w:t>
      </w:r>
    </w:p>
    <w:p w:rsidR="00AF66D1" w:rsidRPr="00460088" w:rsidRDefault="00AF66D1" w:rsidP="00AF66D1">
      <w:pPr>
        <w:numPr>
          <w:ilvl w:val="0"/>
          <w:numId w:val="12"/>
        </w:numPr>
      </w:pPr>
      <w:r w:rsidRPr="00460088">
        <w:rPr>
          <w:b/>
          <w:bCs/>
        </w:rPr>
        <w:t>Ontology:</w:t>
      </w:r>
      <w:r w:rsidRPr="00460088">
        <w:t xml:space="preserve"> Treats SES as a dynamic construct shaped by systemic and contextual factors rather than static attributes.</w:t>
      </w:r>
    </w:p>
    <w:p w:rsidR="00AF66D1" w:rsidRPr="00460088" w:rsidRDefault="00AF66D1" w:rsidP="00AF66D1">
      <w:pPr>
        <w:numPr>
          <w:ilvl w:val="0"/>
          <w:numId w:val="12"/>
        </w:numPr>
      </w:pPr>
      <w:r w:rsidRPr="00460088">
        <w:rPr>
          <w:b/>
          <w:bCs/>
        </w:rPr>
        <w:t>Axiology:</w:t>
      </w:r>
      <w:r w:rsidRPr="00460088">
        <w:t xml:space="preserve"> Advocates for equity and systemic reforms, aligning research outcomes with values of social justice.</w:t>
      </w:r>
    </w:p>
    <w:p w:rsidR="00AF66D1" w:rsidRPr="00460088" w:rsidRDefault="00AF66D1" w:rsidP="00AF66D1">
      <w:pPr>
        <w:rPr>
          <w:b/>
          <w:bCs/>
        </w:rPr>
      </w:pPr>
      <w:r w:rsidRPr="00460088">
        <w:rPr>
          <w:b/>
          <w:bCs/>
        </w:rPr>
        <w:lastRenderedPageBreak/>
        <w:t>Evaluation of Strengths and Weaknesses:</w:t>
      </w:r>
    </w:p>
    <w:p w:rsidR="00AF66D1" w:rsidRPr="00460088" w:rsidRDefault="00AF66D1" w:rsidP="00AF66D1">
      <w:pPr>
        <w:numPr>
          <w:ilvl w:val="0"/>
          <w:numId w:val="13"/>
        </w:numPr>
      </w:pPr>
      <w:r w:rsidRPr="00460088">
        <w:rPr>
          <w:b/>
          <w:bCs/>
        </w:rPr>
        <w:t>Strengths:</w:t>
      </w:r>
      <w:r w:rsidRPr="00460088">
        <w:t xml:space="preserve"> Methodological rigor, comprehensive review of SES-learning literature, actionable policy recommendations.</w:t>
      </w:r>
    </w:p>
    <w:p w:rsidR="00AF66D1" w:rsidRPr="00460088" w:rsidRDefault="00AF66D1" w:rsidP="00AF66D1">
      <w:pPr>
        <w:numPr>
          <w:ilvl w:val="0"/>
          <w:numId w:val="13"/>
        </w:numPr>
      </w:pPr>
      <w:r w:rsidRPr="00460088">
        <w:rPr>
          <w:b/>
          <w:bCs/>
        </w:rPr>
        <w:t>Weaknesses:</w:t>
      </w:r>
      <w:r w:rsidRPr="00460088">
        <w:t xml:space="preserve"> Limited by secondary data, potential cultural biases in SES measures, insufficient focus on intersectionality and longitudinal outcomes.</w:t>
      </w:r>
    </w:p>
    <w:p w:rsidR="00AF66D1" w:rsidRPr="00460088" w:rsidRDefault="00AF66D1" w:rsidP="00AF66D1">
      <w:pPr>
        <w:rPr>
          <w:b/>
          <w:bCs/>
        </w:rPr>
      </w:pPr>
      <w:r w:rsidRPr="00460088">
        <w:rPr>
          <w:b/>
          <w:bCs/>
        </w:rPr>
        <w:t>Future Research Directions:</w:t>
      </w:r>
    </w:p>
    <w:p w:rsidR="00AF66D1" w:rsidRPr="00460088" w:rsidRDefault="00AF66D1" w:rsidP="00AF66D1">
      <w:pPr>
        <w:numPr>
          <w:ilvl w:val="0"/>
          <w:numId w:val="14"/>
        </w:numPr>
      </w:pPr>
      <w:r w:rsidRPr="00460088">
        <w:t>Incorporate longitudinal studies to explore SES impacts over time.</w:t>
      </w:r>
    </w:p>
    <w:p w:rsidR="00AF66D1" w:rsidRPr="00460088" w:rsidRDefault="00AF66D1" w:rsidP="00AF66D1">
      <w:pPr>
        <w:numPr>
          <w:ilvl w:val="0"/>
          <w:numId w:val="14"/>
        </w:numPr>
      </w:pPr>
      <w:r w:rsidRPr="00460088">
        <w:t>Examine intersectionality, particularly how SES interacts with other demographic factors like ethnicity and gender.</w:t>
      </w:r>
    </w:p>
    <w:p w:rsidR="00AF66D1" w:rsidRPr="00460088" w:rsidRDefault="00AF66D1" w:rsidP="00AF66D1">
      <w:pPr>
        <w:numPr>
          <w:ilvl w:val="0"/>
          <w:numId w:val="14"/>
        </w:numPr>
      </w:pPr>
      <w:r w:rsidRPr="00460088">
        <w:t>Explore culturally inclusive SES measures to address systemic biases.</w:t>
      </w:r>
    </w:p>
    <w:p w:rsidR="00AF66D1" w:rsidRPr="00460088" w:rsidRDefault="00AF66D1" w:rsidP="00AF66D1">
      <w:r w:rsidRPr="00460088">
        <w:t>This critical evaluation underscores the study’s significant contribution to understanding SES impacts on student learning while identifying areas for enhancement in future research.</w:t>
      </w:r>
    </w:p>
    <w:p w:rsidR="00AF66D1" w:rsidRDefault="00AF66D1" w:rsidP="008C3E3C">
      <w:pPr>
        <w:rPr>
          <w:rFonts w:cstheme="minorHAnsi"/>
          <w:b/>
          <w:bCs/>
          <w:color w:val="000000" w:themeColor="text1"/>
        </w:rPr>
      </w:pPr>
    </w:p>
    <w:p w:rsidR="008C3E3C" w:rsidRDefault="00480690" w:rsidP="008C3E3C">
      <w:pPr>
        <w:rPr>
          <w:rFonts w:cstheme="minorHAnsi"/>
          <w:b/>
          <w:bCs/>
          <w:color w:val="000000" w:themeColor="text1"/>
        </w:rPr>
      </w:pPr>
      <w:r>
        <w:rPr>
          <w:rFonts w:cstheme="minorHAnsi"/>
          <w:b/>
          <w:bCs/>
          <w:color w:val="000000" w:themeColor="text1"/>
        </w:rPr>
        <w:t xml:space="preserve">Thematic </w:t>
      </w:r>
      <w:r w:rsidR="008C3E3C">
        <w:rPr>
          <w:rFonts w:cstheme="minorHAnsi"/>
          <w:b/>
          <w:bCs/>
          <w:color w:val="000000" w:themeColor="text1"/>
        </w:rPr>
        <w:t>Analysis of Research</w:t>
      </w:r>
    </w:p>
    <w:p w:rsidR="00C61E9C" w:rsidRPr="00C61E9C" w:rsidRDefault="00C61E9C" w:rsidP="00C61E9C">
      <w:pPr>
        <w:rPr>
          <w:rFonts w:cstheme="minorHAnsi"/>
          <w:b/>
          <w:bCs/>
          <w:color w:val="000000" w:themeColor="text1"/>
        </w:rPr>
      </w:pPr>
      <w:r w:rsidRPr="00C61E9C">
        <w:rPr>
          <w:rFonts w:cstheme="minorHAnsi"/>
          <w:b/>
          <w:bCs/>
          <w:color w:val="000000" w:themeColor="text1"/>
        </w:rPr>
        <w:t>Access to Higher Education</w:t>
      </w:r>
    </w:p>
    <w:p w:rsidR="00C61E9C" w:rsidRPr="00C61E9C" w:rsidRDefault="00C61E9C" w:rsidP="00C61E9C">
      <w:pPr>
        <w:rPr>
          <w:rFonts w:cstheme="minorHAnsi"/>
          <w:color w:val="000000" w:themeColor="text1"/>
        </w:rPr>
      </w:pPr>
      <w:r w:rsidRPr="00C61E9C">
        <w:rPr>
          <w:rFonts w:cstheme="minorHAnsi"/>
          <w:color w:val="000000" w:themeColor="text1"/>
        </w:rPr>
        <w:t xml:space="preserve">The link between SES and access to higher education is well-established. Britton et al. emphasize disparities in access to elite institutions, showing that students from lower-income families are less likely to gain admission to prestigious universities such as those in the Russell Group. The reliance on economic metrics in their study offers clear quantitative insights but neglects qualitative dimensions, such as personal barriers faced by these students. Mateos-González and Wakeling extend this analysis to postgraduate education, illustrating how SES influences </w:t>
      </w:r>
      <w:proofErr w:type="spellStart"/>
      <w:r w:rsidRPr="00C61E9C">
        <w:rPr>
          <w:rFonts w:cstheme="minorHAnsi"/>
          <w:color w:val="000000" w:themeColor="text1"/>
        </w:rPr>
        <w:t>enrollment</w:t>
      </w:r>
      <w:proofErr w:type="spellEnd"/>
      <w:r w:rsidRPr="00C61E9C">
        <w:rPr>
          <w:rFonts w:cstheme="minorHAnsi"/>
          <w:color w:val="000000" w:themeColor="text1"/>
        </w:rPr>
        <w:t xml:space="preserve"> in advanced degree programs. Their findings underscore the systemic nature of inequality but do not explore the intersection of SES with other identity factors, such as race or gender.</w:t>
      </w:r>
    </w:p>
    <w:p w:rsidR="00C61E9C" w:rsidRPr="00C61E9C" w:rsidRDefault="00C61E9C" w:rsidP="00C61E9C">
      <w:pPr>
        <w:rPr>
          <w:rFonts w:cstheme="minorHAnsi"/>
          <w:color w:val="000000" w:themeColor="text1"/>
        </w:rPr>
      </w:pPr>
      <w:r w:rsidRPr="00C61E9C">
        <w:rPr>
          <w:rFonts w:cstheme="minorHAnsi"/>
          <w:color w:val="000000" w:themeColor="text1"/>
        </w:rPr>
        <w:t>Reay critiques the meritocratic framing of higher education, arguing that systemic barriers often negate the potential benefits of access for working-class students. Using qualitative methods, Reay’s work offers valuable narratives that challenge the positivist assumptions of studies like Britton et al. While both approaches identify barriers, they differ in their focus: Reay critiques systemic structures, whereas Britton et al. emphasize economic returns as a rationale for improving access.</w:t>
      </w:r>
    </w:p>
    <w:p w:rsidR="00C61E9C" w:rsidRPr="00C61E9C" w:rsidRDefault="00C61E9C" w:rsidP="00C61E9C">
      <w:pPr>
        <w:rPr>
          <w:rFonts w:cstheme="minorHAnsi"/>
          <w:b/>
          <w:bCs/>
          <w:color w:val="000000" w:themeColor="text1"/>
        </w:rPr>
      </w:pPr>
      <w:r w:rsidRPr="00C61E9C">
        <w:rPr>
          <w:rFonts w:cstheme="minorHAnsi"/>
          <w:b/>
          <w:bCs/>
          <w:color w:val="000000" w:themeColor="text1"/>
        </w:rPr>
        <w:t>Cultural Integration in Higher Education</w:t>
      </w:r>
    </w:p>
    <w:p w:rsidR="00C61E9C" w:rsidRPr="00C61E9C" w:rsidRDefault="00C61E9C" w:rsidP="00C61E9C">
      <w:pPr>
        <w:rPr>
          <w:rFonts w:cstheme="minorHAnsi"/>
          <w:color w:val="000000" w:themeColor="text1"/>
        </w:rPr>
      </w:pPr>
      <w:r w:rsidRPr="00C61E9C">
        <w:rPr>
          <w:rFonts w:cstheme="minorHAnsi"/>
          <w:color w:val="000000" w:themeColor="text1"/>
        </w:rPr>
        <w:t xml:space="preserve">Once admitted, students from low-SES backgrounds often face challenges in integrating into the social and cultural fabric of higher education institutions. Ahn and Davis use surveys to examine students’ sense of belonging, finding that engagement in academic and social </w:t>
      </w:r>
      <w:r w:rsidRPr="00C61E9C">
        <w:rPr>
          <w:rFonts w:cstheme="minorHAnsi"/>
          <w:color w:val="000000" w:themeColor="text1"/>
        </w:rPr>
        <w:lastRenderedPageBreak/>
        <w:t>activities can mitigate feelings of alienation. Their focus on measurable constructs provides actionable insights but simplifies the complexities of cultural disconnection.</w:t>
      </w:r>
    </w:p>
    <w:p w:rsidR="00C61E9C" w:rsidRPr="00C61E9C" w:rsidRDefault="00C61E9C" w:rsidP="00C61E9C">
      <w:pPr>
        <w:rPr>
          <w:rFonts w:cstheme="minorHAnsi"/>
          <w:color w:val="000000" w:themeColor="text1"/>
        </w:rPr>
      </w:pPr>
      <w:r w:rsidRPr="00C61E9C">
        <w:rPr>
          <w:rFonts w:cstheme="minorHAnsi"/>
          <w:color w:val="000000" w:themeColor="text1"/>
        </w:rPr>
        <w:t>Reay, drawing on qualitative interviews, highlights the isolation experienced by working-class students in elite institutions. These students often encounter environments dominated by middle- and upper-class norms, leading to feelings of inadequacy and exclusion. Cunningham and Samson similarly explore the role of cultural capital, demonstrating how its absence can hinder integration. While Ahn and Davis suggest institutional interventions to foster belonging, Reay and Cunningham argue that structural inequities require more systemic changes.</w:t>
      </w:r>
    </w:p>
    <w:p w:rsidR="00C61E9C" w:rsidRPr="00C61E9C" w:rsidRDefault="00C61E9C" w:rsidP="00C61E9C">
      <w:pPr>
        <w:rPr>
          <w:rFonts w:cstheme="minorHAnsi"/>
          <w:b/>
          <w:bCs/>
          <w:color w:val="000000" w:themeColor="text1"/>
        </w:rPr>
      </w:pPr>
      <w:r w:rsidRPr="00C61E9C">
        <w:rPr>
          <w:rFonts w:cstheme="minorHAnsi"/>
          <w:b/>
          <w:bCs/>
          <w:color w:val="000000" w:themeColor="text1"/>
        </w:rPr>
        <w:t>Economic Factors and Financial Barriers</w:t>
      </w:r>
    </w:p>
    <w:p w:rsidR="00C61E9C" w:rsidRPr="00C61E9C" w:rsidRDefault="00C61E9C" w:rsidP="00C61E9C">
      <w:pPr>
        <w:rPr>
          <w:rFonts w:cstheme="minorHAnsi"/>
          <w:color w:val="000000" w:themeColor="text1"/>
        </w:rPr>
      </w:pPr>
      <w:r w:rsidRPr="00C61E9C">
        <w:rPr>
          <w:rFonts w:cstheme="minorHAnsi"/>
          <w:color w:val="000000" w:themeColor="text1"/>
        </w:rPr>
        <w:t>Financial challenges are a persistent barrier for low-SES students in accessing and succeeding in higher education. Bakour examines the effectiveness of financial aid and interventions designed to boost confidence, suggesting that targeted support can alleviate some barriers. However, this perspective is challenged by Aina et al., who emphasize the overarching role of economic constraints in dropout rates. Their quantitative analysis shows that financial aid alone is insufficient without addressing broader systemic issues.</w:t>
      </w:r>
    </w:p>
    <w:p w:rsidR="00C61E9C" w:rsidRPr="00C61E9C" w:rsidRDefault="00C61E9C" w:rsidP="00C61E9C">
      <w:pPr>
        <w:rPr>
          <w:rFonts w:cstheme="minorHAnsi"/>
          <w:color w:val="000000" w:themeColor="text1"/>
        </w:rPr>
      </w:pPr>
      <w:r w:rsidRPr="00C61E9C">
        <w:rPr>
          <w:rFonts w:cstheme="minorHAnsi"/>
          <w:color w:val="000000" w:themeColor="text1"/>
        </w:rPr>
        <w:t xml:space="preserve">Britton et al. highlight the long-term economic returns of higher education but note that low-SES students are often underrepresented in high-paying fields. This creates a cyclical pattern </w:t>
      </w:r>
      <w:proofErr w:type="gramStart"/>
      <w:r w:rsidRPr="00C61E9C">
        <w:rPr>
          <w:rFonts w:cstheme="minorHAnsi"/>
          <w:color w:val="000000" w:themeColor="text1"/>
        </w:rPr>
        <w:t>where</w:t>
      </w:r>
      <w:proofErr w:type="gramEnd"/>
      <w:r w:rsidRPr="00C61E9C">
        <w:rPr>
          <w:rFonts w:cstheme="minorHAnsi"/>
          <w:color w:val="000000" w:themeColor="text1"/>
        </w:rPr>
        <w:t xml:space="preserve"> financial barriers limit access to lucrative opportunities, perpetuating income inequality. The emphasis on economic outcomes in these studies contrasts with the equity-focused perspectives of researchers like Reay and Bakour, who advocate for addressing structural barriers rather than merely improving financial metrics.</w:t>
      </w:r>
    </w:p>
    <w:p w:rsidR="00C61E9C" w:rsidRPr="00C61E9C" w:rsidRDefault="00C61E9C" w:rsidP="00C61E9C">
      <w:pPr>
        <w:rPr>
          <w:rFonts w:cstheme="minorHAnsi"/>
          <w:b/>
          <w:bCs/>
          <w:color w:val="000000" w:themeColor="text1"/>
        </w:rPr>
      </w:pPr>
      <w:r w:rsidRPr="00C61E9C">
        <w:rPr>
          <w:rFonts w:cstheme="minorHAnsi"/>
          <w:b/>
          <w:bCs/>
          <w:color w:val="000000" w:themeColor="text1"/>
        </w:rPr>
        <w:t>Policy and Institutional Interventions</w:t>
      </w:r>
    </w:p>
    <w:p w:rsidR="00C61E9C" w:rsidRPr="00C61E9C" w:rsidRDefault="00C61E9C" w:rsidP="00C61E9C">
      <w:pPr>
        <w:rPr>
          <w:rFonts w:cstheme="minorHAnsi"/>
          <w:color w:val="000000" w:themeColor="text1"/>
        </w:rPr>
      </w:pPr>
      <w:r w:rsidRPr="00C61E9C">
        <w:rPr>
          <w:rFonts w:cstheme="minorHAnsi"/>
          <w:color w:val="000000" w:themeColor="text1"/>
        </w:rPr>
        <w:t>Widening participation initiatives have been central to addressing SES disparities in higher education, but their effectiveness remains contested. Bakour identifies specific programs, such as mentoring and financial support, that have demonstrated success in improving access for low-SES students. Tan, synthesizing findings from multiple studies, calls for comprehensive policies that address both individual and systemic barriers. While these approaches highlight potential solutions, Reay critiques the broader policy framework, arguing that many interventions fail to tackle the root causes of inequality.</w:t>
      </w:r>
    </w:p>
    <w:p w:rsidR="00C61E9C" w:rsidRPr="00C61E9C" w:rsidRDefault="00C61E9C" w:rsidP="00C61E9C">
      <w:pPr>
        <w:rPr>
          <w:rFonts w:cstheme="minorHAnsi"/>
          <w:color w:val="000000" w:themeColor="text1"/>
        </w:rPr>
      </w:pPr>
      <w:r w:rsidRPr="00C61E9C">
        <w:rPr>
          <w:rFonts w:cstheme="minorHAnsi"/>
          <w:color w:val="000000" w:themeColor="text1"/>
        </w:rPr>
        <w:t>Cunningham and Samson provide a theoretical critique of neoliberal meritocracy, highlighting how current policies often reinforce existing class divisions rather than dismantling them. Their analysis challenges the optimism of studies like Bakour’s, suggesting that meaningful change requires a fundamental rethinking of institutional priorities and practices.</w:t>
      </w:r>
    </w:p>
    <w:p w:rsidR="00C61E9C" w:rsidRPr="00C61E9C" w:rsidRDefault="00C61E9C" w:rsidP="00C61E9C">
      <w:pPr>
        <w:rPr>
          <w:rFonts w:cstheme="minorHAnsi"/>
          <w:b/>
          <w:bCs/>
          <w:color w:val="000000" w:themeColor="text1"/>
        </w:rPr>
      </w:pPr>
      <w:r w:rsidRPr="00C61E9C">
        <w:rPr>
          <w:rFonts w:cstheme="minorHAnsi"/>
          <w:b/>
          <w:bCs/>
          <w:color w:val="000000" w:themeColor="text1"/>
        </w:rPr>
        <w:t>Academic Preparedness and Retention</w:t>
      </w:r>
    </w:p>
    <w:p w:rsidR="00C61E9C" w:rsidRPr="00C61E9C" w:rsidRDefault="00C61E9C" w:rsidP="00C61E9C">
      <w:pPr>
        <w:rPr>
          <w:rFonts w:cstheme="minorHAnsi"/>
          <w:color w:val="000000" w:themeColor="text1"/>
        </w:rPr>
      </w:pPr>
      <w:r w:rsidRPr="00C61E9C">
        <w:rPr>
          <w:rFonts w:cstheme="minorHAnsi"/>
          <w:color w:val="000000" w:themeColor="text1"/>
        </w:rPr>
        <w:lastRenderedPageBreak/>
        <w:t>Academic preparedness is closely linked to SES, influencing both access and retention in higher education. Anders et al. explore the impact of early academic tracking, showing that subject choices made at age 14 significantly affect university eligibility. Their longitudinal analysis provides robust evidence of the systemic nature of these disparities but does not account for unobservable factors, such as family support or individual motivation.</w:t>
      </w:r>
    </w:p>
    <w:p w:rsidR="00C61E9C" w:rsidRPr="00C61E9C" w:rsidRDefault="00C61E9C" w:rsidP="00C61E9C">
      <w:pPr>
        <w:rPr>
          <w:rFonts w:cstheme="minorHAnsi"/>
          <w:color w:val="000000" w:themeColor="text1"/>
        </w:rPr>
      </w:pPr>
      <w:r w:rsidRPr="00C61E9C">
        <w:rPr>
          <w:rFonts w:cstheme="minorHAnsi"/>
          <w:color w:val="000000" w:themeColor="text1"/>
        </w:rPr>
        <w:t>Ahn and Davis focus on retention, emphasizing the role of engagement in reducing dropout rates. Their findings suggest that fostering a sense of belonging can help mitigate the disadvantages faced by low-SES students. However, this perspective contrasts with Aina et al., who argue that financial and institutional factors play a more significant role in retention. These differing conclusions highlight the multifaceted nature of retention challenges and the need for integrated solutions.</w:t>
      </w:r>
    </w:p>
    <w:p w:rsidR="00C61E9C" w:rsidRPr="00C61E9C" w:rsidRDefault="00C61E9C" w:rsidP="00C61E9C">
      <w:pPr>
        <w:rPr>
          <w:rFonts w:cstheme="minorHAnsi"/>
          <w:b/>
          <w:bCs/>
          <w:color w:val="000000" w:themeColor="text1"/>
        </w:rPr>
      </w:pPr>
      <w:r w:rsidRPr="00C61E9C">
        <w:rPr>
          <w:rFonts w:cstheme="minorHAnsi"/>
          <w:b/>
          <w:bCs/>
          <w:color w:val="000000" w:themeColor="text1"/>
        </w:rPr>
        <w:t>Post-Graduation Opportunities</w:t>
      </w:r>
    </w:p>
    <w:p w:rsidR="00C61E9C" w:rsidRPr="00C61E9C" w:rsidRDefault="00C61E9C" w:rsidP="00C61E9C">
      <w:pPr>
        <w:rPr>
          <w:rFonts w:cstheme="minorHAnsi"/>
          <w:color w:val="000000" w:themeColor="text1"/>
        </w:rPr>
      </w:pPr>
      <w:r w:rsidRPr="00C61E9C">
        <w:rPr>
          <w:rFonts w:cstheme="minorHAnsi"/>
          <w:color w:val="000000" w:themeColor="text1"/>
        </w:rPr>
        <w:t>SES continues to influence outcomes beyond higher education, affecting access to postgraduate study and employment opportunities. Mateos-González and Wakeling demonstrate that students from higher-income families are more likely to pursue advanced degrees, securing advantages in competitive job markets. Britton et al. extend this analysis to employment outcomes, showing that low-SES graduates often face lower salaries and limited career progression, even with comparable qualifications.</w:t>
      </w:r>
    </w:p>
    <w:p w:rsidR="00C61E9C" w:rsidRPr="00C61E9C" w:rsidRDefault="00C61E9C" w:rsidP="00C61E9C">
      <w:pPr>
        <w:rPr>
          <w:rFonts w:cstheme="minorHAnsi"/>
          <w:color w:val="000000" w:themeColor="text1"/>
        </w:rPr>
      </w:pPr>
      <w:r w:rsidRPr="00C61E9C">
        <w:rPr>
          <w:rFonts w:cstheme="minorHAnsi"/>
          <w:color w:val="000000" w:themeColor="text1"/>
        </w:rPr>
        <w:t>Reay critiques this focus on economic outcomes, arguing that the structural barriers faced by low-SES students limit the transformative potential of higher education. This perspective challenges the findings of Britton et al., suggesting that addressing inequities requires more than improving financial metrics. Instead, systemic changes are needed to create equitable opportunities for all students, regardless of their socioeconomic background.</w:t>
      </w:r>
    </w:p>
    <w:p w:rsidR="00C61E9C" w:rsidRPr="00C61E9C" w:rsidRDefault="00C61E9C" w:rsidP="00C61E9C">
      <w:pPr>
        <w:rPr>
          <w:rFonts w:cstheme="minorHAnsi"/>
          <w:b/>
          <w:bCs/>
          <w:color w:val="000000" w:themeColor="text1"/>
        </w:rPr>
      </w:pPr>
      <w:r w:rsidRPr="00C61E9C">
        <w:rPr>
          <w:rFonts w:cstheme="minorHAnsi"/>
          <w:b/>
          <w:bCs/>
          <w:color w:val="000000" w:themeColor="text1"/>
        </w:rPr>
        <w:t>Intersectionality in Higher Education</w:t>
      </w:r>
    </w:p>
    <w:p w:rsidR="00C61E9C" w:rsidRPr="00C61E9C" w:rsidRDefault="00C61E9C" w:rsidP="00C61E9C">
      <w:pPr>
        <w:rPr>
          <w:rFonts w:cstheme="minorHAnsi"/>
          <w:color w:val="000000" w:themeColor="text1"/>
        </w:rPr>
      </w:pPr>
      <w:r w:rsidRPr="00C61E9C">
        <w:rPr>
          <w:rFonts w:cstheme="minorHAnsi"/>
          <w:color w:val="000000" w:themeColor="text1"/>
        </w:rPr>
        <w:t>The intersection of SES with other identity factors, such as race, gender, and geographic location, adds another layer of complexity to higher education disparities. Reay explores how compounded disadvantages affect minority students from low-SES backgrounds, emphasizing the importance of considering these intersecting identities in research and policy. Tan similarly advocates for intersectional approaches, highlighting the need for targeted interventions that address multiple dimensions of disadvantage.</w:t>
      </w:r>
    </w:p>
    <w:p w:rsidR="00C61E9C" w:rsidRPr="00C61E9C" w:rsidRDefault="00C61E9C" w:rsidP="00C61E9C">
      <w:pPr>
        <w:rPr>
          <w:rFonts w:cstheme="minorHAnsi"/>
          <w:color w:val="000000" w:themeColor="text1"/>
        </w:rPr>
      </w:pPr>
      <w:r w:rsidRPr="00C61E9C">
        <w:rPr>
          <w:rFonts w:cstheme="minorHAnsi"/>
          <w:color w:val="000000" w:themeColor="text1"/>
        </w:rPr>
        <w:t>Ahn and Davis, focusing solely on SES, provide a more limited perspective that overlooks the broader context of intersectionality. This gap underscores the importance of integrating diverse perspectives to fully capture the experiences of marginalized students.</w:t>
      </w:r>
    </w:p>
    <w:p w:rsidR="00C61E9C" w:rsidRPr="00C61E9C" w:rsidRDefault="00C61E9C" w:rsidP="00C61E9C">
      <w:pPr>
        <w:rPr>
          <w:rFonts w:cstheme="minorHAnsi"/>
          <w:color w:val="000000" w:themeColor="text1"/>
        </w:rPr>
      </w:pPr>
      <w:r w:rsidRPr="00C61E9C">
        <w:rPr>
          <w:rFonts w:cstheme="minorHAnsi"/>
          <w:color w:val="000000" w:themeColor="text1"/>
        </w:rPr>
        <w:t xml:space="preserve">The reviewed studies offer valuable insights into the relationship between SES and higher education, highlighting both progress and persistent challenges. Quantitative research provides important data on trends and outcomes, while qualitative studies enrich these findings with narratives of lived experience. However, the divide between positivist and </w:t>
      </w:r>
      <w:r w:rsidRPr="00C61E9C">
        <w:rPr>
          <w:rFonts w:cstheme="minorHAnsi"/>
          <w:color w:val="000000" w:themeColor="text1"/>
        </w:rPr>
        <w:lastRenderedPageBreak/>
        <w:t>constructivist approaches reflects broader debates about how best to address SES disparities. Contradictions in findings, such as the effectiveness of interventions or the role of systemic barriers, underscore the need for further research that bridges these methodological and theoretical divides. Addressing SES disparities in higher education requires a multifaceted approach that combines targeted support with systemic reform, ensuring that all students have the opportunity to succeed</w:t>
      </w:r>
    </w:p>
    <w:p w:rsidR="00480690" w:rsidRDefault="00480690" w:rsidP="00480690">
      <w:pPr>
        <w:rPr>
          <w:rFonts w:cstheme="minorHAnsi"/>
          <w:b/>
          <w:bCs/>
          <w:color w:val="000000" w:themeColor="text1"/>
        </w:rPr>
      </w:pPr>
    </w:p>
    <w:p w:rsidR="00480690" w:rsidRDefault="00480690" w:rsidP="00480690">
      <w:pPr>
        <w:rPr>
          <w:rFonts w:cstheme="minorHAnsi"/>
          <w:b/>
          <w:bCs/>
          <w:color w:val="000000" w:themeColor="text1"/>
        </w:rPr>
      </w:pPr>
      <w:r>
        <w:rPr>
          <w:rFonts w:cstheme="minorHAnsi"/>
          <w:b/>
          <w:bCs/>
          <w:color w:val="000000" w:themeColor="text1"/>
        </w:rPr>
        <w:t>Analysis of Research Approaches – Recommendations</w:t>
      </w:r>
    </w:p>
    <w:p w:rsidR="00480690" w:rsidRPr="00480690" w:rsidRDefault="00480690" w:rsidP="00480690">
      <w:pPr>
        <w:rPr>
          <w:rFonts w:cstheme="minorHAnsi"/>
          <w:b/>
          <w:bCs/>
          <w:color w:val="000000" w:themeColor="text1"/>
        </w:rPr>
      </w:pPr>
      <w:r>
        <w:rPr>
          <w:rFonts w:cstheme="minorHAnsi"/>
          <w:b/>
          <w:bCs/>
          <w:color w:val="000000" w:themeColor="text1"/>
        </w:rPr>
        <w:t>Consideration should be given to:</w:t>
      </w:r>
    </w:p>
    <w:p w:rsidR="00480690" w:rsidRPr="00480690" w:rsidRDefault="00480690" w:rsidP="00480690">
      <w:pPr>
        <w:rPr>
          <w:rFonts w:cstheme="minorHAnsi"/>
          <w:b/>
          <w:bCs/>
          <w:color w:val="000000" w:themeColor="text1"/>
        </w:rPr>
      </w:pPr>
      <w:r w:rsidRPr="00480690">
        <w:rPr>
          <w:rFonts w:cstheme="minorHAnsi"/>
          <w:b/>
          <w:bCs/>
          <w:color w:val="000000" w:themeColor="text1"/>
        </w:rPr>
        <w:t>Mixed-Methods Approaches:</w:t>
      </w:r>
    </w:p>
    <w:p w:rsidR="00480690" w:rsidRPr="00480690" w:rsidRDefault="00480690" w:rsidP="00480690">
      <w:pPr>
        <w:rPr>
          <w:rFonts w:cstheme="minorHAnsi"/>
          <w:color w:val="000000" w:themeColor="text1"/>
        </w:rPr>
      </w:pPr>
      <w:r w:rsidRPr="00480690">
        <w:rPr>
          <w:rFonts w:cstheme="minorHAnsi"/>
          <w:color w:val="000000" w:themeColor="text1"/>
        </w:rPr>
        <w:t>Combining large-scale datasets with interviews or focus groups can bridge the gap between systemic trends and personal narratives. For example, studies like Britton et al. could enhance their insights by incorporating qualitative interviews to explore how low-SES students experience mobility barriers.</w:t>
      </w:r>
    </w:p>
    <w:p w:rsidR="00480690" w:rsidRPr="00480690" w:rsidRDefault="00480690" w:rsidP="00480690">
      <w:pPr>
        <w:rPr>
          <w:rFonts w:cstheme="minorHAnsi"/>
          <w:b/>
          <w:bCs/>
          <w:color w:val="000000" w:themeColor="text1"/>
        </w:rPr>
      </w:pPr>
      <w:r w:rsidRPr="00480690">
        <w:rPr>
          <w:rFonts w:cstheme="minorHAnsi"/>
          <w:b/>
          <w:bCs/>
          <w:color w:val="000000" w:themeColor="text1"/>
        </w:rPr>
        <w:t>Intersectionality:</w:t>
      </w:r>
    </w:p>
    <w:p w:rsidR="00480690" w:rsidRPr="00480690" w:rsidRDefault="00480690" w:rsidP="00480690">
      <w:pPr>
        <w:rPr>
          <w:rFonts w:cstheme="minorHAnsi"/>
          <w:color w:val="000000" w:themeColor="text1"/>
        </w:rPr>
      </w:pPr>
      <w:r w:rsidRPr="00480690">
        <w:rPr>
          <w:rFonts w:cstheme="minorHAnsi"/>
          <w:color w:val="000000" w:themeColor="text1"/>
        </w:rPr>
        <w:t>Expanding research to include intersecting factors like race, gender, and geographic location will provide a more comprehensive understanding of systemic barriers.</w:t>
      </w:r>
    </w:p>
    <w:p w:rsidR="00480690" w:rsidRPr="00480690" w:rsidRDefault="00480690" w:rsidP="00480690">
      <w:pPr>
        <w:rPr>
          <w:rFonts w:cstheme="minorHAnsi"/>
          <w:b/>
          <w:bCs/>
          <w:color w:val="000000" w:themeColor="text1"/>
        </w:rPr>
      </w:pPr>
      <w:r w:rsidRPr="00480690">
        <w:rPr>
          <w:rFonts w:cstheme="minorHAnsi"/>
          <w:b/>
          <w:bCs/>
          <w:color w:val="000000" w:themeColor="text1"/>
        </w:rPr>
        <w:t>Longitudinal Studies:</w:t>
      </w:r>
    </w:p>
    <w:p w:rsidR="00480690" w:rsidRPr="00480690" w:rsidRDefault="00480690" w:rsidP="00480690">
      <w:pPr>
        <w:rPr>
          <w:rFonts w:cstheme="minorHAnsi"/>
          <w:color w:val="000000" w:themeColor="text1"/>
        </w:rPr>
      </w:pPr>
      <w:r w:rsidRPr="00480690">
        <w:rPr>
          <w:rFonts w:cstheme="minorHAnsi"/>
          <w:color w:val="000000" w:themeColor="text1"/>
        </w:rPr>
        <w:t>Exploring the long-term impact of interventions and systemic barriers can deepen understanding and inform policies.</w:t>
      </w:r>
    </w:p>
    <w:p w:rsidR="00480690" w:rsidRPr="00480690" w:rsidRDefault="00480690" w:rsidP="00480690">
      <w:pPr>
        <w:rPr>
          <w:rFonts w:cstheme="minorHAnsi"/>
          <w:b/>
          <w:bCs/>
          <w:color w:val="000000" w:themeColor="text1"/>
        </w:rPr>
      </w:pPr>
      <w:r w:rsidRPr="00480690">
        <w:rPr>
          <w:rFonts w:cstheme="minorHAnsi"/>
          <w:b/>
          <w:bCs/>
          <w:color w:val="000000" w:themeColor="text1"/>
        </w:rPr>
        <w:t>Ethical Considerations:</w:t>
      </w:r>
    </w:p>
    <w:p w:rsidR="00480690" w:rsidRPr="00480690" w:rsidRDefault="00480690" w:rsidP="00480690">
      <w:pPr>
        <w:rPr>
          <w:rFonts w:cstheme="minorHAnsi"/>
          <w:color w:val="000000" w:themeColor="text1"/>
        </w:rPr>
      </w:pPr>
      <w:r w:rsidRPr="00480690">
        <w:rPr>
          <w:rFonts w:cstheme="minorHAnsi"/>
          <w:color w:val="000000" w:themeColor="text1"/>
        </w:rPr>
        <w:t>Greater attention to ethical implications, such as cultural inclusion and the psychological effects of exclusion, can ensure findings are relevant and actionable.</w:t>
      </w:r>
    </w:p>
    <w:p w:rsidR="008C3E3C" w:rsidRDefault="008C3E3C" w:rsidP="008C3E3C">
      <w:pPr>
        <w:rPr>
          <w:rFonts w:cstheme="minorHAnsi"/>
          <w:b/>
          <w:bCs/>
          <w:color w:val="000000" w:themeColor="text1"/>
        </w:rPr>
      </w:pPr>
    </w:p>
    <w:p w:rsidR="008C3E3C" w:rsidRDefault="008C3E3C" w:rsidP="008C3E3C">
      <w:pPr>
        <w:rPr>
          <w:rFonts w:cstheme="minorHAnsi"/>
          <w:b/>
          <w:bCs/>
          <w:color w:val="000000" w:themeColor="text1"/>
        </w:rPr>
      </w:pPr>
      <w:r>
        <w:rPr>
          <w:rFonts w:cstheme="minorHAnsi"/>
          <w:b/>
          <w:bCs/>
          <w:color w:val="000000" w:themeColor="text1"/>
        </w:rPr>
        <w:t>Conclusion</w:t>
      </w:r>
    </w:p>
    <w:p w:rsidR="00821F42" w:rsidRPr="00821F42" w:rsidRDefault="00821F42" w:rsidP="00821F42">
      <w:pPr>
        <w:rPr>
          <w:rFonts w:cstheme="minorHAnsi"/>
          <w:color w:val="000000" w:themeColor="text1"/>
        </w:rPr>
      </w:pPr>
      <w:r w:rsidRPr="00821F42">
        <w:rPr>
          <w:rFonts w:cstheme="minorHAnsi"/>
          <w:color w:val="000000" w:themeColor="text1"/>
        </w:rPr>
        <w:t xml:space="preserve">The review underscores the significant impact of socioeconomic status (SES) on higher education, shaping access, integration, retention, and post-graduation outcomes. Quantitative research highlights systemic trends, such as disparities in access to elite institutions and the long-term economic returns of higher education (Britton et al., 2021; Mateos-González &amp; Wakeling, 2021). Qualitative studies provide narratives that uncover lived experiences, showcasing cultural isolation and systemic barriers faced by low-SES students (Reay, 2021; Cunningham &amp; Samson, 2021). While interventions like financial aid and mentoring programs show promise (Bakour, 2024), they are often insufficient without addressing broader systemic inequities (Aina et al., 2022; Tan, 2024). The interplay of policy </w:t>
      </w:r>
      <w:r w:rsidRPr="00821F42">
        <w:rPr>
          <w:rFonts w:cstheme="minorHAnsi"/>
          <w:color w:val="000000" w:themeColor="text1"/>
        </w:rPr>
        <w:lastRenderedPageBreak/>
        <w:t>frameworks and institutional practices frequently reinforces class-based divisions rather than mitigating them (Cunningham &amp; Samson, 2021).</w:t>
      </w:r>
    </w:p>
    <w:p w:rsidR="00821F42" w:rsidRPr="00821F42" w:rsidRDefault="00821F42" w:rsidP="00821F42">
      <w:pPr>
        <w:rPr>
          <w:rFonts w:cstheme="minorHAnsi"/>
          <w:color w:val="000000" w:themeColor="text1"/>
        </w:rPr>
      </w:pPr>
      <w:r w:rsidRPr="00821F42">
        <w:rPr>
          <w:rFonts w:cstheme="minorHAnsi"/>
          <w:b/>
          <w:bCs/>
          <w:color w:val="000000" w:themeColor="text1"/>
        </w:rPr>
        <w:t>Identified Gaps</w:t>
      </w:r>
      <w:r w:rsidRPr="00821F42">
        <w:rPr>
          <w:rFonts w:cstheme="minorHAnsi"/>
          <w:color w:val="000000" w:themeColor="text1"/>
        </w:rPr>
        <w:br/>
        <w:t>Research lacks consensus on the effectiveness of interventions, with discrepancies between studies focusing on immediate support and those advocating systemic reforms (Ahn &amp; Davis, 2023; Reay, 2021). Intersectionality is insufficiently explored, particularly regarding compounded disadvantages related to race, gender, and geographic location (Tan, 2024; Reay, 2021). Methodological divides—quantitative versus qualitative approaches—further complicate efforts to develop cohesive strategies for addressing SES disparities (Britton et al., 2021; Bakour, 2024).</w:t>
      </w:r>
    </w:p>
    <w:p w:rsidR="00821F42" w:rsidRPr="00821F42" w:rsidRDefault="00821F42" w:rsidP="00821F42">
      <w:pPr>
        <w:rPr>
          <w:rFonts w:cstheme="minorHAnsi"/>
          <w:color w:val="000000" w:themeColor="text1"/>
        </w:rPr>
      </w:pPr>
      <w:r w:rsidRPr="00821F42">
        <w:rPr>
          <w:rFonts w:cstheme="minorHAnsi"/>
          <w:b/>
          <w:bCs/>
          <w:color w:val="000000" w:themeColor="text1"/>
        </w:rPr>
        <w:t>Implications for the Field</w:t>
      </w:r>
      <w:r w:rsidRPr="00821F42">
        <w:rPr>
          <w:rFonts w:cstheme="minorHAnsi"/>
          <w:color w:val="000000" w:themeColor="text1"/>
        </w:rPr>
        <w:br/>
        <w:t>Findings highlight the necessity of embedding equity-focused frameworks within higher education policy and practice. Quantitative insights provide essential data for large-scale interventions (Mateos-González &amp; Wakeling, 2021), while qualitative research underscores the need for policies that reflect the diverse realities of low-SES students (Reay, 2021; Cunningham &amp; Samson, 2021). Bridging these methodologies could enhance both theoretical advancements and practical applications, ensuring interventions address individual and structural dimensions (Tan, 2024; Ahn &amp; Davis, 2023).</w:t>
      </w:r>
    </w:p>
    <w:p w:rsidR="00821F42" w:rsidRPr="00821F42" w:rsidRDefault="00821F42" w:rsidP="00821F42">
      <w:pPr>
        <w:rPr>
          <w:rFonts w:cstheme="minorHAnsi"/>
          <w:color w:val="000000" w:themeColor="text1"/>
        </w:rPr>
      </w:pPr>
      <w:r w:rsidRPr="00821F42">
        <w:rPr>
          <w:rFonts w:cstheme="minorHAnsi"/>
          <w:b/>
          <w:bCs/>
          <w:color w:val="000000" w:themeColor="text1"/>
        </w:rPr>
        <w:t>Future Directions</w:t>
      </w:r>
      <w:r w:rsidRPr="00821F42">
        <w:rPr>
          <w:rFonts w:cstheme="minorHAnsi"/>
          <w:color w:val="000000" w:themeColor="text1"/>
        </w:rPr>
        <w:br/>
        <w:t>Future research should adopt mixed-method approaches, combining large-scale datasets with qualitative narratives to provide a more comprehensive understanding (Britton et al., 2021; Reay, 2021). Longitudinal studies are needed to assess the sustained impact of interventions over time (Aina et al., 2022; Tan, 2024). Intersectional analyses should be prioritized to better capture the nuanced experiences of students navigating multiple dimensions of disadvantage (Reay, 2021; Tan, 2024). Incorporating culturally inclusive metrics and participatory research methods can strengthen equity-focused efforts (Bakour, 2024; Cunningham &amp; Samson, 2021).</w:t>
      </w:r>
    </w:p>
    <w:p w:rsidR="00821F42" w:rsidRPr="00821F42" w:rsidRDefault="00821F42" w:rsidP="00821F42">
      <w:pPr>
        <w:rPr>
          <w:rFonts w:cstheme="minorHAnsi"/>
          <w:color w:val="000000" w:themeColor="text1"/>
        </w:rPr>
      </w:pPr>
      <w:r w:rsidRPr="00821F42">
        <w:rPr>
          <w:rFonts w:cstheme="minorHAnsi"/>
          <w:b/>
          <w:bCs/>
          <w:color w:val="000000" w:themeColor="text1"/>
        </w:rPr>
        <w:t>Concluding Statement</w:t>
      </w:r>
      <w:r w:rsidRPr="00821F42">
        <w:rPr>
          <w:rFonts w:cstheme="minorHAnsi"/>
          <w:color w:val="000000" w:themeColor="text1"/>
        </w:rPr>
        <w:br/>
        <w:t>Understanding the multifaceted impact of SES on higher education is critical for fostering equitable access and outcomes. While substantial progress has been made, persistent challenges underscore the importance of continued research and reform. Advancing equity in education demands sustained commitment to systemic change and individual support, ensuring opportunities for all students to thrive (Reay, 2021; Tan, 2024).</w:t>
      </w:r>
    </w:p>
    <w:p w:rsidR="008C3E3C" w:rsidRDefault="008C3E3C" w:rsidP="008C3E3C">
      <w:pPr>
        <w:rPr>
          <w:rFonts w:cstheme="minorHAnsi"/>
          <w:color w:val="7030A0"/>
        </w:rPr>
      </w:pPr>
    </w:p>
    <w:p w:rsidR="008C3E3C" w:rsidRDefault="008C3E3C" w:rsidP="008C3E3C">
      <w:pPr>
        <w:rPr>
          <w:rFonts w:cstheme="minorHAnsi"/>
          <w:color w:val="7030A0"/>
        </w:rPr>
      </w:pPr>
    </w:p>
    <w:p w:rsidR="00646B5E" w:rsidRDefault="00646B5E" w:rsidP="008C3E3C">
      <w:pPr>
        <w:rPr>
          <w:rFonts w:cstheme="minorHAnsi"/>
          <w:b/>
          <w:bCs/>
          <w:color w:val="000000" w:themeColor="text1"/>
        </w:rPr>
      </w:pPr>
    </w:p>
    <w:p w:rsidR="00646B5E" w:rsidRDefault="00646B5E" w:rsidP="008C3E3C">
      <w:pPr>
        <w:rPr>
          <w:rFonts w:cstheme="minorHAnsi"/>
          <w:b/>
          <w:bCs/>
          <w:color w:val="000000" w:themeColor="text1"/>
        </w:rPr>
      </w:pPr>
    </w:p>
    <w:p w:rsidR="008C3E3C" w:rsidRDefault="008C3E3C" w:rsidP="008C3E3C">
      <w:pPr>
        <w:rPr>
          <w:rFonts w:cstheme="minorHAnsi"/>
          <w:b/>
          <w:bCs/>
          <w:color w:val="000000" w:themeColor="text1"/>
        </w:rPr>
      </w:pPr>
      <w:r w:rsidRPr="008C3E3C">
        <w:rPr>
          <w:rFonts w:cstheme="minorHAnsi"/>
          <w:b/>
          <w:bCs/>
          <w:color w:val="000000" w:themeColor="text1"/>
        </w:rPr>
        <w:lastRenderedPageBreak/>
        <w:t>References</w:t>
      </w:r>
    </w:p>
    <w:p w:rsidR="00C61E9C" w:rsidRDefault="00C61E9C" w:rsidP="008C3E3C">
      <w:pPr>
        <w:rPr>
          <w:rFonts w:cstheme="minorHAnsi"/>
          <w:b/>
          <w:bCs/>
          <w:color w:val="000000" w:themeColor="text1"/>
        </w:rPr>
      </w:pPr>
    </w:p>
    <w:p w:rsidR="00C61E9C" w:rsidRDefault="00C61E9C" w:rsidP="008C3E3C">
      <w:pPr>
        <w:rPr>
          <w:rFonts w:cstheme="minorHAnsi"/>
          <w:b/>
          <w:bCs/>
          <w:color w:val="000000" w:themeColor="text1"/>
        </w:rPr>
      </w:pPr>
    </w:p>
    <w:p w:rsidR="00C61E9C" w:rsidRDefault="00C61E9C" w:rsidP="008C3E3C">
      <w:pPr>
        <w:rPr>
          <w:rFonts w:cstheme="minorHAnsi"/>
          <w:b/>
          <w:bCs/>
          <w:color w:val="000000" w:themeColor="text1"/>
        </w:rPr>
      </w:pPr>
    </w:p>
    <w:p w:rsidR="00C61E9C" w:rsidRDefault="00C61E9C" w:rsidP="008C3E3C">
      <w:pPr>
        <w:rPr>
          <w:rFonts w:cstheme="minorHAnsi"/>
          <w:b/>
          <w:bCs/>
          <w:color w:val="000000" w:themeColor="text1"/>
        </w:rPr>
      </w:pPr>
    </w:p>
    <w:p w:rsidR="00C61E9C" w:rsidRDefault="00C61E9C" w:rsidP="008C3E3C">
      <w:pPr>
        <w:rPr>
          <w:rFonts w:cstheme="minorHAnsi"/>
          <w:b/>
          <w:bCs/>
          <w:color w:val="000000" w:themeColor="text1"/>
        </w:rPr>
      </w:pPr>
    </w:p>
    <w:p w:rsidR="00C61E9C" w:rsidRDefault="00C61E9C" w:rsidP="008C3E3C">
      <w:pPr>
        <w:rPr>
          <w:rFonts w:cstheme="minorHAnsi"/>
          <w:b/>
          <w:bCs/>
          <w:color w:val="000000" w:themeColor="text1"/>
        </w:rPr>
      </w:pPr>
    </w:p>
    <w:p w:rsidR="00C61E9C" w:rsidRDefault="00C61E9C" w:rsidP="008C3E3C">
      <w:pPr>
        <w:rPr>
          <w:rFonts w:cstheme="minorHAnsi"/>
          <w:b/>
          <w:bCs/>
          <w:color w:val="000000" w:themeColor="text1"/>
        </w:rPr>
      </w:pPr>
    </w:p>
    <w:p w:rsidR="00C61E9C" w:rsidRDefault="00C61E9C" w:rsidP="008C3E3C">
      <w:pPr>
        <w:rPr>
          <w:rFonts w:cstheme="minorHAnsi"/>
          <w:b/>
          <w:bCs/>
          <w:color w:val="000000" w:themeColor="text1"/>
        </w:rPr>
      </w:pPr>
    </w:p>
    <w:p w:rsidR="00C61E9C" w:rsidRDefault="00C61E9C" w:rsidP="008C3E3C">
      <w:pPr>
        <w:rPr>
          <w:rFonts w:cstheme="minorHAnsi"/>
          <w:b/>
          <w:bCs/>
          <w:color w:val="000000" w:themeColor="text1"/>
        </w:rPr>
      </w:pPr>
    </w:p>
    <w:p w:rsidR="00C61E9C" w:rsidRDefault="00C61E9C" w:rsidP="008C3E3C">
      <w:pPr>
        <w:rPr>
          <w:rFonts w:cstheme="minorHAnsi"/>
          <w:b/>
          <w:bCs/>
          <w:color w:val="000000" w:themeColor="text1"/>
        </w:rPr>
      </w:pPr>
    </w:p>
    <w:p w:rsidR="00C61E9C" w:rsidRDefault="00C61E9C" w:rsidP="008C3E3C">
      <w:pPr>
        <w:rPr>
          <w:rFonts w:cstheme="minorHAnsi"/>
          <w:b/>
          <w:bCs/>
          <w:color w:val="000000" w:themeColor="text1"/>
        </w:rPr>
      </w:pPr>
    </w:p>
    <w:p w:rsidR="00C61E9C" w:rsidRDefault="00C61E9C" w:rsidP="008C3E3C">
      <w:pPr>
        <w:rPr>
          <w:rFonts w:cstheme="minorHAnsi"/>
          <w:b/>
          <w:bCs/>
          <w:color w:val="000000" w:themeColor="text1"/>
        </w:rPr>
      </w:pPr>
    </w:p>
    <w:p w:rsidR="00C61E9C" w:rsidRDefault="00C61E9C" w:rsidP="008C3E3C">
      <w:pPr>
        <w:rPr>
          <w:rFonts w:cstheme="minorHAnsi"/>
          <w:b/>
          <w:bCs/>
          <w:color w:val="000000" w:themeColor="text1"/>
        </w:rPr>
      </w:pPr>
    </w:p>
    <w:p w:rsidR="00C61E9C" w:rsidRDefault="00C61E9C" w:rsidP="008C3E3C">
      <w:pPr>
        <w:rPr>
          <w:rFonts w:cstheme="minorHAnsi"/>
          <w:b/>
          <w:bCs/>
          <w:color w:val="000000" w:themeColor="text1"/>
        </w:rPr>
      </w:pPr>
      <w:r>
        <w:rPr>
          <w:rFonts w:cstheme="minorHAnsi"/>
          <w:b/>
          <w:bCs/>
          <w:color w:val="000000" w:themeColor="text1"/>
        </w:rPr>
        <w:t>Appendices</w:t>
      </w:r>
    </w:p>
    <w:p w:rsidR="00AD3D8F" w:rsidRDefault="00AD3D8F" w:rsidP="008C3E3C">
      <w:pPr>
        <w:rPr>
          <w:rFonts w:cstheme="minorHAnsi"/>
          <w:b/>
          <w:bCs/>
          <w:color w:val="000000" w:themeColor="text1"/>
        </w:rPr>
      </w:pPr>
    </w:p>
    <w:tbl>
      <w:tblPr>
        <w:tblStyle w:val="TableGrid"/>
        <w:tblW w:w="10916" w:type="dxa"/>
        <w:tblInd w:w="-856" w:type="dxa"/>
        <w:tblLook w:val="04A0" w:firstRow="1" w:lastRow="0" w:firstColumn="1" w:lastColumn="0" w:noHBand="0" w:noVBand="1"/>
      </w:tblPr>
      <w:tblGrid>
        <w:gridCol w:w="2002"/>
        <w:gridCol w:w="1714"/>
        <w:gridCol w:w="1221"/>
        <w:gridCol w:w="1270"/>
        <w:gridCol w:w="1261"/>
        <w:gridCol w:w="1248"/>
        <w:gridCol w:w="2200"/>
      </w:tblGrid>
      <w:tr w:rsidR="00AD3D8F" w:rsidTr="00AD3D8F">
        <w:tc>
          <w:tcPr>
            <w:tcW w:w="2152" w:type="dxa"/>
            <w:vAlign w:val="center"/>
          </w:tcPr>
          <w:p w:rsidR="00AD3D8F" w:rsidRPr="00AD79C9" w:rsidRDefault="00AD3D8F" w:rsidP="00AD3D8F">
            <w:pPr>
              <w:jc w:val="center"/>
              <w:rPr>
                <w:rFonts w:asciiTheme="minorHAnsi" w:hAnsiTheme="minorHAnsi" w:cstheme="minorHAnsi"/>
                <w:b/>
                <w:bCs/>
                <w:sz w:val="18"/>
                <w:szCs w:val="18"/>
                <w:lang w:eastAsia="en-GB"/>
              </w:rPr>
            </w:pPr>
            <w:r w:rsidRPr="00AD79C9">
              <w:rPr>
                <w:rFonts w:asciiTheme="minorHAnsi" w:hAnsiTheme="minorHAnsi" w:cstheme="minorHAnsi"/>
                <w:b/>
                <w:bCs/>
                <w:sz w:val="18"/>
                <w:szCs w:val="18"/>
                <w:lang w:eastAsia="en-GB"/>
              </w:rPr>
              <w:t>Paper</w:t>
            </w:r>
          </w:p>
        </w:tc>
        <w:tc>
          <w:tcPr>
            <w:tcW w:w="1818" w:type="dxa"/>
            <w:vAlign w:val="center"/>
          </w:tcPr>
          <w:p w:rsidR="00AD3D8F" w:rsidRPr="00AD79C9" w:rsidRDefault="00AD3D8F" w:rsidP="00AD3D8F">
            <w:pPr>
              <w:jc w:val="center"/>
              <w:rPr>
                <w:rFonts w:asciiTheme="minorHAnsi" w:hAnsiTheme="minorHAnsi" w:cstheme="minorHAnsi"/>
                <w:b/>
                <w:bCs/>
                <w:sz w:val="18"/>
                <w:szCs w:val="18"/>
                <w:lang w:eastAsia="en-GB"/>
              </w:rPr>
            </w:pPr>
            <w:r w:rsidRPr="00AD79C9">
              <w:rPr>
                <w:rFonts w:asciiTheme="minorHAnsi" w:hAnsiTheme="minorHAnsi" w:cstheme="minorHAnsi"/>
                <w:b/>
                <w:bCs/>
                <w:sz w:val="18"/>
                <w:szCs w:val="18"/>
                <w:lang w:eastAsia="en-GB"/>
              </w:rPr>
              <w:t>Methodology</w:t>
            </w:r>
          </w:p>
        </w:tc>
        <w:tc>
          <w:tcPr>
            <w:tcW w:w="740" w:type="dxa"/>
            <w:vAlign w:val="center"/>
          </w:tcPr>
          <w:p w:rsidR="00AD3D8F" w:rsidRPr="00AD79C9" w:rsidRDefault="00AD3D8F" w:rsidP="00AD3D8F">
            <w:pPr>
              <w:jc w:val="center"/>
              <w:rPr>
                <w:rFonts w:asciiTheme="minorHAnsi" w:hAnsiTheme="minorHAnsi" w:cstheme="minorHAnsi"/>
                <w:b/>
                <w:bCs/>
                <w:sz w:val="18"/>
                <w:szCs w:val="18"/>
                <w:lang w:eastAsia="en-GB"/>
              </w:rPr>
            </w:pPr>
            <w:r w:rsidRPr="00AD79C9">
              <w:rPr>
                <w:rFonts w:asciiTheme="minorHAnsi" w:hAnsiTheme="minorHAnsi" w:cstheme="minorHAnsi"/>
                <w:b/>
                <w:bCs/>
                <w:sz w:val="18"/>
                <w:szCs w:val="18"/>
                <w:lang w:eastAsia="en-GB"/>
              </w:rPr>
              <w:t>Ontology</w:t>
            </w:r>
          </w:p>
        </w:tc>
        <w:tc>
          <w:tcPr>
            <w:tcW w:w="1279" w:type="dxa"/>
            <w:vAlign w:val="center"/>
          </w:tcPr>
          <w:p w:rsidR="00AD3D8F" w:rsidRPr="00AD79C9" w:rsidRDefault="00AD3D8F" w:rsidP="00AD3D8F">
            <w:pPr>
              <w:jc w:val="center"/>
              <w:rPr>
                <w:rFonts w:asciiTheme="minorHAnsi" w:hAnsiTheme="minorHAnsi" w:cstheme="minorHAnsi"/>
                <w:b/>
                <w:bCs/>
                <w:sz w:val="18"/>
                <w:szCs w:val="18"/>
                <w:lang w:eastAsia="en-GB"/>
              </w:rPr>
            </w:pPr>
            <w:r w:rsidRPr="00AD79C9">
              <w:rPr>
                <w:rFonts w:asciiTheme="minorHAnsi" w:hAnsiTheme="minorHAnsi" w:cstheme="minorHAnsi"/>
                <w:b/>
                <w:bCs/>
                <w:sz w:val="18"/>
                <w:szCs w:val="18"/>
                <w:lang w:eastAsia="en-GB"/>
              </w:rPr>
              <w:t>Epistemology</w:t>
            </w:r>
          </w:p>
        </w:tc>
        <w:tc>
          <w:tcPr>
            <w:tcW w:w="1275" w:type="dxa"/>
            <w:vAlign w:val="center"/>
          </w:tcPr>
          <w:p w:rsidR="00AD3D8F" w:rsidRPr="00AD79C9" w:rsidRDefault="00AD3D8F" w:rsidP="00AD3D8F">
            <w:pPr>
              <w:jc w:val="center"/>
              <w:rPr>
                <w:rFonts w:asciiTheme="minorHAnsi" w:hAnsiTheme="minorHAnsi" w:cstheme="minorHAnsi"/>
                <w:b/>
                <w:bCs/>
                <w:sz w:val="18"/>
                <w:szCs w:val="18"/>
                <w:lang w:eastAsia="en-GB"/>
              </w:rPr>
            </w:pPr>
            <w:r w:rsidRPr="00AD79C9">
              <w:rPr>
                <w:rFonts w:asciiTheme="minorHAnsi" w:hAnsiTheme="minorHAnsi" w:cstheme="minorHAnsi"/>
                <w:b/>
                <w:bCs/>
                <w:sz w:val="18"/>
                <w:szCs w:val="18"/>
                <w:lang w:eastAsia="en-GB"/>
              </w:rPr>
              <w:t>Axiology</w:t>
            </w:r>
          </w:p>
        </w:tc>
        <w:tc>
          <w:tcPr>
            <w:tcW w:w="1269" w:type="dxa"/>
            <w:vAlign w:val="center"/>
          </w:tcPr>
          <w:p w:rsidR="00AD3D8F" w:rsidRPr="00AD79C9" w:rsidRDefault="00AD3D8F" w:rsidP="00AD3D8F">
            <w:pPr>
              <w:jc w:val="center"/>
              <w:rPr>
                <w:rFonts w:asciiTheme="minorHAnsi" w:hAnsiTheme="minorHAnsi" w:cstheme="minorHAnsi"/>
                <w:b/>
                <w:bCs/>
                <w:sz w:val="18"/>
                <w:szCs w:val="18"/>
                <w:lang w:eastAsia="en-GB"/>
              </w:rPr>
            </w:pPr>
            <w:r w:rsidRPr="00AD79C9">
              <w:rPr>
                <w:rFonts w:asciiTheme="minorHAnsi" w:hAnsiTheme="minorHAnsi" w:cstheme="minorHAnsi"/>
                <w:b/>
                <w:bCs/>
                <w:sz w:val="18"/>
                <w:szCs w:val="18"/>
                <w:lang w:eastAsia="en-GB"/>
              </w:rPr>
              <w:t>Methods Used</w:t>
            </w:r>
          </w:p>
        </w:tc>
        <w:tc>
          <w:tcPr>
            <w:tcW w:w="2383" w:type="dxa"/>
            <w:vAlign w:val="center"/>
          </w:tcPr>
          <w:p w:rsidR="00AD3D8F" w:rsidRPr="00AD79C9" w:rsidRDefault="00AD3D8F" w:rsidP="00AD3D8F">
            <w:pPr>
              <w:jc w:val="center"/>
              <w:rPr>
                <w:rFonts w:asciiTheme="minorHAnsi" w:hAnsiTheme="minorHAnsi" w:cstheme="minorHAnsi"/>
                <w:b/>
                <w:bCs/>
                <w:sz w:val="18"/>
                <w:szCs w:val="18"/>
                <w:lang w:eastAsia="en-GB"/>
              </w:rPr>
            </w:pPr>
            <w:r w:rsidRPr="00AD79C9">
              <w:rPr>
                <w:rFonts w:asciiTheme="minorHAnsi" w:hAnsiTheme="minorHAnsi" w:cstheme="minorHAnsi"/>
                <w:b/>
                <w:bCs/>
                <w:sz w:val="18"/>
                <w:szCs w:val="18"/>
                <w:lang w:eastAsia="en-GB"/>
              </w:rPr>
              <w:t>Contradictions</w:t>
            </w:r>
          </w:p>
        </w:tc>
      </w:tr>
      <w:tr w:rsidR="00AD3D8F" w:rsidTr="00AD3D8F">
        <w:tc>
          <w:tcPr>
            <w:tcW w:w="2152"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Britton et al., </w:t>
            </w:r>
            <w:r w:rsidRPr="00AD79C9">
              <w:rPr>
                <w:rFonts w:asciiTheme="minorHAnsi" w:hAnsiTheme="minorHAnsi" w:cstheme="minorHAnsi"/>
                <w:i/>
                <w:iCs/>
                <w:sz w:val="18"/>
                <w:szCs w:val="18"/>
                <w:lang w:eastAsia="en-GB"/>
              </w:rPr>
              <w:t>What Degrees Are Best for Social Mobility?</w:t>
            </w:r>
          </w:p>
        </w:tc>
        <w:tc>
          <w:tcPr>
            <w:tcW w:w="1818"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Quantitative; relies on economic data to measure degree outcomes</w:t>
            </w:r>
          </w:p>
        </w:tc>
        <w:tc>
          <w:tcPr>
            <w:tcW w:w="740"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Positivist</w:t>
            </w:r>
          </w:p>
        </w:tc>
        <w:tc>
          <w:tcPr>
            <w:tcW w:w="127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Empirical; based on measurable variables</w:t>
            </w:r>
          </w:p>
        </w:tc>
        <w:tc>
          <w:tcPr>
            <w:tcW w:w="1275"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Economic mobility; prioritizes income as a key metric</w:t>
            </w:r>
          </w:p>
        </w:tc>
        <w:tc>
          <w:tcPr>
            <w:tcW w:w="126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Statistical analysis of employment and income data</w:t>
            </w:r>
          </w:p>
        </w:tc>
        <w:tc>
          <w:tcPr>
            <w:tcW w:w="2383"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Suggests education improves mobility but overlooks systemic barriers highlighted by Reay</w:t>
            </w:r>
          </w:p>
        </w:tc>
      </w:tr>
      <w:tr w:rsidR="00AD3D8F" w:rsidTr="00AD3D8F">
        <w:tc>
          <w:tcPr>
            <w:tcW w:w="2152"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Mateos-González &amp; Wakeling, </w:t>
            </w:r>
            <w:r w:rsidRPr="00AD79C9">
              <w:rPr>
                <w:rFonts w:asciiTheme="minorHAnsi" w:hAnsiTheme="minorHAnsi" w:cstheme="minorHAnsi"/>
                <w:i/>
                <w:iCs/>
                <w:sz w:val="18"/>
                <w:szCs w:val="18"/>
                <w:lang w:eastAsia="en-GB"/>
              </w:rPr>
              <w:t>Socioeconomic Inequalities in Postgraduate Access</w:t>
            </w:r>
          </w:p>
        </w:tc>
        <w:tc>
          <w:tcPr>
            <w:tcW w:w="1818"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Quantitative; focuses on postgraduate </w:t>
            </w:r>
            <w:proofErr w:type="spellStart"/>
            <w:r w:rsidRPr="00AD79C9">
              <w:rPr>
                <w:rFonts w:asciiTheme="minorHAnsi" w:hAnsiTheme="minorHAnsi" w:cstheme="minorHAnsi"/>
                <w:sz w:val="18"/>
                <w:szCs w:val="18"/>
                <w:lang w:eastAsia="en-GB"/>
              </w:rPr>
              <w:t>enrollment</w:t>
            </w:r>
            <w:proofErr w:type="spellEnd"/>
            <w:r w:rsidRPr="00AD79C9">
              <w:rPr>
                <w:rFonts w:asciiTheme="minorHAnsi" w:hAnsiTheme="minorHAnsi" w:cstheme="minorHAnsi"/>
                <w:sz w:val="18"/>
                <w:szCs w:val="18"/>
                <w:lang w:eastAsia="en-GB"/>
              </w:rPr>
              <w:t xml:space="preserve"> data</w:t>
            </w:r>
          </w:p>
        </w:tc>
        <w:tc>
          <w:tcPr>
            <w:tcW w:w="740"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Positivist</w:t>
            </w:r>
          </w:p>
        </w:tc>
        <w:tc>
          <w:tcPr>
            <w:tcW w:w="127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Empirical; patterns in </w:t>
            </w:r>
            <w:proofErr w:type="spellStart"/>
            <w:r w:rsidRPr="00AD79C9">
              <w:rPr>
                <w:rFonts w:asciiTheme="minorHAnsi" w:hAnsiTheme="minorHAnsi" w:cstheme="minorHAnsi"/>
                <w:sz w:val="18"/>
                <w:szCs w:val="18"/>
                <w:lang w:eastAsia="en-GB"/>
              </w:rPr>
              <w:t>enrollment</w:t>
            </w:r>
            <w:proofErr w:type="spellEnd"/>
            <w:r w:rsidRPr="00AD79C9">
              <w:rPr>
                <w:rFonts w:asciiTheme="minorHAnsi" w:hAnsiTheme="minorHAnsi" w:cstheme="minorHAnsi"/>
                <w:sz w:val="18"/>
                <w:szCs w:val="18"/>
                <w:lang w:eastAsia="en-GB"/>
              </w:rPr>
              <w:t xml:space="preserve"> data</w:t>
            </w:r>
          </w:p>
        </w:tc>
        <w:tc>
          <w:tcPr>
            <w:tcW w:w="1275"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Mobility through postgraduate education</w:t>
            </w:r>
          </w:p>
        </w:tc>
        <w:tc>
          <w:tcPr>
            <w:tcW w:w="126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Analysis of progression rates using institutional datasets</w:t>
            </w:r>
          </w:p>
        </w:tc>
        <w:tc>
          <w:tcPr>
            <w:tcW w:w="2383"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Highlights elite education’s role in mobility; Reay argues systemic barriers limit these benefits</w:t>
            </w:r>
          </w:p>
        </w:tc>
      </w:tr>
      <w:tr w:rsidR="00AD3D8F" w:rsidTr="00AD3D8F">
        <w:tc>
          <w:tcPr>
            <w:tcW w:w="2152"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Reay, </w:t>
            </w:r>
            <w:r w:rsidRPr="00AD79C9">
              <w:rPr>
                <w:rFonts w:asciiTheme="minorHAnsi" w:hAnsiTheme="minorHAnsi" w:cstheme="minorHAnsi"/>
                <w:i/>
                <w:iCs/>
                <w:sz w:val="18"/>
                <w:szCs w:val="18"/>
                <w:lang w:eastAsia="en-GB"/>
              </w:rPr>
              <w:t>The Working Classes and Higher Education</w:t>
            </w:r>
          </w:p>
        </w:tc>
        <w:tc>
          <w:tcPr>
            <w:tcW w:w="1818"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Qualitative; relies on narratives and interviews</w:t>
            </w:r>
          </w:p>
        </w:tc>
        <w:tc>
          <w:tcPr>
            <w:tcW w:w="740"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Constructivist</w:t>
            </w:r>
          </w:p>
        </w:tc>
        <w:tc>
          <w:tcPr>
            <w:tcW w:w="127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Interpretivist; focuses on lived experiences</w:t>
            </w:r>
          </w:p>
        </w:tc>
        <w:tc>
          <w:tcPr>
            <w:tcW w:w="1275"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Social justice; critiques systemic inequities</w:t>
            </w:r>
          </w:p>
        </w:tc>
        <w:tc>
          <w:tcPr>
            <w:tcW w:w="126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Thematic analysis of student interviews</w:t>
            </w:r>
          </w:p>
        </w:tc>
        <w:tc>
          <w:tcPr>
            <w:tcW w:w="2383"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Contradicts Britton and Mateos-González by arguing that systemic inequities negate mobility benefits</w:t>
            </w:r>
          </w:p>
        </w:tc>
      </w:tr>
      <w:tr w:rsidR="00AD3D8F" w:rsidTr="00AD3D8F">
        <w:tc>
          <w:tcPr>
            <w:tcW w:w="2152"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Ahn &amp; Davis, </w:t>
            </w:r>
            <w:r w:rsidRPr="00AD79C9">
              <w:rPr>
                <w:rFonts w:asciiTheme="minorHAnsi" w:hAnsiTheme="minorHAnsi" w:cstheme="minorHAnsi"/>
                <w:i/>
                <w:iCs/>
                <w:sz w:val="18"/>
                <w:szCs w:val="18"/>
                <w:lang w:eastAsia="en-GB"/>
              </w:rPr>
              <w:t>Sense of Belonging and Socioeconomic Status</w:t>
            </w:r>
          </w:p>
        </w:tc>
        <w:tc>
          <w:tcPr>
            <w:tcW w:w="1818"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Quantitative; surveys measuring belonging and engagement</w:t>
            </w:r>
          </w:p>
        </w:tc>
        <w:tc>
          <w:tcPr>
            <w:tcW w:w="740"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Positivist</w:t>
            </w:r>
          </w:p>
        </w:tc>
        <w:tc>
          <w:tcPr>
            <w:tcW w:w="127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Empirical; surveys measure student attitudes</w:t>
            </w:r>
          </w:p>
        </w:tc>
        <w:tc>
          <w:tcPr>
            <w:tcW w:w="1275"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Institutional focus; prioritizes belonging as a measurable construct</w:t>
            </w:r>
          </w:p>
        </w:tc>
        <w:tc>
          <w:tcPr>
            <w:tcW w:w="126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Surveys and statistical analysis</w:t>
            </w:r>
          </w:p>
        </w:tc>
        <w:tc>
          <w:tcPr>
            <w:tcW w:w="2383"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Suggests engagement improves belonging; Reay challenges this, emphasizing systemic exclusion</w:t>
            </w:r>
          </w:p>
        </w:tc>
      </w:tr>
      <w:tr w:rsidR="00AD3D8F" w:rsidTr="00AD3D8F">
        <w:tc>
          <w:tcPr>
            <w:tcW w:w="2152"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Bakour, </w:t>
            </w:r>
            <w:r w:rsidRPr="00AD79C9">
              <w:rPr>
                <w:rFonts w:asciiTheme="minorHAnsi" w:hAnsiTheme="minorHAnsi" w:cstheme="minorHAnsi"/>
                <w:i/>
                <w:iCs/>
                <w:sz w:val="18"/>
                <w:szCs w:val="18"/>
                <w:lang w:eastAsia="en-GB"/>
              </w:rPr>
              <w:t>Interventions for Enhancing Self-Belief</w:t>
            </w:r>
          </w:p>
        </w:tc>
        <w:tc>
          <w:tcPr>
            <w:tcW w:w="1818"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Qualitative; examines effectiveness of </w:t>
            </w:r>
            <w:r w:rsidRPr="00AD79C9">
              <w:rPr>
                <w:rFonts w:asciiTheme="minorHAnsi" w:hAnsiTheme="minorHAnsi" w:cstheme="minorHAnsi"/>
                <w:sz w:val="18"/>
                <w:szCs w:val="18"/>
                <w:lang w:eastAsia="en-GB"/>
              </w:rPr>
              <w:lastRenderedPageBreak/>
              <w:t>confidence-building interventions</w:t>
            </w:r>
          </w:p>
        </w:tc>
        <w:tc>
          <w:tcPr>
            <w:tcW w:w="740"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lastRenderedPageBreak/>
              <w:t>Constructivist</w:t>
            </w:r>
          </w:p>
        </w:tc>
        <w:tc>
          <w:tcPr>
            <w:tcW w:w="127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Interpretivist; explores </w:t>
            </w:r>
            <w:r w:rsidRPr="00AD79C9">
              <w:rPr>
                <w:rFonts w:asciiTheme="minorHAnsi" w:hAnsiTheme="minorHAnsi" w:cstheme="minorHAnsi"/>
                <w:sz w:val="18"/>
                <w:szCs w:val="18"/>
                <w:lang w:eastAsia="en-GB"/>
              </w:rPr>
              <w:lastRenderedPageBreak/>
              <w:t>individual perspectives</w:t>
            </w:r>
          </w:p>
        </w:tc>
        <w:tc>
          <w:tcPr>
            <w:tcW w:w="1275"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lastRenderedPageBreak/>
              <w:t xml:space="preserve">Equity in education; focuses on </w:t>
            </w:r>
            <w:r w:rsidRPr="00AD79C9">
              <w:rPr>
                <w:rFonts w:asciiTheme="minorHAnsi" w:hAnsiTheme="minorHAnsi" w:cstheme="minorHAnsi"/>
                <w:sz w:val="18"/>
                <w:szCs w:val="18"/>
                <w:lang w:eastAsia="en-GB"/>
              </w:rPr>
              <w:lastRenderedPageBreak/>
              <w:t>personal growth</w:t>
            </w:r>
          </w:p>
        </w:tc>
        <w:tc>
          <w:tcPr>
            <w:tcW w:w="126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lastRenderedPageBreak/>
              <w:t xml:space="preserve">Case studies and </w:t>
            </w:r>
            <w:r w:rsidRPr="00AD79C9">
              <w:rPr>
                <w:rFonts w:asciiTheme="minorHAnsi" w:hAnsiTheme="minorHAnsi" w:cstheme="minorHAnsi"/>
                <w:sz w:val="18"/>
                <w:szCs w:val="18"/>
                <w:lang w:eastAsia="en-GB"/>
              </w:rPr>
              <w:lastRenderedPageBreak/>
              <w:t>participant narratives</w:t>
            </w:r>
          </w:p>
        </w:tc>
        <w:tc>
          <w:tcPr>
            <w:tcW w:w="2383"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lastRenderedPageBreak/>
              <w:t xml:space="preserve">Finds interventions effective, but Aina et al. argue financial and </w:t>
            </w:r>
            <w:r w:rsidRPr="00AD79C9">
              <w:rPr>
                <w:rFonts w:asciiTheme="minorHAnsi" w:hAnsiTheme="minorHAnsi" w:cstheme="minorHAnsi"/>
                <w:sz w:val="18"/>
                <w:szCs w:val="18"/>
                <w:lang w:eastAsia="en-GB"/>
              </w:rPr>
              <w:lastRenderedPageBreak/>
              <w:t>systemic factors play a larger role</w:t>
            </w:r>
          </w:p>
        </w:tc>
      </w:tr>
      <w:tr w:rsidR="00AD3D8F" w:rsidTr="00AD3D8F">
        <w:tc>
          <w:tcPr>
            <w:tcW w:w="2152"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lastRenderedPageBreak/>
              <w:t xml:space="preserve">Anders et al., </w:t>
            </w:r>
            <w:r w:rsidRPr="00AD79C9">
              <w:rPr>
                <w:rFonts w:asciiTheme="minorHAnsi" w:hAnsiTheme="minorHAnsi" w:cstheme="minorHAnsi"/>
                <w:i/>
                <w:iCs/>
                <w:sz w:val="18"/>
                <w:szCs w:val="18"/>
                <w:lang w:eastAsia="en-GB"/>
              </w:rPr>
              <w:t>Socioeconomic Status and Subject Choice</w:t>
            </w:r>
          </w:p>
        </w:tc>
        <w:tc>
          <w:tcPr>
            <w:tcW w:w="1818"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Quantitative; focuses on early academic tracking and its effects on access</w:t>
            </w:r>
          </w:p>
        </w:tc>
        <w:tc>
          <w:tcPr>
            <w:tcW w:w="740"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Positivist</w:t>
            </w:r>
          </w:p>
        </w:tc>
        <w:tc>
          <w:tcPr>
            <w:tcW w:w="127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Empirical; tracks academic outcomes</w:t>
            </w:r>
          </w:p>
        </w:tc>
        <w:tc>
          <w:tcPr>
            <w:tcW w:w="1275"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Academic readiness; prioritizes early interventions</w:t>
            </w:r>
          </w:p>
        </w:tc>
        <w:tc>
          <w:tcPr>
            <w:tcW w:w="126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Longitudinal analysis of academic and </w:t>
            </w:r>
            <w:proofErr w:type="spellStart"/>
            <w:r w:rsidRPr="00AD79C9">
              <w:rPr>
                <w:rFonts w:asciiTheme="minorHAnsi" w:hAnsiTheme="minorHAnsi" w:cstheme="minorHAnsi"/>
                <w:sz w:val="18"/>
                <w:szCs w:val="18"/>
                <w:lang w:eastAsia="en-GB"/>
              </w:rPr>
              <w:t>enrollment</w:t>
            </w:r>
            <w:proofErr w:type="spellEnd"/>
            <w:r w:rsidRPr="00AD79C9">
              <w:rPr>
                <w:rFonts w:asciiTheme="minorHAnsi" w:hAnsiTheme="minorHAnsi" w:cstheme="minorHAnsi"/>
                <w:sz w:val="18"/>
                <w:szCs w:val="18"/>
                <w:lang w:eastAsia="en-GB"/>
              </w:rPr>
              <w:t xml:space="preserve"> data</w:t>
            </w:r>
          </w:p>
        </w:tc>
        <w:tc>
          <w:tcPr>
            <w:tcW w:w="2383"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Suggests early tracking is key; Ahn &amp; Davis emphasize ongoing support as equally important</w:t>
            </w:r>
          </w:p>
        </w:tc>
      </w:tr>
      <w:tr w:rsidR="00AD3D8F" w:rsidTr="00AD3D8F">
        <w:tc>
          <w:tcPr>
            <w:tcW w:w="2152"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Aina et al., </w:t>
            </w:r>
            <w:r w:rsidRPr="00AD79C9">
              <w:rPr>
                <w:rFonts w:asciiTheme="minorHAnsi" w:hAnsiTheme="minorHAnsi" w:cstheme="minorHAnsi"/>
                <w:i/>
                <w:iCs/>
                <w:sz w:val="18"/>
                <w:szCs w:val="18"/>
                <w:lang w:eastAsia="en-GB"/>
              </w:rPr>
              <w:t>Determinants of University Dropout</w:t>
            </w:r>
          </w:p>
        </w:tc>
        <w:tc>
          <w:tcPr>
            <w:tcW w:w="1818"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Quantitative; examines dropout rates using statistical models</w:t>
            </w:r>
          </w:p>
        </w:tc>
        <w:tc>
          <w:tcPr>
            <w:tcW w:w="740"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Positivist</w:t>
            </w:r>
          </w:p>
        </w:tc>
        <w:tc>
          <w:tcPr>
            <w:tcW w:w="127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Empirical; relies on large-scale datasets</w:t>
            </w:r>
          </w:p>
        </w:tc>
        <w:tc>
          <w:tcPr>
            <w:tcW w:w="1275"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Retention focus; highlights economic and academic integration</w:t>
            </w:r>
          </w:p>
        </w:tc>
        <w:tc>
          <w:tcPr>
            <w:tcW w:w="126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Statistical analysis of dropout and retention rates</w:t>
            </w:r>
          </w:p>
        </w:tc>
        <w:tc>
          <w:tcPr>
            <w:tcW w:w="2383"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Links dropout to finances and integration; Bakour emphasizes interventions can mitigate some challenges</w:t>
            </w:r>
          </w:p>
        </w:tc>
      </w:tr>
      <w:tr w:rsidR="00AD3D8F" w:rsidTr="00AD3D8F">
        <w:tc>
          <w:tcPr>
            <w:tcW w:w="2152"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Tan, </w:t>
            </w:r>
            <w:r w:rsidRPr="00AD79C9">
              <w:rPr>
                <w:rFonts w:asciiTheme="minorHAnsi" w:hAnsiTheme="minorHAnsi" w:cstheme="minorHAnsi"/>
                <w:i/>
                <w:iCs/>
                <w:sz w:val="18"/>
                <w:szCs w:val="18"/>
                <w:lang w:eastAsia="en-GB"/>
              </w:rPr>
              <w:t>Socioeconomic Status and Student Learning Insights</w:t>
            </w:r>
          </w:p>
        </w:tc>
        <w:tc>
          <w:tcPr>
            <w:tcW w:w="1818"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Meta-analysis; synthesizes findings from prior studies</w:t>
            </w:r>
          </w:p>
        </w:tc>
        <w:tc>
          <w:tcPr>
            <w:tcW w:w="740"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Pragmatic</w:t>
            </w:r>
          </w:p>
        </w:tc>
        <w:tc>
          <w:tcPr>
            <w:tcW w:w="127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Mixed; synthesizes empirical and theoretical insights</w:t>
            </w:r>
          </w:p>
        </w:tc>
        <w:tc>
          <w:tcPr>
            <w:tcW w:w="1275"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Systemic equity; advocates multi-level interventions</w:t>
            </w:r>
          </w:p>
        </w:tc>
        <w:tc>
          <w:tcPr>
            <w:tcW w:w="126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Literature review and second-order meta-analysis</w:t>
            </w:r>
          </w:p>
        </w:tc>
        <w:tc>
          <w:tcPr>
            <w:tcW w:w="2383"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Argues comprehensive policy reform is needed; Reay critiques similar policies as superficial</w:t>
            </w:r>
          </w:p>
        </w:tc>
      </w:tr>
      <w:tr w:rsidR="00AD3D8F" w:rsidTr="00AD3D8F">
        <w:tc>
          <w:tcPr>
            <w:tcW w:w="2152"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Cunningham &amp; Samson, </w:t>
            </w:r>
            <w:r w:rsidRPr="00AD79C9">
              <w:rPr>
                <w:rFonts w:asciiTheme="minorHAnsi" w:hAnsiTheme="minorHAnsi" w:cstheme="minorHAnsi"/>
                <w:i/>
                <w:iCs/>
                <w:sz w:val="18"/>
                <w:szCs w:val="18"/>
                <w:lang w:eastAsia="en-GB"/>
              </w:rPr>
              <w:t>Neoliberal Meritocracy</w:t>
            </w:r>
          </w:p>
        </w:tc>
        <w:tc>
          <w:tcPr>
            <w:tcW w:w="1818"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Qualitative; explores class divisions through interviews and theoretical critique</w:t>
            </w:r>
          </w:p>
        </w:tc>
        <w:tc>
          <w:tcPr>
            <w:tcW w:w="740"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Constructivist</w:t>
            </w:r>
          </w:p>
        </w:tc>
        <w:tc>
          <w:tcPr>
            <w:tcW w:w="127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Interpretivist; critiques meritocratic frameworks</w:t>
            </w:r>
          </w:p>
        </w:tc>
        <w:tc>
          <w:tcPr>
            <w:tcW w:w="1275"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Social equity; highlights structural inequality</w:t>
            </w:r>
          </w:p>
        </w:tc>
        <w:tc>
          <w:tcPr>
            <w:tcW w:w="126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Thematic analysis of policy critiques and interviews</w:t>
            </w:r>
          </w:p>
        </w:tc>
        <w:tc>
          <w:tcPr>
            <w:tcW w:w="2383"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Challenges policies’ effectiveness; contrasts with Bakour’s optimism about interventions</w:t>
            </w:r>
          </w:p>
        </w:tc>
      </w:tr>
      <w:tr w:rsidR="00AD3D8F" w:rsidTr="00AD3D8F">
        <w:tc>
          <w:tcPr>
            <w:tcW w:w="2152"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Anders et al., </w:t>
            </w:r>
            <w:r w:rsidRPr="00AD79C9">
              <w:rPr>
                <w:rFonts w:asciiTheme="minorHAnsi" w:hAnsiTheme="minorHAnsi" w:cstheme="minorHAnsi"/>
                <w:i/>
                <w:iCs/>
                <w:sz w:val="18"/>
                <w:szCs w:val="18"/>
                <w:lang w:eastAsia="en-GB"/>
              </w:rPr>
              <w:t>Socioeconomic Status and Subject Choice</w:t>
            </w:r>
          </w:p>
        </w:tc>
        <w:tc>
          <w:tcPr>
            <w:tcW w:w="1818"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Quantitative; tracks academic outcomes linked to early subject choices</w:t>
            </w:r>
          </w:p>
        </w:tc>
        <w:tc>
          <w:tcPr>
            <w:tcW w:w="740"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Positivist</w:t>
            </w:r>
          </w:p>
        </w:tc>
        <w:tc>
          <w:tcPr>
            <w:tcW w:w="127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Empirical; longitudinal tracking of outcomes</w:t>
            </w:r>
          </w:p>
        </w:tc>
        <w:tc>
          <w:tcPr>
            <w:tcW w:w="1275"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Academic progression; focuses on systemic academic interventions</w:t>
            </w:r>
          </w:p>
        </w:tc>
        <w:tc>
          <w:tcPr>
            <w:tcW w:w="1269"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Longitudinal tracking and regression analysis</w:t>
            </w:r>
          </w:p>
        </w:tc>
        <w:tc>
          <w:tcPr>
            <w:tcW w:w="2383" w:type="dxa"/>
            <w:vAlign w:val="center"/>
          </w:tcPr>
          <w:p w:rsidR="00AD3D8F" w:rsidRPr="00AD79C9" w:rsidRDefault="00AD3D8F" w:rsidP="00AD3D8F">
            <w:pPr>
              <w:rPr>
                <w:rFonts w:asciiTheme="minorHAnsi" w:hAnsiTheme="minorHAnsi" w:cstheme="minorHAnsi"/>
                <w:sz w:val="18"/>
                <w:szCs w:val="18"/>
                <w:lang w:eastAsia="en-GB"/>
              </w:rPr>
            </w:pPr>
            <w:r w:rsidRPr="00AD79C9">
              <w:rPr>
                <w:rFonts w:asciiTheme="minorHAnsi" w:hAnsiTheme="minorHAnsi" w:cstheme="minorHAnsi"/>
                <w:sz w:val="18"/>
                <w:szCs w:val="18"/>
                <w:lang w:eastAsia="en-GB"/>
              </w:rPr>
              <w:t xml:space="preserve">Argues academic tracking determines outcomes; contrasts with Ahn &amp; </w:t>
            </w:r>
            <w:proofErr w:type="spellStart"/>
            <w:r w:rsidRPr="00AD79C9">
              <w:rPr>
                <w:rFonts w:asciiTheme="minorHAnsi" w:hAnsiTheme="minorHAnsi" w:cstheme="minorHAnsi"/>
                <w:sz w:val="18"/>
                <w:szCs w:val="18"/>
                <w:lang w:eastAsia="en-GB"/>
              </w:rPr>
              <w:t>Davis’</w:t>
            </w:r>
            <w:proofErr w:type="spellEnd"/>
            <w:r w:rsidRPr="00AD79C9">
              <w:rPr>
                <w:rFonts w:asciiTheme="minorHAnsi" w:hAnsiTheme="minorHAnsi" w:cstheme="minorHAnsi"/>
                <w:sz w:val="18"/>
                <w:szCs w:val="18"/>
                <w:lang w:eastAsia="en-GB"/>
              </w:rPr>
              <w:t xml:space="preserve"> emphasis on engagement</w:t>
            </w:r>
          </w:p>
        </w:tc>
      </w:tr>
    </w:tbl>
    <w:p w:rsidR="00AD3D8F" w:rsidRPr="008C3E3C" w:rsidRDefault="00AD3D8F" w:rsidP="008C3E3C">
      <w:pPr>
        <w:rPr>
          <w:rFonts w:cstheme="minorHAnsi"/>
          <w:b/>
          <w:bCs/>
          <w:color w:val="000000" w:themeColor="text1"/>
        </w:rPr>
      </w:pPr>
    </w:p>
    <w:sectPr w:rsidR="00AD3D8F" w:rsidRPr="008C3E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B6045"/>
    <w:multiLevelType w:val="multilevel"/>
    <w:tmpl w:val="E6EEB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70F30"/>
    <w:multiLevelType w:val="multilevel"/>
    <w:tmpl w:val="8D8C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876F88"/>
    <w:multiLevelType w:val="multilevel"/>
    <w:tmpl w:val="0CCC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395FA0"/>
    <w:multiLevelType w:val="multilevel"/>
    <w:tmpl w:val="8324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F851A5"/>
    <w:multiLevelType w:val="multilevel"/>
    <w:tmpl w:val="D9EA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D0E87"/>
    <w:multiLevelType w:val="multilevel"/>
    <w:tmpl w:val="EDC43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047B22"/>
    <w:multiLevelType w:val="multilevel"/>
    <w:tmpl w:val="29A8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364160"/>
    <w:multiLevelType w:val="multilevel"/>
    <w:tmpl w:val="740C6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5F050C"/>
    <w:multiLevelType w:val="multilevel"/>
    <w:tmpl w:val="9DF07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EE119B"/>
    <w:multiLevelType w:val="multilevel"/>
    <w:tmpl w:val="2A4C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EA410E"/>
    <w:multiLevelType w:val="multilevel"/>
    <w:tmpl w:val="F7DAE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2117F6"/>
    <w:multiLevelType w:val="multilevel"/>
    <w:tmpl w:val="C956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E34162"/>
    <w:multiLevelType w:val="multilevel"/>
    <w:tmpl w:val="14BC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906152"/>
    <w:multiLevelType w:val="multilevel"/>
    <w:tmpl w:val="BB8A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A71789"/>
    <w:multiLevelType w:val="multilevel"/>
    <w:tmpl w:val="523C3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6753823">
    <w:abstractNumId w:val="5"/>
  </w:num>
  <w:num w:numId="2" w16cid:durableId="1462726738">
    <w:abstractNumId w:val="7"/>
  </w:num>
  <w:num w:numId="3" w16cid:durableId="190070859">
    <w:abstractNumId w:val="10"/>
  </w:num>
  <w:num w:numId="4" w16cid:durableId="1619678050">
    <w:abstractNumId w:val="3"/>
  </w:num>
  <w:num w:numId="5" w16cid:durableId="888342778">
    <w:abstractNumId w:val="14"/>
  </w:num>
  <w:num w:numId="6" w16cid:durableId="1171916316">
    <w:abstractNumId w:val="0"/>
  </w:num>
  <w:num w:numId="7" w16cid:durableId="2980443">
    <w:abstractNumId w:val="2"/>
  </w:num>
  <w:num w:numId="8" w16cid:durableId="934939468">
    <w:abstractNumId w:val="4"/>
  </w:num>
  <w:num w:numId="9" w16cid:durableId="1068263990">
    <w:abstractNumId w:val="9"/>
  </w:num>
  <w:num w:numId="10" w16cid:durableId="597107659">
    <w:abstractNumId w:val="12"/>
  </w:num>
  <w:num w:numId="11" w16cid:durableId="1210066269">
    <w:abstractNumId w:val="11"/>
  </w:num>
  <w:num w:numId="12" w16cid:durableId="1079836731">
    <w:abstractNumId w:val="13"/>
  </w:num>
  <w:num w:numId="13" w16cid:durableId="808938100">
    <w:abstractNumId w:val="1"/>
  </w:num>
  <w:num w:numId="14" w16cid:durableId="1426926148">
    <w:abstractNumId w:val="8"/>
  </w:num>
  <w:num w:numId="15" w16cid:durableId="16779952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CD8"/>
    <w:rsid w:val="001F247C"/>
    <w:rsid w:val="00480690"/>
    <w:rsid w:val="00646B5E"/>
    <w:rsid w:val="006A2CD8"/>
    <w:rsid w:val="00821F42"/>
    <w:rsid w:val="008C3E3C"/>
    <w:rsid w:val="009D3FEB"/>
    <w:rsid w:val="00AA2A9A"/>
    <w:rsid w:val="00AD3D8F"/>
    <w:rsid w:val="00AF66D1"/>
    <w:rsid w:val="00BA20A2"/>
    <w:rsid w:val="00BC487E"/>
    <w:rsid w:val="00C61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E4F40"/>
  <w15:chartTrackingRefBased/>
  <w15:docId w15:val="{8839D328-B165-48DF-8650-D24F5FE50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2C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A2C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A2C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A2C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A2C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A2C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2C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2C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2C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C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A2C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A2C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A2C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A2C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A2C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2C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2C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2CD8"/>
    <w:rPr>
      <w:rFonts w:eastAsiaTheme="majorEastAsia" w:cstheme="majorBidi"/>
      <w:color w:val="272727" w:themeColor="text1" w:themeTint="D8"/>
    </w:rPr>
  </w:style>
  <w:style w:type="paragraph" w:styleId="Title">
    <w:name w:val="Title"/>
    <w:basedOn w:val="Normal"/>
    <w:next w:val="Normal"/>
    <w:link w:val="TitleChar"/>
    <w:uiPriority w:val="10"/>
    <w:qFormat/>
    <w:rsid w:val="006A2C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2C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2C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2C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2CD8"/>
    <w:pPr>
      <w:spacing w:before="160"/>
      <w:jc w:val="center"/>
    </w:pPr>
    <w:rPr>
      <w:i/>
      <w:iCs/>
      <w:color w:val="404040" w:themeColor="text1" w:themeTint="BF"/>
    </w:rPr>
  </w:style>
  <w:style w:type="character" w:customStyle="1" w:styleId="QuoteChar">
    <w:name w:val="Quote Char"/>
    <w:basedOn w:val="DefaultParagraphFont"/>
    <w:link w:val="Quote"/>
    <w:uiPriority w:val="29"/>
    <w:rsid w:val="006A2CD8"/>
    <w:rPr>
      <w:i/>
      <w:iCs/>
      <w:color w:val="404040" w:themeColor="text1" w:themeTint="BF"/>
    </w:rPr>
  </w:style>
  <w:style w:type="paragraph" w:styleId="ListParagraph">
    <w:name w:val="List Paragraph"/>
    <w:basedOn w:val="Normal"/>
    <w:uiPriority w:val="34"/>
    <w:qFormat/>
    <w:rsid w:val="006A2CD8"/>
    <w:pPr>
      <w:ind w:left="720"/>
      <w:contextualSpacing/>
    </w:pPr>
  </w:style>
  <w:style w:type="character" w:styleId="IntenseEmphasis">
    <w:name w:val="Intense Emphasis"/>
    <w:basedOn w:val="DefaultParagraphFont"/>
    <w:uiPriority w:val="21"/>
    <w:qFormat/>
    <w:rsid w:val="006A2CD8"/>
    <w:rPr>
      <w:i/>
      <w:iCs/>
      <w:color w:val="2F5496" w:themeColor="accent1" w:themeShade="BF"/>
    </w:rPr>
  </w:style>
  <w:style w:type="paragraph" w:styleId="IntenseQuote">
    <w:name w:val="Intense Quote"/>
    <w:basedOn w:val="Normal"/>
    <w:next w:val="Normal"/>
    <w:link w:val="IntenseQuoteChar"/>
    <w:uiPriority w:val="30"/>
    <w:qFormat/>
    <w:rsid w:val="006A2C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2CD8"/>
    <w:rPr>
      <w:i/>
      <w:iCs/>
      <w:color w:val="2F5496" w:themeColor="accent1" w:themeShade="BF"/>
    </w:rPr>
  </w:style>
  <w:style w:type="character" w:styleId="IntenseReference">
    <w:name w:val="Intense Reference"/>
    <w:basedOn w:val="DefaultParagraphFont"/>
    <w:uiPriority w:val="32"/>
    <w:qFormat/>
    <w:rsid w:val="006A2CD8"/>
    <w:rPr>
      <w:b/>
      <w:bCs/>
      <w:smallCaps/>
      <w:color w:val="2F5496" w:themeColor="accent1" w:themeShade="BF"/>
      <w:spacing w:val="5"/>
    </w:rPr>
  </w:style>
  <w:style w:type="table" w:styleId="TableGrid">
    <w:name w:val="Table Grid"/>
    <w:basedOn w:val="TableNormal"/>
    <w:uiPriority w:val="39"/>
    <w:rsid w:val="006A2CD8"/>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597577">
      <w:bodyDiv w:val="1"/>
      <w:marLeft w:val="0"/>
      <w:marRight w:val="0"/>
      <w:marTop w:val="0"/>
      <w:marBottom w:val="0"/>
      <w:divBdr>
        <w:top w:val="none" w:sz="0" w:space="0" w:color="auto"/>
        <w:left w:val="none" w:sz="0" w:space="0" w:color="auto"/>
        <w:bottom w:val="none" w:sz="0" w:space="0" w:color="auto"/>
        <w:right w:val="none" w:sz="0" w:space="0" w:color="auto"/>
      </w:divBdr>
    </w:div>
    <w:div w:id="1506672771">
      <w:bodyDiv w:val="1"/>
      <w:marLeft w:val="0"/>
      <w:marRight w:val="0"/>
      <w:marTop w:val="0"/>
      <w:marBottom w:val="0"/>
      <w:divBdr>
        <w:top w:val="none" w:sz="0" w:space="0" w:color="auto"/>
        <w:left w:val="none" w:sz="0" w:space="0" w:color="auto"/>
        <w:bottom w:val="none" w:sz="0" w:space="0" w:color="auto"/>
        <w:right w:val="none" w:sz="0" w:space="0" w:color="auto"/>
      </w:divBdr>
    </w:div>
    <w:div w:id="155963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8416</Words>
  <Characters>57806</Characters>
  <Application>Microsoft Office Word</Application>
  <DocSecurity>0</DocSecurity>
  <Lines>1577</Lines>
  <Paragraphs>549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Williams</dc:creator>
  <cp:keywords/>
  <dc:description/>
  <cp:lastModifiedBy>Karine Williams</cp:lastModifiedBy>
  <cp:revision>2</cp:revision>
  <dcterms:created xsi:type="dcterms:W3CDTF">2025-01-13T18:09:00Z</dcterms:created>
  <dcterms:modified xsi:type="dcterms:W3CDTF">2025-01-13T18:09:00Z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b5f6ae7c-e68e-4a5c-9226-4eeed68f20bd</vt:lpwstr>
  </property>
</Properties>
</file>