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196B" w:rsidRDefault="0067196B" w:rsidP="0067196B">
      <w:pPr>
        <w:jc w:val="center"/>
      </w:pPr>
      <w:r>
        <w:t>Christina Logan</w:t>
      </w:r>
      <w:r>
        <w:br/>
        <w:t>P150528</w:t>
      </w:r>
      <w:r>
        <w:br/>
      </w:r>
      <w:r w:rsidR="00165120">
        <w:t xml:space="preserve">BA Hons </w:t>
      </w:r>
      <w:r>
        <w:t>Fin</w:t>
      </w:r>
      <w:r w:rsidR="00ED15B5">
        <w:t>e Art: Studio, Site and Context</w:t>
      </w:r>
      <w:bookmarkStart w:id="0" w:name="_GoBack"/>
      <w:bookmarkEnd w:id="0"/>
      <w:r w:rsidR="00165120">
        <w:br/>
        <w:t xml:space="preserve">Tutors: Sarah Tombs &amp; Louise </w:t>
      </w:r>
      <w:proofErr w:type="spellStart"/>
      <w:r w:rsidR="00165120">
        <w:t>Burston</w:t>
      </w:r>
      <w:proofErr w:type="spellEnd"/>
      <w:r w:rsidR="00165120">
        <w:br/>
        <w:t>Word count: 1,908</w:t>
      </w:r>
    </w:p>
    <w:p w:rsidR="00165120" w:rsidRPr="000841A9" w:rsidRDefault="0067196B" w:rsidP="00165120">
      <w:pPr>
        <w:jc w:val="center"/>
        <w:rPr>
          <w:b/>
          <w:sz w:val="24"/>
        </w:rPr>
      </w:pPr>
      <w:r w:rsidRPr="000841A9">
        <w:rPr>
          <w:b/>
          <w:sz w:val="24"/>
        </w:rPr>
        <w:t>What does it mean to commemorate?</w:t>
      </w:r>
      <w:r w:rsidRPr="000841A9">
        <w:rPr>
          <w:b/>
          <w:sz w:val="24"/>
        </w:rPr>
        <w:br/>
        <w:t>How do memorials create personal meaning in a public place?</w:t>
      </w:r>
    </w:p>
    <w:p w:rsidR="0067196B" w:rsidRPr="005D631E" w:rsidRDefault="00165120" w:rsidP="003B7C9D">
      <w:pPr>
        <w:spacing w:line="276" w:lineRule="auto"/>
        <w:ind w:firstLine="720"/>
        <w:jc w:val="both"/>
        <w:rPr>
          <w:sz w:val="24"/>
        </w:rPr>
      </w:pPr>
      <w:r w:rsidRPr="005D631E">
        <w:rPr>
          <w:noProof/>
          <w:sz w:val="24"/>
          <w:lang w:eastAsia="en-GB"/>
        </w:rPr>
        <w:drawing>
          <wp:anchor distT="0" distB="0" distL="114300" distR="114300" simplePos="0" relativeHeight="251662336" behindDoc="0" locked="0" layoutInCell="1" allowOverlap="1">
            <wp:simplePos x="0" y="0"/>
            <wp:positionH relativeFrom="margin">
              <wp:align>right</wp:align>
            </wp:positionH>
            <wp:positionV relativeFrom="paragraph">
              <wp:posOffset>1720215</wp:posOffset>
            </wp:positionV>
            <wp:extent cx="6181725" cy="255968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rlinbanner.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6181725" cy="2559685"/>
                    </a:xfrm>
                    <a:prstGeom prst="rect">
                      <a:avLst/>
                    </a:prstGeom>
                  </pic:spPr>
                </pic:pic>
              </a:graphicData>
            </a:graphic>
            <wp14:sizeRelH relativeFrom="page">
              <wp14:pctWidth>0</wp14:pctWidth>
            </wp14:sizeRelH>
            <wp14:sizeRelV relativeFrom="page">
              <wp14:pctHeight>0</wp14:pctHeight>
            </wp14:sizeRelV>
          </wp:anchor>
        </w:drawing>
      </w:r>
      <w:r w:rsidR="0067196B" w:rsidRPr="005D631E">
        <w:rPr>
          <w:sz w:val="24"/>
        </w:rPr>
        <w:t>In this essay I will explore the ideas behind memorials and the</w:t>
      </w:r>
      <w:r w:rsidR="00836F93">
        <w:rPr>
          <w:sz w:val="24"/>
        </w:rPr>
        <w:t xml:space="preserve"> amount of</w:t>
      </w:r>
      <w:r w:rsidR="0067196B" w:rsidRPr="005D631E">
        <w:rPr>
          <w:sz w:val="24"/>
        </w:rPr>
        <w:t xml:space="preserve"> power they hold on the public; the effect they have on the space surrounding them, and how the public sympathise with the personal meaning behind them. I believe the subject matter plays as a direct influence on the feeling one has, whether it be the commemoration of a singular person, or the loss of thousands. The latter might be an important historical event, such as the Holocaust, for which there are numerous memorials spanning across the world. This particular commemoration can inflict feeling on many, being that it was one of the largest known genocides on the planet.</w:t>
      </w:r>
    </w:p>
    <w:p w:rsidR="00DD6C73" w:rsidRPr="005D631E" w:rsidRDefault="00DD6C73" w:rsidP="00B14608">
      <w:pPr>
        <w:spacing w:line="276" w:lineRule="auto"/>
        <w:rPr>
          <w:sz w:val="24"/>
        </w:rPr>
      </w:pPr>
    </w:p>
    <w:p w:rsidR="00DD6C73" w:rsidRPr="005D631E" w:rsidRDefault="0067196B" w:rsidP="003B7C9D">
      <w:pPr>
        <w:spacing w:line="276" w:lineRule="auto"/>
        <w:ind w:firstLine="720"/>
        <w:jc w:val="both"/>
        <w:rPr>
          <w:sz w:val="24"/>
        </w:rPr>
      </w:pPr>
      <w:r w:rsidRPr="005D631E">
        <w:rPr>
          <w:sz w:val="24"/>
        </w:rPr>
        <w:t>I could start off with Pet</w:t>
      </w:r>
      <w:r w:rsidR="00971281">
        <w:rPr>
          <w:sz w:val="24"/>
        </w:rPr>
        <w:t xml:space="preserve">er </w:t>
      </w:r>
      <w:proofErr w:type="spellStart"/>
      <w:r w:rsidR="00971281">
        <w:rPr>
          <w:sz w:val="24"/>
        </w:rPr>
        <w:t>Eisenman</w:t>
      </w:r>
      <w:proofErr w:type="spellEnd"/>
      <w:r w:rsidR="00971281">
        <w:rPr>
          <w:sz w:val="24"/>
        </w:rPr>
        <w:t xml:space="preserve"> and </w:t>
      </w:r>
      <w:proofErr w:type="spellStart"/>
      <w:r w:rsidR="00971281">
        <w:rPr>
          <w:sz w:val="24"/>
        </w:rPr>
        <w:t>Buro</w:t>
      </w:r>
      <w:proofErr w:type="spellEnd"/>
      <w:r w:rsidR="00971281">
        <w:rPr>
          <w:sz w:val="24"/>
        </w:rPr>
        <w:t xml:space="preserve"> </w:t>
      </w:r>
      <w:proofErr w:type="spellStart"/>
      <w:r w:rsidR="00971281">
        <w:rPr>
          <w:sz w:val="24"/>
        </w:rPr>
        <w:t>Happold’s</w:t>
      </w:r>
      <w:proofErr w:type="spellEnd"/>
      <w:r w:rsidR="00971281">
        <w:rPr>
          <w:sz w:val="24"/>
        </w:rPr>
        <w:t xml:space="preserve"> ‘</w:t>
      </w:r>
      <w:r w:rsidRPr="005D631E">
        <w:rPr>
          <w:sz w:val="24"/>
        </w:rPr>
        <w:t>Memorial</w:t>
      </w:r>
      <w:r w:rsidR="00971281">
        <w:rPr>
          <w:sz w:val="24"/>
        </w:rPr>
        <w:t xml:space="preserve"> to the Murdered Jews of Europe’</w:t>
      </w:r>
      <w:r w:rsidRPr="005D631E">
        <w:rPr>
          <w:sz w:val="24"/>
        </w:rPr>
        <w:t xml:space="preserve">, a memorial in Berlin which consists of 2,711 stelae arranged in a grid over a 200,000sqft site. A sign, or plaque, sits on the edge of the site which acts as a set of “commandments” of etiquette for visitors to uphold. This plaque clearly, among other things, no climbing, jumping or noise making amongst the stelae. Whether anyone actually listens to these “commandments” is a completely different story. Over social media you see pictures and videos of visitors singing, dancing, free-running, performing yoga poses and taking selfies. I personally believe this is an act of “accidental disrespect”, where the visitors who take these pictures or videos don’t actually believe they’re doing anything wrong. </w:t>
      </w:r>
    </w:p>
    <w:p w:rsidR="00C366E5" w:rsidRDefault="00165120" w:rsidP="00B14608">
      <w:pPr>
        <w:spacing w:line="276" w:lineRule="auto"/>
        <w:jc w:val="both"/>
        <w:rPr>
          <w:sz w:val="24"/>
        </w:rPr>
      </w:pPr>
      <w:r w:rsidRPr="005D631E">
        <w:rPr>
          <w:noProof/>
          <w:sz w:val="24"/>
          <w:lang w:eastAsia="en-GB"/>
        </w:rPr>
        <w:lastRenderedPageBreak/>
        <w:drawing>
          <wp:anchor distT="0" distB="0" distL="114300" distR="114300" simplePos="0" relativeHeight="251658240" behindDoc="0" locked="0" layoutInCell="1" allowOverlap="1">
            <wp:simplePos x="0" y="0"/>
            <wp:positionH relativeFrom="margin">
              <wp:posOffset>104775</wp:posOffset>
            </wp:positionH>
            <wp:positionV relativeFrom="paragraph">
              <wp:posOffset>10795</wp:posOffset>
            </wp:positionV>
            <wp:extent cx="3019425" cy="250761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81d432d3df16f68e2fee2bb4ed5c202.jpg"/>
                    <pic:cNvPicPr/>
                  </pic:nvPicPr>
                  <pic:blipFill>
                    <a:blip r:embed="rId5">
                      <a:extLst>
                        <a:ext uri="{28A0092B-C50C-407E-A947-70E740481C1C}">
                          <a14:useLocalDpi xmlns:a14="http://schemas.microsoft.com/office/drawing/2010/main" val="0"/>
                        </a:ext>
                      </a:extLst>
                    </a:blip>
                    <a:stretch>
                      <a:fillRect/>
                    </a:stretch>
                  </pic:blipFill>
                  <pic:spPr>
                    <a:xfrm>
                      <a:off x="0" y="0"/>
                      <a:ext cx="3019425" cy="2507615"/>
                    </a:xfrm>
                    <a:prstGeom prst="rect">
                      <a:avLst/>
                    </a:prstGeom>
                  </pic:spPr>
                </pic:pic>
              </a:graphicData>
            </a:graphic>
            <wp14:sizeRelH relativeFrom="margin">
              <wp14:pctWidth>0</wp14:pctWidth>
            </wp14:sizeRelH>
            <wp14:sizeRelV relativeFrom="margin">
              <wp14:pctHeight>0</wp14:pctHeight>
            </wp14:sizeRelV>
          </wp:anchor>
        </w:drawing>
      </w:r>
      <w:r w:rsidR="0067196B" w:rsidRPr="005D631E">
        <w:rPr>
          <w:sz w:val="24"/>
        </w:rPr>
        <w:t xml:space="preserve">Looking at something similar, I found </w:t>
      </w:r>
      <w:proofErr w:type="spellStart"/>
      <w:r w:rsidR="0067196B" w:rsidRPr="005D631E">
        <w:rPr>
          <w:sz w:val="24"/>
        </w:rPr>
        <w:t>Jaan</w:t>
      </w:r>
      <w:proofErr w:type="spellEnd"/>
      <w:r w:rsidR="0067196B" w:rsidRPr="005D631E">
        <w:rPr>
          <w:sz w:val="24"/>
        </w:rPr>
        <w:t xml:space="preserve"> </w:t>
      </w:r>
      <w:proofErr w:type="spellStart"/>
      <w:r w:rsidR="0067196B" w:rsidRPr="005D631E">
        <w:rPr>
          <w:sz w:val="24"/>
        </w:rPr>
        <w:t>Toomik</w:t>
      </w:r>
      <w:proofErr w:type="spellEnd"/>
      <w:r w:rsidR="0067196B" w:rsidRPr="005D631E">
        <w:rPr>
          <w:sz w:val="24"/>
        </w:rPr>
        <w:t xml:space="preserve">, </w:t>
      </w:r>
      <w:r w:rsidR="00DD6C73" w:rsidRPr="005D631E">
        <w:rPr>
          <w:sz w:val="24"/>
        </w:rPr>
        <w:t xml:space="preserve">an Estonian artist </w:t>
      </w:r>
      <w:r w:rsidR="0067196B" w:rsidRPr="005D631E">
        <w:rPr>
          <w:sz w:val="24"/>
        </w:rPr>
        <w:t xml:space="preserve">who performed a piece </w:t>
      </w:r>
      <w:r w:rsidR="00971281">
        <w:rPr>
          <w:sz w:val="24"/>
        </w:rPr>
        <w:t>called ‘Dancing with Dad’</w:t>
      </w:r>
      <w:r w:rsidR="0067196B" w:rsidRPr="005D631E">
        <w:rPr>
          <w:sz w:val="24"/>
        </w:rPr>
        <w:t xml:space="preserve"> in 2003. This pie</w:t>
      </w:r>
      <w:r w:rsidR="00DD6C73" w:rsidRPr="005D631E">
        <w:rPr>
          <w:sz w:val="24"/>
        </w:rPr>
        <w:t xml:space="preserve">ce involves </w:t>
      </w:r>
      <w:proofErr w:type="spellStart"/>
      <w:r w:rsidR="00DD6C73" w:rsidRPr="005D631E">
        <w:rPr>
          <w:sz w:val="24"/>
        </w:rPr>
        <w:t>Toomik</w:t>
      </w:r>
      <w:proofErr w:type="spellEnd"/>
      <w:r w:rsidR="00DD6C73" w:rsidRPr="005D631E">
        <w:rPr>
          <w:sz w:val="24"/>
        </w:rPr>
        <w:t xml:space="preserve"> dancing near </w:t>
      </w:r>
      <w:r w:rsidR="0067196B" w:rsidRPr="005D631E">
        <w:rPr>
          <w:sz w:val="24"/>
        </w:rPr>
        <w:t xml:space="preserve">his father’s grave, </w:t>
      </w:r>
      <w:r w:rsidR="00DD6C73" w:rsidRPr="005D631E">
        <w:rPr>
          <w:sz w:val="24"/>
        </w:rPr>
        <w:t>whi</w:t>
      </w:r>
      <w:r w:rsidR="00971281">
        <w:rPr>
          <w:sz w:val="24"/>
        </w:rPr>
        <w:t xml:space="preserve">lst Jimi Hendrix’s ‘Voodoo </w:t>
      </w:r>
      <w:proofErr w:type="spellStart"/>
      <w:r w:rsidR="00971281">
        <w:rPr>
          <w:sz w:val="24"/>
        </w:rPr>
        <w:t>Chil</w:t>
      </w:r>
      <w:proofErr w:type="spellEnd"/>
      <w:r w:rsidR="00971281">
        <w:rPr>
          <w:sz w:val="24"/>
        </w:rPr>
        <w:t>’</w:t>
      </w:r>
      <w:r w:rsidR="00DD6C73" w:rsidRPr="005D631E">
        <w:rPr>
          <w:sz w:val="24"/>
        </w:rPr>
        <w:t xml:space="preserve"> plays. “The act on his grave was a try to find contact with him through dance and to overcome some inside taboos.”</w:t>
      </w:r>
      <w:r w:rsidR="00DD6C73" w:rsidRPr="005D631E">
        <w:rPr>
          <w:sz w:val="24"/>
          <w:vertAlign w:val="superscript"/>
        </w:rPr>
        <w:t>1</w:t>
      </w:r>
      <w:r w:rsidR="00DD6C73" w:rsidRPr="005D631E">
        <w:rPr>
          <w:sz w:val="24"/>
        </w:rPr>
        <w:t xml:space="preserve"> When I </w:t>
      </w:r>
      <w:r w:rsidR="005D631E" w:rsidRPr="005D631E">
        <w:rPr>
          <w:sz w:val="24"/>
        </w:rPr>
        <w:t xml:space="preserve">look at this piece, I feel confused, do I consider this to be a personal memorial between a son and his father? Was there a relationship between the two that was tied strongly through the art of music and dance? </w:t>
      </w:r>
      <w:r w:rsidR="005D631E">
        <w:rPr>
          <w:sz w:val="24"/>
        </w:rPr>
        <w:t>Or could it just be a spark to start the debate on what commemora</w:t>
      </w:r>
      <w:r w:rsidR="00C366E5">
        <w:rPr>
          <w:sz w:val="24"/>
        </w:rPr>
        <w:t>tion means to different people.</w:t>
      </w:r>
    </w:p>
    <w:p w:rsidR="00DD6C73" w:rsidRDefault="005D631E" w:rsidP="00B14608">
      <w:pPr>
        <w:spacing w:line="276" w:lineRule="auto"/>
        <w:jc w:val="both"/>
        <w:rPr>
          <w:sz w:val="24"/>
        </w:rPr>
      </w:pPr>
      <w:r>
        <w:rPr>
          <w:sz w:val="24"/>
        </w:rPr>
        <w:t xml:space="preserve">Moving back to the Holocaust Memorial, some might say the videos and pictures of visitors are harmless, as the structure of the stelae might be seen as an invitation to play in their eyes. </w:t>
      </w:r>
      <w:r w:rsidR="00B14608">
        <w:rPr>
          <w:sz w:val="24"/>
        </w:rPr>
        <w:t xml:space="preserve">Israeli </w:t>
      </w:r>
      <w:r>
        <w:rPr>
          <w:sz w:val="24"/>
        </w:rPr>
        <w:t xml:space="preserve">artist </w:t>
      </w:r>
      <w:proofErr w:type="spellStart"/>
      <w:r w:rsidR="00C366E5">
        <w:rPr>
          <w:sz w:val="24"/>
        </w:rPr>
        <w:t>Shahak</w:t>
      </w:r>
      <w:proofErr w:type="spellEnd"/>
      <w:r w:rsidR="00C366E5">
        <w:rPr>
          <w:sz w:val="24"/>
        </w:rPr>
        <w:t xml:space="preserve"> </w:t>
      </w:r>
      <w:proofErr w:type="spellStart"/>
      <w:r w:rsidR="00C366E5">
        <w:rPr>
          <w:sz w:val="24"/>
        </w:rPr>
        <w:t>Shapira</w:t>
      </w:r>
      <w:proofErr w:type="spellEnd"/>
      <w:r w:rsidR="00C366E5">
        <w:rPr>
          <w:sz w:val="24"/>
        </w:rPr>
        <w:t xml:space="preserve"> </w:t>
      </w:r>
      <w:r>
        <w:rPr>
          <w:sz w:val="24"/>
        </w:rPr>
        <w:t>took it upon himself to create</w:t>
      </w:r>
      <w:r w:rsidR="00971281">
        <w:rPr>
          <w:sz w:val="24"/>
        </w:rPr>
        <w:t xml:space="preserve"> a project called ‘</w:t>
      </w:r>
      <w:proofErr w:type="spellStart"/>
      <w:r w:rsidR="00971281">
        <w:rPr>
          <w:sz w:val="24"/>
        </w:rPr>
        <w:t>Yolocaust</w:t>
      </w:r>
      <w:proofErr w:type="spellEnd"/>
      <w:r w:rsidR="00971281">
        <w:rPr>
          <w:sz w:val="24"/>
        </w:rPr>
        <w:t>’</w:t>
      </w:r>
      <w:r w:rsidR="00C366E5">
        <w:rPr>
          <w:sz w:val="24"/>
        </w:rPr>
        <w:t xml:space="preserve">, where he creates photographic pieces by editing the visitor’s selfies into macabre scenes. </w:t>
      </w:r>
      <w:proofErr w:type="spellStart"/>
      <w:r w:rsidR="00C366E5">
        <w:rPr>
          <w:sz w:val="24"/>
        </w:rPr>
        <w:t>Shapira</w:t>
      </w:r>
      <w:proofErr w:type="spellEnd"/>
      <w:r w:rsidR="00C366E5">
        <w:rPr>
          <w:sz w:val="24"/>
        </w:rPr>
        <w:t xml:space="preserve"> was infuriated with the level of disrespect shown at the memorial and wanted to shame the visitors for making light of such a heavy topic. </w:t>
      </w:r>
      <w:r w:rsidR="005D59F2">
        <w:rPr>
          <w:sz w:val="24"/>
        </w:rPr>
        <w:t xml:space="preserve">This was certainly an interesting to way to go about trying to prevent anyone from doing something similar again, but unfortunately, as with the plaque, nobody </w:t>
      </w:r>
      <w:r w:rsidR="00836F93">
        <w:rPr>
          <w:sz w:val="24"/>
        </w:rPr>
        <w:t>seemed to listen or care about the embarrassment they inflicted on themselves</w:t>
      </w:r>
      <w:r w:rsidR="005D59F2">
        <w:rPr>
          <w:sz w:val="24"/>
        </w:rPr>
        <w:t>.</w:t>
      </w:r>
    </w:p>
    <w:p w:rsidR="005D59F2" w:rsidRDefault="005D59F2" w:rsidP="00B14608">
      <w:pPr>
        <w:spacing w:line="276" w:lineRule="auto"/>
        <w:jc w:val="both"/>
        <w:rPr>
          <w:sz w:val="24"/>
        </w:rPr>
      </w:pPr>
      <w:r>
        <w:rPr>
          <w:noProof/>
          <w:sz w:val="24"/>
          <w:lang w:eastAsia="en-GB"/>
        </w:rPr>
        <w:drawing>
          <wp:inline distT="0" distB="0" distL="0" distR="0">
            <wp:extent cx="3060000" cy="2754000"/>
            <wp:effectExtent l="0" t="0" r="762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locaust-memorial-selfies-yolocaust-shahak-shapira-10.jpg"/>
                    <pic:cNvPicPr/>
                  </pic:nvPicPr>
                  <pic:blipFill>
                    <a:blip r:embed="rId6">
                      <a:extLst>
                        <a:ext uri="{28A0092B-C50C-407E-A947-70E740481C1C}">
                          <a14:useLocalDpi xmlns:a14="http://schemas.microsoft.com/office/drawing/2010/main" val="0"/>
                        </a:ext>
                      </a:extLst>
                    </a:blip>
                    <a:stretch>
                      <a:fillRect/>
                    </a:stretch>
                  </pic:blipFill>
                  <pic:spPr>
                    <a:xfrm>
                      <a:off x="0" y="0"/>
                      <a:ext cx="3060000" cy="2754000"/>
                    </a:xfrm>
                    <a:prstGeom prst="rect">
                      <a:avLst/>
                    </a:prstGeom>
                  </pic:spPr>
                </pic:pic>
              </a:graphicData>
            </a:graphic>
          </wp:inline>
        </w:drawing>
      </w:r>
      <w:r>
        <w:rPr>
          <w:noProof/>
          <w:sz w:val="24"/>
          <w:lang w:eastAsia="en-GB"/>
        </w:rPr>
        <w:drawing>
          <wp:inline distT="0" distB="0" distL="0" distR="0">
            <wp:extent cx="3060000" cy="2754000"/>
            <wp:effectExtent l="0" t="0" r="762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locaust-memorial-selfies-yolocaust-shahak-shapira-16.jpg"/>
                    <pic:cNvPicPr/>
                  </pic:nvPicPr>
                  <pic:blipFill>
                    <a:blip r:embed="rId7">
                      <a:extLst>
                        <a:ext uri="{28A0092B-C50C-407E-A947-70E740481C1C}">
                          <a14:useLocalDpi xmlns:a14="http://schemas.microsoft.com/office/drawing/2010/main" val="0"/>
                        </a:ext>
                      </a:extLst>
                    </a:blip>
                    <a:stretch>
                      <a:fillRect/>
                    </a:stretch>
                  </pic:blipFill>
                  <pic:spPr>
                    <a:xfrm>
                      <a:off x="0" y="0"/>
                      <a:ext cx="3060000" cy="2754000"/>
                    </a:xfrm>
                    <a:prstGeom prst="rect">
                      <a:avLst/>
                    </a:prstGeom>
                  </pic:spPr>
                </pic:pic>
              </a:graphicData>
            </a:graphic>
          </wp:inline>
        </w:drawing>
      </w:r>
    </w:p>
    <w:p w:rsidR="00B14608" w:rsidRDefault="00967BE7" w:rsidP="00B14608">
      <w:pPr>
        <w:spacing w:line="276" w:lineRule="auto"/>
        <w:jc w:val="both"/>
        <w:rPr>
          <w:sz w:val="24"/>
        </w:rPr>
      </w:pPr>
      <w:r>
        <w:rPr>
          <w:sz w:val="24"/>
        </w:rPr>
        <w:t xml:space="preserve">I think the issue with this memorial is not the memorial itself, but the lack of empathy the visitors possess. They see pictures of a commemoration of the murder of 6 million Jews on TripAdvisor, a thought crosses their mind that “it’ll be something to knock of the bucket list”, but they don’t think about the work that went into this memorial;  how these people were needlessly murdered like cattle in a slaughterhouse, or the families of the fallen. They believe it to be a waste of time wandering </w:t>
      </w:r>
      <w:r>
        <w:rPr>
          <w:sz w:val="24"/>
        </w:rPr>
        <w:lastRenderedPageBreak/>
        <w:t>through the concrete maze in silence, just appreciating that they might never have to die in such a way due to their inherited privilege.</w:t>
      </w:r>
      <w:r w:rsidR="00536CCC">
        <w:rPr>
          <w:sz w:val="24"/>
        </w:rPr>
        <w:t xml:space="preserve"> Nevertheless, the site itself is more a means of association with the Holocaust, and perhaps not a way to represent it—it’s all down to the interpretation of the visitor.</w:t>
      </w:r>
    </w:p>
    <w:p w:rsidR="00086733" w:rsidRDefault="00165120" w:rsidP="00086733">
      <w:pPr>
        <w:spacing w:line="276" w:lineRule="auto"/>
        <w:jc w:val="both"/>
        <w:rPr>
          <w:sz w:val="24"/>
        </w:rPr>
      </w:pPr>
      <w:r>
        <w:rPr>
          <w:noProof/>
          <w:sz w:val="24"/>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5497195</wp:posOffset>
            </wp:positionV>
            <wp:extent cx="3378117" cy="26193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06902_1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78117" cy="2619375"/>
                    </a:xfrm>
                    <a:prstGeom prst="rect">
                      <a:avLst/>
                    </a:prstGeom>
                  </pic:spPr>
                </pic:pic>
              </a:graphicData>
            </a:graphic>
          </wp:anchor>
        </w:drawing>
      </w:r>
      <w:r w:rsidR="006C2174">
        <w:rPr>
          <w:noProof/>
          <w:sz w:val="24"/>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9525</wp:posOffset>
            </wp:positionV>
            <wp:extent cx="3105150" cy="1811338"/>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png"/>
                    <pic:cNvPicPr/>
                  </pic:nvPicPr>
                  <pic:blipFill>
                    <a:blip r:embed="rId9">
                      <a:extLst>
                        <a:ext uri="{28A0092B-C50C-407E-A947-70E740481C1C}">
                          <a14:useLocalDpi xmlns:a14="http://schemas.microsoft.com/office/drawing/2010/main" val="0"/>
                        </a:ext>
                      </a:extLst>
                    </a:blip>
                    <a:stretch>
                      <a:fillRect/>
                    </a:stretch>
                  </pic:blipFill>
                  <pic:spPr>
                    <a:xfrm>
                      <a:off x="0" y="0"/>
                      <a:ext cx="3105150" cy="1811338"/>
                    </a:xfrm>
                    <a:prstGeom prst="rect">
                      <a:avLst/>
                    </a:prstGeom>
                  </pic:spPr>
                </pic:pic>
              </a:graphicData>
            </a:graphic>
          </wp:anchor>
        </w:drawing>
      </w:r>
      <w:r w:rsidR="003B7C9D">
        <w:rPr>
          <w:sz w:val="24"/>
        </w:rPr>
        <w:tab/>
      </w:r>
      <w:r w:rsidR="006C2174">
        <w:rPr>
          <w:sz w:val="24"/>
        </w:rPr>
        <w:t>I decided to look at</w:t>
      </w:r>
      <w:r w:rsidR="003B7C9D">
        <w:rPr>
          <w:sz w:val="24"/>
        </w:rPr>
        <w:t xml:space="preserve"> Rose</w:t>
      </w:r>
      <w:r w:rsidR="00971281">
        <w:rPr>
          <w:sz w:val="24"/>
        </w:rPr>
        <w:t xml:space="preserve">marie </w:t>
      </w:r>
      <w:proofErr w:type="spellStart"/>
      <w:r w:rsidR="00971281">
        <w:rPr>
          <w:sz w:val="24"/>
        </w:rPr>
        <w:t>Trockel’s</w:t>
      </w:r>
      <w:proofErr w:type="spellEnd"/>
      <w:r w:rsidR="00971281">
        <w:rPr>
          <w:sz w:val="24"/>
        </w:rPr>
        <w:t xml:space="preserve"> ‘</w:t>
      </w:r>
      <w:proofErr w:type="spellStart"/>
      <w:r w:rsidR="00971281">
        <w:rPr>
          <w:sz w:val="24"/>
        </w:rPr>
        <w:t>Ich</w:t>
      </w:r>
      <w:proofErr w:type="spellEnd"/>
      <w:r w:rsidR="00971281">
        <w:rPr>
          <w:sz w:val="24"/>
        </w:rPr>
        <w:t xml:space="preserve"> </w:t>
      </w:r>
      <w:proofErr w:type="spellStart"/>
      <w:r w:rsidR="00971281">
        <w:rPr>
          <w:sz w:val="24"/>
        </w:rPr>
        <w:t>Habe</w:t>
      </w:r>
      <w:proofErr w:type="spellEnd"/>
      <w:r w:rsidR="00971281">
        <w:rPr>
          <w:sz w:val="24"/>
        </w:rPr>
        <w:t xml:space="preserve"> Angst’</w:t>
      </w:r>
      <w:r w:rsidR="003B7C9D">
        <w:rPr>
          <w:sz w:val="24"/>
        </w:rPr>
        <w:t>, which really comes down to the religious and</w:t>
      </w:r>
      <w:r w:rsidR="00971281">
        <w:rPr>
          <w:sz w:val="24"/>
        </w:rPr>
        <w:t xml:space="preserve"> social implication behind it. ‘</w:t>
      </w:r>
      <w:proofErr w:type="spellStart"/>
      <w:r w:rsidR="00971281">
        <w:rPr>
          <w:sz w:val="24"/>
        </w:rPr>
        <w:t>Ich</w:t>
      </w:r>
      <w:proofErr w:type="spellEnd"/>
      <w:r w:rsidR="00971281">
        <w:rPr>
          <w:sz w:val="24"/>
        </w:rPr>
        <w:t xml:space="preserve"> </w:t>
      </w:r>
      <w:proofErr w:type="spellStart"/>
      <w:r w:rsidR="00971281">
        <w:rPr>
          <w:sz w:val="24"/>
        </w:rPr>
        <w:t>Habe</w:t>
      </w:r>
      <w:proofErr w:type="spellEnd"/>
      <w:r w:rsidR="00971281">
        <w:rPr>
          <w:sz w:val="24"/>
        </w:rPr>
        <w:t xml:space="preserve"> Angst’</w:t>
      </w:r>
      <w:r w:rsidR="003B7C9D">
        <w:rPr>
          <w:sz w:val="24"/>
        </w:rPr>
        <w:t xml:space="preserve"> directly translates to the phrase “I have fear”, which begs the question, who fears what? I think the installation, which consisted of vinyl lettering along the wall behind the altar, along with debris lying across the </w:t>
      </w:r>
      <w:r w:rsidR="0019739A">
        <w:rPr>
          <w:sz w:val="24"/>
        </w:rPr>
        <w:t xml:space="preserve">floor in front of it, does not speak for </w:t>
      </w:r>
      <w:proofErr w:type="spellStart"/>
      <w:r w:rsidR="0019739A">
        <w:rPr>
          <w:sz w:val="24"/>
        </w:rPr>
        <w:t>Trockel</w:t>
      </w:r>
      <w:proofErr w:type="spellEnd"/>
      <w:r w:rsidR="0019739A">
        <w:rPr>
          <w:sz w:val="24"/>
        </w:rPr>
        <w:t xml:space="preserve"> herself. The building </w:t>
      </w:r>
      <w:r w:rsidR="00086733">
        <w:rPr>
          <w:sz w:val="24"/>
        </w:rPr>
        <w:t xml:space="preserve">(a church in Cologne) </w:t>
      </w:r>
      <w:r w:rsidR="0019739A">
        <w:rPr>
          <w:sz w:val="24"/>
        </w:rPr>
        <w:t xml:space="preserve">in which the installation was housed was restored after heavy bombing </w:t>
      </w:r>
      <w:r w:rsidR="00086733">
        <w:rPr>
          <w:sz w:val="24"/>
        </w:rPr>
        <w:t xml:space="preserve">in the Second World War, and the piece itself peeks into the church’s history. It’s almost a play on God’s own son admitting he is afraid; his house was broken and he feared for his family’s safety (the congregation). The church wanted its visitors to think—similar to the purpose of the Holocaust Memorial—possibly about the realism of war and its direct effect on religion. The piece stands as a memorial to those who lost </w:t>
      </w:r>
      <w:r w:rsidR="0001619A">
        <w:rPr>
          <w:sz w:val="24"/>
        </w:rPr>
        <w:t>not their lives, but a revered home to which they could connect with their Father. This begs another question, if God’s home is destroyed by humanity’s affairs, are we t</w:t>
      </w:r>
      <w:r w:rsidR="00971281">
        <w:rPr>
          <w:sz w:val="24"/>
        </w:rPr>
        <w:t>ruly helpless? Would the words ‘</w:t>
      </w:r>
      <w:proofErr w:type="spellStart"/>
      <w:r w:rsidR="00971281">
        <w:rPr>
          <w:sz w:val="24"/>
        </w:rPr>
        <w:t>Ich</w:t>
      </w:r>
      <w:proofErr w:type="spellEnd"/>
      <w:r w:rsidR="00971281">
        <w:rPr>
          <w:sz w:val="24"/>
        </w:rPr>
        <w:t xml:space="preserve"> </w:t>
      </w:r>
      <w:proofErr w:type="spellStart"/>
      <w:r w:rsidR="00971281">
        <w:rPr>
          <w:sz w:val="24"/>
        </w:rPr>
        <w:t>Habe</w:t>
      </w:r>
      <w:proofErr w:type="spellEnd"/>
      <w:r w:rsidR="00971281">
        <w:rPr>
          <w:sz w:val="24"/>
        </w:rPr>
        <w:t xml:space="preserve"> Angst’</w:t>
      </w:r>
      <w:r w:rsidR="0001619A">
        <w:rPr>
          <w:sz w:val="24"/>
        </w:rPr>
        <w:t xml:space="preserve"> then apply to us as well as a congregation? In comparison to the Holocaust Memorial, which applied to the Jews needlessly lost to the ugliness of the same war, how does </w:t>
      </w:r>
      <w:proofErr w:type="spellStart"/>
      <w:r w:rsidR="0001619A">
        <w:rPr>
          <w:sz w:val="24"/>
        </w:rPr>
        <w:t>Trockel</w:t>
      </w:r>
      <w:proofErr w:type="spellEnd"/>
      <w:r w:rsidR="0001619A">
        <w:rPr>
          <w:sz w:val="24"/>
        </w:rPr>
        <w:t xml:space="preserve"> manage to approach this piece with the same amount of power as the stelae, but in the form of three words? Would visitors treat the vinyl lettering with the same lack of respect as the stelae—i</w:t>
      </w:r>
      <w:r w:rsidR="00FD1B46">
        <w:rPr>
          <w:sz w:val="24"/>
        </w:rPr>
        <w:t>f not, why? I believe, if anything, the Memorial to the Murdered Jews of Europe is a powerful piece, despite not clearly stating what it’s commemorating. I imagin</w:t>
      </w:r>
      <w:r w:rsidR="00971281">
        <w:rPr>
          <w:sz w:val="24"/>
        </w:rPr>
        <w:t>e myself in the church viewing ‘</w:t>
      </w:r>
      <w:proofErr w:type="spellStart"/>
      <w:r w:rsidR="00971281">
        <w:rPr>
          <w:sz w:val="24"/>
        </w:rPr>
        <w:t>Ich</w:t>
      </w:r>
      <w:proofErr w:type="spellEnd"/>
      <w:r w:rsidR="00971281">
        <w:rPr>
          <w:sz w:val="24"/>
        </w:rPr>
        <w:t xml:space="preserve"> </w:t>
      </w:r>
      <w:proofErr w:type="spellStart"/>
      <w:r w:rsidR="00971281">
        <w:rPr>
          <w:sz w:val="24"/>
        </w:rPr>
        <w:t>Habe</w:t>
      </w:r>
      <w:proofErr w:type="spellEnd"/>
      <w:r w:rsidR="00971281">
        <w:rPr>
          <w:sz w:val="24"/>
        </w:rPr>
        <w:t xml:space="preserve"> Angst’</w:t>
      </w:r>
      <w:r w:rsidR="00FD1B46">
        <w:rPr>
          <w:sz w:val="24"/>
        </w:rPr>
        <w:t xml:space="preserve"> and I’m overwhelmed by the power that those three words hold ov</w:t>
      </w:r>
      <w:r w:rsidR="00BB0AAB">
        <w:rPr>
          <w:sz w:val="24"/>
        </w:rPr>
        <w:t>er me already. I empathise with the loss of this powerful structure during the war, knowing fully well it was a place that someone would really need at the time; having that possibility stripped from you must have taken a toll on your sanity at the least.</w:t>
      </w:r>
    </w:p>
    <w:p w:rsidR="0002233C" w:rsidRDefault="00971281" w:rsidP="006C2174">
      <w:pPr>
        <w:spacing w:line="276" w:lineRule="auto"/>
        <w:ind w:firstLine="720"/>
        <w:jc w:val="both"/>
        <w:rPr>
          <w:sz w:val="24"/>
        </w:rPr>
      </w:pPr>
      <w:r>
        <w:rPr>
          <w:sz w:val="24"/>
        </w:rPr>
        <w:t xml:space="preserve">I wanted to explore a piece created by Susan Hiller, called ‘Monument’, which consists of forty-one photographs of memorial plaques that she came across in Postman’s Park, near St Paul’s Cathedral in London. The plaques are a commemoration of ordinary men, women, and children who performed acts of heroism and died in the process. Hiller explored the idea of bringing back events, objects or people that may </w:t>
      </w:r>
      <w:r>
        <w:rPr>
          <w:sz w:val="24"/>
        </w:rPr>
        <w:lastRenderedPageBreak/>
        <w:t>have been forgotten, and in this case, the plaques were overlooked. She explores themes of death, memory and the representation of both in many of her pieces, but this piece struck me on a personal level. The plaques, being there for years, were ignored by visitors who may have sat on park benches in front of them. A quote from Hiller, after being seen photographing them, “</w:t>
      </w:r>
      <w:r w:rsidRPr="00971281">
        <w:rPr>
          <w:sz w:val="24"/>
        </w:rPr>
        <w:t>they said things like ‘Oh! Isn’t it sad? Isn’t it dreadful?’ But what struck me was that they had sat in front of these perfectly visible objects for years and years, and the objects had been, literally, invisible.</w:t>
      </w:r>
      <w:r>
        <w:rPr>
          <w:sz w:val="24"/>
        </w:rPr>
        <w:t>”</w:t>
      </w:r>
      <w:r>
        <w:rPr>
          <w:sz w:val="24"/>
          <w:vertAlign w:val="superscript"/>
        </w:rPr>
        <w:t>2</w:t>
      </w:r>
      <w:r>
        <w:rPr>
          <w:sz w:val="24"/>
        </w:rPr>
        <w:t xml:space="preserve"> This quote struck a chord, being that humanity only seems to care about large acts of heroism in general, even if they performed small acts themselves. This piece invites the visitors to sit on the park bench in front of the photographs, put on a set of headphones as Hiller’s voice plays, commentating and addressing the very nature of heroism itself. ‘Monument’ is seen as both a public and private commemoration of these heroes. The photographs show to the public a visual representation, whilst Hiller’s voice can only be heard by the individual wearing the headphones, creating an intimate feeling between the artist and the visitor. “T</w:t>
      </w:r>
      <w:r w:rsidRPr="00971281">
        <w:rPr>
          <w:sz w:val="24"/>
        </w:rPr>
        <w:t>he entire piece is activated by a person who sits on a bench listening to a sound tape, a person must be prepared to be seen in public performing a private act of listening. Since that person is seen by other viewers against a backdrop of photographic images, the piece exists as a tableau with a living centre, while the person is also par</w:t>
      </w:r>
      <w:r>
        <w:rPr>
          <w:sz w:val="24"/>
        </w:rPr>
        <w:t>t of the audience for the work.”</w:t>
      </w:r>
      <w:r>
        <w:rPr>
          <w:sz w:val="24"/>
          <w:vertAlign w:val="superscript"/>
        </w:rPr>
        <w:t xml:space="preserve">2 </w:t>
      </w:r>
      <w:r>
        <w:rPr>
          <w:sz w:val="24"/>
        </w:rPr>
        <w:t>This work could also be seen as a commemoration to Hiller herself, as she is immortalising her words to give recognition to those who may have been forgotten by the public. Is this the in</w:t>
      </w:r>
      <w:r w:rsidR="00000037">
        <w:rPr>
          <w:sz w:val="24"/>
        </w:rPr>
        <w:t>tended outcome? Or might it have been an afterthought?</w:t>
      </w:r>
    </w:p>
    <w:p w:rsidR="00705438" w:rsidRDefault="00165120" w:rsidP="006C2174">
      <w:pPr>
        <w:spacing w:line="276" w:lineRule="auto"/>
        <w:ind w:firstLine="720"/>
        <w:jc w:val="both"/>
        <w:rPr>
          <w:sz w:val="24"/>
        </w:rPr>
      </w:pPr>
      <w:r>
        <w:rPr>
          <w:noProof/>
          <w:sz w:val="24"/>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5715</wp:posOffset>
            </wp:positionV>
            <wp:extent cx="3446145" cy="24765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MMEM11.jpg"/>
                    <pic:cNvPicPr/>
                  </pic:nvPicPr>
                  <pic:blipFill>
                    <a:blip r:embed="rId10">
                      <a:extLst>
                        <a:ext uri="{28A0092B-C50C-407E-A947-70E740481C1C}">
                          <a14:useLocalDpi xmlns:a14="http://schemas.microsoft.com/office/drawing/2010/main" val="0"/>
                        </a:ext>
                      </a:extLst>
                    </a:blip>
                    <a:stretch>
                      <a:fillRect/>
                    </a:stretch>
                  </pic:blipFill>
                  <pic:spPr>
                    <a:xfrm>
                      <a:off x="0" y="0"/>
                      <a:ext cx="3446145" cy="2476500"/>
                    </a:xfrm>
                    <a:prstGeom prst="rect">
                      <a:avLst/>
                    </a:prstGeom>
                  </pic:spPr>
                </pic:pic>
              </a:graphicData>
            </a:graphic>
          </wp:anchor>
        </w:drawing>
      </w:r>
      <w:r w:rsidR="001F3169">
        <w:rPr>
          <w:sz w:val="24"/>
        </w:rPr>
        <w:t>After reading through an essay written by James E. Young, I thought it w</w:t>
      </w:r>
      <w:r w:rsidR="0096009C">
        <w:rPr>
          <w:sz w:val="24"/>
        </w:rPr>
        <w:t xml:space="preserve">as important that I mentioned a </w:t>
      </w:r>
      <w:r w:rsidR="001F3169">
        <w:rPr>
          <w:sz w:val="24"/>
        </w:rPr>
        <w:t>piece created by an American geometric minimalist</w:t>
      </w:r>
      <w:r w:rsidR="0096009C">
        <w:rPr>
          <w:sz w:val="24"/>
        </w:rPr>
        <w:t xml:space="preserve"> Sol </w:t>
      </w:r>
      <w:proofErr w:type="spellStart"/>
      <w:r w:rsidR="0096009C">
        <w:rPr>
          <w:sz w:val="24"/>
        </w:rPr>
        <w:t>Lewitt</w:t>
      </w:r>
      <w:proofErr w:type="spellEnd"/>
      <w:r w:rsidR="0096009C">
        <w:rPr>
          <w:sz w:val="24"/>
        </w:rPr>
        <w:t xml:space="preserve">, called ‘Black Form’. The piece consisted of large black blocks installed in the centre of the plaza in front of the </w:t>
      </w:r>
      <w:proofErr w:type="spellStart"/>
      <w:r w:rsidR="0096009C">
        <w:rPr>
          <w:sz w:val="24"/>
        </w:rPr>
        <w:t>Münster</w:t>
      </w:r>
      <w:proofErr w:type="spellEnd"/>
      <w:r w:rsidR="0096009C">
        <w:rPr>
          <w:sz w:val="24"/>
        </w:rPr>
        <w:t xml:space="preserve"> Palace, representing the missing Jews of </w:t>
      </w:r>
      <w:proofErr w:type="spellStart"/>
      <w:r w:rsidR="0096009C">
        <w:rPr>
          <w:sz w:val="24"/>
        </w:rPr>
        <w:t>Münster</w:t>
      </w:r>
      <w:proofErr w:type="spellEnd"/>
      <w:r w:rsidR="0096009C">
        <w:rPr>
          <w:sz w:val="24"/>
        </w:rPr>
        <w:t>. The piece was a part of Germany’s “</w:t>
      </w:r>
      <w:proofErr w:type="spellStart"/>
      <w:r w:rsidR="0096009C">
        <w:rPr>
          <w:sz w:val="24"/>
        </w:rPr>
        <w:t>Skulptur</w:t>
      </w:r>
      <w:proofErr w:type="spellEnd"/>
      <w:r w:rsidR="0096009C">
        <w:rPr>
          <w:sz w:val="24"/>
        </w:rPr>
        <w:t xml:space="preserve"> </w:t>
      </w:r>
      <w:proofErr w:type="spellStart"/>
      <w:r w:rsidR="0096009C">
        <w:rPr>
          <w:sz w:val="24"/>
        </w:rPr>
        <w:t>Projekte</w:t>
      </w:r>
      <w:proofErr w:type="spellEnd"/>
      <w:r w:rsidR="0096009C">
        <w:rPr>
          <w:sz w:val="24"/>
        </w:rPr>
        <w:t xml:space="preserve"> 87”, and was known as a hindrance, or eyesore in comparison to the “sunny and graceful university square”</w:t>
      </w:r>
      <w:r w:rsidR="0096009C">
        <w:rPr>
          <w:sz w:val="24"/>
          <w:vertAlign w:val="superscript"/>
        </w:rPr>
        <w:t>3</w:t>
      </w:r>
      <w:r w:rsidR="0096009C">
        <w:rPr>
          <w:sz w:val="24"/>
        </w:rPr>
        <w:t>. After some time ‘Black Form’ had been covered with graffiti and political slogans, creating more contrast between the plaza and the piece. In March of 1988, after a steady flow of complaints from visitors and pleas from the artist</w:t>
      </w:r>
      <w:r w:rsidR="00225A2B">
        <w:rPr>
          <w:sz w:val="24"/>
        </w:rPr>
        <w:t>, the piece was demolished. Young states, “An absent people would now be commemorated by an absent monument.”</w:t>
      </w:r>
      <w:r w:rsidR="00225A2B">
        <w:rPr>
          <w:sz w:val="24"/>
          <w:vertAlign w:val="superscript"/>
        </w:rPr>
        <w:t xml:space="preserve">3 </w:t>
      </w:r>
      <w:r w:rsidR="00225A2B">
        <w:rPr>
          <w:sz w:val="24"/>
        </w:rPr>
        <w:t>A strong memory of the monument would stay within the community surrounding it, and in eight months—during commemorations of Kristallnacht, there would be talk of the city council asking the artist to reconstruct a new “wall work”</w:t>
      </w:r>
      <w:r w:rsidR="00441C51">
        <w:rPr>
          <w:sz w:val="24"/>
        </w:rPr>
        <w:t xml:space="preserve">. Of course, </w:t>
      </w:r>
      <w:proofErr w:type="spellStart"/>
      <w:r w:rsidR="00441C51">
        <w:rPr>
          <w:sz w:val="24"/>
        </w:rPr>
        <w:t>Lewitt</w:t>
      </w:r>
      <w:proofErr w:type="spellEnd"/>
      <w:r w:rsidR="00441C51">
        <w:rPr>
          <w:sz w:val="24"/>
        </w:rPr>
        <w:t xml:space="preserve"> would stick to his geometric medium and recreate ‘Black Form’, making it a reminder to all that without the presence of Jewish children, it would be a monument to mark the end of generations. Within days of the piece being rebuilt, debates were sparked about how to represent the Holocaust without compromising the aesthetic that </w:t>
      </w:r>
      <w:r w:rsidR="00441C51">
        <w:rPr>
          <w:sz w:val="24"/>
        </w:rPr>
        <w:lastRenderedPageBreak/>
        <w:t>contemporary spaces would bring. In this case, one would assume that there would be no issue with remembering the loss of their country. It’s definitely too sensitive a topic to bring up, unless you’re willing to invite controversy and debates into your life. I believe shame might play a part in this case, as though they are admitting to a wrong that they might have done, though they know they did not personally commit the crime. A commemoration should be a site, monument or plaque that invites the memory of someone or something lost</w:t>
      </w:r>
      <w:r w:rsidR="009442A4">
        <w:rPr>
          <w:sz w:val="24"/>
        </w:rPr>
        <w:t xml:space="preserve">; it could be about admitting that someone had done wrong, but that’s </w:t>
      </w:r>
      <w:r w:rsidR="00705438">
        <w:rPr>
          <w:sz w:val="24"/>
        </w:rPr>
        <w:t xml:space="preserve">not the </w:t>
      </w:r>
      <w:r w:rsidR="009442A4">
        <w:rPr>
          <w:sz w:val="24"/>
        </w:rPr>
        <w:t xml:space="preserve">message that should be </w:t>
      </w:r>
      <w:r w:rsidR="00705438">
        <w:rPr>
          <w:sz w:val="24"/>
        </w:rPr>
        <w:t>thought of when looking at the context of the piece.</w:t>
      </w:r>
    </w:p>
    <w:p w:rsidR="00165120" w:rsidRDefault="00441C51" w:rsidP="00165120">
      <w:pPr>
        <w:spacing w:line="276" w:lineRule="auto"/>
        <w:ind w:firstLine="720"/>
        <w:jc w:val="both"/>
        <w:rPr>
          <w:sz w:val="24"/>
        </w:rPr>
      </w:pPr>
      <w:r>
        <w:rPr>
          <w:sz w:val="24"/>
        </w:rPr>
        <w:t xml:space="preserve">  </w:t>
      </w:r>
      <w:r w:rsidR="000841A9">
        <w:rPr>
          <w:sz w:val="24"/>
        </w:rPr>
        <w:t xml:space="preserve">After debating with myself on what it means to commemorate, and how artists create personal meaning in private spaces, I feel that I’ve explored enough artists and their interpretations of the word “commemoration” to comment. I believe memorials are created with intention that the viewer may not quite understand until they ponder it for a while. They might ask themselves questions like, “How does this make me feel?”; “Why does it make me feel that way?”; “Was this the intention of the creator?” Personally speaking, I do not sit on memorial benches, take pictures where it’s deemed inappropriate, I accept that my existence might be due to the loss of others, and I think about the controversy that may have occurred when the memorial was created, which may only apply to a very select few. I don’t think there’s one definite answer </w:t>
      </w:r>
      <w:r w:rsidR="0094478D">
        <w:rPr>
          <w:sz w:val="24"/>
        </w:rPr>
        <w:t>to the question, rather, there are many interpretations and artists explore it and define it individually. The direct effect on the public just happens to be incidental.</w:t>
      </w:r>
    </w:p>
    <w:p w:rsidR="00165120" w:rsidRDefault="00165120" w:rsidP="00165120">
      <w:pPr>
        <w:spacing w:line="276" w:lineRule="auto"/>
        <w:jc w:val="both"/>
        <w:rPr>
          <w:sz w:val="24"/>
        </w:rPr>
      </w:pPr>
    </w:p>
    <w:p w:rsidR="00165120" w:rsidRPr="00165120" w:rsidRDefault="00165120" w:rsidP="00165120">
      <w:pPr>
        <w:spacing w:line="276" w:lineRule="auto"/>
        <w:jc w:val="center"/>
        <w:rPr>
          <w:b/>
          <w:sz w:val="28"/>
        </w:rPr>
      </w:pPr>
      <w:r w:rsidRPr="00165120">
        <w:rPr>
          <w:b/>
          <w:sz w:val="28"/>
        </w:rPr>
        <w:t>BIBLIOGRAPHY</w:t>
      </w:r>
    </w:p>
    <w:p w:rsidR="009442A4" w:rsidRDefault="009442A4" w:rsidP="00C366E5">
      <w:pPr>
        <w:spacing w:line="276" w:lineRule="auto"/>
        <w:rPr>
          <w:sz w:val="24"/>
        </w:rPr>
      </w:pPr>
      <w:r>
        <w:rPr>
          <w:sz w:val="24"/>
          <w:vertAlign w:val="superscript"/>
        </w:rPr>
        <w:t>1</w:t>
      </w:r>
      <w:r w:rsidRPr="00C366E5">
        <w:rPr>
          <w:sz w:val="24"/>
        </w:rPr>
        <w:t>Anon, (2018). </w:t>
      </w:r>
      <w:proofErr w:type="spellStart"/>
      <w:r w:rsidRPr="00C366E5">
        <w:rPr>
          <w:i/>
          <w:iCs/>
          <w:sz w:val="24"/>
        </w:rPr>
        <w:t>Jaan</w:t>
      </w:r>
      <w:proofErr w:type="spellEnd"/>
      <w:r w:rsidRPr="00C366E5">
        <w:rPr>
          <w:i/>
          <w:iCs/>
          <w:sz w:val="24"/>
        </w:rPr>
        <w:t xml:space="preserve"> </w:t>
      </w:r>
      <w:proofErr w:type="spellStart"/>
      <w:r w:rsidRPr="00C366E5">
        <w:rPr>
          <w:i/>
          <w:iCs/>
          <w:sz w:val="24"/>
        </w:rPr>
        <w:t>Toomik</w:t>
      </w:r>
      <w:proofErr w:type="spellEnd"/>
      <w:r w:rsidRPr="00C366E5">
        <w:rPr>
          <w:i/>
          <w:iCs/>
          <w:sz w:val="24"/>
        </w:rPr>
        <w:t xml:space="preserve"> - Dancing with Dad</w:t>
      </w:r>
      <w:r w:rsidRPr="00C366E5">
        <w:rPr>
          <w:sz w:val="24"/>
        </w:rPr>
        <w:t>. [</w:t>
      </w:r>
      <w:proofErr w:type="gramStart"/>
      <w:r w:rsidRPr="00C366E5">
        <w:rPr>
          <w:sz w:val="24"/>
        </w:rPr>
        <w:t>online</w:t>
      </w:r>
      <w:proofErr w:type="gramEnd"/>
      <w:r w:rsidRPr="00C366E5">
        <w:rPr>
          <w:sz w:val="24"/>
        </w:rPr>
        <w:t>] Available at: https://blinkvideo.de/?scope=artists&amp;id=9&amp;workId=224 [Accessed 11 Dec. 2018].</w:t>
      </w:r>
    </w:p>
    <w:p w:rsidR="009442A4" w:rsidRDefault="009442A4" w:rsidP="00C366E5">
      <w:pPr>
        <w:spacing w:line="276" w:lineRule="auto"/>
        <w:rPr>
          <w:sz w:val="24"/>
          <w:lang w:val="en"/>
        </w:rPr>
      </w:pPr>
      <w:r w:rsidRPr="00000037">
        <w:rPr>
          <w:sz w:val="24"/>
          <w:lang w:val="en"/>
        </w:rPr>
        <w:t xml:space="preserve">Barthes, R. (2000). </w:t>
      </w:r>
      <w:r w:rsidRPr="00000037">
        <w:rPr>
          <w:i/>
          <w:iCs/>
          <w:sz w:val="24"/>
          <w:lang w:val="en"/>
        </w:rPr>
        <w:t xml:space="preserve">Camera </w:t>
      </w:r>
      <w:proofErr w:type="spellStart"/>
      <w:r w:rsidRPr="00000037">
        <w:rPr>
          <w:i/>
          <w:iCs/>
          <w:sz w:val="24"/>
          <w:lang w:val="en"/>
        </w:rPr>
        <w:t>lucida</w:t>
      </w:r>
      <w:proofErr w:type="spellEnd"/>
      <w:r w:rsidRPr="00000037">
        <w:rPr>
          <w:sz w:val="24"/>
          <w:lang w:val="en"/>
        </w:rPr>
        <w:t>. London: Vintage.</w:t>
      </w:r>
    </w:p>
    <w:p w:rsidR="009442A4" w:rsidRPr="009442A4" w:rsidRDefault="009442A4" w:rsidP="00C366E5">
      <w:pPr>
        <w:spacing w:line="276" w:lineRule="auto"/>
        <w:rPr>
          <w:sz w:val="24"/>
        </w:rPr>
      </w:pPr>
      <w:proofErr w:type="spellStart"/>
      <w:r w:rsidRPr="005D59F2">
        <w:rPr>
          <w:sz w:val="24"/>
        </w:rPr>
        <w:t>Demilked</w:t>
      </w:r>
      <w:proofErr w:type="spellEnd"/>
      <w:r w:rsidRPr="005D59F2">
        <w:rPr>
          <w:sz w:val="24"/>
        </w:rPr>
        <w:t>. (2018). </w:t>
      </w:r>
      <w:r w:rsidRPr="005D59F2">
        <w:rPr>
          <w:i/>
          <w:iCs/>
          <w:sz w:val="24"/>
        </w:rPr>
        <w:t>Artist Shames Tourists Taking Inappropriate Selfies At The Holocaust Memorial Site In Berlin (NSFW)</w:t>
      </w:r>
      <w:r w:rsidRPr="005D59F2">
        <w:rPr>
          <w:sz w:val="24"/>
        </w:rPr>
        <w:t>. [</w:t>
      </w:r>
      <w:proofErr w:type="gramStart"/>
      <w:r w:rsidRPr="005D59F2">
        <w:rPr>
          <w:sz w:val="24"/>
        </w:rPr>
        <w:t>online</w:t>
      </w:r>
      <w:proofErr w:type="gramEnd"/>
      <w:r w:rsidRPr="005D59F2">
        <w:rPr>
          <w:sz w:val="24"/>
        </w:rPr>
        <w:t>] Available at: https://www.demilked.com/holocaust-memorial-selfies-yolocaust-shahak-shapira/ [Accessed 11 Dec. 2018].</w:t>
      </w:r>
    </w:p>
    <w:p w:rsidR="009442A4" w:rsidRPr="00B14608" w:rsidRDefault="009442A4" w:rsidP="00C366E5">
      <w:pPr>
        <w:spacing w:line="276" w:lineRule="auto"/>
        <w:rPr>
          <w:sz w:val="24"/>
        </w:rPr>
      </w:pPr>
      <w:r>
        <w:rPr>
          <w:sz w:val="24"/>
          <w:vertAlign w:val="superscript"/>
          <w:lang w:val="en"/>
        </w:rPr>
        <w:t>3</w:t>
      </w:r>
      <w:r w:rsidRPr="00000037">
        <w:rPr>
          <w:sz w:val="24"/>
          <w:lang w:val="en"/>
        </w:rPr>
        <w:t xml:space="preserve">Mitchell, W. (1994). </w:t>
      </w:r>
      <w:r w:rsidRPr="00000037">
        <w:rPr>
          <w:i/>
          <w:iCs/>
          <w:sz w:val="24"/>
          <w:lang w:val="en"/>
        </w:rPr>
        <w:t>Art and the Public Sphere</w:t>
      </w:r>
      <w:r w:rsidRPr="00000037">
        <w:rPr>
          <w:sz w:val="24"/>
          <w:lang w:val="en"/>
        </w:rPr>
        <w:t>. Chicago: University of Chicago Press.</w:t>
      </w:r>
    </w:p>
    <w:p w:rsidR="009442A4" w:rsidRDefault="009442A4" w:rsidP="00C366E5">
      <w:pPr>
        <w:spacing w:line="276" w:lineRule="auto"/>
        <w:rPr>
          <w:sz w:val="24"/>
        </w:rPr>
      </w:pPr>
      <w:proofErr w:type="spellStart"/>
      <w:r w:rsidRPr="00086733">
        <w:rPr>
          <w:sz w:val="24"/>
        </w:rPr>
        <w:t>Preken</w:t>
      </w:r>
      <w:proofErr w:type="spellEnd"/>
      <w:r w:rsidRPr="00086733">
        <w:rPr>
          <w:sz w:val="24"/>
        </w:rPr>
        <w:t xml:space="preserve"> </w:t>
      </w:r>
      <w:proofErr w:type="spellStart"/>
      <w:r w:rsidRPr="00086733">
        <w:rPr>
          <w:sz w:val="24"/>
        </w:rPr>
        <w:t>Adventkerk</w:t>
      </w:r>
      <w:proofErr w:type="spellEnd"/>
      <w:r w:rsidRPr="00086733">
        <w:rPr>
          <w:sz w:val="24"/>
        </w:rPr>
        <w:t xml:space="preserve"> Amersfoort. (2018). </w:t>
      </w:r>
      <w:proofErr w:type="spellStart"/>
      <w:r w:rsidRPr="00086733">
        <w:rPr>
          <w:i/>
          <w:iCs/>
          <w:sz w:val="24"/>
        </w:rPr>
        <w:t>Mattheüs</w:t>
      </w:r>
      <w:proofErr w:type="spellEnd"/>
      <w:r w:rsidRPr="00086733">
        <w:rPr>
          <w:i/>
          <w:iCs/>
          <w:sz w:val="24"/>
        </w:rPr>
        <w:t xml:space="preserve"> 26 – </w:t>
      </w:r>
      <w:proofErr w:type="spellStart"/>
      <w:r w:rsidRPr="00086733">
        <w:rPr>
          <w:i/>
          <w:iCs/>
          <w:sz w:val="24"/>
        </w:rPr>
        <w:t>Ich</w:t>
      </w:r>
      <w:proofErr w:type="spellEnd"/>
      <w:r w:rsidRPr="00086733">
        <w:rPr>
          <w:i/>
          <w:iCs/>
          <w:sz w:val="24"/>
        </w:rPr>
        <w:t xml:space="preserve"> </w:t>
      </w:r>
      <w:proofErr w:type="spellStart"/>
      <w:r w:rsidRPr="00086733">
        <w:rPr>
          <w:i/>
          <w:iCs/>
          <w:sz w:val="24"/>
        </w:rPr>
        <w:t>habe</w:t>
      </w:r>
      <w:proofErr w:type="spellEnd"/>
      <w:r w:rsidRPr="00086733">
        <w:rPr>
          <w:i/>
          <w:iCs/>
          <w:sz w:val="24"/>
        </w:rPr>
        <w:t xml:space="preserve"> Angst</w:t>
      </w:r>
      <w:r w:rsidRPr="00086733">
        <w:rPr>
          <w:sz w:val="24"/>
        </w:rPr>
        <w:t>. [</w:t>
      </w:r>
      <w:proofErr w:type="gramStart"/>
      <w:r w:rsidRPr="00086733">
        <w:rPr>
          <w:sz w:val="24"/>
        </w:rPr>
        <w:t>online</w:t>
      </w:r>
      <w:proofErr w:type="gramEnd"/>
      <w:r w:rsidRPr="00086733">
        <w:rPr>
          <w:sz w:val="24"/>
        </w:rPr>
        <w:t>] Available at: https://looijen.wordpress.com/2014/03/23/mattheus-26-ich-habe-angst/ [Accessed 12 Dec. 2018].</w:t>
      </w:r>
    </w:p>
    <w:p w:rsidR="009442A4" w:rsidRDefault="009442A4" w:rsidP="00C366E5">
      <w:pPr>
        <w:spacing w:line="276" w:lineRule="auto"/>
        <w:rPr>
          <w:sz w:val="24"/>
        </w:rPr>
      </w:pPr>
      <w:r w:rsidRPr="003B7C9D">
        <w:rPr>
          <w:sz w:val="24"/>
        </w:rPr>
        <w:t>Tablet Magazine. (2018). </w:t>
      </w:r>
      <w:r w:rsidRPr="003B7C9D">
        <w:rPr>
          <w:i/>
          <w:iCs/>
          <w:sz w:val="24"/>
        </w:rPr>
        <w:t>Blow Up the Memorial to the Murdered Jews of Europe</w:t>
      </w:r>
      <w:r w:rsidRPr="003B7C9D">
        <w:rPr>
          <w:sz w:val="24"/>
        </w:rPr>
        <w:t>. [</w:t>
      </w:r>
      <w:proofErr w:type="gramStart"/>
      <w:r w:rsidRPr="003B7C9D">
        <w:rPr>
          <w:sz w:val="24"/>
        </w:rPr>
        <w:t>online</w:t>
      </w:r>
      <w:proofErr w:type="gramEnd"/>
      <w:r w:rsidRPr="003B7C9D">
        <w:rPr>
          <w:sz w:val="24"/>
        </w:rPr>
        <w:t>] Available at: https://www.tabletmag.com/jewish-arts-and-culture/230085/memorials-yom-hashoah [Accessed 11 Dec. 2018].</w:t>
      </w:r>
    </w:p>
    <w:p w:rsidR="009442A4" w:rsidRDefault="009442A4" w:rsidP="00C366E5">
      <w:pPr>
        <w:spacing w:line="276" w:lineRule="auto"/>
        <w:rPr>
          <w:sz w:val="24"/>
        </w:rPr>
      </w:pPr>
      <w:r>
        <w:rPr>
          <w:sz w:val="24"/>
          <w:vertAlign w:val="superscript"/>
        </w:rPr>
        <w:t>2</w:t>
      </w:r>
      <w:r w:rsidRPr="00540114">
        <w:rPr>
          <w:sz w:val="24"/>
        </w:rPr>
        <w:t>Tate. (2018). </w:t>
      </w:r>
      <w:r w:rsidRPr="00540114">
        <w:rPr>
          <w:i/>
          <w:iCs/>
          <w:sz w:val="24"/>
        </w:rPr>
        <w:t>‘Monument’, Susan Hiller, 1980-1 | Tate</w:t>
      </w:r>
      <w:r w:rsidRPr="00540114">
        <w:rPr>
          <w:sz w:val="24"/>
        </w:rPr>
        <w:t>. [</w:t>
      </w:r>
      <w:proofErr w:type="gramStart"/>
      <w:r w:rsidRPr="00540114">
        <w:rPr>
          <w:sz w:val="24"/>
        </w:rPr>
        <w:t>online</w:t>
      </w:r>
      <w:proofErr w:type="gramEnd"/>
      <w:r w:rsidRPr="00540114">
        <w:rPr>
          <w:sz w:val="24"/>
        </w:rPr>
        <w:t>] Available at: https://www.tate.org.uk/art/artworks/hiller-monument-t06902 [Accessed 12 Dec. 2018].</w:t>
      </w:r>
    </w:p>
    <w:p w:rsidR="009442A4" w:rsidRDefault="009442A4" w:rsidP="00C366E5">
      <w:pPr>
        <w:spacing w:line="276" w:lineRule="auto"/>
        <w:rPr>
          <w:sz w:val="24"/>
        </w:rPr>
      </w:pPr>
      <w:proofErr w:type="spellStart"/>
      <w:r w:rsidRPr="00536CCC">
        <w:rPr>
          <w:sz w:val="24"/>
        </w:rPr>
        <w:t>Whybrow</w:t>
      </w:r>
      <w:proofErr w:type="spellEnd"/>
      <w:r w:rsidRPr="00536CCC">
        <w:rPr>
          <w:sz w:val="24"/>
        </w:rPr>
        <w:t>, N. (2011). </w:t>
      </w:r>
      <w:r w:rsidRPr="00536CCC">
        <w:rPr>
          <w:i/>
          <w:iCs/>
          <w:sz w:val="24"/>
        </w:rPr>
        <w:t>Art and the city</w:t>
      </w:r>
      <w:r w:rsidRPr="00536CCC">
        <w:rPr>
          <w:sz w:val="24"/>
        </w:rPr>
        <w:t>. London: I.B. Tauris, pp.139-165.</w:t>
      </w:r>
    </w:p>
    <w:sectPr w:rsidR="009442A4" w:rsidSect="00DD6C73">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96B"/>
    <w:rsid w:val="00000037"/>
    <w:rsid w:val="0001619A"/>
    <w:rsid w:val="0002233C"/>
    <w:rsid w:val="000841A9"/>
    <w:rsid w:val="00086733"/>
    <w:rsid w:val="00165120"/>
    <w:rsid w:val="0019739A"/>
    <w:rsid w:val="001F3169"/>
    <w:rsid w:val="00225A2B"/>
    <w:rsid w:val="003B7C9D"/>
    <w:rsid w:val="0043331E"/>
    <w:rsid w:val="00441C51"/>
    <w:rsid w:val="00536CCC"/>
    <w:rsid w:val="00540114"/>
    <w:rsid w:val="005D59F2"/>
    <w:rsid w:val="005D631E"/>
    <w:rsid w:val="0067196B"/>
    <w:rsid w:val="006C2174"/>
    <w:rsid w:val="006D3FD9"/>
    <w:rsid w:val="00705438"/>
    <w:rsid w:val="00836F93"/>
    <w:rsid w:val="009442A4"/>
    <w:rsid w:val="0094478D"/>
    <w:rsid w:val="0096009C"/>
    <w:rsid w:val="00967BE7"/>
    <w:rsid w:val="00971281"/>
    <w:rsid w:val="00B14608"/>
    <w:rsid w:val="00BB0AAB"/>
    <w:rsid w:val="00C366E5"/>
    <w:rsid w:val="00DD6C73"/>
    <w:rsid w:val="00ED15B5"/>
    <w:rsid w:val="00FD1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DD11A"/>
  <w15:chartTrackingRefBased/>
  <w15:docId w15:val="{14F6597D-D4CE-4A3F-BE29-57D17D8A6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jpg"/><Relationship Id="rId10" Type="http://schemas.openxmlformats.org/officeDocument/2006/relationships/image" Target="media/image7.jpg"/><Relationship Id="rId4" Type="http://schemas.openxmlformats.org/officeDocument/2006/relationships/image" Target="media/image1.jp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5</Pages>
  <Words>1871</Words>
  <Characters>10669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Logan (P150528)</dc:creator>
  <cp:keywords/>
  <dc:description/>
  <cp:lastModifiedBy>Christina Logan (P150528)</cp:lastModifiedBy>
  <cp:revision>11</cp:revision>
  <dcterms:created xsi:type="dcterms:W3CDTF">2018-12-12T16:33:00Z</dcterms:created>
  <dcterms:modified xsi:type="dcterms:W3CDTF">2018-12-12T17:49:00Z</dcterms:modified>
</cp:coreProperties>
</file>