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F8BE2" w14:textId="77777777" w:rsidR="0032428E" w:rsidRDefault="0032428E" w:rsidP="0032428E">
      <w:pPr>
        <w:jc w:val="center"/>
        <w:rPr>
          <w:b/>
          <w:bCs/>
          <w:sz w:val="52"/>
          <w:szCs w:val="52"/>
        </w:rPr>
      </w:pPr>
    </w:p>
    <w:p w14:paraId="229AECB6" w14:textId="77777777" w:rsidR="0032428E" w:rsidRDefault="0032428E" w:rsidP="0032428E">
      <w:pPr>
        <w:jc w:val="center"/>
        <w:rPr>
          <w:b/>
          <w:bCs/>
          <w:sz w:val="52"/>
          <w:szCs w:val="52"/>
        </w:rPr>
      </w:pPr>
    </w:p>
    <w:p w14:paraId="0810F34C" w14:textId="77777777" w:rsidR="0032428E" w:rsidRDefault="0032428E" w:rsidP="0032428E">
      <w:pPr>
        <w:jc w:val="center"/>
        <w:rPr>
          <w:b/>
          <w:bCs/>
          <w:sz w:val="52"/>
          <w:szCs w:val="52"/>
        </w:rPr>
      </w:pPr>
    </w:p>
    <w:p w14:paraId="633A06F3" w14:textId="77777777" w:rsidR="0032428E" w:rsidRDefault="0032428E" w:rsidP="0032428E">
      <w:pPr>
        <w:rPr>
          <w:b/>
          <w:bCs/>
          <w:sz w:val="52"/>
          <w:szCs w:val="52"/>
        </w:rPr>
      </w:pPr>
    </w:p>
    <w:p w14:paraId="3A3A4C65" w14:textId="292A9F9D" w:rsidR="007E7DD7" w:rsidRPr="0032428E" w:rsidRDefault="0032428E" w:rsidP="0032428E">
      <w:pPr>
        <w:jc w:val="center"/>
        <w:rPr>
          <w:b/>
          <w:bCs/>
          <w:sz w:val="52"/>
          <w:szCs w:val="52"/>
        </w:rPr>
      </w:pPr>
      <w:r w:rsidRPr="0032428E">
        <w:rPr>
          <w:b/>
          <w:bCs/>
          <w:sz w:val="52"/>
          <w:szCs w:val="52"/>
        </w:rPr>
        <w:t>International Financial Management</w:t>
      </w:r>
    </w:p>
    <w:p w14:paraId="59949FBB" w14:textId="243DC79E" w:rsidR="0032428E" w:rsidRPr="0032428E" w:rsidRDefault="0032428E" w:rsidP="0032428E">
      <w:pPr>
        <w:jc w:val="center"/>
        <w:rPr>
          <w:b/>
          <w:bCs/>
          <w:sz w:val="44"/>
          <w:szCs w:val="44"/>
        </w:rPr>
      </w:pPr>
      <w:r w:rsidRPr="0032428E">
        <w:rPr>
          <w:b/>
          <w:bCs/>
          <w:sz w:val="44"/>
          <w:szCs w:val="44"/>
        </w:rPr>
        <w:t>Student Name:</w:t>
      </w:r>
      <w:r w:rsidR="00CB3C31">
        <w:rPr>
          <w:b/>
          <w:bCs/>
          <w:sz w:val="44"/>
          <w:szCs w:val="44"/>
        </w:rPr>
        <w:t xml:space="preserve"> Alexandra Alina </w:t>
      </w:r>
      <w:proofErr w:type="spellStart"/>
      <w:r w:rsidR="00CB3C31">
        <w:rPr>
          <w:b/>
          <w:bCs/>
          <w:sz w:val="44"/>
          <w:szCs w:val="44"/>
        </w:rPr>
        <w:t>Tinca</w:t>
      </w:r>
      <w:proofErr w:type="spellEnd"/>
    </w:p>
    <w:p w14:paraId="50A5FE19" w14:textId="26676222" w:rsidR="0032428E" w:rsidRDefault="0032428E" w:rsidP="0032428E">
      <w:pPr>
        <w:jc w:val="center"/>
        <w:rPr>
          <w:b/>
          <w:bCs/>
          <w:sz w:val="44"/>
          <w:szCs w:val="44"/>
        </w:rPr>
      </w:pPr>
      <w:r w:rsidRPr="0032428E">
        <w:rPr>
          <w:b/>
          <w:bCs/>
          <w:sz w:val="44"/>
          <w:szCs w:val="44"/>
        </w:rPr>
        <w:t>Student ID:</w:t>
      </w:r>
      <w:r w:rsidR="00CB3C31">
        <w:rPr>
          <w:b/>
          <w:bCs/>
          <w:sz w:val="44"/>
          <w:szCs w:val="44"/>
        </w:rPr>
        <w:t xml:space="preserve"> 2028610</w:t>
      </w:r>
    </w:p>
    <w:p w14:paraId="0643C465" w14:textId="77777777" w:rsidR="0032428E" w:rsidRDefault="0032428E">
      <w:pPr>
        <w:spacing w:line="259" w:lineRule="auto"/>
        <w:jc w:val="left"/>
        <w:rPr>
          <w:b/>
          <w:bCs/>
          <w:sz w:val="44"/>
          <w:szCs w:val="44"/>
        </w:rPr>
      </w:pPr>
      <w:r>
        <w:rPr>
          <w:b/>
          <w:bCs/>
          <w:sz w:val="44"/>
          <w:szCs w:val="44"/>
        </w:rPr>
        <w:br w:type="page"/>
      </w:r>
    </w:p>
    <w:p w14:paraId="49438225" w14:textId="7ECFDF4D" w:rsidR="0032428E" w:rsidRDefault="0032428E" w:rsidP="0032428E">
      <w:pPr>
        <w:jc w:val="center"/>
        <w:rPr>
          <w:b/>
          <w:bCs/>
        </w:rPr>
      </w:pPr>
      <w:r w:rsidRPr="0032428E">
        <w:rPr>
          <w:b/>
          <w:bCs/>
        </w:rPr>
        <w:lastRenderedPageBreak/>
        <w:t>Executive Summary</w:t>
      </w:r>
    </w:p>
    <w:p w14:paraId="19150676" w14:textId="7F02821F" w:rsidR="0032428E" w:rsidRDefault="00037A7A" w:rsidP="00037A7A">
      <w:r w:rsidRPr="00037A7A">
        <w:t>The report has elaborated on the foreign exchange risks that are associated with international trading by MNCs such as Barclays. It has situated an understanding of the difficulties faced by the institutions such as transaction risks, translation risks and economic risks. It has also represented different strategies to overcome such difficulties. There has also been an elaboration on the obstacles that are present in the implementation process of the strategies. Apart from that, it has also stated some recommendations for the improvement of foreign exchange-related activities.</w:t>
      </w:r>
      <w:r w:rsidR="0032428E">
        <w:br w:type="page"/>
      </w:r>
    </w:p>
    <w:sdt>
      <w:sdtPr>
        <w:rPr>
          <w:rFonts w:ascii="Times New Roman" w:eastAsiaTheme="minorHAnsi" w:hAnsi="Times New Roman" w:cstheme="minorBidi"/>
          <w:color w:val="000000" w:themeColor="text1"/>
          <w:kern w:val="2"/>
          <w:sz w:val="24"/>
          <w:szCs w:val="22"/>
          <w:lang w:val="en-GB"/>
          <w14:ligatures w14:val="standardContextual"/>
        </w:rPr>
        <w:id w:val="1380045669"/>
        <w:docPartObj>
          <w:docPartGallery w:val="Table of Contents"/>
          <w:docPartUnique/>
        </w:docPartObj>
      </w:sdtPr>
      <w:sdtEndPr>
        <w:rPr>
          <w:b/>
          <w:bCs/>
          <w:noProof/>
        </w:rPr>
      </w:sdtEndPr>
      <w:sdtContent>
        <w:p w14:paraId="454515A0" w14:textId="6D2B1711" w:rsidR="005B2DED" w:rsidRDefault="005B2DED">
          <w:pPr>
            <w:pStyle w:val="TOCHeading"/>
          </w:pPr>
          <w:r>
            <w:t>Table of Contents</w:t>
          </w:r>
        </w:p>
        <w:p w14:paraId="7974DEBF" w14:textId="7D65B95E" w:rsidR="005B2DED" w:rsidRDefault="005B2DED">
          <w:pPr>
            <w:pStyle w:val="TOC1"/>
            <w:tabs>
              <w:tab w:val="right" w:leader="dot" w:pos="9016"/>
            </w:tabs>
            <w:rPr>
              <w:noProof/>
            </w:rPr>
          </w:pPr>
          <w:r>
            <w:fldChar w:fldCharType="begin"/>
          </w:r>
          <w:r>
            <w:instrText xml:space="preserve"> TOC \o "1-3" \h \z \u </w:instrText>
          </w:r>
          <w:r>
            <w:fldChar w:fldCharType="separate"/>
          </w:r>
          <w:hyperlink w:anchor="_Toc174548272" w:history="1">
            <w:r w:rsidRPr="002906CE">
              <w:rPr>
                <w:rStyle w:val="Hyperlink"/>
                <w:noProof/>
                <w:lang w:val="en-IN"/>
              </w:rPr>
              <w:t>Introduction</w:t>
            </w:r>
            <w:r>
              <w:rPr>
                <w:noProof/>
                <w:webHidden/>
              </w:rPr>
              <w:tab/>
            </w:r>
            <w:r>
              <w:rPr>
                <w:noProof/>
                <w:webHidden/>
              </w:rPr>
              <w:fldChar w:fldCharType="begin"/>
            </w:r>
            <w:r>
              <w:rPr>
                <w:noProof/>
                <w:webHidden/>
              </w:rPr>
              <w:instrText xml:space="preserve"> PAGEREF _Toc174548272 \h </w:instrText>
            </w:r>
            <w:r>
              <w:rPr>
                <w:noProof/>
                <w:webHidden/>
              </w:rPr>
            </w:r>
            <w:r>
              <w:rPr>
                <w:noProof/>
                <w:webHidden/>
              </w:rPr>
              <w:fldChar w:fldCharType="separate"/>
            </w:r>
            <w:r>
              <w:rPr>
                <w:noProof/>
                <w:webHidden/>
              </w:rPr>
              <w:t>4</w:t>
            </w:r>
            <w:r>
              <w:rPr>
                <w:noProof/>
                <w:webHidden/>
              </w:rPr>
              <w:fldChar w:fldCharType="end"/>
            </w:r>
          </w:hyperlink>
        </w:p>
        <w:p w14:paraId="13923735" w14:textId="250359EE" w:rsidR="005B2DED" w:rsidRDefault="00000000">
          <w:pPr>
            <w:pStyle w:val="TOC1"/>
            <w:tabs>
              <w:tab w:val="right" w:leader="dot" w:pos="9016"/>
            </w:tabs>
            <w:rPr>
              <w:noProof/>
            </w:rPr>
          </w:pPr>
          <w:hyperlink w:anchor="_Toc174548273" w:history="1">
            <w:r w:rsidR="005B2DED" w:rsidRPr="002906CE">
              <w:rPr>
                <w:rStyle w:val="Hyperlink"/>
                <w:noProof/>
                <w:lang w:val="en-IN"/>
              </w:rPr>
              <w:t>Describing the concept of foreign exchange and its risks</w:t>
            </w:r>
            <w:r w:rsidR="005B2DED">
              <w:rPr>
                <w:noProof/>
                <w:webHidden/>
              </w:rPr>
              <w:tab/>
            </w:r>
            <w:r w:rsidR="005B2DED">
              <w:rPr>
                <w:noProof/>
                <w:webHidden/>
              </w:rPr>
              <w:fldChar w:fldCharType="begin"/>
            </w:r>
            <w:r w:rsidR="005B2DED">
              <w:rPr>
                <w:noProof/>
                <w:webHidden/>
              </w:rPr>
              <w:instrText xml:space="preserve"> PAGEREF _Toc174548273 \h </w:instrText>
            </w:r>
            <w:r w:rsidR="005B2DED">
              <w:rPr>
                <w:noProof/>
                <w:webHidden/>
              </w:rPr>
            </w:r>
            <w:r w:rsidR="005B2DED">
              <w:rPr>
                <w:noProof/>
                <w:webHidden/>
              </w:rPr>
              <w:fldChar w:fldCharType="separate"/>
            </w:r>
            <w:r w:rsidR="005B2DED">
              <w:rPr>
                <w:noProof/>
                <w:webHidden/>
              </w:rPr>
              <w:t>5</w:t>
            </w:r>
            <w:r w:rsidR="005B2DED">
              <w:rPr>
                <w:noProof/>
                <w:webHidden/>
              </w:rPr>
              <w:fldChar w:fldCharType="end"/>
            </w:r>
          </w:hyperlink>
        </w:p>
        <w:p w14:paraId="6B5C9C6E" w14:textId="120B15F5" w:rsidR="005B2DED" w:rsidRDefault="00000000">
          <w:pPr>
            <w:pStyle w:val="TOC1"/>
            <w:tabs>
              <w:tab w:val="right" w:leader="dot" w:pos="9016"/>
            </w:tabs>
            <w:rPr>
              <w:noProof/>
            </w:rPr>
          </w:pPr>
          <w:hyperlink w:anchor="_Toc174548274" w:history="1">
            <w:r w:rsidR="005B2DED" w:rsidRPr="002906CE">
              <w:rPr>
                <w:rStyle w:val="Hyperlink"/>
                <w:noProof/>
                <w:lang w:val="en-IN"/>
              </w:rPr>
              <w:t>Evaluating the Foreign exchange Risks faced by the MNCs</w:t>
            </w:r>
            <w:r w:rsidR="005B2DED">
              <w:rPr>
                <w:noProof/>
                <w:webHidden/>
              </w:rPr>
              <w:tab/>
            </w:r>
            <w:r w:rsidR="005B2DED">
              <w:rPr>
                <w:noProof/>
                <w:webHidden/>
              </w:rPr>
              <w:fldChar w:fldCharType="begin"/>
            </w:r>
            <w:r w:rsidR="005B2DED">
              <w:rPr>
                <w:noProof/>
                <w:webHidden/>
              </w:rPr>
              <w:instrText xml:space="preserve"> PAGEREF _Toc174548274 \h </w:instrText>
            </w:r>
            <w:r w:rsidR="005B2DED">
              <w:rPr>
                <w:noProof/>
                <w:webHidden/>
              </w:rPr>
            </w:r>
            <w:r w:rsidR="005B2DED">
              <w:rPr>
                <w:noProof/>
                <w:webHidden/>
              </w:rPr>
              <w:fldChar w:fldCharType="separate"/>
            </w:r>
            <w:r w:rsidR="005B2DED">
              <w:rPr>
                <w:noProof/>
                <w:webHidden/>
              </w:rPr>
              <w:t>6</w:t>
            </w:r>
            <w:r w:rsidR="005B2DED">
              <w:rPr>
                <w:noProof/>
                <w:webHidden/>
              </w:rPr>
              <w:fldChar w:fldCharType="end"/>
            </w:r>
          </w:hyperlink>
        </w:p>
        <w:p w14:paraId="5AEA204B" w14:textId="6CD26788" w:rsidR="005B2DED" w:rsidRDefault="00000000">
          <w:pPr>
            <w:pStyle w:val="TOC1"/>
            <w:tabs>
              <w:tab w:val="right" w:leader="dot" w:pos="9016"/>
            </w:tabs>
            <w:rPr>
              <w:noProof/>
            </w:rPr>
          </w:pPr>
          <w:hyperlink w:anchor="_Toc174548275" w:history="1">
            <w:r w:rsidR="005B2DED" w:rsidRPr="002906CE">
              <w:rPr>
                <w:rStyle w:val="Hyperlink"/>
                <w:noProof/>
                <w:lang w:val="en-IN"/>
              </w:rPr>
              <w:t>Discussing several strategies to overcome the risk probabilities</w:t>
            </w:r>
            <w:r w:rsidR="005B2DED">
              <w:rPr>
                <w:noProof/>
                <w:webHidden/>
              </w:rPr>
              <w:tab/>
            </w:r>
            <w:r w:rsidR="005B2DED">
              <w:rPr>
                <w:noProof/>
                <w:webHidden/>
              </w:rPr>
              <w:fldChar w:fldCharType="begin"/>
            </w:r>
            <w:r w:rsidR="005B2DED">
              <w:rPr>
                <w:noProof/>
                <w:webHidden/>
              </w:rPr>
              <w:instrText xml:space="preserve"> PAGEREF _Toc174548275 \h </w:instrText>
            </w:r>
            <w:r w:rsidR="005B2DED">
              <w:rPr>
                <w:noProof/>
                <w:webHidden/>
              </w:rPr>
            </w:r>
            <w:r w:rsidR="005B2DED">
              <w:rPr>
                <w:noProof/>
                <w:webHidden/>
              </w:rPr>
              <w:fldChar w:fldCharType="separate"/>
            </w:r>
            <w:r w:rsidR="005B2DED">
              <w:rPr>
                <w:noProof/>
                <w:webHidden/>
              </w:rPr>
              <w:t>8</w:t>
            </w:r>
            <w:r w:rsidR="005B2DED">
              <w:rPr>
                <w:noProof/>
                <w:webHidden/>
              </w:rPr>
              <w:fldChar w:fldCharType="end"/>
            </w:r>
          </w:hyperlink>
        </w:p>
        <w:p w14:paraId="62E5D2A8" w14:textId="22BBBA93" w:rsidR="005B2DED" w:rsidRDefault="00000000">
          <w:pPr>
            <w:pStyle w:val="TOC1"/>
            <w:tabs>
              <w:tab w:val="right" w:leader="dot" w:pos="9016"/>
            </w:tabs>
            <w:rPr>
              <w:noProof/>
            </w:rPr>
          </w:pPr>
          <w:hyperlink w:anchor="_Toc174548276" w:history="1">
            <w:r w:rsidR="005B2DED" w:rsidRPr="002906CE">
              <w:rPr>
                <w:rStyle w:val="Hyperlink"/>
                <w:noProof/>
                <w:lang w:val="en-IN"/>
              </w:rPr>
              <w:t>Describing the challenges faced by the MNCs in implementing the strategies</w:t>
            </w:r>
            <w:r w:rsidR="005B2DED">
              <w:rPr>
                <w:noProof/>
                <w:webHidden/>
              </w:rPr>
              <w:tab/>
            </w:r>
            <w:r w:rsidR="005B2DED">
              <w:rPr>
                <w:noProof/>
                <w:webHidden/>
              </w:rPr>
              <w:fldChar w:fldCharType="begin"/>
            </w:r>
            <w:r w:rsidR="005B2DED">
              <w:rPr>
                <w:noProof/>
                <w:webHidden/>
              </w:rPr>
              <w:instrText xml:space="preserve"> PAGEREF _Toc174548276 \h </w:instrText>
            </w:r>
            <w:r w:rsidR="005B2DED">
              <w:rPr>
                <w:noProof/>
                <w:webHidden/>
              </w:rPr>
            </w:r>
            <w:r w:rsidR="005B2DED">
              <w:rPr>
                <w:noProof/>
                <w:webHidden/>
              </w:rPr>
              <w:fldChar w:fldCharType="separate"/>
            </w:r>
            <w:r w:rsidR="005B2DED">
              <w:rPr>
                <w:noProof/>
                <w:webHidden/>
              </w:rPr>
              <w:t>10</w:t>
            </w:r>
            <w:r w:rsidR="005B2DED">
              <w:rPr>
                <w:noProof/>
                <w:webHidden/>
              </w:rPr>
              <w:fldChar w:fldCharType="end"/>
            </w:r>
          </w:hyperlink>
        </w:p>
        <w:p w14:paraId="25CF6913" w14:textId="433C5A3C" w:rsidR="005B2DED" w:rsidRDefault="00000000">
          <w:pPr>
            <w:pStyle w:val="TOC1"/>
            <w:tabs>
              <w:tab w:val="right" w:leader="dot" w:pos="9016"/>
            </w:tabs>
            <w:rPr>
              <w:noProof/>
            </w:rPr>
          </w:pPr>
          <w:hyperlink w:anchor="_Toc174548277" w:history="1">
            <w:r w:rsidR="005B2DED" w:rsidRPr="002906CE">
              <w:rPr>
                <w:rStyle w:val="Hyperlink"/>
                <w:noProof/>
                <w:lang w:val="en-IN"/>
              </w:rPr>
              <w:t>Stating some useful recommendations</w:t>
            </w:r>
            <w:r w:rsidR="005B2DED">
              <w:rPr>
                <w:noProof/>
                <w:webHidden/>
              </w:rPr>
              <w:tab/>
            </w:r>
            <w:r w:rsidR="005B2DED">
              <w:rPr>
                <w:noProof/>
                <w:webHidden/>
              </w:rPr>
              <w:fldChar w:fldCharType="begin"/>
            </w:r>
            <w:r w:rsidR="005B2DED">
              <w:rPr>
                <w:noProof/>
                <w:webHidden/>
              </w:rPr>
              <w:instrText xml:space="preserve"> PAGEREF _Toc174548277 \h </w:instrText>
            </w:r>
            <w:r w:rsidR="005B2DED">
              <w:rPr>
                <w:noProof/>
                <w:webHidden/>
              </w:rPr>
            </w:r>
            <w:r w:rsidR="005B2DED">
              <w:rPr>
                <w:noProof/>
                <w:webHidden/>
              </w:rPr>
              <w:fldChar w:fldCharType="separate"/>
            </w:r>
            <w:r w:rsidR="005B2DED">
              <w:rPr>
                <w:noProof/>
                <w:webHidden/>
              </w:rPr>
              <w:t>11</w:t>
            </w:r>
            <w:r w:rsidR="005B2DED">
              <w:rPr>
                <w:noProof/>
                <w:webHidden/>
              </w:rPr>
              <w:fldChar w:fldCharType="end"/>
            </w:r>
          </w:hyperlink>
        </w:p>
        <w:p w14:paraId="20FEC2EA" w14:textId="15C22252" w:rsidR="005B2DED" w:rsidRDefault="00000000">
          <w:pPr>
            <w:pStyle w:val="TOC1"/>
            <w:tabs>
              <w:tab w:val="right" w:leader="dot" w:pos="9016"/>
            </w:tabs>
            <w:rPr>
              <w:noProof/>
            </w:rPr>
          </w:pPr>
          <w:hyperlink w:anchor="_Toc174548278" w:history="1">
            <w:r w:rsidR="005B2DED" w:rsidRPr="002906CE">
              <w:rPr>
                <w:rStyle w:val="Hyperlink"/>
                <w:noProof/>
                <w:lang w:val="en-IN"/>
              </w:rPr>
              <w:t>Conclusion</w:t>
            </w:r>
            <w:r w:rsidR="005B2DED">
              <w:rPr>
                <w:noProof/>
                <w:webHidden/>
              </w:rPr>
              <w:tab/>
            </w:r>
            <w:r w:rsidR="005B2DED">
              <w:rPr>
                <w:noProof/>
                <w:webHidden/>
              </w:rPr>
              <w:fldChar w:fldCharType="begin"/>
            </w:r>
            <w:r w:rsidR="005B2DED">
              <w:rPr>
                <w:noProof/>
                <w:webHidden/>
              </w:rPr>
              <w:instrText xml:space="preserve"> PAGEREF _Toc174548278 \h </w:instrText>
            </w:r>
            <w:r w:rsidR="005B2DED">
              <w:rPr>
                <w:noProof/>
                <w:webHidden/>
              </w:rPr>
            </w:r>
            <w:r w:rsidR="005B2DED">
              <w:rPr>
                <w:noProof/>
                <w:webHidden/>
              </w:rPr>
              <w:fldChar w:fldCharType="separate"/>
            </w:r>
            <w:r w:rsidR="005B2DED">
              <w:rPr>
                <w:noProof/>
                <w:webHidden/>
              </w:rPr>
              <w:t>12</w:t>
            </w:r>
            <w:r w:rsidR="005B2DED">
              <w:rPr>
                <w:noProof/>
                <w:webHidden/>
              </w:rPr>
              <w:fldChar w:fldCharType="end"/>
            </w:r>
          </w:hyperlink>
        </w:p>
        <w:p w14:paraId="688849A5" w14:textId="09A94B04" w:rsidR="005B2DED" w:rsidRDefault="00000000">
          <w:pPr>
            <w:pStyle w:val="TOC1"/>
            <w:tabs>
              <w:tab w:val="right" w:leader="dot" w:pos="9016"/>
            </w:tabs>
            <w:rPr>
              <w:noProof/>
            </w:rPr>
          </w:pPr>
          <w:hyperlink w:anchor="_Toc174548279" w:history="1">
            <w:r w:rsidR="005B2DED" w:rsidRPr="002906CE">
              <w:rPr>
                <w:rStyle w:val="Hyperlink"/>
                <w:noProof/>
                <w:lang w:val="en-IN"/>
              </w:rPr>
              <w:t>References</w:t>
            </w:r>
            <w:r w:rsidR="005B2DED">
              <w:rPr>
                <w:noProof/>
                <w:webHidden/>
              </w:rPr>
              <w:tab/>
            </w:r>
            <w:r w:rsidR="005B2DED">
              <w:rPr>
                <w:noProof/>
                <w:webHidden/>
              </w:rPr>
              <w:fldChar w:fldCharType="begin"/>
            </w:r>
            <w:r w:rsidR="005B2DED">
              <w:rPr>
                <w:noProof/>
                <w:webHidden/>
              </w:rPr>
              <w:instrText xml:space="preserve"> PAGEREF _Toc174548279 \h </w:instrText>
            </w:r>
            <w:r w:rsidR="005B2DED">
              <w:rPr>
                <w:noProof/>
                <w:webHidden/>
              </w:rPr>
            </w:r>
            <w:r w:rsidR="005B2DED">
              <w:rPr>
                <w:noProof/>
                <w:webHidden/>
              </w:rPr>
              <w:fldChar w:fldCharType="separate"/>
            </w:r>
            <w:r w:rsidR="005B2DED">
              <w:rPr>
                <w:noProof/>
                <w:webHidden/>
              </w:rPr>
              <w:t>13</w:t>
            </w:r>
            <w:r w:rsidR="005B2DED">
              <w:rPr>
                <w:noProof/>
                <w:webHidden/>
              </w:rPr>
              <w:fldChar w:fldCharType="end"/>
            </w:r>
          </w:hyperlink>
        </w:p>
        <w:p w14:paraId="065B829B" w14:textId="3EAF7BBF" w:rsidR="005B2DED" w:rsidRDefault="005B2DED">
          <w:r>
            <w:rPr>
              <w:b/>
              <w:bCs/>
              <w:noProof/>
            </w:rPr>
            <w:fldChar w:fldCharType="end"/>
          </w:r>
        </w:p>
      </w:sdtContent>
    </w:sdt>
    <w:p w14:paraId="57AF38D4" w14:textId="77777777" w:rsidR="0032428E" w:rsidRDefault="0032428E" w:rsidP="0032428E"/>
    <w:p w14:paraId="52CEFA80" w14:textId="77777777" w:rsidR="0032428E" w:rsidRDefault="0032428E" w:rsidP="005B2DED">
      <w:r>
        <w:br w:type="page"/>
      </w:r>
    </w:p>
    <w:p w14:paraId="4831ABC2" w14:textId="77777777" w:rsidR="0032428E" w:rsidRPr="0032428E" w:rsidRDefault="0032428E" w:rsidP="0032428E">
      <w:pPr>
        <w:pStyle w:val="Heading1"/>
        <w:rPr>
          <w:lang w:val="en-IN"/>
        </w:rPr>
      </w:pPr>
      <w:bookmarkStart w:id="0" w:name="_Toc174548272"/>
      <w:r w:rsidRPr="0032428E">
        <w:rPr>
          <w:lang w:val="en-IN"/>
        </w:rPr>
        <w:lastRenderedPageBreak/>
        <w:t>Introduction</w:t>
      </w:r>
      <w:bookmarkEnd w:id="0"/>
    </w:p>
    <w:p w14:paraId="34970DDD" w14:textId="1164131D" w:rsidR="0032428E" w:rsidRPr="0032428E" w:rsidRDefault="0032428E" w:rsidP="0032428E">
      <w:pPr>
        <w:rPr>
          <w:lang w:val="en-IN"/>
        </w:rPr>
      </w:pPr>
      <w:r w:rsidRPr="0032428E">
        <w:rPr>
          <w:lang w:val="en-IN"/>
        </w:rPr>
        <w:t>Financial management includes several measures such as budgeting, monetary comprehension and so on. It is to be said that there are potential factors present that differ the domestic level of financial management systems from the international level. Foreign exchange is one of the main factors that contains risk probabilities in international monetary management. This report is going to shed light on the risks associated with the foreign exchange risks that are usually faced by MNCs such as Barclays</w:t>
      </w:r>
      <w:r w:rsidR="00652EC2">
        <w:rPr>
          <w:lang w:val="en-IN"/>
        </w:rPr>
        <w:t>.</w:t>
      </w:r>
      <w:r w:rsidRPr="0032428E">
        <w:rPr>
          <w:lang w:val="en-IN"/>
        </w:rPr>
        <w:t xml:space="preserve"> It will explain the procedures to overcome such measures and probable difficulties associated with the strategies. It will also recommend some effectual measures aiming for the betterment of the respective aspects.</w:t>
      </w:r>
    </w:p>
    <w:p w14:paraId="21FBAFB4" w14:textId="77777777" w:rsidR="0032428E" w:rsidRPr="0032428E" w:rsidRDefault="0032428E" w:rsidP="0032428E">
      <w:pPr>
        <w:rPr>
          <w:lang w:val="en-IN"/>
        </w:rPr>
      </w:pPr>
    </w:p>
    <w:p w14:paraId="3558DCE4" w14:textId="77777777" w:rsidR="0032428E" w:rsidRDefault="0032428E">
      <w:pPr>
        <w:spacing w:line="259" w:lineRule="auto"/>
        <w:jc w:val="left"/>
        <w:rPr>
          <w:b/>
          <w:bCs/>
          <w:lang w:val="en-IN"/>
        </w:rPr>
      </w:pPr>
      <w:r>
        <w:rPr>
          <w:b/>
          <w:bCs/>
          <w:lang w:val="en-IN"/>
        </w:rPr>
        <w:br w:type="page"/>
      </w:r>
    </w:p>
    <w:p w14:paraId="4F904CC1" w14:textId="0324C9A8" w:rsidR="0032428E" w:rsidRPr="0032428E" w:rsidRDefault="0032428E" w:rsidP="0032428E">
      <w:pPr>
        <w:pStyle w:val="Heading1"/>
        <w:rPr>
          <w:lang w:val="en-IN"/>
        </w:rPr>
      </w:pPr>
      <w:bookmarkStart w:id="1" w:name="_Toc174548273"/>
      <w:r w:rsidRPr="0032428E">
        <w:rPr>
          <w:lang w:val="en-IN"/>
        </w:rPr>
        <w:lastRenderedPageBreak/>
        <w:t>Describing the concept of foreign exchange and its risks</w:t>
      </w:r>
      <w:bookmarkEnd w:id="1"/>
    </w:p>
    <w:p w14:paraId="6DDD6313" w14:textId="7B69085E" w:rsidR="0032428E" w:rsidRDefault="0032428E" w:rsidP="0032428E">
      <w:pPr>
        <w:rPr>
          <w:lang w:val="en-IN"/>
        </w:rPr>
      </w:pPr>
      <w:r w:rsidRPr="0032428E">
        <w:rPr>
          <w:lang w:val="en-IN"/>
        </w:rPr>
        <w:t>The term foreign exchange refers to the swapping of the price values into different currencies. It is to be said that every economy is different from each other and has different currency values. It involves potential risks as entities especially financial administrations such as Barclays invest significantly in international trading</w:t>
      </w:r>
      <w:sdt>
        <w:sdtPr>
          <w:rPr>
            <w:lang w:val="en-IN"/>
          </w:rPr>
          <w:id w:val="-533884601"/>
          <w:citation/>
        </w:sdtPr>
        <w:sdtContent>
          <w:r>
            <w:rPr>
              <w:lang w:val="en-IN"/>
            </w:rPr>
            <w:fldChar w:fldCharType="begin"/>
          </w:r>
          <w:r>
            <w:rPr>
              <w:lang w:val="en-IN"/>
            </w:rPr>
            <w:instrText xml:space="preserve"> CITATION BBC24163 \l 16393 </w:instrText>
          </w:r>
          <w:r>
            <w:rPr>
              <w:lang w:val="en-IN"/>
            </w:rPr>
            <w:fldChar w:fldCharType="separate"/>
          </w:r>
          <w:r>
            <w:rPr>
              <w:noProof/>
              <w:lang w:val="en-IN"/>
            </w:rPr>
            <w:t xml:space="preserve"> </w:t>
          </w:r>
          <w:r w:rsidRPr="0032428E">
            <w:rPr>
              <w:noProof/>
              <w:lang w:val="en-IN"/>
            </w:rPr>
            <w:t>(BBC, 2024)</w:t>
          </w:r>
          <w:r>
            <w:rPr>
              <w:lang w:val="en-IN"/>
            </w:rPr>
            <w:fldChar w:fldCharType="end"/>
          </w:r>
        </w:sdtContent>
      </w:sdt>
      <w:r w:rsidRPr="0032428E">
        <w:rPr>
          <w:lang w:val="en-IN"/>
        </w:rPr>
        <w:t>. The foreign exchange rate contains risks as the values of the investments can decrease at any time. It is one of the major factors that impact the investors and the individuals invested in the respective international trades.</w:t>
      </w:r>
    </w:p>
    <w:p w14:paraId="61BFB293" w14:textId="3CA2EE7D" w:rsidR="0032428E" w:rsidRDefault="0032428E" w:rsidP="0032428E">
      <w:pPr>
        <w:jc w:val="center"/>
        <w:rPr>
          <w:lang w:val="en-IN"/>
        </w:rPr>
      </w:pPr>
      <w:r>
        <w:rPr>
          <w:noProof/>
        </w:rPr>
        <w:drawing>
          <wp:inline distT="0" distB="0" distL="0" distR="0" wp14:anchorId="7AD37BE9" wp14:editId="0D1933DA">
            <wp:extent cx="4305300" cy="2484120"/>
            <wp:effectExtent l="171450" t="171450" r="171450" b="182880"/>
            <wp:docPr id="1659269162" name="Picture 1" descr="Stock vektor „Currency Exchange Transfer Business People Holds“ (bez  autorských poplatků) 2175936087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ock vektor „Currency Exchange Transfer Business People Holds“ (bez  autorských poplatků) 2175936087 | Shutterstock"/>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4305300" cy="248412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inline>
        </w:drawing>
      </w:r>
    </w:p>
    <w:p w14:paraId="15C837DF" w14:textId="196DFD9E" w:rsidR="0032428E" w:rsidRDefault="0032428E" w:rsidP="0032428E">
      <w:pPr>
        <w:jc w:val="center"/>
        <w:rPr>
          <w:lang w:val="en-IN"/>
        </w:rPr>
      </w:pPr>
      <w:r>
        <w:rPr>
          <w:lang w:val="en-IN"/>
        </w:rPr>
        <w:t>Figure1: Foreign exchange</w:t>
      </w:r>
    </w:p>
    <w:p w14:paraId="4BC7082D" w14:textId="2E3BCF88" w:rsidR="0032428E" w:rsidRPr="0032428E" w:rsidRDefault="0032428E" w:rsidP="0032428E">
      <w:pPr>
        <w:jc w:val="center"/>
        <w:rPr>
          <w:lang w:val="en-IN"/>
        </w:rPr>
      </w:pPr>
      <w:r>
        <w:rPr>
          <w:lang w:val="en-IN"/>
        </w:rPr>
        <w:t xml:space="preserve">Source: </w:t>
      </w:r>
      <w:sdt>
        <w:sdtPr>
          <w:rPr>
            <w:lang w:val="en-IN"/>
          </w:rPr>
          <w:id w:val="782541718"/>
          <w:citation/>
        </w:sdtPr>
        <w:sdtContent>
          <w:r>
            <w:rPr>
              <w:lang w:val="en-IN"/>
            </w:rPr>
            <w:fldChar w:fldCharType="begin"/>
          </w:r>
          <w:r>
            <w:rPr>
              <w:lang w:val="en-IN"/>
            </w:rPr>
            <w:instrText xml:space="preserve"> CITATION BBC24163 \l 16393 </w:instrText>
          </w:r>
          <w:r>
            <w:rPr>
              <w:lang w:val="en-IN"/>
            </w:rPr>
            <w:fldChar w:fldCharType="separate"/>
          </w:r>
          <w:r w:rsidRPr="0032428E">
            <w:rPr>
              <w:noProof/>
              <w:lang w:val="en-IN"/>
            </w:rPr>
            <w:t>(BBC, 2024)</w:t>
          </w:r>
          <w:r>
            <w:rPr>
              <w:lang w:val="en-IN"/>
            </w:rPr>
            <w:fldChar w:fldCharType="end"/>
          </w:r>
        </w:sdtContent>
      </w:sdt>
    </w:p>
    <w:p w14:paraId="612EBD5F" w14:textId="77777777" w:rsidR="0032428E" w:rsidRPr="0032428E" w:rsidRDefault="0032428E" w:rsidP="0032428E">
      <w:pPr>
        <w:rPr>
          <w:lang w:val="en-IN"/>
        </w:rPr>
      </w:pPr>
    </w:p>
    <w:p w14:paraId="2BAB970A" w14:textId="77777777" w:rsidR="0032428E" w:rsidRDefault="0032428E">
      <w:pPr>
        <w:spacing w:line="259" w:lineRule="auto"/>
        <w:jc w:val="left"/>
        <w:rPr>
          <w:b/>
          <w:bCs/>
          <w:lang w:val="en-IN"/>
        </w:rPr>
      </w:pPr>
      <w:r>
        <w:rPr>
          <w:b/>
          <w:bCs/>
          <w:lang w:val="en-IN"/>
        </w:rPr>
        <w:br w:type="page"/>
      </w:r>
    </w:p>
    <w:p w14:paraId="5923CDE3" w14:textId="70EC09E8" w:rsidR="0032428E" w:rsidRPr="0032428E" w:rsidRDefault="0032428E" w:rsidP="0032428E">
      <w:pPr>
        <w:pStyle w:val="Heading1"/>
        <w:rPr>
          <w:lang w:val="en-IN"/>
        </w:rPr>
      </w:pPr>
      <w:bookmarkStart w:id="2" w:name="_Toc174548274"/>
      <w:r w:rsidRPr="0032428E">
        <w:rPr>
          <w:lang w:val="en-IN"/>
        </w:rPr>
        <w:lastRenderedPageBreak/>
        <w:t xml:space="preserve">Evaluating the </w:t>
      </w:r>
      <w:r w:rsidR="005B2DED">
        <w:rPr>
          <w:lang w:val="en-IN"/>
        </w:rPr>
        <w:t>f</w:t>
      </w:r>
      <w:r w:rsidRPr="0032428E">
        <w:rPr>
          <w:lang w:val="en-IN"/>
        </w:rPr>
        <w:t xml:space="preserve">oreign exchange </w:t>
      </w:r>
      <w:r w:rsidR="005B2DED">
        <w:rPr>
          <w:lang w:val="en-IN"/>
        </w:rPr>
        <w:t>r</w:t>
      </w:r>
      <w:r w:rsidRPr="0032428E">
        <w:rPr>
          <w:lang w:val="en-IN"/>
        </w:rPr>
        <w:t>isks faced by the MNCs</w:t>
      </w:r>
      <w:bookmarkEnd w:id="2"/>
      <w:r w:rsidRPr="0032428E">
        <w:rPr>
          <w:lang w:val="en-IN"/>
        </w:rPr>
        <w:t> </w:t>
      </w:r>
    </w:p>
    <w:p w14:paraId="4D9E5847" w14:textId="09384D14" w:rsidR="0032428E" w:rsidRPr="0032428E" w:rsidRDefault="0032428E" w:rsidP="0032428E">
      <w:pPr>
        <w:rPr>
          <w:lang w:val="en-IN"/>
        </w:rPr>
      </w:pPr>
      <w:r w:rsidRPr="0032428E">
        <w:rPr>
          <w:lang w:val="en-IN"/>
        </w:rPr>
        <w:t xml:space="preserve">Multinational companies associated with international trade always carry potential risks in order to trade internationally. Barclays is one of the renowned </w:t>
      </w:r>
      <w:r>
        <w:rPr>
          <w:lang w:val="en-IN"/>
        </w:rPr>
        <w:t>organisations</w:t>
      </w:r>
      <w:r w:rsidRPr="0032428E">
        <w:rPr>
          <w:lang w:val="en-IN"/>
        </w:rPr>
        <w:t xml:space="preserve"> that is also present in such measures operating a potential international trade in the global market. It is to be said that the foreign exchange risks mainly arise from the risks due to the fluctuation in the exchange rate. This is one of the major factors that interrupt the managerial measures of the financial aspects of an organisation</w:t>
      </w:r>
      <w:sdt>
        <w:sdtPr>
          <w:rPr>
            <w:lang w:val="en-IN"/>
          </w:rPr>
          <w:id w:val="1396084386"/>
          <w:citation/>
        </w:sdtPr>
        <w:sdtContent>
          <w:r>
            <w:rPr>
              <w:lang w:val="en-IN"/>
            </w:rPr>
            <w:fldChar w:fldCharType="begin"/>
          </w:r>
          <w:r>
            <w:rPr>
              <w:lang w:val="en-IN"/>
            </w:rPr>
            <w:instrText xml:space="preserve"> CITATION For2385 \l 16393 </w:instrText>
          </w:r>
          <w:r>
            <w:rPr>
              <w:lang w:val="en-IN"/>
            </w:rPr>
            <w:fldChar w:fldCharType="separate"/>
          </w:r>
          <w:r>
            <w:rPr>
              <w:noProof/>
              <w:lang w:val="en-IN"/>
            </w:rPr>
            <w:t xml:space="preserve"> </w:t>
          </w:r>
          <w:r w:rsidRPr="0032428E">
            <w:rPr>
              <w:noProof/>
              <w:lang w:val="en-IN"/>
            </w:rPr>
            <w:t>(Forbes, 2023)</w:t>
          </w:r>
          <w:r>
            <w:rPr>
              <w:lang w:val="en-IN"/>
            </w:rPr>
            <w:fldChar w:fldCharType="end"/>
          </w:r>
        </w:sdtContent>
      </w:sdt>
      <w:r w:rsidRPr="0032428E">
        <w:rPr>
          <w:lang w:val="en-IN"/>
        </w:rPr>
        <w:t>. There are some types of foreign exchange risks present some of them are listed below.</w:t>
      </w:r>
    </w:p>
    <w:p w14:paraId="4EAD7B53" w14:textId="77777777" w:rsidR="0032428E" w:rsidRPr="0032428E" w:rsidRDefault="0032428E" w:rsidP="0032428E">
      <w:pPr>
        <w:rPr>
          <w:lang w:val="en-IN"/>
        </w:rPr>
      </w:pPr>
      <w:r w:rsidRPr="0032428E">
        <w:rPr>
          <w:b/>
          <w:bCs/>
          <w:lang w:val="en-IN"/>
        </w:rPr>
        <w:t>I. Transaction Risk-</w:t>
      </w:r>
    </w:p>
    <w:p w14:paraId="70610FB1" w14:textId="20751C4E" w:rsidR="0032428E" w:rsidRPr="0032428E" w:rsidRDefault="0032428E" w:rsidP="0032428E">
      <w:pPr>
        <w:rPr>
          <w:lang w:val="en-IN"/>
        </w:rPr>
      </w:pPr>
      <w:r w:rsidRPr="0032428E">
        <w:rPr>
          <w:lang w:val="en-IN"/>
        </w:rPr>
        <w:t>This respective risk refers to the situation that happened at the time of the signing of contracts and the time of the settlements. It is often found that the time contracts are signed is at a lower price and it increases as per the settlement time period. It can happen with any sellers and due the currency fluctuation it will depreciate the current value and revenue generation of the respective entity. For instance, Ba</w:t>
      </w:r>
      <w:r>
        <w:rPr>
          <w:lang w:val="en-IN"/>
        </w:rPr>
        <w:t>rc</w:t>
      </w:r>
      <w:r w:rsidRPr="0032428E">
        <w:rPr>
          <w:lang w:val="en-IN"/>
        </w:rPr>
        <w:t>lays might sign a contract at a 90days of settlement, if the foreign currency declines the revenue will be lower than the expected value</w:t>
      </w:r>
      <w:sdt>
        <w:sdtPr>
          <w:rPr>
            <w:lang w:val="en-IN"/>
          </w:rPr>
          <w:id w:val="553739424"/>
          <w:citation/>
        </w:sdtPr>
        <w:sdtContent>
          <w:r>
            <w:rPr>
              <w:lang w:val="en-IN"/>
            </w:rPr>
            <w:fldChar w:fldCharType="begin"/>
          </w:r>
          <w:r>
            <w:rPr>
              <w:lang w:val="en-IN"/>
            </w:rPr>
            <w:instrText xml:space="preserve"> CITATION For2385 \l 16393 </w:instrText>
          </w:r>
          <w:r>
            <w:rPr>
              <w:lang w:val="en-IN"/>
            </w:rPr>
            <w:fldChar w:fldCharType="separate"/>
          </w:r>
          <w:r>
            <w:rPr>
              <w:noProof/>
              <w:lang w:val="en-IN"/>
            </w:rPr>
            <w:t xml:space="preserve"> </w:t>
          </w:r>
          <w:r w:rsidRPr="0032428E">
            <w:rPr>
              <w:noProof/>
              <w:lang w:val="en-IN"/>
            </w:rPr>
            <w:t>(Forbes, 2023)</w:t>
          </w:r>
          <w:r>
            <w:rPr>
              <w:lang w:val="en-IN"/>
            </w:rPr>
            <w:fldChar w:fldCharType="end"/>
          </w:r>
        </w:sdtContent>
      </w:sdt>
      <w:r w:rsidRPr="0032428E">
        <w:rPr>
          <w:lang w:val="en-IN"/>
        </w:rPr>
        <w:t>.</w:t>
      </w:r>
    </w:p>
    <w:p w14:paraId="56A3F2C2" w14:textId="77777777" w:rsidR="0032428E" w:rsidRPr="0032428E" w:rsidRDefault="0032428E" w:rsidP="0032428E">
      <w:pPr>
        <w:rPr>
          <w:lang w:val="en-IN"/>
        </w:rPr>
      </w:pPr>
      <w:r w:rsidRPr="0032428E">
        <w:rPr>
          <w:b/>
          <w:bCs/>
          <w:lang w:val="en-IN"/>
        </w:rPr>
        <w:t>II. Translation Risk-</w:t>
      </w:r>
    </w:p>
    <w:p w14:paraId="6AA4E73F" w14:textId="7C863D0C" w:rsidR="0032428E" w:rsidRPr="0032428E" w:rsidRDefault="0032428E" w:rsidP="0032428E">
      <w:pPr>
        <w:rPr>
          <w:lang w:val="en-IN"/>
        </w:rPr>
      </w:pPr>
      <w:r w:rsidRPr="0032428E">
        <w:rPr>
          <w:lang w:val="en-IN"/>
        </w:rPr>
        <w:t>Another risk associated with foreign exchange is the translation risk, it mainly occurs at the time of the financial statements of the foreign companies and is translated into the currency of their parent company. The exchange rate can significantly interrupt the monetary values of the respective organisation as it will generate lesser value according to the currency measures of the parent company. For instance, if Barclays invests in any Europe-based MNC subsidiary based in the UK, they will be required to convert the currency values according to Europe</w:t>
      </w:r>
      <w:sdt>
        <w:sdtPr>
          <w:rPr>
            <w:lang w:val="en-IN"/>
          </w:rPr>
          <w:id w:val="-2013137194"/>
          <w:citation/>
        </w:sdtPr>
        <w:sdtContent>
          <w:r w:rsidR="00CD7B7B">
            <w:rPr>
              <w:lang w:val="en-IN"/>
            </w:rPr>
            <w:fldChar w:fldCharType="begin"/>
          </w:r>
          <w:r w:rsidR="00CD7B7B">
            <w:rPr>
              <w:lang w:val="en-IN"/>
            </w:rPr>
            <w:instrText xml:space="preserve"> CITATION Bar241 \l 16393 </w:instrText>
          </w:r>
          <w:r w:rsidR="00CD7B7B">
            <w:rPr>
              <w:lang w:val="en-IN"/>
            </w:rPr>
            <w:fldChar w:fldCharType="separate"/>
          </w:r>
          <w:r w:rsidR="00CD7B7B">
            <w:rPr>
              <w:noProof/>
              <w:lang w:val="en-IN"/>
            </w:rPr>
            <w:t xml:space="preserve"> </w:t>
          </w:r>
          <w:r w:rsidR="00CD7B7B" w:rsidRPr="00CD7B7B">
            <w:rPr>
              <w:noProof/>
              <w:lang w:val="en-IN"/>
            </w:rPr>
            <w:t>(Barclays, 2024)</w:t>
          </w:r>
          <w:r w:rsidR="00CD7B7B">
            <w:rPr>
              <w:lang w:val="en-IN"/>
            </w:rPr>
            <w:fldChar w:fldCharType="end"/>
          </w:r>
        </w:sdtContent>
      </w:sdt>
      <w:r w:rsidRPr="0032428E">
        <w:rPr>
          <w:lang w:val="en-IN"/>
        </w:rPr>
        <w:t>.</w:t>
      </w:r>
    </w:p>
    <w:p w14:paraId="534855DE" w14:textId="77777777" w:rsidR="0032428E" w:rsidRPr="0032428E" w:rsidRDefault="0032428E" w:rsidP="0032428E">
      <w:pPr>
        <w:rPr>
          <w:lang w:val="en-IN"/>
        </w:rPr>
      </w:pPr>
      <w:r w:rsidRPr="0032428E">
        <w:rPr>
          <w:b/>
          <w:bCs/>
          <w:lang w:val="en-IN"/>
        </w:rPr>
        <w:t>III. Economic Risk-</w:t>
      </w:r>
    </w:p>
    <w:p w14:paraId="19131AC4" w14:textId="69974961" w:rsidR="0032428E" w:rsidRPr="0032428E" w:rsidRDefault="0032428E" w:rsidP="0032428E">
      <w:pPr>
        <w:rPr>
          <w:lang w:val="en-IN"/>
        </w:rPr>
      </w:pPr>
      <w:r w:rsidRPr="0032428E">
        <w:rPr>
          <w:lang w:val="en-IN"/>
        </w:rPr>
        <w:lastRenderedPageBreak/>
        <w:t>This is one of the common yet mostly identified risks faced by business organisations and institutions. The economic risks denote the situation where the risk arises due to the influence of the change of the exchange rate on the overall economy in which the organisation operates. The risks involve difficulties in pricing strategies, competitive analysis and also in the decision-making process of the investments</w:t>
      </w:r>
      <w:r w:rsidR="00032A48">
        <w:rPr>
          <w:lang w:val="en-IN"/>
        </w:rPr>
        <w:t xml:space="preserve"> (</w:t>
      </w:r>
      <w:proofErr w:type="spellStart"/>
      <w:r w:rsidR="00032A48" w:rsidRPr="00032A48">
        <w:rPr>
          <w:lang w:val="en-IN"/>
        </w:rPr>
        <w:t>Eichengreen</w:t>
      </w:r>
      <w:proofErr w:type="spellEnd"/>
      <w:r w:rsidR="00032A48" w:rsidRPr="00032A48">
        <w:rPr>
          <w:lang w:val="en-IN"/>
        </w:rPr>
        <w:t xml:space="preserve"> and Sussman, 2024</w:t>
      </w:r>
      <w:r w:rsidR="00032A48">
        <w:rPr>
          <w:lang w:val="en-IN"/>
        </w:rPr>
        <w:t>)</w:t>
      </w:r>
      <w:r w:rsidRPr="0032428E">
        <w:rPr>
          <w:lang w:val="en-IN"/>
        </w:rPr>
        <w:t>. For example, if the currency value of a country decreases it impacts the import and export costs. This relatively impacts the revenue generation of the organisations. </w:t>
      </w:r>
    </w:p>
    <w:p w14:paraId="0CF68103" w14:textId="77777777" w:rsidR="0032428E" w:rsidRPr="0032428E" w:rsidRDefault="0032428E" w:rsidP="0032428E">
      <w:pPr>
        <w:rPr>
          <w:lang w:val="en-IN"/>
        </w:rPr>
      </w:pPr>
    </w:p>
    <w:p w14:paraId="4FADEE15" w14:textId="77777777" w:rsidR="0032428E" w:rsidRDefault="0032428E">
      <w:pPr>
        <w:spacing w:line="259" w:lineRule="auto"/>
        <w:jc w:val="left"/>
        <w:rPr>
          <w:b/>
          <w:bCs/>
          <w:lang w:val="en-IN"/>
        </w:rPr>
      </w:pPr>
      <w:r>
        <w:rPr>
          <w:b/>
          <w:bCs/>
          <w:lang w:val="en-IN"/>
        </w:rPr>
        <w:br w:type="page"/>
      </w:r>
    </w:p>
    <w:p w14:paraId="67BFFF38" w14:textId="1A587C86" w:rsidR="0032428E" w:rsidRPr="0032428E" w:rsidRDefault="0032428E" w:rsidP="0032428E">
      <w:pPr>
        <w:pStyle w:val="Heading1"/>
        <w:rPr>
          <w:lang w:val="en-IN"/>
        </w:rPr>
      </w:pPr>
      <w:bookmarkStart w:id="3" w:name="_Toc174548275"/>
      <w:r w:rsidRPr="0032428E">
        <w:rPr>
          <w:lang w:val="en-IN"/>
        </w:rPr>
        <w:lastRenderedPageBreak/>
        <w:t xml:space="preserve">Discussing several strategies to overcome the risk </w:t>
      </w:r>
      <w:r>
        <w:rPr>
          <w:lang w:val="en-IN"/>
        </w:rPr>
        <w:t>probabilities</w:t>
      </w:r>
      <w:bookmarkEnd w:id="3"/>
    </w:p>
    <w:p w14:paraId="4BAEEAD9" w14:textId="22DF02F9" w:rsidR="0032428E" w:rsidRDefault="0032428E" w:rsidP="0032428E">
      <w:pPr>
        <w:rPr>
          <w:lang w:val="en-IN"/>
        </w:rPr>
      </w:pPr>
      <w:r w:rsidRPr="0032428E">
        <w:rPr>
          <w:lang w:val="en-IN"/>
        </w:rPr>
        <w:t>The fluctuation of economic standings can fluctuate due to various aspects regarding the economic standings. In order to mitigate such measures, there are potential strategies present to evaluate the areas for effectual profit. Some of the strategies for improvement can be understood through the following.</w:t>
      </w:r>
    </w:p>
    <w:p w14:paraId="7ED881EB" w14:textId="2361E7A8" w:rsidR="00E826D6" w:rsidRDefault="00E826D6" w:rsidP="00E826D6">
      <w:pPr>
        <w:jc w:val="center"/>
        <w:rPr>
          <w:lang w:val="en-IN"/>
        </w:rPr>
      </w:pPr>
      <w:r>
        <w:rPr>
          <w:noProof/>
        </w:rPr>
        <w:drawing>
          <wp:inline distT="0" distB="0" distL="0" distR="0" wp14:anchorId="6A1F448B" wp14:editId="5CD9081D">
            <wp:extent cx="3710940" cy="2407920"/>
            <wp:effectExtent l="0" t="0" r="3810" b="0"/>
            <wp:docPr id="1399045769" name="Picture 3" descr="Foreign Exchange Risk: Over 1,137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oreign Exchange Risk: Over 1,137 Royalty-Free Licensable Stock  Illustrations &amp; Drawings | Shutterstock"/>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3710940" cy="2407920"/>
                    </a:xfrm>
                    <a:prstGeom prst="rect">
                      <a:avLst/>
                    </a:prstGeom>
                    <a:noFill/>
                    <a:ln>
                      <a:noFill/>
                    </a:ln>
                    <a:extLst>
                      <a:ext uri="{53640926-AAD7-44D8-BBD7-CCE9431645EC}">
                        <a14:shadowObscured xmlns:a14="http://schemas.microsoft.com/office/drawing/2010/main"/>
                      </a:ext>
                    </a:extLst>
                  </pic:spPr>
                </pic:pic>
              </a:graphicData>
            </a:graphic>
          </wp:inline>
        </w:drawing>
      </w:r>
    </w:p>
    <w:p w14:paraId="5EE1B0D6" w14:textId="3FB9329C" w:rsidR="00E826D6" w:rsidRDefault="00E826D6" w:rsidP="00E826D6">
      <w:pPr>
        <w:jc w:val="center"/>
        <w:rPr>
          <w:lang w:val="en-IN"/>
        </w:rPr>
      </w:pPr>
      <w:r>
        <w:rPr>
          <w:lang w:val="en-IN"/>
        </w:rPr>
        <w:t xml:space="preserve">Figure 2: </w:t>
      </w:r>
      <w:r w:rsidR="006C5347">
        <w:rPr>
          <w:lang w:val="en-IN"/>
        </w:rPr>
        <w:t>S</w:t>
      </w:r>
      <w:r>
        <w:rPr>
          <w:lang w:val="en-IN"/>
        </w:rPr>
        <w:t>trategies</w:t>
      </w:r>
      <w:r w:rsidR="006C5347">
        <w:rPr>
          <w:lang w:val="en-IN"/>
        </w:rPr>
        <w:t xml:space="preserve"> for balancing foreign exchange risks</w:t>
      </w:r>
    </w:p>
    <w:p w14:paraId="38FC3CA4" w14:textId="41D20B70" w:rsidR="00E826D6" w:rsidRPr="0032428E" w:rsidRDefault="00E826D6" w:rsidP="00E826D6">
      <w:pPr>
        <w:jc w:val="center"/>
        <w:rPr>
          <w:lang w:val="en-IN"/>
        </w:rPr>
      </w:pPr>
      <w:r>
        <w:rPr>
          <w:lang w:val="en-IN"/>
        </w:rPr>
        <w:t>Source: (</w:t>
      </w:r>
      <w:r w:rsidRPr="00CD7B7B">
        <w:rPr>
          <w:lang w:val="en-IN"/>
        </w:rPr>
        <w:t>Pilbeam,</w:t>
      </w:r>
      <w:r>
        <w:rPr>
          <w:lang w:val="en-IN"/>
        </w:rPr>
        <w:t xml:space="preserve"> </w:t>
      </w:r>
      <w:r w:rsidRPr="00CD7B7B">
        <w:rPr>
          <w:lang w:val="en-IN"/>
        </w:rPr>
        <w:t>2023</w:t>
      </w:r>
      <w:r>
        <w:rPr>
          <w:lang w:val="en-IN"/>
        </w:rPr>
        <w:t>)</w:t>
      </w:r>
    </w:p>
    <w:p w14:paraId="10746911" w14:textId="77777777" w:rsidR="0032428E" w:rsidRPr="0032428E" w:rsidRDefault="0032428E" w:rsidP="0032428E">
      <w:pPr>
        <w:rPr>
          <w:lang w:val="en-IN"/>
        </w:rPr>
      </w:pPr>
      <w:r w:rsidRPr="0032428E">
        <w:rPr>
          <w:b/>
          <w:bCs/>
          <w:lang w:val="en-IN"/>
        </w:rPr>
        <w:t>I. Hedging techniques-</w:t>
      </w:r>
    </w:p>
    <w:p w14:paraId="5CEF69AC" w14:textId="606EC4F7" w:rsidR="0032428E" w:rsidRPr="0032428E" w:rsidRDefault="0032428E" w:rsidP="0032428E">
      <w:pPr>
        <w:rPr>
          <w:lang w:val="en-IN"/>
        </w:rPr>
      </w:pPr>
      <w:r w:rsidRPr="0032428E">
        <w:rPr>
          <w:lang w:val="en-IN"/>
        </w:rPr>
        <w:t>The entities can opt for hedging techniques that denote the procedure that focuses on a particular exchange rate for the standard future transaction. The entities must opt for the fixed rate for trading the exact currency options and selling the measures at the specific currency. They must evaluate the exchange principles as well for the effectual interest payment and gaining potential profits</w:t>
      </w:r>
      <w:r w:rsidR="00CD7B7B">
        <w:rPr>
          <w:lang w:val="en-IN"/>
        </w:rPr>
        <w:t xml:space="preserve"> (</w:t>
      </w:r>
      <w:r w:rsidR="00CD7B7B" w:rsidRPr="00CD7B7B">
        <w:rPr>
          <w:lang w:val="en-IN"/>
        </w:rPr>
        <w:t>Pilbeam,</w:t>
      </w:r>
      <w:r w:rsidR="00CD7B7B">
        <w:rPr>
          <w:lang w:val="en-IN"/>
        </w:rPr>
        <w:t xml:space="preserve"> </w:t>
      </w:r>
      <w:r w:rsidR="00CD7B7B" w:rsidRPr="00CD7B7B">
        <w:rPr>
          <w:lang w:val="en-IN"/>
        </w:rPr>
        <w:t>2023</w:t>
      </w:r>
      <w:r w:rsidR="00CD7B7B">
        <w:rPr>
          <w:lang w:val="en-IN"/>
        </w:rPr>
        <w:t>)</w:t>
      </w:r>
      <w:r w:rsidRPr="0032428E">
        <w:rPr>
          <w:lang w:val="en-IN"/>
        </w:rPr>
        <w:t>.</w:t>
      </w:r>
    </w:p>
    <w:p w14:paraId="67B5C3AC" w14:textId="04BB0F86" w:rsidR="0032428E" w:rsidRPr="0032428E" w:rsidRDefault="0032428E" w:rsidP="0032428E">
      <w:pPr>
        <w:rPr>
          <w:lang w:val="en-IN"/>
        </w:rPr>
      </w:pPr>
      <w:r w:rsidRPr="0032428E">
        <w:rPr>
          <w:b/>
          <w:bCs/>
          <w:lang w:val="en-IN"/>
        </w:rPr>
        <w:t>II.</w:t>
      </w:r>
      <w:r>
        <w:rPr>
          <w:b/>
          <w:bCs/>
          <w:lang w:val="en-IN"/>
        </w:rPr>
        <w:t xml:space="preserve"> </w:t>
      </w:r>
      <w:r w:rsidRPr="0032428E">
        <w:rPr>
          <w:b/>
          <w:bCs/>
          <w:lang w:val="en-IN"/>
        </w:rPr>
        <w:t>Operational improvements-</w:t>
      </w:r>
    </w:p>
    <w:p w14:paraId="432095AB" w14:textId="07ADBAB0" w:rsidR="0032428E" w:rsidRPr="0032428E" w:rsidRDefault="0032428E" w:rsidP="0032428E">
      <w:pPr>
        <w:rPr>
          <w:lang w:val="en-IN"/>
        </w:rPr>
      </w:pPr>
      <w:r w:rsidRPr="0032428E">
        <w:rPr>
          <w:lang w:val="en-IN"/>
        </w:rPr>
        <w:t xml:space="preserve">Entities such as Barclays must conduct efficient operational measures for the determination of the exchange values. They can opt for foreign currency measures according to the assets and </w:t>
      </w:r>
      <w:r w:rsidRPr="0032428E">
        <w:rPr>
          <w:lang w:val="en-IN"/>
        </w:rPr>
        <w:lastRenderedPageBreak/>
        <w:t>liabilities of the entity. They can opt to expand their offering to a diverse product range and opt for an effectual range of products. Entities should be aware of their financing resources according to their operational measures as well</w:t>
      </w:r>
      <w:r w:rsidR="00CD7B7B">
        <w:rPr>
          <w:lang w:val="en-IN"/>
        </w:rPr>
        <w:t xml:space="preserve"> (</w:t>
      </w:r>
      <w:proofErr w:type="spellStart"/>
      <w:r w:rsidR="00CD7B7B" w:rsidRPr="00CD7B7B">
        <w:rPr>
          <w:lang w:val="en-IN"/>
        </w:rPr>
        <w:t>Suranovic</w:t>
      </w:r>
      <w:proofErr w:type="spellEnd"/>
      <w:r w:rsidR="00CD7B7B" w:rsidRPr="00CD7B7B">
        <w:rPr>
          <w:lang w:val="en-IN"/>
        </w:rPr>
        <w:t>,</w:t>
      </w:r>
      <w:r w:rsidR="00CD7B7B">
        <w:rPr>
          <w:lang w:val="en-IN"/>
        </w:rPr>
        <w:t xml:space="preserve"> </w:t>
      </w:r>
      <w:r w:rsidR="00CD7B7B" w:rsidRPr="00CD7B7B">
        <w:rPr>
          <w:lang w:val="en-IN"/>
        </w:rPr>
        <w:t>2023</w:t>
      </w:r>
      <w:r w:rsidR="00CD7B7B">
        <w:rPr>
          <w:lang w:val="en-IN"/>
        </w:rPr>
        <w:t>)</w:t>
      </w:r>
      <w:r w:rsidRPr="0032428E">
        <w:rPr>
          <w:lang w:val="en-IN"/>
        </w:rPr>
        <w:t>.</w:t>
      </w:r>
    </w:p>
    <w:p w14:paraId="541AA872" w14:textId="77777777" w:rsidR="0032428E" w:rsidRPr="0032428E" w:rsidRDefault="0032428E" w:rsidP="0032428E">
      <w:pPr>
        <w:rPr>
          <w:lang w:val="en-IN"/>
        </w:rPr>
      </w:pPr>
      <w:r w:rsidRPr="0032428E">
        <w:rPr>
          <w:b/>
          <w:bCs/>
          <w:lang w:val="en-IN"/>
        </w:rPr>
        <w:t>III. Evaluation of risk management-</w:t>
      </w:r>
    </w:p>
    <w:p w14:paraId="1DBD09C3" w14:textId="670AD6E0" w:rsidR="0032428E" w:rsidRPr="0032428E" w:rsidRDefault="0032428E" w:rsidP="0032428E">
      <w:pPr>
        <w:rPr>
          <w:lang w:val="en-IN"/>
        </w:rPr>
      </w:pPr>
      <w:r w:rsidRPr="0032428E">
        <w:rPr>
          <w:lang w:val="en-IN"/>
        </w:rPr>
        <w:t>The entities engaging with international trade must be evaluated by risk mitigation measures such as directing the risk agreements and sharing the risk identification aspects. They must assess the impact of such risks and their probable circumstances as well. Apart from that, they must direct risk monitoring measures for frequent monitoring of the values of the exchange rates and their fluctuations</w:t>
      </w:r>
      <w:r w:rsidR="00CD7B7B">
        <w:rPr>
          <w:lang w:val="en-IN"/>
        </w:rPr>
        <w:t xml:space="preserve"> (</w:t>
      </w:r>
      <w:r w:rsidR="00CD7B7B" w:rsidRPr="00CD7B7B">
        <w:rPr>
          <w:lang w:val="en-IN"/>
        </w:rPr>
        <w:t>Jeanne</w:t>
      </w:r>
      <w:r w:rsidR="00CD7B7B">
        <w:rPr>
          <w:lang w:val="en-IN"/>
        </w:rPr>
        <w:t xml:space="preserve"> </w:t>
      </w:r>
      <w:r w:rsidR="00CD7B7B" w:rsidRPr="00CD7B7B">
        <w:rPr>
          <w:lang w:val="en-IN"/>
        </w:rPr>
        <w:t>and Sandri, 2023</w:t>
      </w:r>
      <w:r w:rsidR="00CD7B7B">
        <w:rPr>
          <w:lang w:val="en-IN"/>
        </w:rPr>
        <w:t>)</w:t>
      </w:r>
      <w:r w:rsidRPr="0032428E">
        <w:rPr>
          <w:lang w:val="en-IN"/>
        </w:rPr>
        <w:t>.</w:t>
      </w:r>
    </w:p>
    <w:p w14:paraId="782C4A57" w14:textId="77777777" w:rsidR="0032428E" w:rsidRPr="0032428E" w:rsidRDefault="0032428E" w:rsidP="0032428E">
      <w:pPr>
        <w:rPr>
          <w:lang w:val="en-IN"/>
        </w:rPr>
      </w:pPr>
      <w:r w:rsidRPr="0032428E">
        <w:rPr>
          <w:b/>
          <w:bCs/>
          <w:lang w:val="en-IN"/>
        </w:rPr>
        <w:t>IV. Consideration of different values-</w:t>
      </w:r>
    </w:p>
    <w:p w14:paraId="562CD6E7" w14:textId="7599D74D" w:rsidR="0032428E" w:rsidRPr="0032428E" w:rsidRDefault="0032428E" w:rsidP="0032428E">
      <w:pPr>
        <w:rPr>
          <w:lang w:val="en-IN"/>
        </w:rPr>
      </w:pPr>
      <w:r w:rsidRPr="0032428E">
        <w:rPr>
          <w:lang w:val="en-IN"/>
        </w:rPr>
        <w:t>Organisations must value the other aspects such as the currency estimations and predict further exchange rate fluctuations. They can also opt for insurance to determine the purchases of the foreign exchanges as an effectual protection. For instance, Barclays must opt for the purchase of foreign exchange insurance to mitigate the impact of the risks in their association. Apart from that, they can also make a risk management team to assess the risk probabilities associated with the investment measures</w:t>
      </w:r>
      <w:r w:rsidR="00CD7B7B">
        <w:rPr>
          <w:lang w:val="en-IN"/>
        </w:rPr>
        <w:t xml:space="preserve"> (</w:t>
      </w:r>
      <w:r w:rsidR="00CD7B7B" w:rsidRPr="00CD7B7B">
        <w:rPr>
          <w:lang w:val="en-IN"/>
        </w:rPr>
        <w:t>Jeanne</w:t>
      </w:r>
      <w:r w:rsidR="00CD7B7B">
        <w:rPr>
          <w:lang w:val="en-IN"/>
        </w:rPr>
        <w:t xml:space="preserve"> </w:t>
      </w:r>
      <w:r w:rsidR="00CD7B7B" w:rsidRPr="00CD7B7B">
        <w:rPr>
          <w:lang w:val="en-IN"/>
        </w:rPr>
        <w:t>and Sandri, 2023</w:t>
      </w:r>
      <w:r w:rsidR="00CD7B7B">
        <w:rPr>
          <w:lang w:val="en-IN"/>
        </w:rPr>
        <w:t>)</w:t>
      </w:r>
      <w:r w:rsidRPr="0032428E">
        <w:rPr>
          <w:lang w:val="en-IN"/>
        </w:rPr>
        <w:t>.</w:t>
      </w:r>
    </w:p>
    <w:p w14:paraId="113D39F5" w14:textId="77777777" w:rsidR="0032428E" w:rsidRPr="0032428E" w:rsidRDefault="0032428E" w:rsidP="0032428E">
      <w:pPr>
        <w:rPr>
          <w:lang w:val="en-IN"/>
        </w:rPr>
      </w:pPr>
    </w:p>
    <w:p w14:paraId="479305F9" w14:textId="77777777" w:rsidR="0032428E" w:rsidRDefault="0032428E">
      <w:pPr>
        <w:spacing w:line="259" w:lineRule="auto"/>
        <w:jc w:val="left"/>
        <w:rPr>
          <w:b/>
          <w:bCs/>
          <w:lang w:val="en-IN"/>
        </w:rPr>
      </w:pPr>
      <w:r>
        <w:rPr>
          <w:b/>
          <w:bCs/>
          <w:lang w:val="en-IN"/>
        </w:rPr>
        <w:br w:type="page"/>
      </w:r>
    </w:p>
    <w:p w14:paraId="74E51DE7" w14:textId="1A101246" w:rsidR="0032428E" w:rsidRPr="0032428E" w:rsidRDefault="0063111B" w:rsidP="0032428E">
      <w:pPr>
        <w:pStyle w:val="Heading1"/>
        <w:rPr>
          <w:lang w:val="en-IN"/>
        </w:rPr>
      </w:pPr>
      <w:bookmarkStart w:id="4" w:name="_Toc174548276"/>
      <w:r>
        <w:rPr>
          <w:lang w:val="en-IN"/>
        </w:rPr>
        <w:lastRenderedPageBreak/>
        <w:t>Describing the c</w:t>
      </w:r>
      <w:r w:rsidR="0032428E" w:rsidRPr="0032428E">
        <w:rPr>
          <w:lang w:val="en-IN"/>
        </w:rPr>
        <w:t xml:space="preserve">hallenges </w:t>
      </w:r>
      <w:r>
        <w:rPr>
          <w:lang w:val="en-IN"/>
        </w:rPr>
        <w:t xml:space="preserve">faced by the MNCs in </w:t>
      </w:r>
      <w:r w:rsidR="0032428E" w:rsidRPr="0032428E">
        <w:rPr>
          <w:lang w:val="en-IN"/>
        </w:rPr>
        <w:t>implementing the strategies</w:t>
      </w:r>
      <w:bookmarkEnd w:id="4"/>
    </w:p>
    <w:p w14:paraId="14B92613" w14:textId="77777777" w:rsidR="0032428E" w:rsidRPr="0032428E" w:rsidRDefault="0032428E" w:rsidP="0032428E">
      <w:pPr>
        <w:rPr>
          <w:lang w:val="en-IN"/>
        </w:rPr>
      </w:pPr>
      <w:r w:rsidRPr="0032428E">
        <w:rPr>
          <w:lang w:val="en-IN"/>
        </w:rPr>
        <w:t>The strategies regarding the foreign exchange risks effectually reduce the risk probabilities. In order to evaluate such a process entities faced different challenges as the strategies require expertise and also standardisation in the price levels. Some of the common challenges faced by the entities while implementing the strategies are represented below.</w:t>
      </w:r>
    </w:p>
    <w:p w14:paraId="1DF663D2" w14:textId="77777777" w:rsidR="0032428E" w:rsidRPr="0032428E" w:rsidRDefault="0032428E" w:rsidP="0032428E">
      <w:pPr>
        <w:rPr>
          <w:lang w:val="en-IN"/>
        </w:rPr>
      </w:pPr>
      <w:r w:rsidRPr="0032428E">
        <w:rPr>
          <w:b/>
          <w:bCs/>
          <w:lang w:val="en-IN"/>
        </w:rPr>
        <w:t>I. Inappropriate forecasting-</w:t>
      </w:r>
    </w:p>
    <w:p w14:paraId="10603C9E" w14:textId="0251D08D" w:rsidR="0032428E" w:rsidRPr="0032428E" w:rsidRDefault="0032428E" w:rsidP="0032428E">
      <w:pPr>
        <w:rPr>
          <w:lang w:val="en-IN"/>
        </w:rPr>
      </w:pPr>
      <w:r w:rsidRPr="0032428E">
        <w:rPr>
          <w:lang w:val="en-IN"/>
        </w:rPr>
        <w:t>The ways the price level can fluctuate cannot be predicted in advance, thus ineffective forecasting leaves the probability of the risks with a lesser impact</w:t>
      </w:r>
      <w:r w:rsidR="00CD7B7B">
        <w:rPr>
          <w:lang w:val="en-IN"/>
        </w:rPr>
        <w:t xml:space="preserve"> (</w:t>
      </w:r>
      <w:r w:rsidR="00CD7B7B" w:rsidRPr="00CD7B7B">
        <w:rPr>
          <w:lang w:val="en-IN"/>
        </w:rPr>
        <w:t>Banks,</w:t>
      </w:r>
      <w:r w:rsidR="00CD7B7B">
        <w:rPr>
          <w:lang w:val="en-IN"/>
        </w:rPr>
        <w:t xml:space="preserve"> </w:t>
      </w:r>
      <w:r w:rsidR="00CD7B7B" w:rsidRPr="00CD7B7B">
        <w:rPr>
          <w:lang w:val="en-IN"/>
        </w:rPr>
        <w:t>2023</w:t>
      </w:r>
      <w:r w:rsidR="00CD7B7B">
        <w:rPr>
          <w:lang w:val="en-IN"/>
        </w:rPr>
        <w:t>).</w:t>
      </w:r>
      <w:r w:rsidRPr="0032428E">
        <w:rPr>
          <w:lang w:val="en-IN"/>
        </w:rPr>
        <w:t xml:space="preserve"> For instance, the foreign exchange rates significantly fluctuated in the time of the pandemic as the economic standings have been nurtured at that respective time period.</w:t>
      </w:r>
    </w:p>
    <w:p w14:paraId="57023E42" w14:textId="77777777" w:rsidR="0032428E" w:rsidRPr="0032428E" w:rsidRDefault="0032428E" w:rsidP="0032428E">
      <w:pPr>
        <w:rPr>
          <w:lang w:val="en-IN"/>
        </w:rPr>
      </w:pPr>
      <w:r w:rsidRPr="0032428E">
        <w:rPr>
          <w:b/>
          <w:bCs/>
          <w:lang w:val="en-IN"/>
        </w:rPr>
        <w:t>II. Complexity of the operations-</w:t>
      </w:r>
    </w:p>
    <w:p w14:paraId="0C1B410C" w14:textId="6245D2C6" w:rsidR="0032428E" w:rsidRPr="0032428E" w:rsidRDefault="0032428E" w:rsidP="0032428E">
      <w:pPr>
        <w:rPr>
          <w:lang w:val="en-IN"/>
        </w:rPr>
      </w:pPr>
      <w:r w:rsidRPr="0032428E">
        <w:rPr>
          <w:lang w:val="en-IN"/>
        </w:rPr>
        <w:t xml:space="preserve">The implementation of the hedging strategies requires expertise and they are also expensive in nature. Although it impacts mostly SMEs, MNCs such as Barclays </w:t>
      </w:r>
      <w:r w:rsidR="00CD7B7B">
        <w:rPr>
          <w:lang w:val="en-IN"/>
        </w:rPr>
        <w:t>still</w:t>
      </w:r>
      <w:r w:rsidRPr="0032428E">
        <w:rPr>
          <w:lang w:val="en-IN"/>
        </w:rPr>
        <w:t xml:space="preserve"> face operational complexities in managing, maintaining and monitoring their operations</w:t>
      </w:r>
      <w:r w:rsidR="00CD7B7B">
        <w:rPr>
          <w:lang w:val="en-IN"/>
        </w:rPr>
        <w:t xml:space="preserve"> (</w:t>
      </w:r>
      <w:proofErr w:type="spellStart"/>
      <w:r w:rsidR="00CD7B7B" w:rsidRPr="00CD7B7B">
        <w:rPr>
          <w:lang w:val="en-IN"/>
        </w:rPr>
        <w:t>Langenmayr</w:t>
      </w:r>
      <w:proofErr w:type="spellEnd"/>
      <w:r w:rsidR="00CD7B7B">
        <w:rPr>
          <w:lang w:val="en-IN"/>
        </w:rPr>
        <w:t xml:space="preserve"> </w:t>
      </w:r>
      <w:r w:rsidR="00CD7B7B" w:rsidRPr="00CD7B7B">
        <w:rPr>
          <w:lang w:val="en-IN"/>
        </w:rPr>
        <w:t xml:space="preserve">and </w:t>
      </w:r>
      <w:proofErr w:type="spellStart"/>
      <w:r w:rsidR="00CD7B7B" w:rsidRPr="00CD7B7B">
        <w:rPr>
          <w:lang w:val="en-IN"/>
        </w:rPr>
        <w:t>Zyska</w:t>
      </w:r>
      <w:proofErr w:type="spellEnd"/>
      <w:r w:rsidR="00CD7B7B" w:rsidRPr="00CD7B7B">
        <w:rPr>
          <w:lang w:val="en-IN"/>
        </w:rPr>
        <w:t>,</w:t>
      </w:r>
      <w:r w:rsidR="00CD7B7B">
        <w:rPr>
          <w:lang w:val="en-IN"/>
        </w:rPr>
        <w:t xml:space="preserve"> </w:t>
      </w:r>
      <w:r w:rsidR="00CD7B7B" w:rsidRPr="00CD7B7B">
        <w:rPr>
          <w:lang w:val="en-IN"/>
        </w:rPr>
        <w:t>2023</w:t>
      </w:r>
      <w:r w:rsidR="00CD7B7B">
        <w:rPr>
          <w:lang w:val="en-IN"/>
        </w:rPr>
        <w:t>)</w:t>
      </w:r>
      <w:r w:rsidRPr="0032428E">
        <w:rPr>
          <w:lang w:val="en-IN"/>
        </w:rPr>
        <w:t>. </w:t>
      </w:r>
    </w:p>
    <w:p w14:paraId="0C9B1F63" w14:textId="77777777" w:rsidR="0032428E" w:rsidRPr="0032428E" w:rsidRDefault="0032428E" w:rsidP="0032428E">
      <w:pPr>
        <w:rPr>
          <w:lang w:val="en-IN"/>
        </w:rPr>
      </w:pPr>
      <w:r w:rsidRPr="0032428E">
        <w:rPr>
          <w:b/>
          <w:bCs/>
          <w:lang w:val="en-IN"/>
        </w:rPr>
        <w:t>III. Internal measures-</w:t>
      </w:r>
    </w:p>
    <w:p w14:paraId="360FCB05" w14:textId="715D2D91" w:rsidR="0032428E" w:rsidRPr="0032428E" w:rsidRDefault="0032428E" w:rsidP="0032428E">
      <w:pPr>
        <w:rPr>
          <w:lang w:val="en-IN"/>
        </w:rPr>
      </w:pPr>
      <w:r w:rsidRPr="0032428E">
        <w:rPr>
          <w:lang w:val="en-IN"/>
        </w:rPr>
        <w:t>Another difficulty in the application of those strategies is the internal measures which is one of the common difficulties faced by the entities. For instance, Barclays can face a lack of expertise in the operational aspects. The organisational structure can be interrupted by the internal members such as communication barriers and other complications can happen in the different departments</w:t>
      </w:r>
      <w:r w:rsidR="00CD7B7B">
        <w:rPr>
          <w:lang w:val="en-IN"/>
        </w:rPr>
        <w:t xml:space="preserve"> (</w:t>
      </w:r>
      <w:proofErr w:type="spellStart"/>
      <w:r w:rsidR="00CD7B7B" w:rsidRPr="00CD7B7B">
        <w:rPr>
          <w:lang w:val="en-IN"/>
        </w:rPr>
        <w:t>Oskolkov</w:t>
      </w:r>
      <w:proofErr w:type="spellEnd"/>
      <w:r w:rsidR="00CD7B7B" w:rsidRPr="00CD7B7B">
        <w:rPr>
          <w:lang w:val="en-IN"/>
        </w:rPr>
        <w:t>, 2023</w:t>
      </w:r>
      <w:r w:rsidR="00CD7B7B">
        <w:rPr>
          <w:lang w:val="en-IN"/>
        </w:rPr>
        <w:t>)</w:t>
      </w:r>
      <w:r w:rsidRPr="0032428E">
        <w:rPr>
          <w:lang w:val="en-IN"/>
        </w:rPr>
        <w:t>. Apart from the operational measures the entities are also affected by the difficult risk tolerance management as well.</w:t>
      </w:r>
    </w:p>
    <w:p w14:paraId="400FBECE" w14:textId="7CF423FF" w:rsidR="0032428E" w:rsidRDefault="0032428E">
      <w:pPr>
        <w:spacing w:line="259" w:lineRule="auto"/>
        <w:jc w:val="left"/>
        <w:rPr>
          <w:b/>
          <w:bCs/>
          <w:lang w:val="en-IN"/>
        </w:rPr>
      </w:pPr>
    </w:p>
    <w:p w14:paraId="0040A2AE" w14:textId="2B142D04" w:rsidR="0032428E" w:rsidRPr="0032428E" w:rsidRDefault="0032428E" w:rsidP="0032428E">
      <w:pPr>
        <w:pStyle w:val="Heading1"/>
        <w:rPr>
          <w:lang w:val="en-IN"/>
        </w:rPr>
      </w:pPr>
      <w:bookmarkStart w:id="5" w:name="_Toc174548277"/>
      <w:r w:rsidRPr="0032428E">
        <w:rPr>
          <w:lang w:val="en-IN"/>
        </w:rPr>
        <w:lastRenderedPageBreak/>
        <w:t>Stating some useful recommendations</w:t>
      </w:r>
      <w:bookmarkEnd w:id="5"/>
    </w:p>
    <w:p w14:paraId="4AAD8DF4" w14:textId="77777777" w:rsidR="0032428E" w:rsidRPr="0032428E" w:rsidRDefault="0032428E" w:rsidP="0032428E">
      <w:pPr>
        <w:rPr>
          <w:lang w:val="en-IN"/>
        </w:rPr>
      </w:pPr>
      <w:r w:rsidRPr="0032428E">
        <w:rPr>
          <w:lang w:val="en-IN"/>
        </w:rPr>
        <w:t>There are some effectual recommendations for the MNCS to uplift their risk management regarding the foreign exchange risks. Some of the effectual recommendations can be understood through the following.</w:t>
      </w:r>
    </w:p>
    <w:p w14:paraId="7F2BB1F0" w14:textId="77777777" w:rsidR="0032428E" w:rsidRPr="0032428E" w:rsidRDefault="0032428E" w:rsidP="0032428E">
      <w:pPr>
        <w:rPr>
          <w:lang w:val="en-IN"/>
        </w:rPr>
      </w:pPr>
      <w:r w:rsidRPr="0032428E">
        <w:rPr>
          <w:b/>
          <w:bCs/>
          <w:lang w:val="en-IN"/>
        </w:rPr>
        <w:t>I. Identification of the risk-</w:t>
      </w:r>
    </w:p>
    <w:p w14:paraId="4A564CC8" w14:textId="3518C8B2" w:rsidR="0032428E" w:rsidRPr="0032428E" w:rsidRDefault="0032428E" w:rsidP="0032428E">
      <w:pPr>
        <w:rPr>
          <w:lang w:val="en-IN"/>
        </w:rPr>
      </w:pPr>
      <w:r w:rsidRPr="0032428E">
        <w:rPr>
          <w:lang w:val="en-IN"/>
        </w:rPr>
        <w:t xml:space="preserve">The entities often invest only in showing the opportunities and ignoring the probable risk factors from a long-term perspective. The foreign exchange exposures required to be identified by the entities to </w:t>
      </w:r>
      <w:r w:rsidR="00E826D6">
        <w:rPr>
          <w:lang w:val="en-IN"/>
        </w:rPr>
        <w:t>assess</w:t>
      </w:r>
      <w:r w:rsidRPr="0032428E">
        <w:rPr>
          <w:lang w:val="en-IN"/>
        </w:rPr>
        <w:t xml:space="preserve"> the risk in advance for lower risks.</w:t>
      </w:r>
    </w:p>
    <w:p w14:paraId="6BCC7397" w14:textId="77777777" w:rsidR="0032428E" w:rsidRPr="0032428E" w:rsidRDefault="0032428E" w:rsidP="0032428E">
      <w:pPr>
        <w:rPr>
          <w:lang w:val="en-IN"/>
        </w:rPr>
      </w:pPr>
      <w:r w:rsidRPr="0032428E">
        <w:rPr>
          <w:b/>
          <w:bCs/>
          <w:lang w:val="en-IN"/>
        </w:rPr>
        <w:t>II. Preferring diversifications-</w:t>
      </w:r>
    </w:p>
    <w:p w14:paraId="1D7B4704" w14:textId="63476822" w:rsidR="0032428E" w:rsidRPr="0032428E" w:rsidRDefault="0032428E" w:rsidP="0032428E">
      <w:pPr>
        <w:rPr>
          <w:lang w:val="en-IN"/>
        </w:rPr>
      </w:pPr>
      <w:r w:rsidRPr="0032428E">
        <w:rPr>
          <w:lang w:val="en-IN"/>
        </w:rPr>
        <w:t xml:space="preserve">MNCs such as Barclays are recommended to invest the foreign exchange rates </w:t>
      </w:r>
      <w:r w:rsidR="006C5347">
        <w:rPr>
          <w:lang w:val="en-IN"/>
        </w:rPr>
        <w:t>in</w:t>
      </w:r>
      <w:r w:rsidRPr="0032428E">
        <w:rPr>
          <w:lang w:val="en-IN"/>
        </w:rPr>
        <w:t xml:space="preserve"> a diverse context to gain multiple currency values and dominate the risk possibilities. It mainly sheds light on operating effectual management as the actives lead the MNCs to invest effectually and gain potential revenue from it.</w:t>
      </w:r>
    </w:p>
    <w:p w14:paraId="1D60324E" w14:textId="77777777" w:rsidR="0032428E" w:rsidRPr="0032428E" w:rsidRDefault="0032428E" w:rsidP="0032428E">
      <w:pPr>
        <w:rPr>
          <w:lang w:val="en-IN"/>
        </w:rPr>
      </w:pPr>
      <w:r w:rsidRPr="0032428E">
        <w:rPr>
          <w:b/>
          <w:bCs/>
          <w:lang w:val="en-IN"/>
        </w:rPr>
        <w:t>III. Regular monitoring-</w:t>
      </w:r>
    </w:p>
    <w:p w14:paraId="0E76A99D" w14:textId="2581DE71" w:rsidR="0032428E" w:rsidRPr="0032428E" w:rsidRDefault="0032428E" w:rsidP="0032428E">
      <w:pPr>
        <w:rPr>
          <w:lang w:val="en-IN"/>
        </w:rPr>
      </w:pPr>
      <w:r w:rsidRPr="0032428E">
        <w:rPr>
          <w:lang w:val="en-IN"/>
        </w:rPr>
        <w:t>The entities are suggested to monitor and evaluate the foreign exchange activities on a regular basis so that the entities and asses the performance evaluation. They will also get the opportunity to identify further improvement measures by developing the required areas of the operations as well.</w:t>
      </w:r>
    </w:p>
    <w:p w14:paraId="7955A640" w14:textId="77777777" w:rsidR="0032428E" w:rsidRPr="0032428E" w:rsidRDefault="0032428E" w:rsidP="0032428E">
      <w:pPr>
        <w:rPr>
          <w:lang w:val="en-IN"/>
        </w:rPr>
      </w:pPr>
    </w:p>
    <w:p w14:paraId="16FE8A4B" w14:textId="77777777" w:rsidR="0032428E" w:rsidRDefault="0032428E">
      <w:pPr>
        <w:spacing w:line="259" w:lineRule="auto"/>
        <w:jc w:val="left"/>
        <w:rPr>
          <w:b/>
          <w:bCs/>
          <w:lang w:val="en-IN"/>
        </w:rPr>
      </w:pPr>
      <w:r>
        <w:rPr>
          <w:b/>
          <w:bCs/>
          <w:lang w:val="en-IN"/>
        </w:rPr>
        <w:br w:type="page"/>
      </w:r>
    </w:p>
    <w:p w14:paraId="65D7EA9F" w14:textId="3C013FEF" w:rsidR="0032428E" w:rsidRPr="0032428E" w:rsidRDefault="0032428E" w:rsidP="0032428E">
      <w:pPr>
        <w:pStyle w:val="Heading1"/>
        <w:rPr>
          <w:lang w:val="en-IN"/>
        </w:rPr>
      </w:pPr>
      <w:bookmarkStart w:id="6" w:name="_Toc174548278"/>
      <w:r w:rsidRPr="0032428E">
        <w:rPr>
          <w:lang w:val="en-IN"/>
        </w:rPr>
        <w:lastRenderedPageBreak/>
        <w:t>Conclusion</w:t>
      </w:r>
      <w:bookmarkEnd w:id="6"/>
      <w:r w:rsidRPr="0032428E">
        <w:rPr>
          <w:lang w:val="en-IN"/>
        </w:rPr>
        <w:t> </w:t>
      </w:r>
    </w:p>
    <w:p w14:paraId="2750BBE4" w14:textId="262152AF" w:rsidR="00860B72" w:rsidRDefault="0032428E" w:rsidP="0032428E">
      <w:pPr>
        <w:rPr>
          <w:lang w:val="en-IN"/>
        </w:rPr>
      </w:pPr>
      <w:r w:rsidRPr="0032428E">
        <w:rPr>
          <w:lang w:val="en-IN"/>
        </w:rPr>
        <w:t>The report concludes that the foreign exchange measure contains potential risks that can heavily impact business associations. There has been an understanding of the foreign exchange rates and an explanation of the ways different risks are faced by MNCs such as Barclays. It has defined the transaction risk, translation risk and economic risks in the report. Apart from that, it has depicted different effective strategies and evaluated the difficulties faced by the organisations while applying them. It has elaborated the probabilities of the price fluctuations and evaluated its impact towards the business associations. Furthermore, the report has recommended some factors according to the foreign exchange risks to be mitigated for the improvement of the standards of the MNCs.</w:t>
      </w:r>
    </w:p>
    <w:p w14:paraId="676DD937" w14:textId="77777777" w:rsidR="00860B72" w:rsidRDefault="00860B72">
      <w:pPr>
        <w:spacing w:line="259" w:lineRule="auto"/>
        <w:jc w:val="left"/>
        <w:rPr>
          <w:lang w:val="en-IN"/>
        </w:rPr>
      </w:pPr>
      <w:r>
        <w:rPr>
          <w:lang w:val="en-IN"/>
        </w:rPr>
        <w:br w:type="page"/>
      </w:r>
    </w:p>
    <w:p w14:paraId="4C710032" w14:textId="2D8667B3" w:rsidR="0032428E" w:rsidRDefault="00860B72" w:rsidP="00860B72">
      <w:pPr>
        <w:pStyle w:val="Heading1"/>
        <w:rPr>
          <w:lang w:val="en-IN"/>
        </w:rPr>
      </w:pPr>
      <w:bookmarkStart w:id="7" w:name="_Toc174548279"/>
      <w:r>
        <w:rPr>
          <w:lang w:val="en-IN"/>
        </w:rPr>
        <w:lastRenderedPageBreak/>
        <w:t>References</w:t>
      </w:r>
      <w:bookmarkEnd w:id="7"/>
    </w:p>
    <w:p w14:paraId="331AAD19" w14:textId="77777777" w:rsidR="00860B72" w:rsidRDefault="00860B72" w:rsidP="00860B72">
      <w:r>
        <w:t>Banks, E., (2023). Finance: the basics. Routledge.</w:t>
      </w:r>
    </w:p>
    <w:p w14:paraId="216F64A9" w14:textId="77777777" w:rsidR="00860B72" w:rsidRDefault="00860B72" w:rsidP="00860B72">
      <w:r>
        <w:t>Barclays, (2024). Foreign currency. [Online] Available at: https://www.barclays.co.uk/travel/foreign-currency-exchange/ [Accessed 08 August 2024].</w:t>
      </w:r>
    </w:p>
    <w:p w14:paraId="4975734C" w14:textId="77777777" w:rsidR="00860B72" w:rsidRDefault="00860B72" w:rsidP="00860B72">
      <w:r>
        <w:t>BBC, (2024). Foreign money and exchange rates. [Online] Available at: https://www.bbc.co.uk/bitesize/guides/zcdjng8/revision/1 [Accessed 08 August 2024].</w:t>
      </w:r>
    </w:p>
    <w:p w14:paraId="39D50486" w14:textId="77777777" w:rsidR="00860B72" w:rsidRDefault="00860B72" w:rsidP="00860B72">
      <w:proofErr w:type="spellStart"/>
      <w:r>
        <w:t>Eichengreen</w:t>
      </w:r>
      <w:proofErr w:type="spellEnd"/>
      <w:r>
        <w:t>, B. and Sussman, N., (2024). The international monetary system in the (very) long run. In Handbook of Cliometrics (pp. 1749-1783). Cham: Springer International Publishing.</w:t>
      </w:r>
    </w:p>
    <w:p w14:paraId="3C1B6152" w14:textId="77777777" w:rsidR="00860B72" w:rsidRDefault="00860B72" w:rsidP="00860B72">
      <w:r>
        <w:t xml:space="preserve">Forbes, (2023). How Businesses Can Navigate Currency Exchange Risks </w:t>
      </w:r>
      <w:proofErr w:type="gramStart"/>
      <w:r>
        <w:t>With</w:t>
      </w:r>
      <w:proofErr w:type="gramEnd"/>
      <w:r>
        <w:t xml:space="preserve"> Multicurrency Accounts. [Online] Available at: https://www.forbes.com/councils/forbesbusinesscouncil/2023/12/08/how-businesses-can-navigate-currency-exchange-risks-with-multicurrency-accounts/ [Accessed 08 August 2024].</w:t>
      </w:r>
    </w:p>
    <w:p w14:paraId="01715C10" w14:textId="77777777" w:rsidR="00860B72" w:rsidRDefault="00860B72" w:rsidP="00860B72">
      <w:r>
        <w:t>Jeanne, O. and Sandri, D., (2023). Global financial cycle and liquidity management. Journal of International Economics, 146, p.103736.</w:t>
      </w:r>
    </w:p>
    <w:p w14:paraId="74E57A0C" w14:textId="77777777" w:rsidR="00860B72" w:rsidRDefault="00860B72" w:rsidP="00860B72">
      <w:proofErr w:type="spellStart"/>
      <w:r>
        <w:t>Langenmayr</w:t>
      </w:r>
      <w:proofErr w:type="spellEnd"/>
      <w:r>
        <w:t xml:space="preserve">, D. and </w:t>
      </w:r>
      <w:proofErr w:type="spellStart"/>
      <w:r>
        <w:t>Zyska</w:t>
      </w:r>
      <w:proofErr w:type="spellEnd"/>
      <w:r>
        <w:t>, L., (2023). Escaping the exchange of information: Tax evasion via citizenship-by-investment. Journal of Public Economics, 221, p.104865.</w:t>
      </w:r>
    </w:p>
    <w:p w14:paraId="22880CF5" w14:textId="77777777" w:rsidR="00860B72" w:rsidRDefault="00860B72" w:rsidP="00860B72">
      <w:proofErr w:type="spellStart"/>
      <w:r>
        <w:t>Oskolkov</w:t>
      </w:r>
      <w:proofErr w:type="spellEnd"/>
      <w:r>
        <w:t>, A., (2023). Exchange rate policy and heterogeneity in small open economies. Journal of International Economics, 142, p.103750.</w:t>
      </w:r>
    </w:p>
    <w:p w14:paraId="5865D5EA" w14:textId="77777777" w:rsidR="00860B72" w:rsidRDefault="00860B72" w:rsidP="00860B72">
      <w:r>
        <w:t>Pilbeam, K., (2023). International finance. Bloomsbury Publishing.</w:t>
      </w:r>
    </w:p>
    <w:p w14:paraId="4E94AE72" w14:textId="2BA0FA14" w:rsidR="00860B72" w:rsidRPr="00860B72" w:rsidRDefault="00860B72" w:rsidP="00860B72">
      <w:proofErr w:type="spellStart"/>
      <w:r>
        <w:t>Suranovic</w:t>
      </w:r>
      <w:proofErr w:type="spellEnd"/>
      <w:r>
        <w:t>, S., (2023). International finance: Theory and policy.</w:t>
      </w:r>
    </w:p>
    <w:p w14:paraId="73D86C07" w14:textId="77777777" w:rsidR="0032428E" w:rsidRPr="0032428E" w:rsidRDefault="0032428E" w:rsidP="0032428E"/>
    <w:sectPr w:rsidR="0032428E" w:rsidRPr="0032428E" w:rsidSect="0032428E">
      <w:headerReference w:type="default" r:id="rId1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D9AAE" w14:textId="77777777" w:rsidR="00E82A17" w:rsidRDefault="00E82A17" w:rsidP="0032428E">
      <w:pPr>
        <w:spacing w:after="0" w:line="240" w:lineRule="auto"/>
      </w:pPr>
      <w:r>
        <w:separator/>
      </w:r>
    </w:p>
  </w:endnote>
  <w:endnote w:type="continuationSeparator" w:id="0">
    <w:p w14:paraId="406E8D83" w14:textId="77777777" w:rsidR="00E82A17" w:rsidRDefault="00E82A17" w:rsidP="00324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2290669"/>
      <w:docPartObj>
        <w:docPartGallery w:val="Page Numbers (Bottom of Page)"/>
        <w:docPartUnique/>
      </w:docPartObj>
    </w:sdtPr>
    <w:sdtContent>
      <w:sdt>
        <w:sdtPr>
          <w:id w:val="-1769616900"/>
          <w:docPartObj>
            <w:docPartGallery w:val="Page Numbers (Top of Page)"/>
            <w:docPartUnique/>
          </w:docPartObj>
        </w:sdtPr>
        <w:sdtContent>
          <w:p w14:paraId="50D45B52" w14:textId="54823835" w:rsidR="0032428E" w:rsidRDefault="0032428E">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3AE712C7" w14:textId="77777777" w:rsidR="0032428E" w:rsidRDefault="003242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0A996" w14:textId="77777777" w:rsidR="00E82A17" w:rsidRDefault="00E82A17" w:rsidP="0032428E">
      <w:pPr>
        <w:spacing w:after="0" w:line="240" w:lineRule="auto"/>
      </w:pPr>
      <w:r>
        <w:separator/>
      </w:r>
    </w:p>
  </w:footnote>
  <w:footnote w:type="continuationSeparator" w:id="0">
    <w:p w14:paraId="090920F4" w14:textId="77777777" w:rsidR="00E82A17" w:rsidRDefault="00E82A17" w:rsidP="003242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155FD" w14:textId="00F3E5D7" w:rsidR="0032428E" w:rsidRDefault="0032428E" w:rsidP="0032428E">
    <w:pPr>
      <w:pStyle w:val="Header"/>
      <w:jc w:val="right"/>
    </w:pPr>
    <w:r w:rsidRPr="0032428E">
      <w:t>International Financial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A6FD9"/>
    <w:multiLevelType w:val="hybridMultilevel"/>
    <w:tmpl w:val="69AEB0D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465898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E44"/>
    <w:rsid w:val="00001290"/>
    <w:rsid w:val="00032A48"/>
    <w:rsid w:val="00037A7A"/>
    <w:rsid w:val="001463F0"/>
    <w:rsid w:val="0032428E"/>
    <w:rsid w:val="0037420D"/>
    <w:rsid w:val="00460E44"/>
    <w:rsid w:val="005B2DED"/>
    <w:rsid w:val="0063111B"/>
    <w:rsid w:val="00645B85"/>
    <w:rsid w:val="00652EC2"/>
    <w:rsid w:val="006C5347"/>
    <w:rsid w:val="007B6E0B"/>
    <w:rsid w:val="007D7322"/>
    <w:rsid w:val="007E7DD7"/>
    <w:rsid w:val="00860B72"/>
    <w:rsid w:val="008B766C"/>
    <w:rsid w:val="008D0E8F"/>
    <w:rsid w:val="00AD5E5A"/>
    <w:rsid w:val="00AF7C5B"/>
    <w:rsid w:val="00CB3C31"/>
    <w:rsid w:val="00CD7B7B"/>
    <w:rsid w:val="00D2400B"/>
    <w:rsid w:val="00E826D6"/>
    <w:rsid w:val="00E82A1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223E9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C5B"/>
    <w:pPr>
      <w:spacing w:line="48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AF7C5B"/>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AF7C5B"/>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C5B"/>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semiHidden/>
    <w:rsid w:val="00AF7C5B"/>
    <w:rPr>
      <w:rFonts w:ascii="Times New Roman" w:eastAsiaTheme="majorEastAsia" w:hAnsi="Times New Roman" w:cstheme="majorBidi"/>
      <w:b/>
      <w:color w:val="000000" w:themeColor="text1"/>
      <w:sz w:val="26"/>
      <w:szCs w:val="26"/>
    </w:rPr>
  </w:style>
  <w:style w:type="table" w:styleId="GridTable4">
    <w:name w:val="Grid Table 4"/>
    <w:basedOn w:val="TableNormal"/>
    <w:uiPriority w:val="49"/>
    <w:rsid w:val="00D2400B"/>
    <w:pPr>
      <w:spacing w:after="0" w:line="240" w:lineRule="auto"/>
      <w:jc w:val="center"/>
    </w:pPr>
    <w:rPr>
      <w:rFonts w:ascii="Times New Roman" w:hAnsi="Times New Roman"/>
      <w:color w:val="FF3399"/>
      <w:sz w:val="24"/>
    </w:rPr>
    <w:tblPr>
      <w:tblStyleRowBandSize w:val="1"/>
      <w:tblStyleColBandSize w:val="1"/>
      <w:tblBorders>
        <w:top w:val="single" w:sz="4" w:space="0" w:color="FF3399"/>
        <w:left w:val="single" w:sz="4" w:space="0" w:color="FF3399"/>
        <w:bottom w:val="single" w:sz="4" w:space="0" w:color="FF3399"/>
        <w:right w:val="single" w:sz="4" w:space="0" w:color="FF3399"/>
        <w:insideH w:val="single" w:sz="4" w:space="0" w:color="FF3399"/>
        <w:insideV w:val="single" w:sz="4" w:space="0" w:color="FF3399"/>
      </w:tblBorders>
    </w:tblPr>
    <w:tcPr>
      <w:shd w:val="clear" w:color="auto" w:fill="FF3399"/>
    </w:tc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3242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428E"/>
    <w:rPr>
      <w:rFonts w:ascii="Times New Roman" w:hAnsi="Times New Roman"/>
      <w:color w:val="000000" w:themeColor="text1"/>
      <w:sz w:val="24"/>
      <w:lang w:val="en-GB"/>
    </w:rPr>
  </w:style>
  <w:style w:type="paragraph" w:styleId="Footer">
    <w:name w:val="footer"/>
    <w:basedOn w:val="Normal"/>
    <w:link w:val="FooterChar"/>
    <w:uiPriority w:val="99"/>
    <w:unhideWhenUsed/>
    <w:rsid w:val="003242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428E"/>
    <w:rPr>
      <w:rFonts w:ascii="Times New Roman" w:hAnsi="Times New Roman"/>
      <w:color w:val="000000" w:themeColor="text1"/>
      <w:sz w:val="24"/>
      <w:lang w:val="en-GB"/>
    </w:rPr>
  </w:style>
  <w:style w:type="paragraph" w:styleId="Bibliography">
    <w:name w:val="Bibliography"/>
    <w:basedOn w:val="Normal"/>
    <w:next w:val="Normal"/>
    <w:uiPriority w:val="37"/>
    <w:unhideWhenUsed/>
    <w:rsid w:val="00860B72"/>
  </w:style>
  <w:style w:type="character" w:styleId="Hyperlink">
    <w:name w:val="Hyperlink"/>
    <w:basedOn w:val="DefaultParagraphFont"/>
    <w:uiPriority w:val="99"/>
    <w:unhideWhenUsed/>
    <w:rsid w:val="00860B72"/>
    <w:rPr>
      <w:color w:val="0563C1" w:themeColor="hyperlink"/>
      <w:u w:val="single"/>
    </w:rPr>
  </w:style>
  <w:style w:type="character" w:styleId="UnresolvedMention">
    <w:name w:val="Unresolved Mention"/>
    <w:basedOn w:val="DefaultParagraphFont"/>
    <w:uiPriority w:val="99"/>
    <w:semiHidden/>
    <w:unhideWhenUsed/>
    <w:rsid w:val="00860B72"/>
    <w:rPr>
      <w:color w:val="605E5C"/>
      <w:shd w:val="clear" w:color="auto" w:fill="E1DFDD"/>
    </w:rPr>
  </w:style>
  <w:style w:type="paragraph" w:styleId="ListParagraph">
    <w:name w:val="List Paragraph"/>
    <w:basedOn w:val="Normal"/>
    <w:uiPriority w:val="34"/>
    <w:qFormat/>
    <w:rsid w:val="00860B72"/>
    <w:pPr>
      <w:ind w:left="720"/>
      <w:contextualSpacing/>
    </w:pPr>
  </w:style>
  <w:style w:type="paragraph" w:styleId="TOCHeading">
    <w:name w:val="TOC Heading"/>
    <w:basedOn w:val="Heading1"/>
    <w:next w:val="Normal"/>
    <w:uiPriority w:val="39"/>
    <w:unhideWhenUsed/>
    <w:qFormat/>
    <w:rsid w:val="005B2DED"/>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5B2DE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595294">
      <w:bodyDiv w:val="1"/>
      <w:marLeft w:val="0"/>
      <w:marRight w:val="0"/>
      <w:marTop w:val="0"/>
      <w:marBottom w:val="0"/>
      <w:divBdr>
        <w:top w:val="none" w:sz="0" w:space="0" w:color="auto"/>
        <w:left w:val="none" w:sz="0" w:space="0" w:color="auto"/>
        <w:bottom w:val="none" w:sz="0" w:space="0" w:color="auto"/>
        <w:right w:val="none" w:sz="0" w:space="0" w:color="auto"/>
      </w:divBdr>
    </w:div>
    <w:div w:id="333190128">
      <w:bodyDiv w:val="1"/>
      <w:marLeft w:val="0"/>
      <w:marRight w:val="0"/>
      <w:marTop w:val="0"/>
      <w:marBottom w:val="0"/>
      <w:divBdr>
        <w:top w:val="none" w:sz="0" w:space="0" w:color="auto"/>
        <w:left w:val="none" w:sz="0" w:space="0" w:color="auto"/>
        <w:bottom w:val="none" w:sz="0" w:space="0" w:color="auto"/>
        <w:right w:val="none" w:sz="0" w:space="0" w:color="auto"/>
      </w:divBdr>
    </w:div>
    <w:div w:id="352926455">
      <w:bodyDiv w:val="1"/>
      <w:marLeft w:val="0"/>
      <w:marRight w:val="0"/>
      <w:marTop w:val="0"/>
      <w:marBottom w:val="0"/>
      <w:divBdr>
        <w:top w:val="none" w:sz="0" w:space="0" w:color="auto"/>
        <w:left w:val="none" w:sz="0" w:space="0" w:color="auto"/>
        <w:bottom w:val="none" w:sz="0" w:space="0" w:color="auto"/>
        <w:right w:val="none" w:sz="0" w:space="0" w:color="auto"/>
      </w:divBdr>
    </w:div>
    <w:div w:id="453595708">
      <w:bodyDiv w:val="1"/>
      <w:marLeft w:val="0"/>
      <w:marRight w:val="0"/>
      <w:marTop w:val="0"/>
      <w:marBottom w:val="0"/>
      <w:divBdr>
        <w:top w:val="none" w:sz="0" w:space="0" w:color="auto"/>
        <w:left w:val="none" w:sz="0" w:space="0" w:color="auto"/>
        <w:bottom w:val="none" w:sz="0" w:space="0" w:color="auto"/>
        <w:right w:val="none" w:sz="0" w:space="0" w:color="auto"/>
      </w:divBdr>
    </w:div>
    <w:div w:id="824012446">
      <w:bodyDiv w:val="1"/>
      <w:marLeft w:val="0"/>
      <w:marRight w:val="0"/>
      <w:marTop w:val="0"/>
      <w:marBottom w:val="0"/>
      <w:divBdr>
        <w:top w:val="none" w:sz="0" w:space="0" w:color="auto"/>
        <w:left w:val="none" w:sz="0" w:space="0" w:color="auto"/>
        <w:bottom w:val="none" w:sz="0" w:space="0" w:color="auto"/>
        <w:right w:val="none" w:sz="0" w:space="0" w:color="auto"/>
      </w:divBdr>
    </w:div>
    <w:div w:id="881403628">
      <w:bodyDiv w:val="1"/>
      <w:marLeft w:val="0"/>
      <w:marRight w:val="0"/>
      <w:marTop w:val="0"/>
      <w:marBottom w:val="0"/>
      <w:divBdr>
        <w:top w:val="none" w:sz="0" w:space="0" w:color="auto"/>
        <w:left w:val="none" w:sz="0" w:space="0" w:color="auto"/>
        <w:bottom w:val="none" w:sz="0" w:space="0" w:color="auto"/>
        <w:right w:val="none" w:sz="0" w:space="0" w:color="auto"/>
      </w:divBdr>
    </w:div>
    <w:div w:id="1042513064">
      <w:bodyDiv w:val="1"/>
      <w:marLeft w:val="0"/>
      <w:marRight w:val="0"/>
      <w:marTop w:val="0"/>
      <w:marBottom w:val="0"/>
      <w:divBdr>
        <w:top w:val="none" w:sz="0" w:space="0" w:color="auto"/>
        <w:left w:val="none" w:sz="0" w:space="0" w:color="auto"/>
        <w:bottom w:val="none" w:sz="0" w:space="0" w:color="auto"/>
        <w:right w:val="none" w:sz="0" w:space="0" w:color="auto"/>
      </w:divBdr>
    </w:div>
    <w:div w:id="1205484077">
      <w:bodyDiv w:val="1"/>
      <w:marLeft w:val="0"/>
      <w:marRight w:val="0"/>
      <w:marTop w:val="0"/>
      <w:marBottom w:val="0"/>
      <w:divBdr>
        <w:top w:val="none" w:sz="0" w:space="0" w:color="auto"/>
        <w:left w:val="none" w:sz="0" w:space="0" w:color="auto"/>
        <w:bottom w:val="none" w:sz="0" w:space="0" w:color="auto"/>
        <w:right w:val="none" w:sz="0" w:space="0" w:color="auto"/>
      </w:divBdr>
    </w:div>
    <w:div w:id="1268585214">
      <w:bodyDiv w:val="1"/>
      <w:marLeft w:val="0"/>
      <w:marRight w:val="0"/>
      <w:marTop w:val="0"/>
      <w:marBottom w:val="0"/>
      <w:divBdr>
        <w:top w:val="none" w:sz="0" w:space="0" w:color="auto"/>
        <w:left w:val="none" w:sz="0" w:space="0" w:color="auto"/>
        <w:bottom w:val="none" w:sz="0" w:space="0" w:color="auto"/>
        <w:right w:val="none" w:sz="0" w:space="0" w:color="auto"/>
      </w:divBdr>
    </w:div>
    <w:div w:id="1293946954">
      <w:bodyDiv w:val="1"/>
      <w:marLeft w:val="0"/>
      <w:marRight w:val="0"/>
      <w:marTop w:val="0"/>
      <w:marBottom w:val="0"/>
      <w:divBdr>
        <w:top w:val="none" w:sz="0" w:space="0" w:color="auto"/>
        <w:left w:val="none" w:sz="0" w:space="0" w:color="auto"/>
        <w:bottom w:val="none" w:sz="0" w:space="0" w:color="auto"/>
        <w:right w:val="none" w:sz="0" w:space="0" w:color="auto"/>
      </w:divBdr>
    </w:div>
    <w:div w:id="1500192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BBC24163</b:Tag>
    <b:SourceType>InternetSite</b:SourceType>
    <b:Guid>{FB2AE04B-BE96-4D68-8020-73817F5EB83B}</b:Guid>
    <b:Author>
      <b:Author>
        <b:Corporate>BBC</b:Corporate>
      </b:Author>
    </b:Author>
    <b:Title>Foreign money and exchange rates </b:Title>
    <b:Year>2024</b:Year>
    <b:YearAccessed>2024</b:YearAccessed>
    <b:MonthAccessed>August</b:MonthAccessed>
    <b:DayAccessed>08</b:DayAccessed>
    <b:URL>https://www.bbc.co.uk/bitesize/guides/zcdjng8/revision/1</b:URL>
    <b:RefOrder>1</b:RefOrder>
  </b:Source>
  <b:Source>
    <b:Tag>For2385</b:Tag>
    <b:SourceType>InternetSite</b:SourceType>
    <b:Guid>{32C8F8C9-5A93-4B09-ADC8-C44415A321A7}</b:Guid>
    <b:Author>
      <b:Author>
        <b:Corporate>Forbes</b:Corporate>
      </b:Author>
    </b:Author>
    <b:Title>How Businesses Can Navigate Currency Exchange Risks With Multicurrency Accounts</b:Title>
    <b:Year>2023</b:Year>
    <b:YearAccessed>2024</b:YearAccessed>
    <b:MonthAccessed>August</b:MonthAccessed>
    <b:DayAccessed>08</b:DayAccessed>
    <b:URL>https://www.forbes.com/councils/forbesbusinesscouncil/2023/12/08/how-businesses-can-navigate-currency-exchange-risks-with-multicurrency-accounts/</b:URL>
    <b:RefOrder>2</b:RefOrder>
  </b:Source>
  <b:Source>
    <b:Tag>Bar241</b:Tag>
    <b:SourceType>InternetSite</b:SourceType>
    <b:Guid>{B716065F-54C5-4967-946F-35103EA5C2E9}</b:Guid>
    <b:Author>
      <b:Author>
        <b:Corporate>Barclays</b:Corporate>
      </b:Author>
    </b:Author>
    <b:Title>Foreign currency</b:Title>
    <b:Year>2024</b:Year>
    <b:YearAccessed>2024</b:YearAccessed>
    <b:MonthAccessed>August</b:MonthAccessed>
    <b:DayAccessed>08</b:DayAccessed>
    <b:URL>https://www.barclays.co.uk/travel/foreign-currency-exchange/</b:URL>
    <b:RefOrder>3</b:RefOrder>
  </b:Source>
</b:Sources>
</file>

<file path=customXml/itemProps1.xml><?xml version="1.0" encoding="utf-8"?>
<ds:datastoreItem xmlns:ds="http://schemas.openxmlformats.org/officeDocument/2006/customXml" ds:itemID="{0665B2F0-D33F-4AC2-8088-86A29E468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1963</Words>
  <Characters>11192</Characters>
  <Application>Microsoft Office Word</Application>
  <DocSecurity>0</DocSecurity>
  <Lines>93</Lines>
  <Paragraphs>26</Paragraphs>
  <ScaleCrop>false</ScaleCrop>
  <Company/>
  <LinksUpToDate>false</LinksUpToDate>
  <CharactersWithSpaces>13129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2024-08-14T11:52:00Z</dcterms:created>
  <dcterms:modified xsi:type="dcterms:W3CDTF">2024-08-21T08:03:00Z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a4b6698af665d27b24ba98e1f0169d8681bded5d574f3171ec9542df496a1324</vt:lpwstr>
  </property>
</Properties>
</file>