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  <w:lang w:val="en-GB"/>
        </w:rPr>
        <w:id w:val="-786580715"/>
        <w:docPartObj>
          <w:docPartGallery w:val="Cover Pages"/>
          <w:docPartUnique/>
        </w:docPartObj>
      </w:sdtPr>
      <w:sdtEndPr>
        <w:rPr>
          <w:color w:val="auto"/>
          <w:sz w:val="24"/>
          <w:szCs w:val="24"/>
          <w:lang w:eastAsia="ja-JP"/>
        </w:rPr>
      </w:sdtEndPr>
      <w:sdtContent>
        <w:p w14:paraId="515A6112" w14:textId="0232B563" w:rsidR="00B42825" w:rsidRPr="00C3404E" w:rsidRDefault="00B42825">
          <w:pPr>
            <w:pStyle w:val="NoSpacing"/>
            <w:spacing w:before="1540" w:after="240"/>
            <w:jc w:val="center"/>
            <w:rPr>
              <w:color w:val="156082" w:themeColor="accent1"/>
              <w:lang w:val="en-GB"/>
            </w:rPr>
          </w:pPr>
          <w:r w:rsidRPr="00C3404E">
            <w:rPr>
              <w:color w:val="156082" w:themeColor="accent1"/>
              <w:lang w:val="en-GB"/>
            </w:rPr>
            <w:drawing>
              <wp:inline distT="0" distB="0" distL="0" distR="0" wp14:anchorId="4C854C6E" wp14:editId="30D1F70C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  <w:lang w:val="en-GB"/>
            </w:rPr>
            <w:alias w:val="Title"/>
            <w:tag w:val=""/>
            <w:id w:val="1735040861"/>
            <w:placeholder>
              <w:docPart w:val="A3FDF0F16C0542859B7FDFBDBD259EF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34ACD0D" w14:textId="7A39C52E" w:rsidR="00B42825" w:rsidRPr="00C3404E" w:rsidRDefault="00C60238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  <w:lang w:val="en-GB"/>
                </w:rPr>
              </w:pPr>
              <w:r w:rsidRPr="00C3404E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  <w:lang w:val="en-GB"/>
                </w:rPr>
                <w:t>Family law</w:t>
              </w:r>
              <w:r w:rsidR="00262E67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  <w:lang w:val="en-GB"/>
                </w:rPr>
                <w:t xml:space="preserve"> and Practice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  <w:lang w:val="en-GB"/>
            </w:rPr>
            <w:alias w:val="Subtitle"/>
            <w:tag w:val=""/>
            <w:id w:val="328029620"/>
            <w:placeholder>
              <w:docPart w:val="A38AF45A610343AB9C1F60CD9644AA1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7A93993" w14:textId="36A1E9F0" w:rsidR="00B42825" w:rsidRPr="00C3404E" w:rsidRDefault="00DC6DA4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  <w:lang w:val="en-GB"/>
                </w:rPr>
              </w:pPr>
              <w:r w:rsidRPr="00C3404E">
                <w:rPr>
                  <w:color w:val="156082" w:themeColor="accent1"/>
                  <w:sz w:val="28"/>
                  <w:szCs w:val="28"/>
                  <w:lang w:val="en-GB"/>
                </w:rPr>
                <w:t>Legal Portfolio</w:t>
              </w:r>
            </w:p>
          </w:sdtContent>
        </w:sdt>
        <w:p w14:paraId="72128BAC" w14:textId="77777777" w:rsidR="00B42825" w:rsidRPr="00C3404E" w:rsidRDefault="00B42825">
          <w:pPr>
            <w:pStyle w:val="NoSpacing"/>
            <w:spacing w:before="480"/>
            <w:jc w:val="center"/>
            <w:rPr>
              <w:color w:val="156082" w:themeColor="accent1"/>
              <w:lang w:val="en-GB"/>
            </w:rPr>
          </w:pPr>
          <w:r w:rsidRPr="00C3404E">
            <w:rPr>
              <w:color w:val="156082" w:themeColor="accent1"/>
              <w:lang w:val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1FF4E19" wp14:editId="3A63B42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39EF669" w14:textId="2C8BCE3F" w:rsidR="00B42825" w:rsidRPr="00C3404E" w:rsidRDefault="00DC6DA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 w:rsidRPr="00C3404E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>Calan wilkins</w:t>
                                    </w:r>
                                  </w:p>
                                </w:sdtContent>
                              </w:sdt>
                              <w:p w14:paraId="545FC53A" w14:textId="596C9848" w:rsidR="00B42825" w:rsidRPr="00C3404E" w:rsidRDefault="00B4282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C6DA4" w:rsidRPr="00C3404E">
                                      <w:rPr>
                                        <w:caps/>
                                        <w:color w:val="156082" w:themeColor="accent1"/>
                                        <w:lang w:val="en-GB"/>
                                      </w:rPr>
                                      <w:t>2400656</w:t>
                                    </w:r>
                                  </w:sdtContent>
                                </w:sdt>
                              </w:p>
                              <w:p w14:paraId="791E2CEA" w14:textId="5AE306D5" w:rsidR="00B42825" w:rsidRPr="00C3404E" w:rsidRDefault="00B4282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lang w:val="en-GB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DC6DA4" w:rsidRPr="00C3404E">
                                      <w:rPr>
                                        <w:color w:val="156082" w:themeColor="accent1"/>
                                        <w:lang w:val="en-GB"/>
                                      </w:rPr>
                                      <w:t>BMLC500</w:t>
                                    </w:r>
                                    <w:r w:rsidR="00BA49D1" w:rsidRPr="00C3404E">
                                      <w:rPr>
                                        <w:color w:val="156082" w:themeColor="accent1"/>
                                        <w:lang w:val="en-GB"/>
                                      </w:rPr>
                                      <w:t>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FF4E1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39EF669" w14:textId="2C8BCE3F" w:rsidR="00B42825" w:rsidRPr="00C3404E" w:rsidRDefault="00DC6DA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 w:rsidRPr="00C3404E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  <w:t>Calan wilkins</w:t>
                              </w:r>
                            </w:p>
                          </w:sdtContent>
                        </w:sdt>
                        <w:p w14:paraId="545FC53A" w14:textId="596C9848" w:rsidR="00B42825" w:rsidRPr="00C3404E" w:rsidRDefault="00B4282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C6DA4" w:rsidRPr="00C3404E">
                                <w:rPr>
                                  <w:caps/>
                                  <w:color w:val="156082" w:themeColor="accent1"/>
                                  <w:lang w:val="en-GB"/>
                                </w:rPr>
                                <w:t>2400656</w:t>
                              </w:r>
                            </w:sdtContent>
                          </w:sdt>
                        </w:p>
                        <w:p w14:paraId="791E2CEA" w14:textId="5AE306D5" w:rsidR="00B42825" w:rsidRPr="00C3404E" w:rsidRDefault="00B4282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lang w:val="en-GB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DC6DA4" w:rsidRPr="00C3404E">
                                <w:rPr>
                                  <w:color w:val="156082" w:themeColor="accent1"/>
                                  <w:lang w:val="en-GB"/>
                                </w:rPr>
                                <w:t>BMLC500</w:t>
                              </w:r>
                              <w:r w:rsidR="00BA49D1" w:rsidRPr="00C3404E">
                                <w:rPr>
                                  <w:color w:val="156082" w:themeColor="accent1"/>
                                  <w:lang w:val="en-GB"/>
                                </w:rPr>
                                <w:t>4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C3404E">
            <w:rPr>
              <w:color w:val="156082" w:themeColor="accent1"/>
              <w:lang w:val="en-GB"/>
            </w:rPr>
            <w:drawing>
              <wp:inline distT="0" distB="0" distL="0" distR="0" wp14:anchorId="1E040ACD" wp14:editId="1C1F2CE5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C078E63" w14:textId="30349ED1" w:rsidR="00B42825" w:rsidRPr="00C3404E" w:rsidRDefault="00B42825">
          <w:r w:rsidRPr="00C3404E">
            <w:br w:type="page"/>
          </w:r>
        </w:p>
      </w:sdtContent>
    </w:sdt>
    <w:sdt>
      <w:sdtPr>
        <w:id w:val="35022378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4"/>
          <w:szCs w:val="24"/>
          <w:lang w:val="en-GB" w:eastAsia="ja-JP"/>
        </w:rPr>
      </w:sdtEndPr>
      <w:sdtContent>
        <w:p w14:paraId="38299E6D" w14:textId="17F76F26" w:rsidR="00CA7944" w:rsidRDefault="00CA7944">
          <w:pPr>
            <w:pStyle w:val="TOCHeading"/>
          </w:pPr>
          <w:r>
            <w:t>Contents</w:t>
          </w:r>
        </w:p>
        <w:p w14:paraId="4606D1A0" w14:textId="7A0D1B9C" w:rsidR="00C1069E" w:rsidRDefault="00CA7944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732537" w:history="1">
            <w:r w:rsidR="00C1069E" w:rsidRPr="00081BEA">
              <w:rPr>
                <w:rStyle w:val="Hyperlink"/>
                <w:noProof/>
              </w:rPr>
              <w:t>AI Acknowledgement</w:t>
            </w:r>
            <w:r w:rsidR="00C1069E">
              <w:rPr>
                <w:noProof/>
                <w:webHidden/>
              </w:rPr>
              <w:tab/>
            </w:r>
            <w:r w:rsidR="00C1069E">
              <w:rPr>
                <w:noProof/>
                <w:webHidden/>
              </w:rPr>
              <w:fldChar w:fldCharType="begin"/>
            </w:r>
            <w:r w:rsidR="00C1069E">
              <w:rPr>
                <w:noProof/>
                <w:webHidden/>
              </w:rPr>
              <w:instrText xml:space="preserve"> PAGEREF _Toc219732537 \h </w:instrText>
            </w:r>
            <w:r w:rsidR="00C1069E">
              <w:rPr>
                <w:noProof/>
                <w:webHidden/>
              </w:rPr>
            </w:r>
            <w:r w:rsidR="00C1069E">
              <w:rPr>
                <w:noProof/>
                <w:webHidden/>
              </w:rPr>
              <w:fldChar w:fldCharType="separate"/>
            </w:r>
            <w:r w:rsidR="00C1069E">
              <w:rPr>
                <w:noProof/>
                <w:webHidden/>
              </w:rPr>
              <w:t>1</w:t>
            </w:r>
            <w:r w:rsidR="00C1069E">
              <w:rPr>
                <w:noProof/>
                <w:webHidden/>
              </w:rPr>
              <w:fldChar w:fldCharType="end"/>
            </w:r>
          </w:hyperlink>
        </w:p>
        <w:p w14:paraId="0EA4B37B" w14:textId="05850331" w:rsidR="00C1069E" w:rsidRDefault="00C1069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9732538" w:history="1">
            <w:r w:rsidRPr="00081BEA">
              <w:rPr>
                <w:rStyle w:val="Hyperlink"/>
                <w:noProof/>
              </w:rPr>
              <w:t>Section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_Toc219732538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62CAE" w14:textId="2E210C91" w:rsidR="00C1069E" w:rsidRDefault="00C1069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9732539" w:history="1">
            <w:r w:rsidRPr="00081BEA">
              <w:rPr>
                <w:rStyle w:val="Hyperlink"/>
                <w:noProof/>
              </w:rPr>
              <w:t>Section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_Toc219732539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6CF57D" w14:textId="259FE15E" w:rsidR="00C1069E" w:rsidRDefault="00C1069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9732540" w:history="1">
            <w:r w:rsidRPr="00081BEA">
              <w:rPr>
                <w:rStyle w:val="Hyperlink"/>
                <w:noProof/>
              </w:rPr>
              <w:t>Section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_Toc219732540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293EE" w14:textId="620106C9" w:rsidR="00C1069E" w:rsidRDefault="00C1069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9732541" w:history="1">
            <w:r w:rsidRPr="00081BEA">
              <w:rPr>
                <w:rStyle w:val="Hyperlink"/>
                <w:noProof/>
              </w:rPr>
              <w:t>Section 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_Toc219732541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C1CAEE" w14:textId="09F7F600" w:rsidR="00C1069E" w:rsidRDefault="00C1069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9732542" w:history="1">
            <w:r w:rsidRPr="00081BEA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_Toc219732542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F9D61" w14:textId="6092F283" w:rsidR="00CA7944" w:rsidRDefault="00CA7944">
          <w:r>
            <w:rPr>
              <w:b/>
              <w:bCs/>
              <w:noProof/>
            </w:rPr>
            <w:fldChar w:fldCharType="end"/>
          </w:r>
        </w:p>
      </w:sdtContent>
    </w:sdt>
    <w:p w14:paraId="6AF126DB" w14:textId="77777777" w:rsidR="00F8603B" w:rsidRPr="00F8603B" w:rsidRDefault="00F8603B" w:rsidP="00F8603B"/>
    <w:p w14:paraId="1A3374F9" w14:textId="60E263ED" w:rsidR="00C3404E" w:rsidRDefault="00C3404E" w:rsidP="00F8603B">
      <w:pPr>
        <w:pStyle w:val="Heading1"/>
      </w:pPr>
      <w:bookmarkStart w:id="0" w:name="_Toc219732537"/>
      <w:r w:rsidRPr="00C3404E">
        <w:t>AI Acknowledgement</w:t>
      </w:r>
      <w:bookmarkEnd w:id="0"/>
    </w:p>
    <w:p w14:paraId="0C3900B8" w14:textId="6C595575" w:rsidR="008F5F3F" w:rsidRPr="008F5F3F" w:rsidRDefault="008F5F3F" w:rsidP="005263BF">
      <w:pPr>
        <w:spacing w:line="360" w:lineRule="auto"/>
        <w:rPr>
          <w:rFonts w:ascii="Arial" w:hAnsi="Arial" w:cs="Arial"/>
        </w:rPr>
      </w:pPr>
      <w:r w:rsidRPr="008F5F3F">
        <w:rPr>
          <w:rFonts w:ascii="Arial" w:hAnsi="Arial" w:cs="Arial"/>
        </w:rPr>
        <w:t xml:space="preserve">I acknowledge the use of </w:t>
      </w:r>
      <w:r w:rsidR="003E6C5A" w:rsidRPr="005263BF">
        <w:rPr>
          <w:rFonts w:ascii="Arial" w:hAnsi="Arial" w:cs="Arial"/>
        </w:rPr>
        <w:t>’ChatGPT’</w:t>
      </w:r>
      <w:r w:rsidRPr="008F5F3F">
        <w:rPr>
          <w:rFonts w:ascii="Arial" w:hAnsi="Arial" w:cs="Arial"/>
        </w:rPr>
        <w:t xml:space="preserve"> (</w:t>
      </w:r>
      <w:hyperlink r:id="rId13" w:history="1">
        <w:r w:rsidR="003357FD" w:rsidRPr="005263BF">
          <w:rPr>
            <w:rStyle w:val="Hyperlink"/>
            <w:rFonts w:ascii="Arial" w:hAnsi="Arial" w:cs="Arial"/>
          </w:rPr>
          <w:t>https://chatgpt.com/</w:t>
        </w:r>
      </w:hyperlink>
      <w:r w:rsidR="003357FD" w:rsidRPr="005263BF">
        <w:rPr>
          <w:rFonts w:ascii="Arial" w:hAnsi="Arial" w:cs="Arial"/>
        </w:rPr>
        <w:t>)</w:t>
      </w:r>
      <w:r w:rsidRPr="008F5F3F">
        <w:rPr>
          <w:rFonts w:ascii="Arial" w:hAnsi="Arial" w:cs="Arial"/>
        </w:rPr>
        <w:t xml:space="preserve"> on </w:t>
      </w:r>
      <w:r w:rsidR="003357FD" w:rsidRPr="005263BF">
        <w:rPr>
          <w:rFonts w:ascii="Arial" w:hAnsi="Arial" w:cs="Arial"/>
        </w:rPr>
        <w:t>17 January 2026</w:t>
      </w:r>
      <w:r w:rsidRPr="008F5F3F">
        <w:rPr>
          <w:rFonts w:ascii="Arial" w:hAnsi="Arial" w:cs="Arial"/>
        </w:rPr>
        <w:t xml:space="preserve"> to</w:t>
      </w:r>
      <w:r w:rsidR="003357FD" w:rsidRPr="005263BF">
        <w:rPr>
          <w:rFonts w:ascii="Arial" w:hAnsi="Arial" w:cs="Arial"/>
        </w:rPr>
        <w:t xml:space="preserve"> find case names</w:t>
      </w:r>
      <w:r w:rsidRPr="008F5F3F">
        <w:rPr>
          <w:rFonts w:ascii="Arial" w:hAnsi="Arial" w:cs="Arial"/>
        </w:rPr>
        <w:t>. I used the prompt(s): </w:t>
      </w:r>
    </w:p>
    <w:p w14:paraId="01DD559C" w14:textId="7A3C7FEF" w:rsidR="008F5F3F" w:rsidRPr="008F5F3F" w:rsidRDefault="003357FD" w:rsidP="005263B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263BF">
        <w:rPr>
          <w:rFonts w:ascii="Arial" w:hAnsi="Arial" w:cs="Arial"/>
        </w:rPr>
        <w:t>‘</w:t>
      </w:r>
      <w:r w:rsidR="00E306A1" w:rsidRPr="005263BF">
        <w:rPr>
          <w:rFonts w:ascii="Arial" w:hAnsi="Arial" w:cs="Arial"/>
        </w:rPr>
        <w:t xml:space="preserve">UK cases that link to the </w:t>
      </w:r>
      <w:r w:rsidR="00095F1A" w:rsidRPr="005263BF">
        <w:rPr>
          <w:rFonts w:ascii="Arial" w:hAnsi="Arial" w:cs="Arial"/>
        </w:rPr>
        <w:t xml:space="preserve">financial </w:t>
      </w:r>
      <w:r w:rsidR="00E306A1" w:rsidRPr="005263BF">
        <w:rPr>
          <w:rFonts w:ascii="Arial" w:hAnsi="Arial" w:cs="Arial"/>
        </w:rPr>
        <w:t>orders outlined in the</w:t>
      </w:r>
      <w:r w:rsidR="00095F1A" w:rsidRPr="005263BF">
        <w:rPr>
          <w:rFonts w:ascii="Arial" w:hAnsi="Arial" w:cs="Arial"/>
        </w:rPr>
        <w:t xml:space="preserve"> Matrimonial Causes Act </w:t>
      </w:r>
      <w:r w:rsidR="00A61903" w:rsidRPr="005263BF">
        <w:rPr>
          <w:rFonts w:ascii="Arial" w:hAnsi="Arial" w:cs="Arial"/>
        </w:rPr>
        <w:t>1973’.</w:t>
      </w:r>
    </w:p>
    <w:p w14:paraId="7D325588" w14:textId="77777777" w:rsidR="008F5F3F" w:rsidRDefault="008F5F3F" w:rsidP="008F5F3F"/>
    <w:p w14:paraId="5C3BAD27" w14:textId="77777777" w:rsidR="005263BF" w:rsidRDefault="005263BF" w:rsidP="008F5F3F"/>
    <w:p w14:paraId="43E03D03" w14:textId="77777777" w:rsidR="005263BF" w:rsidRDefault="005263BF" w:rsidP="008F5F3F"/>
    <w:p w14:paraId="08731769" w14:textId="77777777" w:rsidR="005263BF" w:rsidRDefault="005263BF" w:rsidP="008F5F3F"/>
    <w:p w14:paraId="19782AFB" w14:textId="77777777" w:rsidR="005263BF" w:rsidRDefault="005263BF" w:rsidP="008F5F3F"/>
    <w:p w14:paraId="53CA1BE8" w14:textId="77777777" w:rsidR="005263BF" w:rsidRDefault="005263BF" w:rsidP="008F5F3F"/>
    <w:p w14:paraId="449E746A" w14:textId="77777777" w:rsidR="005263BF" w:rsidRDefault="005263BF" w:rsidP="008F5F3F"/>
    <w:p w14:paraId="74C58464" w14:textId="77777777" w:rsidR="005263BF" w:rsidRDefault="005263BF" w:rsidP="008F5F3F"/>
    <w:p w14:paraId="122BC221" w14:textId="2F60FC1E" w:rsidR="005263BF" w:rsidRDefault="005263BF" w:rsidP="008F5F3F"/>
    <w:p w14:paraId="5153DF63" w14:textId="77777777" w:rsidR="005263BF" w:rsidRDefault="005263BF" w:rsidP="008F5F3F"/>
    <w:p w14:paraId="44A9AB2C" w14:textId="77777777" w:rsidR="00C1069E" w:rsidRPr="008F5F3F" w:rsidRDefault="00C1069E" w:rsidP="008F5F3F"/>
    <w:p w14:paraId="3D9AB383" w14:textId="53A34E18" w:rsidR="00C3404E" w:rsidRDefault="00E65755" w:rsidP="00F8603B">
      <w:pPr>
        <w:pStyle w:val="Heading1"/>
      </w:pPr>
      <w:bookmarkStart w:id="1" w:name="_Toc219732538"/>
      <w:r>
        <w:lastRenderedPageBreak/>
        <w:t>Section A</w:t>
      </w:r>
      <w:bookmarkEnd w:id="1"/>
    </w:p>
    <w:p w14:paraId="4B8C46AD" w14:textId="190B4F4F" w:rsidR="009A14B7" w:rsidRDefault="00C3270D" w:rsidP="00C3270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Family mediation </w:t>
      </w:r>
      <w:r w:rsidR="00FB2AEE">
        <w:rPr>
          <w:rFonts w:ascii="Arial" w:hAnsi="Arial" w:cs="Arial"/>
        </w:rPr>
        <w:t xml:space="preserve">is used to resolve disputes without going through court or paying </w:t>
      </w:r>
      <w:r w:rsidR="009B6099">
        <w:rPr>
          <w:rFonts w:ascii="Arial" w:hAnsi="Arial" w:cs="Arial"/>
        </w:rPr>
        <w:t>expensive legal fees</w:t>
      </w:r>
      <w:r w:rsidR="0043503A">
        <w:rPr>
          <w:rFonts w:ascii="Arial" w:hAnsi="Arial" w:cs="Arial"/>
        </w:rPr>
        <w:t xml:space="preserve"> and works by </w:t>
      </w:r>
      <w:r w:rsidR="00C03A66">
        <w:rPr>
          <w:rFonts w:ascii="Arial" w:hAnsi="Arial" w:cs="Arial"/>
        </w:rPr>
        <w:t xml:space="preserve">helping people find practical solutions that they would deem fair (Ministry of Justice, </w:t>
      </w:r>
      <w:r w:rsidR="004A15AA">
        <w:rPr>
          <w:rFonts w:ascii="Arial" w:hAnsi="Arial" w:cs="Arial"/>
        </w:rPr>
        <w:t xml:space="preserve">2026). Before </w:t>
      </w:r>
      <w:r w:rsidR="00A2314D">
        <w:rPr>
          <w:rFonts w:ascii="Arial" w:hAnsi="Arial" w:cs="Arial"/>
        </w:rPr>
        <w:t>mediation between parties can occur, a Mediation Information and Assessment Meeting (MIAM) must take place.</w:t>
      </w:r>
      <w:r w:rsidR="00B153C3">
        <w:rPr>
          <w:rFonts w:ascii="Arial" w:hAnsi="Arial" w:cs="Arial"/>
        </w:rPr>
        <w:t xml:space="preserve"> </w:t>
      </w:r>
      <w:r w:rsidR="003C6AE0">
        <w:rPr>
          <w:rFonts w:ascii="Arial" w:hAnsi="Arial" w:cs="Arial"/>
        </w:rPr>
        <w:t xml:space="preserve">Part 9 of </w:t>
      </w:r>
      <w:r w:rsidR="00B153C3">
        <w:rPr>
          <w:rFonts w:ascii="Arial" w:hAnsi="Arial" w:cs="Arial"/>
        </w:rPr>
        <w:t>The Family Procedure Rules</w:t>
      </w:r>
      <w:r w:rsidR="00A2314D">
        <w:rPr>
          <w:rFonts w:ascii="Arial" w:hAnsi="Arial" w:cs="Arial"/>
        </w:rPr>
        <w:t xml:space="preserve"> </w:t>
      </w:r>
      <w:r w:rsidR="003C6AE0">
        <w:rPr>
          <w:rFonts w:ascii="Arial" w:hAnsi="Arial" w:cs="Arial"/>
        </w:rPr>
        <w:t>2010 state that a</w:t>
      </w:r>
      <w:r w:rsidR="00A2314D">
        <w:rPr>
          <w:rFonts w:ascii="Arial" w:hAnsi="Arial" w:cs="Arial"/>
        </w:rPr>
        <w:t>t the MIAM</w:t>
      </w:r>
      <w:r w:rsidR="003C6AE0">
        <w:rPr>
          <w:rFonts w:ascii="Arial" w:hAnsi="Arial" w:cs="Arial"/>
        </w:rPr>
        <w:t>,</w:t>
      </w:r>
      <w:r w:rsidR="00A2314D">
        <w:rPr>
          <w:rFonts w:ascii="Arial" w:hAnsi="Arial" w:cs="Arial"/>
        </w:rPr>
        <w:t xml:space="preserve"> </w:t>
      </w:r>
      <w:r w:rsidR="00AF276E">
        <w:rPr>
          <w:rFonts w:ascii="Arial" w:hAnsi="Arial" w:cs="Arial"/>
        </w:rPr>
        <w:t xml:space="preserve">an authorised family mediator will provide information about </w:t>
      </w:r>
      <w:r w:rsidR="00B153C3">
        <w:rPr>
          <w:rFonts w:ascii="Arial" w:hAnsi="Arial" w:cs="Arial"/>
        </w:rPr>
        <w:t>the process of mediation</w:t>
      </w:r>
      <w:r w:rsidR="00742B87">
        <w:rPr>
          <w:rFonts w:ascii="Arial" w:hAnsi="Arial" w:cs="Arial"/>
        </w:rPr>
        <w:t xml:space="preserve">, and other methods of </w:t>
      </w:r>
      <w:r w:rsidR="005D78C9">
        <w:rPr>
          <w:rFonts w:ascii="Arial" w:hAnsi="Arial" w:cs="Arial"/>
        </w:rPr>
        <w:t xml:space="preserve">non-court dispute resolution, and will consider and explain the potential benefits of mediation </w:t>
      </w:r>
      <w:r w:rsidR="006C42AF">
        <w:rPr>
          <w:rFonts w:ascii="Arial" w:hAnsi="Arial" w:cs="Arial"/>
        </w:rPr>
        <w:t>as a way of resolving family disputes</w:t>
      </w:r>
      <w:r w:rsidR="001A638E">
        <w:rPr>
          <w:rFonts w:ascii="Arial" w:hAnsi="Arial" w:cs="Arial"/>
        </w:rPr>
        <w:t xml:space="preserve">. Although parties must attend a MIAM before </w:t>
      </w:r>
      <w:r w:rsidR="00664D56">
        <w:rPr>
          <w:rFonts w:ascii="Arial" w:hAnsi="Arial" w:cs="Arial"/>
        </w:rPr>
        <w:t>starting certain court proceedings, excluding exemptions, mediation itself is entirely voluntary.</w:t>
      </w:r>
      <w:r w:rsidR="001C2DD4">
        <w:rPr>
          <w:rFonts w:ascii="Arial" w:hAnsi="Arial" w:cs="Arial"/>
        </w:rPr>
        <w:t xml:space="preserve"> </w:t>
      </w:r>
      <w:r w:rsidR="008D6AE8">
        <w:rPr>
          <w:rFonts w:ascii="Arial" w:hAnsi="Arial" w:cs="Arial"/>
        </w:rPr>
        <w:t xml:space="preserve">According to section </w:t>
      </w:r>
      <w:r w:rsidR="00F71AAC">
        <w:rPr>
          <w:rFonts w:ascii="Arial" w:hAnsi="Arial" w:cs="Arial"/>
        </w:rPr>
        <w:t xml:space="preserve">8 of the </w:t>
      </w:r>
      <w:r w:rsidR="00F71AAC">
        <w:rPr>
          <w:rFonts w:ascii="Arial" w:hAnsi="Arial" w:cs="Arial"/>
          <w:i/>
          <w:iCs/>
        </w:rPr>
        <w:t xml:space="preserve">Legal Aid, Sentencing and Punishment of Offenders Act 2012, </w:t>
      </w:r>
      <w:r w:rsidR="00F71AAC">
        <w:rPr>
          <w:rFonts w:ascii="Arial" w:hAnsi="Arial" w:cs="Arial"/>
        </w:rPr>
        <w:t>legal aid is available for mediation in legal disputes if it is needed.</w:t>
      </w:r>
      <w:r w:rsidR="007264A9">
        <w:rPr>
          <w:rFonts w:ascii="Arial" w:hAnsi="Arial" w:cs="Arial"/>
        </w:rPr>
        <w:t xml:space="preserve"> Practically, </w:t>
      </w:r>
      <w:r w:rsidR="004146C5">
        <w:rPr>
          <w:rFonts w:ascii="Arial" w:hAnsi="Arial" w:cs="Arial"/>
        </w:rPr>
        <w:t xml:space="preserve">mediation has proven effective in family disputes; </w:t>
      </w:r>
      <w:r w:rsidR="00580F1C">
        <w:rPr>
          <w:rFonts w:ascii="Arial" w:hAnsi="Arial" w:cs="Arial"/>
        </w:rPr>
        <w:t>69% of cases resolve all or some issues and do not go to court</w:t>
      </w:r>
      <w:r w:rsidR="004E1A59">
        <w:rPr>
          <w:rFonts w:ascii="Arial" w:hAnsi="Arial" w:cs="Arial"/>
        </w:rPr>
        <w:t>, and as well as resolving immediate issues, mediation can improve communication and future relationships between the parties (McFarlane</w:t>
      </w:r>
      <w:r w:rsidR="00513709">
        <w:rPr>
          <w:rFonts w:ascii="Arial" w:hAnsi="Arial" w:cs="Arial"/>
        </w:rPr>
        <w:t>, 2024).</w:t>
      </w:r>
      <w:r w:rsidR="00495B0F">
        <w:rPr>
          <w:rFonts w:ascii="Arial" w:hAnsi="Arial" w:cs="Arial"/>
        </w:rPr>
        <w:t xml:space="preserve"> Furthermore, </w:t>
      </w:r>
      <w:r w:rsidR="0019169C">
        <w:rPr>
          <w:rFonts w:ascii="Arial" w:hAnsi="Arial" w:cs="Arial"/>
        </w:rPr>
        <w:t>mediation is a lot less expensive than a court trial and answers the problem of delays in civil justice (Genn, 2010).</w:t>
      </w:r>
      <w:r w:rsidR="00E235B6">
        <w:rPr>
          <w:rFonts w:ascii="Arial" w:hAnsi="Arial" w:cs="Arial"/>
        </w:rPr>
        <w:t xml:space="preserve"> However, there are ethical issues concerning mediation. </w:t>
      </w:r>
      <w:r w:rsidR="00134CB3">
        <w:rPr>
          <w:rFonts w:ascii="Arial" w:hAnsi="Arial" w:cs="Arial"/>
        </w:rPr>
        <w:t xml:space="preserve">According to </w:t>
      </w:r>
      <w:r w:rsidR="006B72B9">
        <w:rPr>
          <w:rFonts w:ascii="Arial" w:hAnsi="Arial" w:cs="Arial"/>
        </w:rPr>
        <w:t xml:space="preserve">Bowen (2013), the use of private sessions within mediation </w:t>
      </w:r>
      <w:r w:rsidR="00360D9B">
        <w:rPr>
          <w:rFonts w:ascii="Arial" w:hAnsi="Arial" w:cs="Arial"/>
        </w:rPr>
        <w:t xml:space="preserve">raises issues regarding coercion which could undermine the voluntary and balanced aspect of mediation. </w:t>
      </w:r>
      <w:r w:rsidR="00F1132F">
        <w:rPr>
          <w:rFonts w:ascii="Arial" w:hAnsi="Arial" w:cs="Arial"/>
        </w:rPr>
        <w:t xml:space="preserve">Additionally, in cases involving sensitive topics, such as domestic abuse, it can be difficult for mediators to maintain impartiality </w:t>
      </w:r>
      <w:r w:rsidR="00E71085">
        <w:rPr>
          <w:rFonts w:ascii="Arial" w:hAnsi="Arial" w:cs="Arial"/>
        </w:rPr>
        <w:t>and to remain unbiased towards or against either party (Keet and Edgar, 2023).</w:t>
      </w:r>
    </w:p>
    <w:p w14:paraId="3A29BE0F" w14:textId="77777777" w:rsidR="005263BF" w:rsidRDefault="005263BF" w:rsidP="00C3270D">
      <w:pPr>
        <w:spacing w:line="360" w:lineRule="auto"/>
        <w:rPr>
          <w:rFonts w:ascii="Arial" w:hAnsi="Arial" w:cs="Arial"/>
        </w:rPr>
      </w:pPr>
    </w:p>
    <w:p w14:paraId="5256ABED" w14:textId="77777777" w:rsidR="005263BF" w:rsidRDefault="005263BF" w:rsidP="00C3270D">
      <w:pPr>
        <w:spacing w:line="360" w:lineRule="auto"/>
        <w:rPr>
          <w:rFonts w:ascii="Arial" w:hAnsi="Arial" w:cs="Arial"/>
        </w:rPr>
      </w:pPr>
    </w:p>
    <w:p w14:paraId="382C302D" w14:textId="77777777" w:rsidR="005263BF" w:rsidRDefault="005263BF" w:rsidP="00C3270D">
      <w:pPr>
        <w:spacing w:line="360" w:lineRule="auto"/>
        <w:rPr>
          <w:rFonts w:ascii="Arial" w:hAnsi="Arial" w:cs="Arial"/>
        </w:rPr>
      </w:pPr>
    </w:p>
    <w:p w14:paraId="483CDEBF" w14:textId="77777777" w:rsidR="005263BF" w:rsidRDefault="005263BF" w:rsidP="00C3270D">
      <w:pPr>
        <w:spacing w:line="360" w:lineRule="auto"/>
        <w:rPr>
          <w:rFonts w:ascii="Arial" w:hAnsi="Arial" w:cs="Arial"/>
        </w:rPr>
      </w:pPr>
    </w:p>
    <w:p w14:paraId="0CFE10B2" w14:textId="77777777" w:rsidR="005263BF" w:rsidRPr="00F71AAC" w:rsidRDefault="005263BF" w:rsidP="00C3270D">
      <w:pPr>
        <w:spacing w:line="360" w:lineRule="auto"/>
        <w:rPr>
          <w:rFonts w:ascii="Arial" w:hAnsi="Arial" w:cs="Arial"/>
        </w:rPr>
      </w:pPr>
    </w:p>
    <w:p w14:paraId="51D844F6" w14:textId="174D7823" w:rsidR="00E65755" w:rsidRDefault="00E65755" w:rsidP="00F8603B">
      <w:pPr>
        <w:pStyle w:val="Heading1"/>
      </w:pPr>
      <w:bookmarkStart w:id="2" w:name="_Toc219732539"/>
      <w:r>
        <w:lastRenderedPageBreak/>
        <w:t>Section B</w:t>
      </w:r>
      <w:bookmarkEnd w:id="2"/>
    </w:p>
    <w:p w14:paraId="0DDE3FCE" w14:textId="2F418ED3" w:rsidR="00E71085" w:rsidRPr="0077475E" w:rsidRDefault="00E71085" w:rsidP="0077475E">
      <w:pPr>
        <w:spacing w:line="360" w:lineRule="auto"/>
        <w:rPr>
          <w:rFonts w:ascii="Arial" w:hAnsi="Arial" w:cs="Arial"/>
        </w:rPr>
      </w:pPr>
      <w:r w:rsidRPr="0077475E">
        <w:rPr>
          <w:rFonts w:ascii="Arial" w:hAnsi="Arial" w:cs="Arial"/>
        </w:rPr>
        <w:t>The scenario chosen is Scenario A.</w:t>
      </w:r>
    </w:p>
    <w:p w14:paraId="01A0206A" w14:textId="039AA09B" w:rsidR="00E71085" w:rsidRDefault="00B2411E" w:rsidP="0077475E">
      <w:pPr>
        <w:spacing w:line="360" w:lineRule="auto"/>
        <w:rPr>
          <w:rFonts w:ascii="Arial" w:hAnsi="Arial" w:cs="Arial"/>
        </w:rPr>
      </w:pPr>
      <w:r w:rsidRPr="0077475E">
        <w:rPr>
          <w:rFonts w:ascii="Arial" w:hAnsi="Arial" w:cs="Arial"/>
        </w:rPr>
        <w:t>In this scenario, Sarah does have legal grounds for divorce. Accordin</w:t>
      </w:r>
      <w:r w:rsidR="00BC1C0A" w:rsidRPr="0077475E">
        <w:rPr>
          <w:rFonts w:ascii="Arial" w:hAnsi="Arial" w:cs="Arial"/>
        </w:rPr>
        <w:t xml:space="preserve">g to the </w:t>
      </w:r>
      <w:r w:rsidR="00BC1C0A" w:rsidRPr="0077475E">
        <w:rPr>
          <w:rFonts w:ascii="Arial" w:hAnsi="Arial" w:cs="Arial"/>
          <w:i/>
          <w:iCs/>
        </w:rPr>
        <w:t>Divorce, Dissolution and Separation Act</w:t>
      </w:r>
      <w:r w:rsidR="00360D40" w:rsidRPr="0077475E">
        <w:rPr>
          <w:rFonts w:ascii="Arial" w:hAnsi="Arial" w:cs="Arial"/>
          <w:i/>
          <w:iCs/>
        </w:rPr>
        <w:t xml:space="preserve"> 2020</w:t>
      </w:r>
      <w:r w:rsidR="00D27029" w:rsidRPr="0077475E">
        <w:rPr>
          <w:rFonts w:ascii="Arial" w:hAnsi="Arial" w:cs="Arial"/>
          <w:i/>
          <w:iCs/>
        </w:rPr>
        <w:t xml:space="preserve"> </w:t>
      </w:r>
      <w:r w:rsidR="00D27029" w:rsidRPr="0077475E">
        <w:rPr>
          <w:rFonts w:ascii="Arial" w:hAnsi="Arial" w:cs="Arial"/>
        </w:rPr>
        <w:t>(DDSA 2020)</w:t>
      </w:r>
      <w:r w:rsidR="00360D40" w:rsidRPr="0077475E">
        <w:rPr>
          <w:rFonts w:ascii="Arial" w:hAnsi="Arial" w:cs="Arial"/>
          <w:i/>
          <w:iCs/>
        </w:rPr>
        <w:t xml:space="preserve">, </w:t>
      </w:r>
      <w:r w:rsidR="00360D40" w:rsidRPr="0077475E">
        <w:rPr>
          <w:rFonts w:ascii="Arial" w:hAnsi="Arial" w:cs="Arial"/>
        </w:rPr>
        <w:t xml:space="preserve">which reformed the </w:t>
      </w:r>
      <w:r w:rsidR="0029599C" w:rsidRPr="0077475E">
        <w:rPr>
          <w:rFonts w:ascii="Arial" w:hAnsi="Arial" w:cs="Arial"/>
          <w:i/>
          <w:iCs/>
        </w:rPr>
        <w:t xml:space="preserve">Matrimonial Causes Act 1973 </w:t>
      </w:r>
      <w:r w:rsidR="0029599C" w:rsidRPr="0077475E">
        <w:rPr>
          <w:rFonts w:ascii="Arial" w:hAnsi="Arial" w:cs="Arial"/>
        </w:rPr>
        <w:t>(MCA 1973)</w:t>
      </w:r>
      <w:r w:rsidR="00F96C71" w:rsidRPr="0077475E">
        <w:rPr>
          <w:rFonts w:ascii="Arial" w:hAnsi="Arial" w:cs="Arial"/>
        </w:rPr>
        <w:t xml:space="preserve">, it introduced a no-fault divorce system </w:t>
      </w:r>
      <w:r w:rsidR="0012397A" w:rsidRPr="0077475E">
        <w:rPr>
          <w:rFonts w:ascii="Arial" w:hAnsi="Arial" w:cs="Arial"/>
        </w:rPr>
        <w:t xml:space="preserve">by removing the requirement to prove one of </w:t>
      </w:r>
      <w:r w:rsidR="00B521E8" w:rsidRPr="0077475E">
        <w:rPr>
          <w:rFonts w:ascii="Arial" w:hAnsi="Arial" w:cs="Arial"/>
        </w:rPr>
        <w:t>certain</w:t>
      </w:r>
      <w:r w:rsidR="0012397A" w:rsidRPr="0077475E">
        <w:rPr>
          <w:rFonts w:ascii="Arial" w:hAnsi="Arial" w:cs="Arial"/>
        </w:rPr>
        <w:t xml:space="preserve"> facts for grounds of divorce. </w:t>
      </w:r>
      <w:r w:rsidR="0012397A" w:rsidRPr="0077475E">
        <w:rPr>
          <w:rFonts w:ascii="Arial" w:hAnsi="Arial" w:cs="Arial"/>
          <w:i/>
          <w:iCs/>
        </w:rPr>
        <w:t xml:space="preserve">MCA 1973 </w:t>
      </w:r>
      <w:r w:rsidR="0012397A" w:rsidRPr="0077475E">
        <w:rPr>
          <w:rFonts w:ascii="Arial" w:hAnsi="Arial" w:cs="Arial"/>
        </w:rPr>
        <w:t xml:space="preserve">previously stated that </w:t>
      </w:r>
      <w:r w:rsidR="00A3494B" w:rsidRPr="0077475E">
        <w:rPr>
          <w:rFonts w:ascii="Arial" w:hAnsi="Arial" w:cs="Arial"/>
        </w:rPr>
        <w:t xml:space="preserve">someone had to prove </w:t>
      </w:r>
      <w:r w:rsidR="00277900" w:rsidRPr="0077475E">
        <w:rPr>
          <w:rFonts w:ascii="Arial" w:hAnsi="Arial" w:cs="Arial"/>
        </w:rPr>
        <w:t>adultery, that they could not live with the other, desert</w:t>
      </w:r>
      <w:r w:rsidR="00B521E8" w:rsidRPr="0077475E">
        <w:rPr>
          <w:rFonts w:ascii="Arial" w:hAnsi="Arial" w:cs="Arial"/>
        </w:rPr>
        <w:t xml:space="preserve">ion, </w:t>
      </w:r>
      <w:r w:rsidR="00B848DD" w:rsidRPr="0077475E">
        <w:rPr>
          <w:rFonts w:ascii="Arial" w:hAnsi="Arial" w:cs="Arial"/>
        </w:rPr>
        <w:t xml:space="preserve">or separation for at least two years. Regardless of the change, </w:t>
      </w:r>
      <w:r w:rsidR="009C76B5" w:rsidRPr="0077475E">
        <w:rPr>
          <w:rFonts w:ascii="Arial" w:hAnsi="Arial" w:cs="Arial"/>
        </w:rPr>
        <w:t>under the previous system, Sarah still would have had grounds for divorce</w:t>
      </w:r>
      <w:r w:rsidR="00B40FF3" w:rsidRPr="0077475E">
        <w:rPr>
          <w:rFonts w:ascii="Arial" w:hAnsi="Arial" w:cs="Arial"/>
        </w:rPr>
        <w:t xml:space="preserve"> as Daniel had admitted to having an affair.</w:t>
      </w:r>
      <w:r w:rsidR="00C34C3A" w:rsidRPr="0077475E">
        <w:rPr>
          <w:rFonts w:ascii="Arial" w:hAnsi="Arial" w:cs="Arial"/>
        </w:rPr>
        <w:t xml:space="preserve"> However, this system had to change as, in the case of ‘Owens v Owens’ (</w:t>
      </w:r>
      <w:r w:rsidR="00D27029" w:rsidRPr="0077475E">
        <w:rPr>
          <w:rFonts w:ascii="Arial" w:hAnsi="Arial" w:cs="Arial"/>
        </w:rPr>
        <w:t>2018), the wife could not divorce her husband as her allegations</w:t>
      </w:r>
      <w:r w:rsidR="00C11586" w:rsidRPr="0077475E">
        <w:rPr>
          <w:rFonts w:ascii="Arial" w:hAnsi="Arial" w:cs="Arial"/>
        </w:rPr>
        <w:t xml:space="preserve"> of unreasonable behaviour </w:t>
      </w:r>
      <w:r w:rsidR="009535DB" w:rsidRPr="0077475E">
        <w:rPr>
          <w:rFonts w:ascii="Arial" w:hAnsi="Arial" w:cs="Arial"/>
        </w:rPr>
        <w:t>were not legally sufficient, causing public outrage and leading to the DDSA 2020.</w:t>
      </w:r>
      <w:r w:rsidR="00B44F30" w:rsidRPr="0077475E">
        <w:rPr>
          <w:rFonts w:ascii="Arial" w:hAnsi="Arial" w:cs="Arial"/>
        </w:rPr>
        <w:t xml:space="preserve"> In order to file for divorce, Sarah can apply online or </w:t>
      </w:r>
      <w:r w:rsidR="004173D5" w:rsidRPr="0077475E">
        <w:rPr>
          <w:rFonts w:ascii="Arial" w:hAnsi="Arial" w:cs="Arial"/>
        </w:rPr>
        <w:t xml:space="preserve">on paper, and would first need to fill out a D8 form; the official application form to start the </w:t>
      </w:r>
      <w:r w:rsidR="00356FE0" w:rsidRPr="0077475E">
        <w:rPr>
          <w:rFonts w:ascii="Arial" w:hAnsi="Arial" w:cs="Arial"/>
        </w:rPr>
        <w:t xml:space="preserve">process in England and Wales, which asks for information about personal details, marriage details, </w:t>
      </w:r>
      <w:r w:rsidR="006C665F" w:rsidRPr="0077475E">
        <w:rPr>
          <w:rFonts w:ascii="Arial" w:hAnsi="Arial" w:cs="Arial"/>
        </w:rPr>
        <w:t>reason for divorce, and other relevant information such as children or any existing court orders or proceedings (</w:t>
      </w:r>
      <w:r w:rsidR="00A0011F" w:rsidRPr="0077475E">
        <w:rPr>
          <w:rFonts w:ascii="Arial" w:hAnsi="Arial" w:cs="Arial"/>
        </w:rPr>
        <w:t xml:space="preserve">Contend Legal, 2025). Then a D6 form would be </w:t>
      </w:r>
      <w:r w:rsidR="00FA2AC5" w:rsidRPr="0077475E">
        <w:rPr>
          <w:rFonts w:ascii="Arial" w:hAnsi="Arial" w:cs="Arial"/>
        </w:rPr>
        <w:t xml:space="preserve">filled out, which is </w:t>
      </w:r>
      <w:r w:rsidR="00D92797" w:rsidRPr="0077475E">
        <w:rPr>
          <w:rFonts w:ascii="Arial" w:hAnsi="Arial" w:cs="Arial"/>
        </w:rPr>
        <w:t>a statement of recon</w:t>
      </w:r>
      <w:r w:rsidR="00517A43" w:rsidRPr="0077475E">
        <w:rPr>
          <w:rFonts w:ascii="Arial" w:hAnsi="Arial" w:cs="Arial"/>
        </w:rPr>
        <w:t xml:space="preserve">ciliation to show the court that the partner issuing the divorce, in this case Sarah, </w:t>
      </w:r>
      <w:r w:rsidR="00074D5F" w:rsidRPr="0077475E">
        <w:rPr>
          <w:rFonts w:ascii="Arial" w:hAnsi="Arial" w:cs="Arial"/>
        </w:rPr>
        <w:t>has been told about the possibility of reconciliation with the other partner</w:t>
      </w:r>
      <w:r w:rsidR="00DD791E" w:rsidRPr="0077475E">
        <w:rPr>
          <w:rFonts w:ascii="Arial" w:hAnsi="Arial" w:cs="Arial"/>
        </w:rPr>
        <w:t xml:space="preserve"> before the divorce proceeds. Once that is done, Sarah would need to </w:t>
      </w:r>
      <w:r w:rsidR="00F56631" w:rsidRPr="0077475E">
        <w:rPr>
          <w:rFonts w:ascii="Arial" w:hAnsi="Arial" w:cs="Arial"/>
        </w:rPr>
        <w:t>apply for a conditional order, available twenty weeks after the initial application of divorce where the court will decide if the divorce can go ahead, and then a final order</w:t>
      </w:r>
      <w:r w:rsidR="00531B35" w:rsidRPr="0077475E">
        <w:rPr>
          <w:rFonts w:ascii="Arial" w:hAnsi="Arial" w:cs="Arial"/>
        </w:rPr>
        <w:t>, six weeks after the conditional offer is made which will permanently end the marriage (Citizens Advice, 2019).</w:t>
      </w:r>
      <w:r w:rsidR="00CA7350" w:rsidRPr="0077475E">
        <w:rPr>
          <w:rFonts w:ascii="Arial" w:hAnsi="Arial" w:cs="Arial"/>
        </w:rPr>
        <w:t xml:space="preserve"> In terms of child </w:t>
      </w:r>
      <w:r w:rsidR="002F19E6" w:rsidRPr="0077475E">
        <w:rPr>
          <w:rFonts w:ascii="Arial" w:hAnsi="Arial" w:cs="Arial"/>
        </w:rPr>
        <w:t xml:space="preserve">arrangements and welfare, </w:t>
      </w:r>
      <w:r w:rsidR="00EA783A" w:rsidRPr="0077475E">
        <w:rPr>
          <w:rFonts w:ascii="Arial" w:hAnsi="Arial" w:cs="Arial"/>
        </w:rPr>
        <w:t xml:space="preserve">mediation could be useful to organise </w:t>
      </w:r>
      <w:r w:rsidR="00077414" w:rsidRPr="0077475E">
        <w:rPr>
          <w:rFonts w:ascii="Arial" w:hAnsi="Arial" w:cs="Arial"/>
        </w:rPr>
        <w:t>custody if either Sarah or Daniel decide to move out of the family home</w:t>
      </w:r>
      <w:r w:rsidR="00EC4276" w:rsidRPr="0077475E">
        <w:rPr>
          <w:rFonts w:ascii="Arial" w:hAnsi="Arial" w:cs="Arial"/>
        </w:rPr>
        <w:t xml:space="preserve"> as both parties wish for </w:t>
      </w:r>
      <w:r w:rsidR="005D2329" w:rsidRPr="0077475E">
        <w:rPr>
          <w:rFonts w:ascii="Arial" w:hAnsi="Arial" w:cs="Arial"/>
        </w:rPr>
        <w:t>a</w:t>
      </w:r>
      <w:r w:rsidR="00E77799" w:rsidRPr="0077475E">
        <w:rPr>
          <w:rFonts w:ascii="Arial" w:hAnsi="Arial" w:cs="Arial"/>
        </w:rPr>
        <w:t xml:space="preserve">n easy separation. </w:t>
      </w:r>
      <w:r w:rsidR="007355B4" w:rsidRPr="0077475E">
        <w:rPr>
          <w:rFonts w:ascii="Arial" w:hAnsi="Arial" w:cs="Arial"/>
        </w:rPr>
        <w:t xml:space="preserve">Due to the children’s ages, the divorce could have an impact on </w:t>
      </w:r>
      <w:r w:rsidR="00AD25BD" w:rsidRPr="0077475E">
        <w:rPr>
          <w:rFonts w:ascii="Arial" w:hAnsi="Arial" w:cs="Arial"/>
        </w:rPr>
        <w:t>parental contact</w:t>
      </w:r>
      <w:r w:rsidR="007355B4" w:rsidRPr="0077475E">
        <w:rPr>
          <w:rFonts w:ascii="Arial" w:hAnsi="Arial" w:cs="Arial"/>
        </w:rPr>
        <w:t xml:space="preserve">, however as they are a bit older, the impact is not huge in terms of </w:t>
      </w:r>
      <w:r w:rsidR="00AD25BD" w:rsidRPr="0077475E">
        <w:rPr>
          <w:rFonts w:ascii="Arial" w:hAnsi="Arial" w:cs="Arial"/>
        </w:rPr>
        <w:t>development and attachment.</w:t>
      </w:r>
      <w:r w:rsidR="003238DC" w:rsidRPr="0077475E">
        <w:rPr>
          <w:rFonts w:ascii="Arial" w:hAnsi="Arial" w:cs="Arial"/>
        </w:rPr>
        <w:t xml:space="preserve"> In the case of the family home, as they have joint ownership, the court will assume </w:t>
      </w:r>
      <w:r w:rsidR="0077475E" w:rsidRPr="0077475E">
        <w:rPr>
          <w:rFonts w:ascii="Arial" w:hAnsi="Arial" w:cs="Arial"/>
        </w:rPr>
        <w:t>equal share</w:t>
      </w:r>
      <w:r w:rsidR="00FF3D37" w:rsidRPr="0077475E">
        <w:rPr>
          <w:rFonts w:ascii="Arial" w:hAnsi="Arial" w:cs="Arial"/>
        </w:rPr>
        <w:t xml:space="preserve"> of the home </w:t>
      </w:r>
      <w:r w:rsidR="00AE7DA5" w:rsidRPr="0077475E">
        <w:rPr>
          <w:rFonts w:ascii="Arial" w:hAnsi="Arial" w:cs="Arial"/>
        </w:rPr>
        <w:t>in the case of divorce</w:t>
      </w:r>
      <w:r w:rsidR="009C0243" w:rsidRPr="0077475E">
        <w:rPr>
          <w:rFonts w:ascii="Arial" w:hAnsi="Arial" w:cs="Arial"/>
        </w:rPr>
        <w:t xml:space="preserve">. </w:t>
      </w:r>
      <w:r w:rsidR="004D619F" w:rsidRPr="0077475E">
        <w:rPr>
          <w:rFonts w:ascii="Arial" w:hAnsi="Arial" w:cs="Arial"/>
        </w:rPr>
        <w:t>H</w:t>
      </w:r>
      <w:r w:rsidR="009C0243" w:rsidRPr="0077475E">
        <w:rPr>
          <w:rFonts w:ascii="Arial" w:hAnsi="Arial" w:cs="Arial"/>
        </w:rPr>
        <w:t>owever</w:t>
      </w:r>
      <w:r w:rsidR="004D619F" w:rsidRPr="0077475E">
        <w:rPr>
          <w:rFonts w:ascii="Arial" w:hAnsi="Arial" w:cs="Arial"/>
        </w:rPr>
        <w:t>, the case of ‘</w:t>
      </w:r>
      <w:r w:rsidR="00C97F2B" w:rsidRPr="0077475E">
        <w:rPr>
          <w:rFonts w:ascii="Arial" w:hAnsi="Arial" w:cs="Arial"/>
        </w:rPr>
        <w:t>Stack v Dowden’ (2007) determined that legal joint ownership doe</w:t>
      </w:r>
      <w:r w:rsidR="0077475E">
        <w:rPr>
          <w:rFonts w:ascii="Arial" w:hAnsi="Arial" w:cs="Arial"/>
        </w:rPr>
        <w:t>s</w:t>
      </w:r>
      <w:r w:rsidR="00C97F2B" w:rsidRPr="0077475E">
        <w:rPr>
          <w:rFonts w:ascii="Arial" w:hAnsi="Arial" w:cs="Arial"/>
        </w:rPr>
        <w:t xml:space="preserve"> not mean </w:t>
      </w:r>
      <w:r w:rsidR="00912D10" w:rsidRPr="0077475E">
        <w:rPr>
          <w:rFonts w:ascii="Arial" w:hAnsi="Arial" w:cs="Arial"/>
        </w:rPr>
        <w:t xml:space="preserve">beneficial ownership; the court looks at what the parties </w:t>
      </w:r>
      <w:r w:rsidR="00912D10" w:rsidRPr="0077475E">
        <w:rPr>
          <w:rFonts w:ascii="Arial" w:hAnsi="Arial" w:cs="Arial"/>
        </w:rPr>
        <w:lastRenderedPageBreak/>
        <w:t>intended about ownership sha</w:t>
      </w:r>
      <w:r w:rsidR="00B34C58" w:rsidRPr="0077475E">
        <w:rPr>
          <w:rFonts w:ascii="Arial" w:hAnsi="Arial" w:cs="Arial"/>
        </w:rPr>
        <w:t>res</w:t>
      </w:r>
      <w:r w:rsidR="00296B71" w:rsidRPr="0077475E">
        <w:rPr>
          <w:rFonts w:ascii="Arial" w:hAnsi="Arial" w:cs="Arial"/>
        </w:rPr>
        <w:t xml:space="preserve"> but if there is no declaration of trust, the court presumes they own it equally. In this scenario, it is not clear if the</w:t>
      </w:r>
      <w:r w:rsidR="0094270F" w:rsidRPr="0077475E">
        <w:rPr>
          <w:rFonts w:ascii="Arial" w:hAnsi="Arial" w:cs="Arial"/>
        </w:rPr>
        <w:t xml:space="preserve">re is a declaration of </w:t>
      </w:r>
      <w:r w:rsidR="00087D48" w:rsidRPr="0077475E">
        <w:rPr>
          <w:rFonts w:ascii="Arial" w:hAnsi="Arial" w:cs="Arial"/>
        </w:rPr>
        <w:t>trust,</w:t>
      </w:r>
      <w:r w:rsidR="0094270F" w:rsidRPr="0077475E">
        <w:rPr>
          <w:rFonts w:ascii="Arial" w:hAnsi="Arial" w:cs="Arial"/>
        </w:rPr>
        <w:t xml:space="preserve"> so it is difficult to determine the outcome of shares of the family home.</w:t>
      </w:r>
      <w:r w:rsidR="00682DDE" w:rsidRPr="0077475E">
        <w:rPr>
          <w:rFonts w:ascii="Arial" w:hAnsi="Arial" w:cs="Arial"/>
        </w:rPr>
        <w:t xml:space="preserve"> Sarah and Daniel</w:t>
      </w:r>
      <w:r w:rsidR="00E2099C" w:rsidRPr="0077475E">
        <w:rPr>
          <w:rFonts w:ascii="Arial" w:hAnsi="Arial" w:cs="Arial"/>
        </w:rPr>
        <w:t xml:space="preserve"> should be advised to discuss how they want to split the family home</w:t>
      </w:r>
      <w:r w:rsidR="00087D48" w:rsidRPr="0077475E">
        <w:rPr>
          <w:rFonts w:ascii="Arial" w:hAnsi="Arial" w:cs="Arial"/>
        </w:rPr>
        <w:t>, keeping in mind that the welfare of the children is paramount.</w:t>
      </w:r>
      <w:r w:rsidR="0035512C">
        <w:rPr>
          <w:rFonts w:ascii="Arial" w:hAnsi="Arial" w:cs="Arial"/>
        </w:rPr>
        <w:t xml:space="preserve"> </w:t>
      </w:r>
      <w:r w:rsidR="00FC1C58">
        <w:rPr>
          <w:rFonts w:ascii="Arial" w:hAnsi="Arial" w:cs="Arial"/>
        </w:rPr>
        <w:t xml:space="preserve">Adultery does not </w:t>
      </w:r>
      <w:r w:rsidR="00FB0BEF">
        <w:rPr>
          <w:rFonts w:ascii="Arial" w:hAnsi="Arial" w:cs="Arial"/>
        </w:rPr>
        <w:t>affect financial settlements.</w:t>
      </w:r>
    </w:p>
    <w:p w14:paraId="36C5770E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72F4E43A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273CD938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0FD2F49D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26AA7D01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7A4EE633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391F2CA4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3B44C949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62B96E34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11561E45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6D68AD6C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723D590D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7DA0FEFC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5279EFFF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56413E2D" w14:textId="77777777" w:rsidR="005263BF" w:rsidRDefault="005263BF" w:rsidP="0077475E">
      <w:pPr>
        <w:spacing w:line="360" w:lineRule="auto"/>
        <w:rPr>
          <w:rFonts w:ascii="Arial" w:hAnsi="Arial" w:cs="Arial"/>
        </w:rPr>
      </w:pPr>
    </w:p>
    <w:p w14:paraId="508CBC19" w14:textId="77777777" w:rsidR="00C1069E" w:rsidRPr="0077475E" w:rsidRDefault="00C1069E" w:rsidP="0077475E">
      <w:pPr>
        <w:spacing w:line="360" w:lineRule="auto"/>
        <w:rPr>
          <w:rFonts w:ascii="Arial" w:hAnsi="Arial" w:cs="Arial"/>
        </w:rPr>
      </w:pPr>
    </w:p>
    <w:p w14:paraId="22EA2035" w14:textId="4E8C9337" w:rsidR="00E65755" w:rsidRDefault="00E65755" w:rsidP="00F8603B">
      <w:pPr>
        <w:pStyle w:val="Heading1"/>
      </w:pPr>
      <w:bookmarkStart w:id="3" w:name="_Toc219732540"/>
      <w:r>
        <w:lastRenderedPageBreak/>
        <w:t>Section C</w:t>
      </w:r>
      <w:bookmarkEnd w:id="3"/>
    </w:p>
    <w:p w14:paraId="6B5F0424" w14:textId="00498A36" w:rsidR="00FB0BEF" w:rsidRDefault="00FC3167" w:rsidP="00FB0B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MCA 1973 </w:t>
      </w:r>
      <w:r>
        <w:rPr>
          <w:rFonts w:ascii="Arial" w:hAnsi="Arial" w:cs="Arial"/>
        </w:rPr>
        <w:t>lists all the types</w:t>
      </w:r>
      <w:r w:rsidR="00095726">
        <w:rPr>
          <w:rFonts w:ascii="Arial" w:hAnsi="Arial" w:cs="Arial"/>
        </w:rPr>
        <w:t xml:space="preserve"> of financial orders that can be made</w:t>
      </w:r>
      <w:r w:rsidR="005178AA">
        <w:rPr>
          <w:rFonts w:ascii="Arial" w:hAnsi="Arial" w:cs="Arial"/>
        </w:rPr>
        <w:t>: Section 23 portrays periodical payments orders</w:t>
      </w:r>
      <w:r w:rsidR="00A664A2">
        <w:rPr>
          <w:rFonts w:ascii="Arial" w:hAnsi="Arial" w:cs="Arial"/>
        </w:rPr>
        <w:t xml:space="preserve"> and lump sum orders, section 24 portrays </w:t>
      </w:r>
      <w:r w:rsidR="00291B4B">
        <w:rPr>
          <w:rFonts w:ascii="Arial" w:hAnsi="Arial" w:cs="Arial"/>
        </w:rPr>
        <w:t>property adjustment orders, section 24B portrays pension orders, and section 25A portrays clean break orders.</w:t>
      </w:r>
      <w:r w:rsidR="00FF24D6">
        <w:rPr>
          <w:rFonts w:ascii="Arial" w:hAnsi="Arial" w:cs="Arial"/>
        </w:rPr>
        <w:t xml:space="preserve"> ‘W</w:t>
      </w:r>
      <w:r w:rsidR="00AF037D">
        <w:rPr>
          <w:rFonts w:ascii="Arial" w:hAnsi="Arial" w:cs="Arial"/>
        </w:rPr>
        <w:t>right v Wright’ (2015) showed that a joint lives maintenance order is not an absolute guarantee tha</w:t>
      </w:r>
      <w:r w:rsidR="0090311F">
        <w:rPr>
          <w:rFonts w:ascii="Arial" w:hAnsi="Arial" w:cs="Arial"/>
        </w:rPr>
        <w:t>t the spouse will receive payments indefinitely; once any children reach a certain age, financial independence is expected.</w:t>
      </w:r>
      <w:r w:rsidR="00CC1BD0">
        <w:rPr>
          <w:rFonts w:ascii="Arial" w:hAnsi="Arial" w:cs="Arial"/>
        </w:rPr>
        <w:t xml:space="preserve"> In the case of</w:t>
      </w:r>
      <w:r w:rsidR="007866CF">
        <w:rPr>
          <w:rFonts w:ascii="Arial" w:hAnsi="Arial" w:cs="Arial"/>
        </w:rPr>
        <w:t xml:space="preserve"> ‘Duxbury v Duxbury</w:t>
      </w:r>
      <w:r w:rsidR="00CC1BD0">
        <w:rPr>
          <w:rFonts w:ascii="Arial" w:hAnsi="Arial" w:cs="Arial"/>
        </w:rPr>
        <w:t xml:space="preserve">’ (1992), the court </w:t>
      </w:r>
      <w:r w:rsidR="00077A1E">
        <w:rPr>
          <w:rFonts w:ascii="Arial" w:hAnsi="Arial" w:cs="Arial"/>
        </w:rPr>
        <w:t>approved t</w:t>
      </w:r>
      <w:r w:rsidR="00B22596">
        <w:rPr>
          <w:rFonts w:ascii="Arial" w:hAnsi="Arial" w:cs="Arial"/>
        </w:rPr>
        <w:t>he use of a lump sum</w:t>
      </w:r>
      <w:r w:rsidR="00A008F0">
        <w:rPr>
          <w:rFonts w:ascii="Arial" w:hAnsi="Arial" w:cs="Arial"/>
        </w:rPr>
        <w:t xml:space="preserve"> order to provide the wife with an income for life, which shows how </w:t>
      </w:r>
      <w:r w:rsidR="00AB145F">
        <w:rPr>
          <w:rFonts w:ascii="Arial" w:hAnsi="Arial" w:cs="Arial"/>
        </w:rPr>
        <w:t>a lump sum order can be used to achieve a clean break. In the case of ‘Mesher v Mesher and Hall’ (</w:t>
      </w:r>
      <w:r w:rsidR="00C96AE5">
        <w:rPr>
          <w:rFonts w:ascii="Arial" w:hAnsi="Arial" w:cs="Arial"/>
        </w:rPr>
        <w:t>1980), the court ordered that the sale of the family home be postponed until either the children finished education or the wife remarried</w:t>
      </w:r>
      <w:r w:rsidR="003C7E04">
        <w:rPr>
          <w:rFonts w:ascii="Arial" w:hAnsi="Arial" w:cs="Arial"/>
        </w:rPr>
        <w:t xml:space="preserve">, prioritising </w:t>
      </w:r>
      <w:r w:rsidR="00C8364E">
        <w:rPr>
          <w:rFonts w:ascii="Arial" w:hAnsi="Arial" w:cs="Arial"/>
        </w:rPr>
        <w:t xml:space="preserve">housing the children over immediate sale of the home, demonstrating the powers of property adjustment orders. </w:t>
      </w:r>
      <w:r w:rsidR="004C2BCA">
        <w:rPr>
          <w:rFonts w:ascii="Arial" w:hAnsi="Arial" w:cs="Arial"/>
        </w:rPr>
        <w:t xml:space="preserve">The case of ‘H v H’ (1994) demonstrated that a pension is a valuable matrimonial </w:t>
      </w:r>
      <w:r w:rsidR="00BE5AA7">
        <w:rPr>
          <w:rFonts w:ascii="Arial" w:hAnsi="Arial" w:cs="Arial"/>
        </w:rPr>
        <w:t xml:space="preserve">asset and must be </w:t>
      </w:r>
      <w:r w:rsidR="00126EFC">
        <w:rPr>
          <w:rFonts w:ascii="Arial" w:hAnsi="Arial" w:cs="Arial"/>
        </w:rPr>
        <w:t>taken</w:t>
      </w:r>
      <w:r w:rsidR="00BE5AA7">
        <w:rPr>
          <w:rFonts w:ascii="Arial" w:hAnsi="Arial" w:cs="Arial"/>
        </w:rPr>
        <w:t xml:space="preserve"> into consideration in financial settlements. In ‘Miller v Miller; </w:t>
      </w:r>
      <w:r w:rsidR="008F7A52">
        <w:rPr>
          <w:rFonts w:ascii="Arial" w:hAnsi="Arial" w:cs="Arial"/>
        </w:rPr>
        <w:t xml:space="preserve">McFarlane v McFarlane’ (2006), </w:t>
      </w:r>
      <w:r w:rsidR="00426357">
        <w:rPr>
          <w:rFonts w:ascii="Arial" w:hAnsi="Arial" w:cs="Arial"/>
        </w:rPr>
        <w:t>the House of Lor</w:t>
      </w:r>
      <w:r w:rsidR="001517D8">
        <w:rPr>
          <w:rFonts w:ascii="Arial" w:hAnsi="Arial" w:cs="Arial"/>
        </w:rPr>
        <w:t xml:space="preserve">ds established three principles in clean break orders: needs, sharing, and compensation. </w:t>
      </w:r>
      <w:r w:rsidR="00240011">
        <w:rPr>
          <w:rFonts w:ascii="Arial" w:hAnsi="Arial" w:cs="Arial"/>
        </w:rPr>
        <w:t>The court should achieve a clean break where it is fair and practical.</w:t>
      </w:r>
      <w:r w:rsidR="0035512C">
        <w:rPr>
          <w:rFonts w:ascii="Arial" w:hAnsi="Arial" w:cs="Arial"/>
        </w:rPr>
        <w:t xml:space="preserve"> </w:t>
      </w:r>
      <w:r w:rsidR="0035512C" w:rsidRPr="0077475E">
        <w:rPr>
          <w:rFonts w:ascii="Arial" w:hAnsi="Arial" w:cs="Arial"/>
        </w:rPr>
        <w:t xml:space="preserve">Section 25 of the </w:t>
      </w:r>
      <w:r w:rsidR="0035512C" w:rsidRPr="0077475E">
        <w:rPr>
          <w:rFonts w:ascii="Arial" w:hAnsi="Arial" w:cs="Arial"/>
          <w:i/>
          <w:iCs/>
        </w:rPr>
        <w:t xml:space="preserve">MCA 1973 </w:t>
      </w:r>
      <w:r w:rsidR="0035512C" w:rsidRPr="0077475E">
        <w:rPr>
          <w:rFonts w:ascii="Arial" w:hAnsi="Arial" w:cs="Arial"/>
        </w:rPr>
        <w:t>lays out the factors the court must consider when deciding financial settlements on divorce: income and property, financial obligations, standard of living, age, any disabilities, contributions made, conduct, and value of any benefit lost.</w:t>
      </w:r>
      <w:r w:rsidR="00F74222">
        <w:rPr>
          <w:rFonts w:ascii="Arial" w:hAnsi="Arial" w:cs="Arial"/>
        </w:rPr>
        <w:t xml:space="preserve"> A </w:t>
      </w:r>
      <w:r w:rsidR="00E15F4C">
        <w:rPr>
          <w:rFonts w:ascii="Arial" w:hAnsi="Arial" w:cs="Arial"/>
        </w:rPr>
        <w:t xml:space="preserve">consent order </w:t>
      </w:r>
      <w:r w:rsidR="00E94F99">
        <w:rPr>
          <w:rFonts w:ascii="Arial" w:hAnsi="Arial" w:cs="Arial"/>
        </w:rPr>
        <w:t xml:space="preserve">is a legally binding </w:t>
      </w:r>
      <w:r w:rsidR="00126EFC">
        <w:rPr>
          <w:rFonts w:ascii="Arial" w:hAnsi="Arial" w:cs="Arial"/>
        </w:rPr>
        <w:t xml:space="preserve">document that outlines the </w:t>
      </w:r>
      <w:r w:rsidR="00A22D79">
        <w:rPr>
          <w:rFonts w:ascii="Arial" w:hAnsi="Arial" w:cs="Arial"/>
        </w:rPr>
        <w:t xml:space="preserve">terms </w:t>
      </w:r>
      <w:r w:rsidR="001619FE">
        <w:rPr>
          <w:rFonts w:ascii="Arial" w:hAnsi="Arial" w:cs="Arial"/>
        </w:rPr>
        <w:t xml:space="preserve">of an agreement reached by divorcing parties. Financial </w:t>
      </w:r>
      <w:r w:rsidR="00283EC0">
        <w:rPr>
          <w:rFonts w:ascii="Arial" w:hAnsi="Arial" w:cs="Arial"/>
        </w:rPr>
        <w:t xml:space="preserve">consent orders are used to </w:t>
      </w:r>
      <w:r w:rsidR="00B36111">
        <w:rPr>
          <w:rFonts w:ascii="Arial" w:hAnsi="Arial" w:cs="Arial"/>
        </w:rPr>
        <w:t>have an equitable distribution of financial resources between the divorcing parties</w:t>
      </w:r>
      <w:r w:rsidR="009B3119">
        <w:rPr>
          <w:rFonts w:ascii="Arial" w:hAnsi="Arial" w:cs="Arial"/>
        </w:rPr>
        <w:t>, however it is not mandatory for divorce proceedings (Tyrer Roxburgh Solicitors, 2026).</w:t>
      </w:r>
      <w:r w:rsidR="008E51EE">
        <w:rPr>
          <w:rFonts w:ascii="Arial" w:hAnsi="Arial" w:cs="Arial"/>
        </w:rPr>
        <w:t xml:space="preserve"> Ultimately</w:t>
      </w:r>
      <w:r w:rsidR="006221ED">
        <w:rPr>
          <w:rFonts w:ascii="Arial" w:hAnsi="Arial" w:cs="Arial"/>
        </w:rPr>
        <w:t xml:space="preserve">, </w:t>
      </w:r>
      <w:r w:rsidR="001E5491">
        <w:rPr>
          <w:rFonts w:ascii="Arial" w:hAnsi="Arial" w:cs="Arial"/>
        </w:rPr>
        <w:t>a clean break is the desired outcome</w:t>
      </w:r>
      <w:r w:rsidR="00B90ECB">
        <w:rPr>
          <w:rFonts w:ascii="Arial" w:hAnsi="Arial" w:cs="Arial"/>
        </w:rPr>
        <w:t xml:space="preserve"> in any divorce proceeding. </w:t>
      </w:r>
      <w:r w:rsidR="002D5E41">
        <w:rPr>
          <w:rFonts w:ascii="Arial" w:hAnsi="Arial" w:cs="Arial"/>
        </w:rPr>
        <w:t xml:space="preserve">This is when </w:t>
      </w:r>
      <w:r w:rsidR="00EE47E3">
        <w:rPr>
          <w:rFonts w:ascii="Arial" w:hAnsi="Arial" w:cs="Arial"/>
        </w:rPr>
        <w:t>each</w:t>
      </w:r>
      <w:r w:rsidR="004457AC">
        <w:rPr>
          <w:rFonts w:ascii="Arial" w:hAnsi="Arial" w:cs="Arial"/>
        </w:rPr>
        <w:t xml:space="preserve"> party completely cuts financial ties with </w:t>
      </w:r>
      <w:r w:rsidR="00EE47E3">
        <w:rPr>
          <w:rFonts w:ascii="Arial" w:hAnsi="Arial" w:cs="Arial"/>
        </w:rPr>
        <w:t xml:space="preserve">each other and </w:t>
      </w:r>
      <w:r w:rsidR="009F30FD">
        <w:rPr>
          <w:rFonts w:ascii="Arial" w:hAnsi="Arial" w:cs="Arial"/>
        </w:rPr>
        <w:t>neither person c</w:t>
      </w:r>
      <w:r w:rsidR="008238D0">
        <w:rPr>
          <w:rFonts w:ascii="Arial" w:hAnsi="Arial" w:cs="Arial"/>
        </w:rPr>
        <w:t xml:space="preserve">an </w:t>
      </w:r>
      <w:r w:rsidR="008E0696">
        <w:rPr>
          <w:rFonts w:ascii="Arial" w:hAnsi="Arial" w:cs="Arial"/>
        </w:rPr>
        <w:t>make any future financial claims against the other o</w:t>
      </w:r>
      <w:r w:rsidR="00004090">
        <w:rPr>
          <w:rFonts w:ascii="Arial" w:hAnsi="Arial" w:cs="Arial"/>
        </w:rPr>
        <w:t>n</w:t>
      </w:r>
      <w:r w:rsidR="008E0696">
        <w:rPr>
          <w:rFonts w:ascii="Arial" w:hAnsi="Arial" w:cs="Arial"/>
        </w:rPr>
        <w:t>ce a clean</w:t>
      </w:r>
      <w:r w:rsidR="00004090">
        <w:rPr>
          <w:rFonts w:ascii="Arial" w:hAnsi="Arial" w:cs="Arial"/>
        </w:rPr>
        <w:t xml:space="preserve"> break order has been made.</w:t>
      </w:r>
    </w:p>
    <w:p w14:paraId="53CD5878" w14:textId="77777777" w:rsidR="00C1069E" w:rsidRPr="00FC3167" w:rsidRDefault="00C1069E" w:rsidP="00FB0BEF">
      <w:pPr>
        <w:spacing w:line="360" w:lineRule="auto"/>
        <w:rPr>
          <w:rFonts w:ascii="Arial" w:hAnsi="Arial" w:cs="Arial"/>
        </w:rPr>
      </w:pPr>
    </w:p>
    <w:p w14:paraId="338DE254" w14:textId="348D9484" w:rsidR="00E65755" w:rsidRDefault="00E65755" w:rsidP="00F8603B">
      <w:pPr>
        <w:pStyle w:val="Heading1"/>
      </w:pPr>
      <w:bookmarkStart w:id="4" w:name="_Toc219732541"/>
      <w:r>
        <w:lastRenderedPageBreak/>
        <w:t>Section D</w:t>
      </w:r>
      <w:bookmarkEnd w:id="4"/>
    </w:p>
    <w:p w14:paraId="7939DA92" w14:textId="104A8DD9" w:rsidR="00E86977" w:rsidRDefault="000E2A46" w:rsidP="00E86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Sectio</w:t>
      </w:r>
      <w:r w:rsidR="00434206">
        <w:rPr>
          <w:rFonts w:ascii="Arial" w:hAnsi="Arial" w:cs="Arial"/>
        </w:rPr>
        <w:t xml:space="preserve">n 1 of the </w:t>
      </w:r>
      <w:r w:rsidR="00434206">
        <w:rPr>
          <w:rFonts w:ascii="Arial" w:hAnsi="Arial" w:cs="Arial"/>
          <w:i/>
          <w:iCs/>
        </w:rPr>
        <w:t>Domestic Abuse Act</w:t>
      </w:r>
      <w:r w:rsidR="004132AC">
        <w:rPr>
          <w:rFonts w:ascii="Arial" w:hAnsi="Arial" w:cs="Arial"/>
          <w:i/>
          <w:iCs/>
        </w:rPr>
        <w:t xml:space="preserve"> 2021</w:t>
      </w:r>
      <w:r w:rsidR="00B82235">
        <w:rPr>
          <w:rFonts w:ascii="Arial" w:hAnsi="Arial" w:cs="Arial"/>
          <w:i/>
          <w:iCs/>
        </w:rPr>
        <w:t xml:space="preserve"> </w:t>
      </w:r>
      <w:r w:rsidR="00F27F0D">
        <w:rPr>
          <w:rFonts w:ascii="Arial" w:hAnsi="Arial" w:cs="Arial"/>
        </w:rPr>
        <w:t xml:space="preserve">defines </w:t>
      </w:r>
      <w:r w:rsidR="009449C8">
        <w:rPr>
          <w:rFonts w:ascii="Arial" w:hAnsi="Arial" w:cs="Arial"/>
        </w:rPr>
        <w:t xml:space="preserve">domestic abuse as “behaviour of a person towards another </w:t>
      </w:r>
      <w:r w:rsidR="002E482A">
        <w:rPr>
          <w:rFonts w:ascii="Arial" w:hAnsi="Arial" w:cs="Arial"/>
        </w:rPr>
        <w:t>person is “domestic abuse” if they are aged 16 or older</w:t>
      </w:r>
      <w:r w:rsidR="00856556">
        <w:rPr>
          <w:rFonts w:ascii="Arial" w:hAnsi="Arial" w:cs="Arial"/>
        </w:rPr>
        <w:t xml:space="preserve"> and are personally connected to each other and the behaviour </w:t>
      </w:r>
      <w:r w:rsidR="00D128D7">
        <w:rPr>
          <w:rFonts w:ascii="Arial" w:hAnsi="Arial" w:cs="Arial"/>
        </w:rPr>
        <w:t>is abus</w:t>
      </w:r>
      <w:r w:rsidR="004A1D31">
        <w:rPr>
          <w:rFonts w:ascii="Arial" w:hAnsi="Arial" w:cs="Arial"/>
        </w:rPr>
        <w:t>ive”</w:t>
      </w:r>
      <w:r w:rsidR="00ED5916">
        <w:rPr>
          <w:rFonts w:ascii="Arial" w:hAnsi="Arial" w:cs="Arial"/>
        </w:rPr>
        <w:t xml:space="preserve"> and consists of </w:t>
      </w:r>
      <w:r w:rsidR="00FE6C11">
        <w:rPr>
          <w:rFonts w:ascii="Arial" w:hAnsi="Arial" w:cs="Arial"/>
        </w:rPr>
        <w:t>physical or sexual abuse, violent or threatening behaviour, controlling or coercive behaviour</w:t>
      </w:r>
      <w:r w:rsidR="00B144E9">
        <w:rPr>
          <w:rFonts w:ascii="Arial" w:hAnsi="Arial" w:cs="Arial"/>
        </w:rPr>
        <w:t>, economic abuse, and psychological, emotional or other abuse.</w:t>
      </w:r>
      <w:r w:rsidR="00C1072E">
        <w:rPr>
          <w:rFonts w:ascii="Arial" w:hAnsi="Arial" w:cs="Arial"/>
        </w:rPr>
        <w:t xml:space="preserve"> One legal protection </w:t>
      </w:r>
      <w:r w:rsidR="004D48A8">
        <w:rPr>
          <w:rFonts w:ascii="Arial" w:hAnsi="Arial" w:cs="Arial"/>
        </w:rPr>
        <w:t>against domestic abuse is a non-molestation order. Under section</w:t>
      </w:r>
      <w:r w:rsidR="00EB5ABD">
        <w:rPr>
          <w:rFonts w:ascii="Arial" w:hAnsi="Arial" w:cs="Arial"/>
        </w:rPr>
        <w:t xml:space="preserve"> 42 of the </w:t>
      </w:r>
      <w:r w:rsidR="00EB5ABD">
        <w:rPr>
          <w:rFonts w:ascii="Arial" w:hAnsi="Arial" w:cs="Arial"/>
          <w:i/>
          <w:iCs/>
        </w:rPr>
        <w:t xml:space="preserve">Family Law Act 1996, </w:t>
      </w:r>
      <w:r w:rsidR="00397B2A">
        <w:rPr>
          <w:rFonts w:ascii="Arial" w:hAnsi="Arial" w:cs="Arial"/>
        </w:rPr>
        <w:t>a non-molestation order contains either or both of the following</w:t>
      </w:r>
      <w:r w:rsidR="008F677E">
        <w:rPr>
          <w:rFonts w:ascii="Arial" w:hAnsi="Arial" w:cs="Arial"/>
        </w:rPr>
        <w:t xml:space="preserve"> provisions: </w:t>
      </w:r>
      <w:r w:rsidR="00141DD3">
        <w:rPr>
          <w:rFonts w:ascii="Arial" w:hAnsi="Arial" w:cs="Arial"/>
        </w:rPr>
        <w:t xml:space="preserve">prohibit a person from molesting (abusing) another person who is associated with the </w:t>
      </w:r>
      <w:r w:rsidR="005D1203">
        <w:rPr>
          <w:rFonts w:ascii="Arial" w:hAnsi="Arial" w:cs="Arial"/>
        </w:rPr>
        <w:t>respondent and</w:t>
      </w:r>
      <w:r w:rsidR="0068187C">
        <w:rPr>
          <w:rFonts w:ascii="Arial" w:hAnsi="Arial" w:cs="Arial"/>
        </w:rPr>
        <w:t xml:space="preserve"> prohibit the respondent from molesting a relevant child. </w:t>
      </w:r>
      <w:r w:rsidR="0093103D">
        <w:rPr>
          <w:rFonts w:ascii="Arial" w:hAnsi="Arial" w:cs="Arial"/>
        </w:rPr>
        <w:t>A non-molestation order is effective in providing immediate and enforceable protection</w:t>
      </w:r>
      <w:r w:rsidR="00F37B92">
        <w:rPr>
          <w:rFonts w:ascii="Arial" w:hAnsi="Arial" w:cs="Arial"/>
        </w:rPr>
        <w:t xml:space="preserve">, making it a quick deterrent against further abuse. Another </w:t>
      </w:r>
      <w:r w:rsidR="008F3AE1">
        <w:rPr>
          <w:rFonts w:ascii="Arial" w:hAnsi="Arial" w:cs="Arial"/>
        </w:rPr>
        <w:t xml:space="preserve">legal protection against domestic abuse is a </w:t>
      </w:r>
      <w:r w:rsidR="00150D71">
        <w:rPr>
          <w:rFonts w:ascii="Arial" w:hAnsi="Arial" w:cs="Arial"/>
        </w:rPr>
        <w:t>domestic abuse protection order</w:t>
      </w:r>
      <w:r w:rsidR="004E6AB0">
        <w:rPr>
          <w:rFonts w:ascii="Arial" w:hAnsi="Arial" w:cs="Arial"/>
        </w:rPr>
        <w:t xml:space="preserve">. </w:t>
      </w:r>
      <w:r w:rsidR="00226EDA">
        <w:rPr>
          <w:rFonts w:ascii="Arial" w:hAnsi="Arial" w:cs="Arial"/>
        </w:rPr>
        <w:t xml:space="preserve">Under section 27 of the </w:t>
      </w:r>
      <w:r w:rsidR="003B35A2">
        <w:rPr>
          <w:rFonts w:ascii="Arial" w:hAnsi="Arial" w:cs="Arial"/>
          <w:i/>
          <w:iCs/>
        </w:rPr>
        <w:t xml:space="preserve">Domestic Abuse Act 2021, </w:t>
      </w:r>
      <w:r w:rsidR="001922FF">
        <w:rPr>
          <w:rFonts w:ascii="Arial" w:hAnsi="Arial" w:cs="Arial"/>
        </w:rPr>
        <w:t xml:space="preserve">a domestic abuse </w:t>
      </w:r>
      <w:r w:rsidR="00760230">
        <w:rPr>
          <w:rFonts w:ascii="Arial" w:hAnsi="Arial" w:cs="Arial"/>
        </w:rPr>
        <w:t>protection order prevents a person from being abusive towards a person aged 16 or over</w:t>
      </w:r>
      <w:r w:rsidR="005334AF">
        <w:rPr>
          <w:rFonts w:ascii="Arial" w:hAnsi="Arial" w:cs="Arial"/>
        </w:rPr>
        <w:t xml:space="preserve"> and can apply conditions such as no contact, electronic monitoring, or exclusion zones. </w:t>
      </w:r>
      <w:r w:rsidR="00E85224">
        <w:rPr>
          <w:rFonts w:ascii="Arial" w:hAnsi="Arial" w:cs="Arial"/>
        </w:rPr>
        <w:t xml:space="preserve">These are effective </w:t>
      </w:r>
      <w:r w:rsidR="00472570">
        <w:rPr>
          <w:rFonts w:ascii="Arial" w:hAnsi="Arial" w:cs="Arial"/>
        </w:rPr>
        <w:t>because it combines enforceable protections with criminal sanctions, making them protective and preventative</w:t>
      </w:r>
      <w:r w:rsidR="00ED2066">
        <w:rPr>
          <w:rFonts w:ascii="Arial" w:hAnsi="Arial" w:cs="Arial"/>
        </w:rPr>
        <w:t>; however, it depends on police enforcement and court resources which could be underfunded</w:t>
      </w:r>
      <w:r w:rsidR="00603317">
        <w:rPr>
          <w:rFonts w:ascii="Arial" w:hAnsi="Arial" w:cs="Arial"/>
        </w:rPr>
        <w:t>.</w:t>
      </w:r>
      <w:r w:rsidR="007F13E1">
        <w:rPr>
          <w:rFonts w:ascii="Arial" w:hAnsi="Arial" w:cs="Arial"/>
        </w:rPr>
        <w:t xml:space="preserve"> Safeguarding in domestic </w:t>
      </w:r>
      <w:r w:rsidR="00480B74">
        <w:rPr>
          <w:rFonts w:ascii="Arial" w:hAnsi="Arial" w:cs="Arial"/>
        </w:rPr>
        <w:t xml:space="preserve">abuse cases involves protecting vulnerable children and adults who fall victim to abuse while addressing perpetrator </w:t>
      </w:r>
      <w:r w:rsidR="009E1E71">
        <w:rPr>
          <w:rFonts w:ascii="Arial" w:hAnsi="Arial" w:cs="Arial"/>
        </w:rPr>
        <w:t xml:space="preserve">behaviour. Effective </w:t>
      </w:r>
      <w:r w:rsidR="00370952">
        <w:rPr>
          <w:rFonts w:ascii="Arial" w:hAnsi="Arial" w:cs="Arial"/>
        </w:rPr>
        <w:t xml:space="preserve">safeguarding integrates social care responses through community-based interventions, training for professionals across </w:t>
      </w:r>
      <w:r w:rsidR="006677D1">
        <w:rPr>
          <w:rFonts w:ascii="Arial" w:hAnsi="Arial" w:cs="Arial"/>
        </w:rPr>
        <w:t>different sectors, and the involvement of Independent Domestic Violence Advisors (</w:t>
      </w:r>
      <w:r w:rsidR="00751230">
        <w:rPr>
          <w:rFonts w:ascii="Arial" w:hAnsi="Arial" w:cs="Arial"/>
        </w:rPr>
        <w:t>Mayrhofer et al., 2025).</w:t>
      </w:r>
      <w:r w:rsidR="004137D3">
        <w:rPr>
          <w:rFonts w:ascii="Arial" w:hAnsi="Arial" w:cs="Arial"/>
        </w:rPr>
        <w:t xml:space="preserve"> </w:t>
      </w:r>
      <w:r w:rsidR="002E4EDE">
        <w:rPr>
          <w:rFonts w:ascii="Arial" w:hAnsi="Arial" w:cs="Arial"/>
        </w:rPr>
        <w:t>A challenge associated with the legal protections against domestic abuse identified above is that</w:t>
      </w:r>
      <w:r w:rsidR="00CB5F0C">
        <w:rPr>
          <w:rFonts w:ascii="Arial" w:hAnsi="Arial" w:cs="Arial"/>
        </w:rPr>
        <w:t xml:space="preserve"> although emergency domestic violence shelters and orders of protection are linked with </w:t>
      </w:r>
      <w:r w:rsidR="007D142A">
        <w:rPr>
          <w:rFonts w:ascii="Arial" w:hAnsi="Arial" w:cs="Arial"/>
        </w:rPr>
        <w:t xml:space="preserve">reduced abuse by male intimate partners, other protective measures, such as safety planning, shows no reduction and sometimes </w:t>
      </w:r>
      <w:r w:rsidR="00561457">
        <w:rPr>
          <w:rFonts w:ascii="Arial" w:hAnsi="Arial" w:cs="Arial"/>
        </w:rPr>
        <w:t xml:space="preserve">demonstrates increased stalking or violence (Messing, O’Sullivan and Campbell, 2016). This proves that </w:t>
      </w:r>
      <w:r w:rsidR="004C49C1">
        <w:rPr>
          <w:rFonts w:ascii="Arial" w:hAnsi="Arial" w:cs="Arial"/>
        </w:rPr>
        <w:t xml:space="preserve">increased awareness about domestic abuse is heavily needed </w:t>
      </w:r>
      <w:r w:rsidR="00CA1DCA">
        <w:rPr>
          <w:rFonts w:ascii="Arial" w:hAnsi="Arial" w:cs="Arial"/>
        </w:rPr>
        <w:t>as more knowledge about the seriousness and scale of domestic abuse would help create more effective measures to stop or prevent it from happening.</w:t>
      </w:r>
      <w:r w:rsidR="00690175">
        <w:rPr>
          <w:rFonts w:ascii="Arial" w:hAnsi="Arial" w:cs="Arial"/>
        </w:rPr>
        <w:t xml:space="preserve"> Within the </w:t>
      </w:r>
      <w:r w:rsidR="00690175">
        <w:rPr>
          <w:rFonts w:ascii="Arial" w:hAnsi="Arial" w:cs="Arial"/>
          <w:i/>
          <w:iCs/>
        </w:rPr>
        <w:t>Domestic Abuse Act 2021</w:t>
      </w:r>
      <w:r w:rsidR="007D36B3">
        <w:rPr>
          <w:rFonts w:ascii="Arial" w:hAnsi="Arial" w:cs="Arial"/>
          <w:i/>
          <w:iCs/>
        </w:rPr>
        <w:t xml:space="preserve"> </w:t>
      </w:r>
      <w:r w:rsidR="007D36B3">
        <w:rPr>
          <w:rFonts w:ascii="Arial" w:hAnsi="Arial" w:cs="Arial"/>
        </w:rPr>
        <w:t xml:space="preserve">definition of </w:t>
      </w:r>
      <w:r w:rsidR="007D36B3">
        <w:rPr>
          <w:rFonts w:ascii="Arial" w:hAnsi="Arial" w:cs="Arial"/>
        </w:rPr>
        <w:lastRenderedPageBreak/>
        <w:t xml:space="preserve">domestic abuse, there is a clear lack of inclusion of children and those who are younger than </w:t>
      </w:r>
      <w:r w:rsidR="00A05680">
        <w:rPr>
          <w:rFonts w:ascii="Arial" w:hAnsi="Arial" w:cs="Arial"/>
        </w:rPr>
        <w:t>16 who fall victim to domestic abuse</w:t>
      </w:r>
      <w:r w:rsidR="00D35A02">
        <w:rPr>
          <w:rFonts w:ascii="Arial" w:hAnsi="Arial" w:cs="Arial"/>
        </w:rPr>
        <w:t xml:space="preserve">; the definition needs to be reformed further to include these victims. </w:t>
      </w:r>
      <w:r w:rsidR="00D7354D">
        <w:rPr>
          <w:rFonts w:ascii="Arial" w:hAnsi="Arial" w:cs="Arial"/>
        </w:rPr>
        <w:t>According to the Home Office (</w:t>
      </w:r>
      <w:r w:rsidR="00C72779">
        <w:rPr>
          <w:rFonts w:ascii="Arial" w:hAnsi="Arial" w:cs="Arial"/>
        </w:rPr>
        <w:t>2025), access to justice in domestic abuse cases is compromised; law reporting and lack of confidence in the justice system</w:t>
      </w:r>
      <w:r w:rsidR="001C4C7F">
        <w:rPr>
          <w:rFonts w:ascii="Arial" w:hAnsi="Arial" w:cs="Arial"/>
        </w:rPr>
        <w:t>, barriers to reporting, and structural failings all contribute to the lack of access to justice</w:t>
      </w:r>
      <w:r w:rsidR="008B02B3">
        <w:rPr>
          <w:rFonts w:ascii="Arial" w:hAnsi="Arial" w:cs="Arial"/>
        </w:rPr>
        <w:t xml:space="preserve"> as victims may be scared to report or feel that it is a waste of time as so many other victims who do go down the legal route do not get the justice that they deserve.</w:t>
      </w:r>
    </w:p>
    <w:p w14:paraId="506369BF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7B3322CA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7EC1C7EC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2F019114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0A69BAFB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4DA2EB05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31D1188F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2DE2614A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4D907AC7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7DCBAA64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2CB498F5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78F2B839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258A590F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176DD28E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7CAA8E48" w14:textId="77777777" w:rsidR="00C1069E" w:rsidRDefault="00C1069E" w:rsidP="00E86977">
      <w:pPr>
        <w:spacing w:line="360" w:lineRule="auto"/>
        <w:rPr>
          <w:rFonts w:ascii="Arial" w:hAnsi="Arial" w:cs="Arial"/>
        </w:rPr>
      </w:pPr>
    </w:p>
    <w:p w14:paraId="17A0359D" w14:textId="77777777" w:rsidR="00C1069E" w:rsidRPr="007D36B3" w:rsidRDefault="00C1069E" w:rsidP="00E86977">
      <w:pPr>
        <w:spacing w:line="360" w:lineRule="auto"/>
        <w:rPr>
          <w:rFonts w:ascii="Arial" w:hAnsi="Arial" w:cs="Arial"/>
        </w:rPr>
      </w:pPr>
    </w:p>
    <w:p w14:paraId="7FC9B769" w14:textId="3E084BE4" w:rsidR="00E65755" w:rsidRDefault="00E65755" w:rsidP="00F8603B">
      <w:pPr>
        <w:pStyle w:val="Heading1"/>
      </w:pPr>
      <w:bookmarkStart w:id="5" w:name="_Toc219732542"/>
      <w:r>
        <w:lastRenderedPageBreak/>
        <w:t>Reference List</w:t>
      </w:r>
      <w:bookmarkEnd w:id="5"/>
    </w:p>
    <w:p w14:paraId="3A99DCCD" w14:textId="79C58E0C" w:rsidR="008B02B3" w:rsidRDefault="00981507" w:rsidP="0091585A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References</w:t>
      </w:r>
    </w:p>
    <w:p w14:paraId="5DAEB8BA" w14:textId="04F4CA31" w:rsidR="00965D3B" w:rsidRPr="001A7044" w:rsidRDefault="00965D3B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Bowen, D. (2013) ‘A Critique of Private Sessions in Family Mediation’, </w:t>
      </w:r>
      <w:r w:rsidR="001A7044">
        <w:rPr>
          <w:rFonts w:ascii="Arial" w:hAnsi="Arial" w:cs="Arial"/>
          <w:i/>
          <w:iCs/>
        </w:rPr>
        <w:t xml:space="preserve">Sage Open, </w:t>
      </w:r>
      <w:r w:rsidR="001A7044">
        <w:rPr>
          <w:rFonts w:ascii="Arial" w:hAnsi="Arial" w:cs="Arial"/>
        </w:rPr>
        <w:t xml:space="preserve">3(1). Available at: </w:t>
      </w:r>
      <w:hyperlink r:id="rId14" w:history="1">
        <w:r w:rsidR="00471EB6" w:rsidRPr="00AB5F68">
          <w:rPr>
            <w:rStyle w:val="Hyperlink"/>
            <w:rFonts w:ascii="Arial" w:hAnsi="Arial" w:cs="Arial"/>
          </w:rPr>
          <w:t>https://doi-org.uwtsd.idm.oclc.org/10.1177/2158244013478950</w:t>
        </w:r>
      </w:hyperlink>
      <w:r w:rsidR="00471EB6">
        <w:rPr>
          <w:rFonts w:ascii="Arial" w:hAnsi="Arial" w:cs="Arial"/>
        </w:rPr>
        <w:t xml:space="preserve"> </w:t>
      </w:r>
    </w:p>
    <w:p w14:paraId="7F9A7B50" w14:textId="0992A362" w:rsidR="00673DF4" w:rsidRPr="001246B2" w:rsidRDefault="00673DF4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Citizens Advice (2019) </w:t>
      </w:r>
      <w:r w:rsidR="001246B2">
        <w:rPr>
          <w:rFonts w:ascii="Arial" w:hAnsi="Arial" w:cs="Arial"/>
          <w:i/>
          <w:iCs/>
        </w:rPr>
        <w:t xml:space="preserve">Getting a divorce or ending your civil partnership. </w:t>
      </w:r>
      <w:r w:rsidR="001246B2">
        <w:rPr>
          <w:rFonts w:ascii="Arial" w:hAnsi="Arial" w:cs="Arial"/>
        </w:rPr>
        <w:t xml:space="preserve">Available at: </w:t>
      </w:r>
      <w:hyperlink r:id="rId15" w:history="1">
        <w:r w:rsidR="00036F14" w:rsidRPr="00AB5F68">
          <w:rPr>
            <w:rStyle w:val="Hyperlink"/>
            <w:rFonts w:ascii="Arial" w:hAnsi="Arial" w:cs="Arial"/>
          </w:rPr>
          <w:t>https://www.citizensadvice.org.uk/family/how-to-separate1/getting-a-divorce-or-dissolution/</w:t>
        </w:r>
      </w:hyperlink>
      <w:r w:rsidR="00036F14">
        <w:rPr>
          <w:rFonts w:ascii="Arial" w:hAnsi="Arial" w:cs="Arial"/>
        </w:rPr>
        <w:t xml:space="preserve"> (Accessed: 17 January 2026).</w:t>
      </w:r>
    </w:p>
    <w:p w14:paraId="3778716B" w14:textId="6C407377" w:rsidR="00FA7D6F" w:rsidRPr="007A4498" w:rsidRDefault="00FA7D6F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Contend Legal (</w:t>
      </w:r>
      <w:r w:rsidR="007A4498">
        <w:rPr>
          <w:rFonts w:ascii="Arial" w:hAnsi="Arial" w:cs="Arial"/>
        </w:rPr>
        <w:t xml:space="preserve">2025) </w:t>
      </w:r>
      <w:r w:rsidR="007A4498">
        <w:rPr>
          <w:rFonts w:ascii="Arial" w:hAnsi="Arial" w:cs="Arial"/>
          <w:i/>
          <w:iCs/>
        </w:rPr>
        <w:t xml:space="preserve">Form D8: Your Step-by-Step Guide to Divorce in the UK. </w:t>
      </w:r>
      <w:r w:rsidR="007A4498">
        <w:rPr>
          <w:rFonts w:ascii="Arial" w:hAnsi="Arial" w:cs="Arial"/>
        </w:rPr>
        <w:t xml:space="preserve">Available at: </w:t>
      </w:r>
      <w:hyperlink r:id="rId16" w:history="1">
        <w:r w:rsidR="001A469D" w:rsidRPr="00AB5F68">
          <w:rPr>
            <w:rStyle w:val="Hyperlink"/>
            <w:rFonts w:ascii="Arial" w:hAnsi="Arial" w:cs="Arial"/>
          </w:rPr>
          <w:t>https://contendlegal.com/courts-and-procedure/court/court-preparation/court-forms/form-d8/</w:t>
        </w:r>
      </w:hyperlink>
      <w:r w:rsidR="001A469D">
        <w:rPr>
          <w:rFonts w:ascii="Arial" w:hAnsi="Arial" w:cs="Arial"/>
        </w:rPr>
        <w:t xml:space="preserve"> (Accessed: 17 January 2026).</w:t>
      </w:r>
    </w:p>
    <w:p w14:paraId="5FD3B921" w14:textId="7167D58D" w:rsidR="00D141C7" w:rsidRPr="00AE0625" w:rsidRDefault="00D141C7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Divorce, </w:t>
      </w:r>
      <w:r w:rsidR="00AE0625">
        <w:rPr>
          <w:rFonts w:ascii="Arial" w:hAnsi="Arial" w:cs="Arial"/>
          <w:i/>
          <w:iCs/>
        </w:rPr>
        <w:t xml:space="preserve">Dissolution and Separation Act 2020, c. 11. </w:t>
      </w:r>
      <w:r w:rsidR="00AE0625">
        <w:rPr>
          <w:rFonts w:ascii="Arial" w:hAnsi="Arial" w:cs="Arial"/>
        </w:rPr>
        <w:t xml:space="preserve">Available at: </w:t>
      </w:r>
      <w:hyperlink r:id="rId17" w:history="1">
        <w:r w:rsidR="00481A89" w:rsidRPr="00AB5F68">
          <w:rPr>
            <w:rStyle w:val="Hyperlink"/>
            <w:rFonts w:ascii="Arial" w:hAnsi="Arial" w:cs="Arial"/>
          </w:rPr>
          <w:t>https://www.legislation.gov.uk/ukpga/2020/11/section/1</w:t>
        </w:r>
      </w:hyperlink>
      <w:r w:rsidR="00481A89">
        <w:rPr>
          <w:rFonts w:ascii="Arial" w:hAnsi="Arial" w:cs="Arial"/>
        </w:rPr>
        <w:t xml:space="preserve"> (Accessed: 17 January 2026).</w:t>
      </w:r>
    </w:p>
    <w:p w14:paraId="3094807D" w14:textId="235F7DF5" w:rsidR="00157DA3" w:rsidRPr="000E35CD" w:rsidRDefault="00157DA3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Domestic Abuse Act 2021, c. </w:t>
      </w:r>
      <w:r w:rsidR="000E35CD">
        <w:rPr>
          <w:rFonts w:ascii="Arial" w:hAnsi="Arial" w:cs="Arial"/>
          <w:i/>
          <w:iCs/>
        </w:rPr>
        <w:t xml:space="preserve">17. </w:t>
      </w:r>
      <w:r w:rsidR="000E35CD">
        <w:rPr>
          <w:rFonts w:ascii="Arial" w:hAnsi="Arial" w:cs="Arial"/>
        </w:rPr>
        <w:t xml:space="preserve">Available at: </w:t>
      </w:r>
      <w:hyperlink r:id="rId18" w:history="1">
        <w:r w:rsidR="000E35CD" w:rsidRPr="00AB5F68">
          <w:rPr>
            <w:rStyle w:val="Hyperlink"/>
            <w:rFonts w:ascii="Arial" w:hAnsi="Arial" w:cs="Arial"/>
          </w:rPr>
          <w:t>https://www.legislation.gov.uk/ukpga/2021/17/contents</w:t>
        </w:r>
      </w:hyperlink>
      <w:r w:rsidR="000E35CD">
        <w:rPr>
          <w:rFonts w:ascii="Arial" w:hAnsi="Arial" w:cs="Arial"/>
        </w:rPr>
        <w:t xml:space="preserve"> (Accessed: 17 January 2026).</w:t>
      </w:r>
    </w:p>
    <w:p w14:paraId="2B45DB4F" w14:textId="493CFEEC" w:rsidR="00960278" w:rsidRPr="00960278" w:rsidRDefault="00960278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Family Law Act 1996, c. 27. </w:t>
      </w:r>
      <w:r>
        <w:rPr>
          <w:rFonts w:ascii="Arial" w:hAnsi="Arial" w:cs="Arial"/>
        </w:rPr>
        <w:t xml:space="preserve">Available at: </w:t>
      </w:r>
      <w:hyperlink r:id="rId19" w:history="1">
        <w:r w:rsidR="001D5973" w:rsidRPr="00AB5F68">
          <w:rPr>
            <w:rStyle w:val="Hyperlink"/>
            <w:rFonts w:ascii="Arial" w:hAnsi="Arial" w:cs="Arial"/>
          </w:rPr>
          <w:t>https://www.legislation.gov.uk/ukpga/1996/27/contents</w:t>
        </w:r>
      </w:hyperlink>
      <w:r w:rsidR="001D5973">
        <w:rPr>
          <w:rFonts w:ascii="Arial" w:hAnsi="Arial" w:cs="Arial"/>
        </w:rPr>
        <w:t xml:space="preserve"> (Accessed: 17 January 2026).</w:t>
      </w:r>
    </w:p>
    <w:p w14:paraId="23848149" w14:textId="689B5CD9" w:rsidR="00F915CF" w:rsidRDefault="00F915CF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>Family Procedure</w:t>
      </w:r>
      <w:r w:rsidR="00F47C5E">
        <w:rPr>
          <w:rFonts w:ascii="Arial" w:hAnsi="Arial" w:cs="Arial"/>
          <w:i/>
          <w:iCs/>
        </w:rPr>
        <w:t xml:space="preserve"> Rules</w:t>
      </w:r>
      <w:r w:rsidR="000E2777">
        <w:rPr>
          <w:rFonts w:ascii="Arial" w:hAnsi="Arial" w:cs="Arial"/>
          <w:i/>
          <w:iCs/>
        </w:rPr>
        <w:t xml:space="preserve"> 2010 </w:t>
      </w:r>
      <w:r w:rsidR="00CE7BAD">
        <w:rPr>
          <w:rFonts w:ascii="Arial" w:hAnsi="Arial" w:cs="Arial"/>
        </w:rPr>
        <w:t xml:space="preserve">(SI 2010/2955). Available at: </w:t>
      </w:r>
      <w:hyperlink r:id="rId20" w:history="1">
        <w:r w:rsidR="009D4D2A" w:rsidRPr="00AB5F68">
          <w:rPr>
            <w:rStyle w:val="Hyperlink"/>
            <w:rFonts w:ascii="Arial" w:hAnsi="Arial" w:cs="Arial"/>
          </w:rPr>
          <w:t>https://www.legislation.gov.uk/uksi/2010/2955/part/3/chapter/3</w:t>
        </w:r>
      </w:hyperlink>
      <w:r w:rsidR="009D4D2A">
        <w:rPr>
          <w:rFonts w:ascii="Arial" w:hAnsi="Arial" w:cs="Arial"/>
        </w:rPr>
        <w:t xml:space="preserve"> </w:t>
      </w:r>
      <w:r w:rsidR="001D1165">
        <w:rPr>
          <w:rFonts w:ascii="Arial" w:hAnsi="Arial" w:cs="Arial"/>
        </w:rPr>
        <w:t>(Accessed: 15 January 2026).</w:t>
      </w:r>
    </w:p>
    <w:p w14:paraId="249B1E1E" w14:textId="77777777" w:rsidR="009D5BA6" w:rsidRPr="00575456" w:rsidRDefault="009D5BA6" w:rsidP="009D5B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Genn, H. (2010) ‘Civil mediation: a measured approach?’, </w:t>
      </w:r>
      <w:r>
        <w:rPr>
          <w:rFonts w:ascii="Arial" w:hAnsi="Arial" w:cs="Arial"/>
          <w:i/>
          <w:iCs/>
        </w:rPr>
        <w:t xml:space="preserve">Journal of Social Welfare and Family Law, </w:t>
      </w:r>
      <w:r>
        <w:rPr>
          <w:rFonts w:ascii="Arial" w:hAnsi="Arial" w:cs="Arial"/>
        </w:rPr>
        <w:t xml:space="preserve">32(2), pp. 195-205. Available at: </w:t>
      </w:r>
      <w:hyperlink r:id="rId21" w:history="1">
        <w:r w:rsidRPr="00AB5F68">
          <w:rPr>
            <w:rStyle w:val="Hyperlink"/>
            <w:rFonts w:ascii="Arial" w:hAnsi="Arial" w:cs="Arial"/>
          </w:rPr>
          <w:t>https://doi-org.uwtsd.idm.oclc.org/10.1080/09649069.2010.506314</w:t>
        </w:r>
      </w:hyperlink>
      <w:r>
        <w:rPr>
          <w:rFonts w:ascii="Arial" w:hAnsi="Arial" w:cs="Arial"/>
        </w:rPr>
        <w:t xml:space="preserve"> </w:t>
      </w:r>
    </w:p>
    <w:p w14:paraId="648D87AF" w14:textId="6390EC74" w:rsidR="009D5BA6" w:rsidRPr="005862C0" w:rsidRDefault="008D64E6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Home Office (2025) </w:t>
      </w:r>
      <w:r>
        <w:rPr>
          <w:rFonts w:ascii="Arial" w:hAnsi="Arial" w:cs="Arial"/>
          <w:i/>
          <w:iCs/>
        </w:rPr>
        <w:t xml:space="preserve">Shifting the scales: Transforming the criminal justice response </w:t>
      </w:r>
      <w:r w:rsidR="005862C0">
        <w:rPr>
          <w:rFonts w:ascii="Arial" w:hAnsi="Arial" w:cs="Arial"/>
          <w:i/>
          <w:iCs/>
        </w:rPr>
        <w:t xml:space="preserve">to domestic abuse (accessible). </w:t>
      </w:r>
      <w:r w:rsidR="005862C0">
        <w:rPr>
          <w:rFonts w:ascii="Arial" w:hAnsi="Arial" w:cs="Arial"/>
        </w:rPr>
        <w:t xml:space="preserve">Available at: </w:t>
      </w:r>
      <w:hyperlink r:id="rId22" w:history="1">
        <w:r w:rsidR="005862C0" w:rsidRPr="00AB5F68">
          <w:rPr>
            <w:rStyle w:val="Hyperlink"/>
            <w:rFonts w:ascii="Arial" w:hAnsi="Arial" w:cs="Arial"/>
          </w:rPr>
          <w:t>https://www.gov.uk/government/publications/transforming-the-criminal-justice-response-to-domestic-abuse/shifting-the-scales-transforming-the-criminal-justice-response-to-domestic-abuse-accessible</w:t>
        </w:r>
      </w:hyperlink>
      <w:r w:rsidR="005862C0">
        <w:rPr>
          <w:rFonts w:ascii="Arial" w:hAnsi="Arial" w:cs="Arial"/>
        </w:rPr>
        <w:t xml:space="preserve"> (Accessed: 17 January 2026).</w:t>
      </w:r>
    </w:p>
    <w:p w14:paraId="54BEEE76" w14:textId="73F42CBA" w:rsidR="00471EB6" w:rsidRPr="005475DB" w:rsidRDefault="00471EB6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Keet, </w:t>
      </w:r>
      <w:r w:rsidR="001F0845">
        <w:rPr>
          <w:rFonts w:ascii="Arial" w:hAnsi="Arial" w:cs="Arial"/>
        </w:rPr>
        <w:t xml:space="preserve">M. and </w:t>
      </w:r>
      <w:r w:rsidR="008E7166">
        <w:rPr>
          <w:rFonts w:ascii="Arial" w:hAnsi="Arial" w:cs="Arial"/>
        </w:rPr>
        <w:t>Edgar, J.</w:t>
      </w:r>
      <w:r w:rsidR="00BD400C">
        <w:rPr>
          <w:rFonts w:ascii="Arial" w:hAnsi="Arial" w:cs="Arial"/>
        </w:rPr>
        <w:t xml:space="preserve"> (2023)</w:t>
      </w:r>
      <w:r w:rsidR="00052BAE">
        <w:rPr>
          <w:rFonts w:ascii="Arial" w:hAnsi="Arial" w:cs="Arial"/>
        </w:rPr>
        <w:t xml:space="preserve"> ‘Mediator discretion in cases involving </w:t>
      </w:r>
      <w:r w:rsidR="005475DB">
        <w:rPr>
          <w:rFonts w:ascii="Arial" w:hAnsi="Arial" w:cs="Arial"/>
        </w:rPr>
        <w:t xml:space="preserve">intimate partner violence’, </w:t>
      </w:r>
      <w:r w:rsidR="005475DB">
        <w:rPr>
          <w:rFonts w:ascii="Arial" w:hAnsi="Arial" w:cs="Arial"/>
          <w:i/>
          <w:iCs/>
        </w:rPr>
        <w:t xml:space="preserve">Canadian Journal of Family Law, </w:t>
      </w:r>
      <w:r w:rsidR="006D02D6">
        <w:rPr>
          <w:rFonts w:ascii="Arial" w:hAnsi="Arial" w:cs="Arial"/>
        </w:rPr>
        <w:t xml:space="preserve">35(1), pp. 131-182. Available at: </w:t>
      </w:r>
      <w:hyperlink r:id="rId23" w:history="1">
        <w:r w:rsidR="00D141C7" w:rsidRPr="00AB5F68">
          <w:rPr>
            <w:rStyle w:val="Hyperlink"/>
            <w:rFonts w:ascii="Arial" w:hAnsi="Arial" w:cs="Arial"/>
          </w:rPr>
          <w:t>https://www.proquest.com/scholarly-journals/mediator-discretion-cases-involving-intimate/docview/2824080165/se-2?accountid=130472</w:t>
        </w:r>
      </w:hyperlink>
      <w:r w:rsidR="00D141C7">
        <w:rPr>
          <w:rFonts w:ascii="Arial" w:hAnsi="Arial" w:cs="Arial"/>
        </w:rPr>
        <w:t xml:space="preserve"> </w:t>
      </w:r>
    </w:p>
    <w:p w14:paraId="3766194F" w14:textId="29CAC630" w:rsidR="001D1165" w:rsidRDefault="001D1165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>Legal Aid, Sentencing and Punishment of Offenders A</w:t>
      </w:r>
      <w:r w:rsidR="00DE0A50">
        <w:rPr>
          <w:rFonts w:ascii="Arial" w:hAnsi="Arial" w:cs="Arial"/>
          <w:i/>
          <w:iCs/>
        </w:rPr>
        <w:t xml:space="preserve">ct 2012, c. 10. </w:t>
      </w:r>
      <w:r w:rsidR="00DE0A50">
        <w:rPr>
          <w:rFonts w:ascii="Arial" w:hAnsi="Arial" w:cs="Arial"/>
        </w:rPr>
        <w:t>Avai</w:t>
      </w:r>
      <w:r w:rsidR="001C0E56">
        <w:rPr>
          <w:rFonts w:ascii="Arial" w:hAnsi="Arial" w:cs="Arial"/>
        </w:rPr>
        <w:t xml:space="preserve">lable at: </w:t>
      </w:r>
      <w:hyperlink r:id="rId24" w:history="1">
        <w:r w:rsidR="00D916D7" w:rsidRPr="00AB5F68">
          <w:rPr>
            <w:rStyle w:val="Hyperlink"/>
            <w:rFonts w:ascii="Arial" w:hAnsi="Arial" w:cs="Arial"/>
          </w:rPr>
          <w:t>https://www.legislation.gov.uk/ukpga/2012/10/section/8</w:t>
        </w:r>
      </w:hyperlink>
      <w:r w:rsidR="00D916D7">
        <w:rPr>
          <w:rFonts w:ascii="Arial" w:hAnsi="Arial" w:cs="Arial"/>
        </w:rPr>
        <w:t xml:space="preserve"> (Accessed: 15 January 2026).</w:t>
      </w:r>
    </w:p>
    <w:p w14:paraId="24234404" w14:textId="75AA7A36" w:rsidR="00481A89" w:rsidRPr="00511771" w:rsidRDefault="00481A89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Matrimonial Causes Act </w:t>
      </w:r>
      <w:r w:rsidR="00511771">
        <w:rPr>
          <w:rFonts w:ascii="Arial" w:hAnsi="Arial" w:cs="Arial"/>
          <w:i/>
          <w:iCs/>
        </w:rPr>
        <w:t xml:space="preserve">1973, c. 18. </w:t>
      </w:r>
      <w:r w:rsidR="00511771">
        <w:rPr>
          <w:rFonts w:ascii="Arial" w:hAnsi="Arial" w:cs="Arial"/>
        </w:rPr>
        <w:t xml:space="preserve">Available at: </w:t>
      </w:r>
      <w:hyperlink r:id="rId25" w:history="1">
        <w:r w:rsidR="00FA7D6F" w:rsidRPr="00AB5F68">
          <w:rPr>
            <w:rStyle w:val="Hyperlink"/>
            <w:rFonts w:ascii="Arial" w:hAnsi="Arial" w:cs="Arial"/>
          </w:rPr>
          <w:t>https://www.legislation.gov.uk/ukpga/1973/18/contents/2020-06-25</w:t>
        </w:r>
      </w:hyperlink>
      <w:r w:rsidR="00FA7D6F">
        <w:rPr>
          <w:rFonts w:ascii="Arial" w:hAnsi="Arial" w:cs="Arial"/>
        </w:rPr>
        <w:t xml:space="preserve"> (Accessed: 17 January 2026).</w:t>
      </w:r>
    </w:p>
    <w:p w14:paraId="413B6E76" w14:textId="1410DA87" w:rsidR="00301FC5" w:rsidRPr="00D31775" w:rsidRDefault="00301FC5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May</w:t>
      </w:r>
      <w:r w:rsidR="004301BD">
        <w:rPr>
          <w:rFonts w:ascii="Arial" w:hAnsi="Arial" w:cs="Arial"/>
        </w:rPr>
        <w:t>rhofer, A., Mansuri, N., Sarma, K., Smiles, C., Alderson, H., Kaner</w:t>
      </w:r>
      <w:r w:rsidR="000F67B4">
        <w:rPr>
          <w:rFonts w:ascii="Arial" w:hAnsi="Arial" w:cs="Arial"/>
        </w:rPr>
        <w:t xml:space="preserve">, C. and McGovern, R. (2025) ‘Implementing family safeguarding in the context of domestic violence </w:t>
      </w:r>
      <w:r w:rsidR="00DA7D21">
        <w:rPr>
          <w:rFonts w:ascii="Arial" w:hAnsi="Arial" w:cs="Arial"/>
        </w:rPr>
        <w:t xml:space="preserve">and abuse: A case study of a local authority in England’, </w:t>
      </w:r>
      <w:r w:rsidR="00DA7D21">
        <w:rPr>
          <w:rFonts w:ascii="Arial" w:hAnsi="Arial" w:cs="Arial"/>
          <w:i/>
          <w:iCs/>
        </w:rPr>
        <w:t xml:space="preserve">The British Journal of </w:t>
      </w:r>
      <w:r w:rsidR="00D31775">
        <w:rPr>
          <w:rFonts w:ascii="Arial" w:hAnsi="Arial" w:cs="Arial"/>
          <w:i/>
          <w:iCs/>
        </w:rPr>
        <w:t xml:space="preserve">Social Work, </w:t>
      </w:r>
      <w:r w:rsidR="00D31775">
        <w:rPr>
          <w:rFonts w:ascii="Arial" w:hAnsi="Arial" w:cs="Arial"/>
        </w:rPr>
        <w:t xml:space="preserve">55(2), pp. 763-781. Available at: </w:t>
      </w:r>
      <w:hyperlink r:id="rId26" w:history="1">
        <w:r w:rsidR="00D615EB" w:rsidRPr="00AB5F68">
          <w:rPr>
            <w:rStyle w:val="Hyperlink"/>
            <w:rFonts w:ascii="Arial" w:hAnsi="Arial" w:cs="Arial"/>
          </w:rPr>
          <w:t>https://doi-org.uwtsd.idm.oclc.org/10.1093/bjsw/bcaf007</w:t>
        </w:r>
      </w:hyperlink>
      <w:r w:rsidR="00D615EB">
        <w:rPr>
          <w:rFonts w:ascii="Arial" w:hAnsi="Arial" w:cs="Arial"/>
        </w:rPr>
        <w:t xml:space="preserve"> </w:t>
      </w:r>
    </w:p>
    <w:p w14:paraId="0A0A9CA5" w14:textId="6C457F8E" w:rsidR="00981507" w:rsidRDefault="00FC6C95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McFarlane, A. (2024) </w:t>
      </w:r>
      <w:r>
        <w:rPr>
          <w:rFonts w:ascii="Arial" w:hAnsi="Arial" w:cs="Arial"/>
          <w:i/>
          <w:iCs/>
        </w:rPr>
        <w:t xml:space="preserve">FJC and FMC: </w:t>
      </w:r>
      <w:r w:rsidR="001068A0">
        <w:rPr>
          <w:rFonts w:ascii="Arial" w:hAnsi="Arial" w:cs="Arial"/>
          <w:i/>
          <w:iCs/>
        </w:rPr>
        <w:t>Family Mediation in England and Wales: A guide for judges, magistrates, legal advisors</w:t>
      </w:r>
      <w:r w:rsidR="00A274C1">
        <w:rPr>
          <w:rFonts w:ascii="Arial" w:hAnsi="Arial" w:cs="Arial"/>
          <w:i/>
          <w:iCs/>
        </w:rPr>
        <w:t xml:space="preserve">, court staff. </w:t>
      </w:r>
      <w:r w:rsidR="00A274C1">
        <w:rPr>
          <w:rFonts w:ascii="Arial" w:hAnsi="Arial" w:cs="Arial"/>
        </w:rPr>
        <w:t xml:space="preserve">Available at: </w:t>
      </w:r>
      <w:hyperlink r:id="rId27" w:history="1">
        <w:r w:rsidR="00DA2664" w:rsidRPr="00AB5F68">
          <w:rPr>
            <w:rStyle w:val="Hyperlink"/>
            <w:rFonts w:ascii="Arial" w:hAnsi="Arial" w:cs="Arial"/>
          </w:rPr>
          <w:t>https://www.judiciary.uk/wp-content/uploads/2024/09/Guide-to-Family-Mediation-for-the-Courts-2024.pdf</w:t>
        </w:r>
      </w:hyperlink>
      <w:r w:rsidR="00DA2664">
        <w:rPr>
          <w:rFonts w:ascii="Arial" w:hAnsi="Arial" w:cs="Arial"/>
        </w:rPr>
        <w:t xml:space="preserve"> (Accessed: 15 January 2026).</w:t>
      </w:r>
    </w:p>
    <w:p w14:paraId="0AD5A965" w14:textId="4625EDE6" w:rsidR="00D615EB" w:rsidRPr="00C1069E" w:rsidRDefault="00D615EB" w:rsidP="0091585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Messing, </w:t>
      </w:r>
      <w:r w:rsidR="00531256">
        <w:rPr>
          <w:rFonts w:ascii="Arial" w:hAnsi="Arial" w:cs="Arial"/>
        </w:rPr>
        <w:t xml:space="preserve">J. T., O’Sullivan, </w:t>
      </w:r>
      <w:r w:rsidR="00A61903">
        <w:rPr>
          <w:rFonts w:ascii="Arial" w:hAnsi="Arial" w:cs="Arial"/>
        </w:rPr>
        <w:t>C.,</w:t>
      </w:r>
      <w:r w:rsidR="00531256">
        <w:rPr>
          <w:rFonts w:ascii="Arial" w:hAnsi="Arial" w:cs="Arial"/>
        </w:rPr>
        <w:t xml:space="preserve"> and Campbell, J. (2016) ‘</w:t>
      </w:r>
      <w:r w:rsidR="00632C91" w:rsidRPr="00632C91">
        <w:rPr>
          <w:rFonts w:ascii="Arial" w:hAnsi="Arial" w:cs="Arial"/>
        </w:rPr>
        <w:t>Are Abused Women’s Protective Actions Associated With Reduced Threats, Stalking, and Violence Perpetrated by Their Male Intimate Partners?</w:t>
      </w:r>
      <w:r w:rsidR="00632C91">
        <w:rPr>
          <w:rFonts w:ascii="Arial" w:hAnsi="Arial" w:cs="Arial"/>
        </w:rPr>
        <w:t xml:space="preserve">’, </w:t>
      </w:r>
      <w:r w:rsidR="00632C91">
        <w:rPr>
          <w:rFonts w:ascii="Arial" w:hAnsi="Arial" w:cs="Arial"/>
          <w:i/>
          <w:iCs/>
        </w:rPr>
        <w:t xml:space="preserve">Violence Against Women, </w:t>
      </w:r>
      <w:r w:rsidR="00632C91">
        <w:rPr>
          <w:rFonts w:ascii="Arial" w:hAnsi="Arial" w:cs="Arial"/>
        </w:rPr>
        <w:t>23(3)</w:t>
      </w:r>
      <w:r w:rsidR="009D5BA6">
        <w:rPr>
          <w:rFonts w:ascii="Arial" w:hAnsi="Arial" w:cs="Arial"/>
        </w:rPr>
        <w:t xml:space="preserve">, pp. 263-286. Available at: </w:t>
      </w:r>
      <w:hyperlink r:id="rId28" w:history="1">
        <w:r w:rsidR="009D5BA6" w:rsidRPr="00AB5F68">
          <w:rPr>
            <w:rStyle w:val="Hyperlink"/>
            <w:rFonts w:ascii="Arial" w:hAnsi="Arial" w:cs="Arial"/>
          </w:rPr>
          <w:t>https://doi-org.uwtsd.idm.oclc.org/10.1177/1077801216640381</w:t>
        </w:r>
      </w:hyperlink>
      <w:r w:rsidR="009D5BA6">
        <w:rPr>
          <w:rFonts w:ascii="Arial" w:hAnsi="Arial" w:cs="Arial"/>
        </w:rPr>
        <w:t xml:space="preserve"> </w:t>
      </w:r>
    </w:p>
    <w:p w14:paraId="76B3E8A1" w14:textId="6875D0BC" w:rsidR="006B0615" w:rsidRDefault="006B0615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Ministry of Justice</w:t>
      </w:r>
      <w:r w:rsidR="00F550B2">
        <w:rPr>
          <w:rFonts w:ascii="Arial" w:hAnsi="Arial" w:cs="Arial"/>
        </w:rPr>
        <w:t xml:space="preserve"> (2026) </w:t>
      </w:r>
      <w:r w:rsidR="00F550B2">
        <w:rPr>
          <w:rFonts w:ascii="Arial" w:hAnsi="Arial" w:cs="Arial"/>
          <w:i/>
          <w:iCs/>
        </w:rPr>
        <w:t>Family mediation: Sorting out family disputes</w:t>
      </w:r>
      <w:r w:rsidR="00DD3393">
        <w:rPr>
          <w:rFonts w:ascii="Arial" w:hAnsi="Arial" w:cs="Arial"/>
          <w:i/>
          <w:iCs/>
        </w:rPr>
        <w:t xml:space="preserve"> without going through court. </w:t>
      </w:r>
      <w:r w:rsidR="00DD3393">
        <w:rPr>
          <w:rFonts w:ascii="Arial" w:hAnsi="Arial" w:cs="Arial"/>
        </w:rPr>
        <w:t xml:space="preserve">Available at: </w:t>
      </w:r>
      <w:hyperlink r:id="rId29" w:history="1">
        <w:r w:rsidR="00DD3393" w:rsidRPr="00AB5F68">
          <w:rPr>
            <w:rStyle w:val="Hyperlink"/>
            <w:rFonts w:ascii="Arial" w:hAnsi="Arial" w:cs="Arial"/>
          </w:rPr>
          <w:t>https://assets.publishing.service.gov.uk/media/5a800f33ed915d74e33f834d/family-mediation-leaflet.pdf</w:t>
        </w:r>
      </w:hyperlink>
      <w:r w:rsidR="00DD3393">
        <w:rPr>
          <w:rFonts w:ascii="Arial" w:hAnsi="Arial" w:cs="Arial"/>
        </w:rPr>
        <w:t xml:space="preserve"> (Accessed: 15 January 2026).</w:t>
      </w:r>
    </w:p>
    <w:p w14:paraId="3AC9D0E4" w14:textId="47C0883E" w:rsidR="000A24EC" w:rsidRDefault="000A24EC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Tyrer Roxbu</w:t>
      </w:r>
      <w:r w:rsidR="002533B5">
        <w:rPr>
          <w:rFonts w:ascii="Arial" w:hAnsi="Arial" w:cs="Arial"/>
        </w:rPr>
        <w:t xml:space="preserve">rgh Solicitors (2026) </w:t>
      </w:r>
      <w:r w:rsidR="002533B5">
        <w:rPr>
          <w:rFonts w:ascii="Arial" w:hAnsi="Arial" w:cs="Arial"/>
          <w:i/>
          <w:iCs/>
        </w:rPr>
        <w:t>UK Divorce Law: What is a Consent Order?</w:t>
      </w:r>
      <w:r w:rsidR="00157DA3">
        <w:rPr>
          <w:rFonts w:ascii="Arial" w:hAnsi="Arial" w:cs="Arial"/>
          <w:i/>
          <w:iCs/>
        </w:rPr>
        <w:t xml:space="preserve"> </w:t>
      </w:r>
      <w:r w:rsidR="00157DA3">
        <w:rPr>
          <w:rFonts w:ascii="Arial" w:hAnsi="Arial" w:cs="Arial"/>
        </w:rPr>
        <w:t xml:space="preserve">Available at: </w:t>
      </w:r>
      <w:hyperlink r:id="rId30" w:history="1">
        <w:r w:rsidR="00157DA3" w:rsidRPr="00AB5F68">
          <w:rPr>
            <w:rStyle w:val="Hyperlink"/>
            <w:rFonts w:ascii="Arial" w:hAnsi="Arial" w:cs="Arial"/>
          </w:rPr>
          <w:t>https://tyrerroxburgh.co.uk/news/uk-divorce-law-what-is-a-consent-order/</w:t>
        </w:r>
      </w:hyperlink>
      <w:r w:rsidR="00157DA3">
        <w:rPr>
          <w:rFonts w:ascii="Arial" w:hAnsi="Arial" w:cs="Arial"/>
        </w:rPr>
        <w:t xml:space="preserve"> (Accessed: 17 January 2026).</w:t>
      </w:r>
    </w:p>
    <w:p w14:paraId="310948F4" w14:textId="15CE43CF" w:rsidR="005862C0" w:rsidRDefault="00C0391F" w:rsidP="0091585A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Case Law</w:t>
      </w:r>
    </w:p>
    <w:p w14:paraId="283E9F8A" w14:textId="54C2A345" w:rsidR="00882B53" w:rsidRDefault="00882B53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‘Duxbury v Duxbury’ (1992) Fam 62n. </w:t>
      </w:r>
      <w:r w:rsidR="00514063">
        <w:rPr>
          <w:rFonts w:ascii="Arial" w:hAnsi="Arial" w:cs="Arial"/>
          <w:i/>
          <w:iCs/>
        </w:rPr>
        <w:t xml:space="preserve">Lexis Plus UK. </w:t>
      </w:r>
      <w:r w:rsidR="00514063">
        <w:rPr>
          <w:rFonts w:ascii="Arial" w:hAnsi="Arial" w:cs="Arial"/>
        </w:rPr>
        <w:t xml:space="preserve">Available at: </w:t>
      </w:r>
      <w:hyperlink r:id="rId31" w:history="1">
        <w:r w:rsidR="00514063" w:rsidRPr="00AB5F68">
          <w:rPr>
            <w:rStyle w:val="Hyperlink"/>
            <w:rFonts w:ascii="Arial" w:hAnsi="Arial" w:cs="Arial"/>
          </w:rPr>
          <w:t>https://librarysearch.uwtsd.ac.uk/permalink/44WHELF_UWTSD/11c0l68/alma99100475802402421</w:t>
        </w:r>
      </w:hyperlink>
      <w:r w:rsidR="00514063">
        <w:rPr>
          <w:rFonts w:ascii="Arial" w:hAnsi="Arial" w:cs="Arial"/>
        </w:rPr>
        <w:t xml:space="preserve"> (Accessed: 17 January 2026).</w:t>
      </w:r>
    </w:p>
    <w:p w14:paraId="7129CAC3" w14:textId="33D9A8FB" w:rsidR="00B7131C" w:rsidRPr="00590727" w:rsidRDefault="00B7131C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‘H v H’ (1994) 2 FLR </w:t>
      </w:r>
      <w:r w:rsidR="00590727">
        <w:rPr>
          <w:rFonts w:ascii="Arial" w:hAnsi="Arial" w:cs="Arial"/>
        </w:rPr>
        <w:t xml:space="preserve">801. </w:t>
      </w:r>
      <w:r w:rsidR="00590727">
        <w:rPr>
          <w:rFonts w:ascii="Arial" w:hAnsi="Arial" w:cs="Arial"/>
          <w:i/>
          <w:iCs/>
        </w:rPr>
        <w:t xml:space="preserve">Lexis Plus UK. </w:t>
      </w:r>
      <w:r w:rsidR="00590727">
        <w:rPr>
          <w:rFonts w:ascii="Arial" w:hAnsi="Arial" w:cs="Arial"/>
        </w:rPr>
        <w:t xml:space="preserve">Available at: </w:t>
      </w:r>
      <w:hyperlink r:id="rId32" w:history="1">
        <w:r w:rsidR="00590727" w:rsidRPr="00AB5F68">
          <w:rPr>
            <w:rStyle w:val="Hyperlink"/>
            <w:rFonts w:ascii="Arial" w:hAnsi="Arial" w:cs="Arial"/>
          </w:rPr>
          <w:t>https://librarysearch.uwtsd.ac.uk/permalink/44WHELF_UWTSD/11c0l68/alma99100475802402421</w:t>
        </w:r>
      </w:hyperlink>
      <w:r w:rsidR="00590727">
        <w:rPr>
          <w:rFonts w:ascii="Arial" w:hAnsi="Arial" w:cs="Arial"/>
        </w:rPr>
        <w:t xml:space="preserve"> (Accessed: 17 January 2026).</w:t>
      </w:r>
    </w:p>
    <w:p w14:paraId="3F58274A" w14:textId="0283E81D" w:rsidR="00514063" w:rsidRDefault="00514063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‘Mesher</w:t>
      </w:r>
      <w:r w:rsidR="007C0A5D">
        <w:rPr>
          <w:rFonts w:ascii="Arial" w:hAnsi="Arial" w:cs="Arial"/>
        </w:rPr>
        <w:t xml:space="preserve"> v Mesher and Hall’ (1980) 1 All ER 126. </w:t>
      </w:r>
      <w:r w:rsidR="007C0A5D">
        <w:rPr>
          <w:rFonts w:ascii="Arial" w:hAnsi="Arial" w:cs="Arial"/>
          <w:i/>
          <w:iCs/>
        </w:rPr>
        <w:t xml:space="preserve">Lexis Plus UK. </w:t>
      </w:r>
      <w:r w:rsidR="007C0A5D">
        <w:rPr>
          <w:rFonts w:ascii="Arial" w:hAnsi="Arial" w:cs="Arial"/>
        </w:rPr>
        <w:t xml:space="preserve">Available at: </w:t>
      </w:r>
      <w:hyperlink r:id="rId33" w:history="1">
        <w:r w:rsidR="007C0A5D" w:rsidRPr="00AB5F68">
          <w:rPr>
            <w:rStyle w:val="Hyperlink"/>
            <w:rFonts w:ascii="Arial" w:hAnsi="Arial" w:cs="Arial"/>
          </w:rPr>
          <w:t>https://librarysearch.uwtsd.ac.uk/permalink/44WHELF_UWTSD/11c0l68/alma99100475802402421</w:t>
        </w:r>
      </w:hyperlink>
      <w:r w:rsidR="007C0A5D">
        <w:rPr>
          <w:rFonts w:ascii="Arial" w:hAnsi="Arial" w:cs="Arial"/>
        </w:rPr>
        <w:t xml:space="preserve"> (Accessed: 17 January 2026).</w:t>
      </w:r>
    </w:p>
    <w:p w14:paraId="6F55D708" w14:textId="7194F082" w:rsidR="00AB3FB0" w:rsidRPr="00AB3FB0" w:rsidRDefault="00AB3FB0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‘Miller v Miller; McFarlane v McFarlane’ (2006) UKHL 24. </w:t>
      </w:r>
      <w:r>
        <w:rPr>
          <w:rFonts w:ascii="Arial" w:hAnsi="Arial" w:cs="Arial"/>
          <w:i/>
          <w:iCs/>
        </w:rPr>
        <w:t xml:space="preserve">Lexis Plus UK. </w:t>
      </w:r>
      <w:r>
        <w:rPr>
          <w:rFonts w:ascii="Arial" w:hAnsi="Arial" w:cs="Arial"/>
        </w:rPr>
        <w:t xml:space="preserve">Available at: </w:t>
      </w:r>
      <w:hyperlink r:id="rId34" w:history="1">
        <w:r w:rsidRPr="00AB5F68">
          <w:rPr>
            <w:rStyle w:val="Hyperlink"/>
            <w:rFonts w:ascii="Arial" w:hAnsi="Arial" w:cs="Arial"/>
          </w:rPr>
          <w:t>https://librarysearch.uwtsd.ac.uk/permalink/44WHELF_UWTSD/11c0l68/alma99100475802402421</w:t>
        </w:r>
      </w:hyperlink>
      <w:r>
        <w:rPr>
          <w:rFonts w:ascii="Arial" w:hAnsi="Arial" w:cs="Arial"/>
        </w:rPr>
        <w:t xml:space="preserve"> (Accessed: 17 January 2026).</w:t>
      </w:r>
    </w:p>
    <w:p w14:paraId="5DB34FA2" w14:textId="4FD48D54" w:rsidR="00C0391F" w:rsidRDefault="000E1A32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‘Owens v Owens’ </w:t>
      </w:r>
      <w:r w:rsidR="00E112EC">
        <w:rPr>
          <w:rFonts w:ascii="Arial" w:hAnsi="Arial" w:cs="Arial"/>
        </w:rPr>
        <w:t xml:space="preserve">(2018) UKSC 41. </w:t>
      </w:r>
      <w:r w:rsidR="00E112EC">
        <w:rPr>
          <w:rFonts w:ascii="Arial" w:hAnsi="Arial" w:cs="Arial"/>
          <w:i/>
          <w:iCs/>
        </w:rPr>
        <w:t xml:space="preserve">Lexis Plus UK. </w:t>
      </w:r>
      <w:r w:rsidR="00E112EC">
        <w:rPr>
          <w:rFonts w:ascii="Arial" w:hAnsi="Arial" w:cs="Arial"/>
        </w:rPr>
        <w:t xml:space="preserve">Available at: </w:t>
      </w:r>
      <w:hyperlink r:id="rId35" w:history="1">
        <w:r w:rsidR="00083F81" w:rsidRPr="00AB5F68">
          <w:rPr>
            <w:rStyle w:val="Hyperlink"/>
            <w:rFonts w:ascii="Arial" w:hAnsi="Arial" w:cs="Arial"/>
          </w:rPr>
          <w:t>https://librarysearch.uwtsd.ac.uk/permalink/44WHELF_UWTSD/11c0l68/alma99100475802402421</w:t>
        </w:r>
      </w:hyperlink>
      <w:r w:rsidR="00083F81">
        <w:rPr>
          <w:rFonts w:ascii="Arial" w:hAnsi="Arial" w:cs="Arial"/>
        </w:rPr>
        <w:t xml:space="preserve"> (Accessed: 17 January 2026).</w:t>
      </w:r>
    </w:p>
    <w:p w14:paraId="1CAD6E86" w14:textId="56B6C0A7" w:rsidR="00083F81" w:rsidRDefault="00083F81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‘Stack v Dowden’ (2007) UKHL 17</w:t>
      </w:r>
      <w:r w:rsidR="00743EF5">
        <w:rPr>
          <w:rFonts w:ascii="Arial" w:hAnsi="Arial" w:cs="Arial"/>
        </w:rPr>
        <w:t xml:space="preserve">. </w:t>
      </w:r>
      <w:r w:rsidR="00743EF5">
        <w:rPr>
          <w:rFonts w:ascii="Arial" w:hAnsi="Arial" w:cs="Arial"/>
          <w:i/>
          <w:iCs/>
        </w:rPr>
        <w:t xml:space="preserve">Lexis Plus UK. </w:t>
      </w:r>
      <w:r w:rsidR="00743EF5">
        <w:rPr>
          <w:rFonts w:ascii="Arial" w:hAnsi="Arial" w:cs="Arial"/>
        </w:rPr>
        <w:t xml:space="preserve">Available at: </w:t>
      </w:r>
      <w:hyperlink r:id="rId36" w:history="1">
        <w:r w:rsidR="00743EF5" w:rsidRPr="00AB5F68">
          <w:rPr>
            <w:rStyle w:val="Hyperlink"/>
            <w:rFonts w:ascii="Arial" w:hAnsi="Arial" w:cs="Arial"/>
          </w:rPr>
          <w:t>https://librarysearch.uwtsd.ac.uk/permalink/44WHELF_UWTSD/11c0l68/alma99100475802402421</w:t>
        </w:r>
      </w:hyperlink>
      <w:r w:rsidR="00743EF5">
        <w:rPr>
          <w:rFonts w:ascii="Arial" w:hAnsi="Arial" w:cs="Arial"/>
        </w:rPr>
        <w:t xml:space="preserve"> (Accessed: 17 January 2026).</w:t>
      </w:r>
    </w:p>
    <w:p w14:paraId="04AE09DA" w14:textId="4626FFED" w:rsidR="008C65CA" w:rsidRPr="007534A1" w:rsidRDefault="008C65CA" w:rsidP="009158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‘Wright v Wright’</w:t>
      </w:r>
      <w:r w:rsidR="007534A1">
        <w:rPr>
          <w:rFonts w:ascii="Arial" w:hAnsi="Arial" w:cs="Arial"/>
        </w:rPr>
        <w:t xml:space="preserve"> (2015) EWCA Civ 201. </w:t>
      </w:r>
      <w:r w:rsidR="007534A1">
        <w:rPr>
          <w:rFonts w:ascii="Arial" w:hAnsi="Arial" w:cs="Arial"/>
          <w:i/>
          <w:iCs/>
        </w:rPr>
        <w:t xml:space="preserve">Lexis Plus UK. </w:t>
      </w:r>
      <w:r w:rsidR="007534A1">
        <w:rPr>
          <w:rFonts w:ascii="Arial" w:hAnsi="Arial" w:cs="Arial"/>
        </w:rPr>
        <w:t xml:space="preserve">Available at: </w:t>
      </w:r>
      <w:hyperlink r:id="rId37" w:history="1">
        <w:r w:rsidR="007534A1" w:rsidRPr="00AB5F68">
          <w:rPr>
            <w:rStyle w:val="Hyperlink"/>
            <w:rFonts w:ascii="Arial" w:hAnsi="Arial" w:cs="Arial"/>
          </w:rPr>
          <w:t>https://librarysearch.uwtsd.ac.uk/permalink/44WHELF_UWTSD/11c0l68/alma99100475802402421</w:t>
        </w:r>
      </w:hyperlink>
      <w:r w:rsidR="007534A1">
        <w:rPr>
          <w:rFonts w:ascii="Arial" w:hAnsi="Arial" w:cs="Arial"/>
        </w:rPr>
        <w:t xml:space="preserve"> (Accessed: 17 January 2026)</w:t>
      </w:r>
      <w:r w:rsidR="00AF4C6D">
        <w:rPr>
          <w:rFonts w:ascii="Arial" w:hAnsi="Arial" w:cs="Arial"/>
        </w:rPr>
        <w:t>.</w:t>
      </w:r>
    </w:p>
    <w:sectPr w:rsidR="008C65CA" w:rsidRPr="007534A1" w:rsidSect="00B42825">
      <w:footerReference w:type="default" r:id="rId38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4AD7FB" w14:textId="77777777" w:rsidR="00CA7944" w:rsidRDefault="00CA7944" w:rsidP="00CA7944">
      <w:pPr>
        <w:spacing w:after="0" w:line="240" w:lineRule="auto"/>
      </w:pPr>
      <w:r>
        <w:separator/>
      </w:r>
    </w:p>
  </w:endnote>
  <w:endnote w:type="continuationSeparator" w:id="0">
    <w:p w14:paraId="08568184" w14:textId="77777777" w:rsidR="00CA7944" w:rsidRDefault="00CA7944" w:rsidP="00CA79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371166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8131F4" w14:textId="7C56C53D" w:rsidR="00CA7944" w:rsidRDefault="00CA79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8D4E01" w14:textId="77777777" w:rsidR="00CA7944" w:rsidRDefault="00CA79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4F13B2" w14:textId="77777777" w:rsidR="00CA7944" w:rsidRDefault="00CA7944" w:rsidP="00CA7944">
      <w:pPr>
        <w:spacing w:after="0" w:line="240" w:lineRule="auto"/>
      </w:pPr>
      <w:r>
        <w:separator/>
      </w:r>
    </w:p>
  </w:footnote>
  <w:footnote w:type="continuationSeparator" w:id="0">
    <w:p w14:paraId="5D0B8839" w14:textId="77777777" w:rsidR="00CA7944" w:rsidRDefault="00CA7944" w:rsidP="00CA79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2B72A31"/>
    <w:multiLevelType w:val="multilevel"/>
    <w:tmpl w:val="CDD28E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0189432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E074AD"/>
    <w:rsid w:val="00004090"/>
    <w:rsid w:val="00005BCB"/>
    <w:rsid w:val="00036F14"/>
    <w:rsid w:val="00052BAE"/>
    <w:rsid w:val="00074D5F"/>
    <w:rsid w:val="00077414"/>
    <w:rsid w:val="00077A1E"/>
    <w:rsid w:val="00083F81"/>
    <w:rsid w:val="00087D48"/>
    <w:rsid w:val="00095726"/>
    <w:rsid w:val="00095F1A"/>
    <w:rsid w:val="000A24EC"/>
    <w:rsid w:val="000C742A"/>
    <w:rsid w:val="000E1A32"/>
    <w:rsid w:val="000E2777"/>
    <w:rsid w:val="000E2A46"/>
    <w:rsid w:val="000E35CD"/>
    <w:rsid w:val="000F67B4"/>
    <w:rsid w:val="001068A0"/>
    <w:rsid w:val="0012397A"/>
    <w:rsid w:val="001246B2"/>
    <w:rsid w:val="00126EFC"/>
    <w:rsid w:val="00134CB3"/>
    <w:rsid w:val="00137158"/>
    <w:rsid w:val="00141DD3"/>
    <w:rsid w:val="00150291"/>
    <w:rsid w:val="00150D71"/>
    <w:rsid w:val="001517D8"/>
    <w:rsid w:val="00157DA3"/>
    <w:rsid w:val="001619FE"/>
    <w:rsid w:val="0019169C"/>
    <w:rsid w:val="001922FF"/>
    <w:rsid w:val="001A469D"/>
    <w:rsid w:val="001A638E"/>
    <w:rsid w:val="001A7044"/>
    <w:rsid w:val="001C0E56"/>
    <w:rsid w:val="001C2DD4"/>
    <w:rsid w:val="001C4C7F"/>
    <w:rsid w:val="001D1165"/>
    <w:rsid w:val="001D5973"/>
    <w:rsid w:val="001E5491"/>
    <w:rsid w:val="001F0845"/>
    <w:rsid w:val="00226EDA"/>
    <w:rsid w:val="00240011"/>
    <w:rsid w:val="002533B5"/>
    <w:rsid w:val="00262E67"/>
    <w:rsid w:val="00277900"/>
    <w:rsid w:val="00283EC0"/>
    <w:rsid w:val="00291B4B"/>
    <w:rsid w:val="0029599C"/>
    <w:rsid w:val="00296B71"/>
    <w:rsid w:val="002D5E41"/>
    <w:rsid w:val="002E482A"/>
    <w:rsid w:val="002E4EDE"/>
    <w:rsid w:val="002F19E6"/>
    <w:rsid w:val="00301FC5"/>
    <w:rsid w:val="003238DC"/>
    <w:rsid w:val="003357FD"/>
    <w:rsid w:val="003533E5"/>
    <w:rsid w:val="0035512C"/>
    <w:rsid w:val="00356FE0"/>
    <w:rsid w:val="00360D40"/>
    <w:rsid w:val="00360D9B"/>
    <w:rsid w:val="00370952"/>
    <w:rsid w:val="00397B2A"/>
    <w:rsid w:val="003B35A2"/>
    <w:rsid w:val="003C6AE0"/>
    <w:rsid w:val="003C7C35"/>
    <w:rsid w:val="003C7E04"/>
    <w:rsid w:val="003E6C5A"/>
    <w:rsid w:val="004132AC"/>
    <w:rsid w:val="004137D3"/>
    <w:rsid w:val="004146C5"/>
    <w:rsid w:val="004173D5"/>
    <w:rsid w:val="00426357"/>
    <w:rsid w:val="004301BD"/>
    <w:rsid w:val="00434206"/>
    <w:rsid w:val="00434932"/>
    <w:rsid w:val="0043503A"/>
    <w:rsid w:val="004457AC"/>
    <w:rsid w:val="00471EB6"/>
    <w:rsid w:val="00472570"/>
    <w:rsid w:val="00480B74"/>
    <w:rsid w:val="00481A89"/>
    <w:rsid w:val="00495B0F"/>
    <w:rsid w:val="004A15AA"/>
    <w:rsid w:val="004A1D31"/>
    <w:rsid w:val="004C2BCA"/>
    <w:rsid w:val="004C49C1"/>
    <w:rsid w:val="004D48A8"/>
    <w:rsid w:val="004D619F"/>
    <w:rsid w:val="004E1A59"/>
    <w:rsid w:val="004E6AB0"/>
    <w:rsid w:val="00511771"/>
    <w:rsid w:val="00513709"/>
    <w:rsid w:val="00514063"/>
    <w:rsid w:val="005178AA"/>
    <w:rsid w:val="00517A43"/>
    <w:rsid w:val="005263BF"/>
    <w:rsid w:val="00531256"/>
    <w:rsid w:val="00531B35"/>
    <w:rsid w:val="005334AF"/>
    <w:rsid w:val="005475DB"/>
    <w:rsid w:val="00561457"/>
    <w:rsid w:val="00575456"/>
    <w:rsid w:val="00580F1C"/>
    <w:rsid w:val="005862C0"/>
    <w:rsid w:val="00590727"/>
    <w:rsid w:val="005D1203"/>
    <w:rsid w:val="005D2329"/>
    <w:rsid w:val="005D78C9"/>
    <w:rsid w:val="00603317"/>
    <w:rsid w:val="006221ED"/>
    <w:rsid w:val="00632C91"/>
    <w:rsid w:val="00664D56"/>
    <w:rsid w:val="006677D1"/>
    <w:rsid w:val="00673DF4"/>
    <w:rsid w:val="0068187C"/>
    <w:rsid w:val="00682DDE"/>
    <w:rsid w:val="00690175"/>
    <w:rsid w:val="006B0615"/>
    <w:rsid w:val="006B72B9"/>
    <w:rsid w:val="006C42AF"/>
    <w:rsid w:val="006C665F"/>
    <w:rsid w:val="006D02D6"/>
    <w:rsid w:val="007264A9"/>
    <w:rsid w:val="007355B4"/>
    <w:rsid w:val="00742B87"/>
    <w:rsid w:val="00743EF5"/>
    <w:rsid w:val="00751230"/>
    <w:rsid w:val="007534A1"/>
    <w:rsid w:val="00760230"/>
    <w:rsid w:val="0077475E"/>
    <w:rsid w:val="007866CF"/>
    <w:rsid w:val="007A4498"/>
    <w:rsid w:val="007C0A5D"/>
    <w:rsid w:val="007D142A"/>
    <w:rsid w:val="007D36B3"/>
    <w:rsid w:val="007F13E1"/>
    <w:rsid w:val="008238D0"/>
    <w:rsid w:val="00856556"/>
    <w:rsid w:val="00882B53"/>
    <w:rsid w:val="008B02B3"/>
    <w:rsid w:val="008C65CA"/>
    <w:rsid w:val="008D64E6"/>
    <w:rsid w:val="008D6AE8"/>
    <w:rsid w:val="008E0696"/>
    <w:rsid w:val="008E51EE"/>
    <w:rsid w:val="008E7166"/>
    <w:rsid w:val="008F3AE1"/>
    <w:rsid w:val="008F5F3F"/>
    <w:rsid w:val="008F677E"/>
    <w:rsid w:val="008F7A52"/>
    <w:rsid w:val="0090311F"/>
    <w:rsid w:val="00912D10"/>
    <w:rsid w:val="0091585A"/>
    <w:rsid w:val="0093103D"/>
    <w:rsid w:val="0094270F"/>
    <w:rsid w:val="009449C8"/>
    <w:rsid w:val="009535DB"/>
    <w:rsid w:val="00960278"/>
    <w:rsid w:val="00965D3B"/>
    <w:rsid w:val="00981507"/>
    <w:rsid w:val="009A14B7"/>
    <w:rsid w:val="009B3119"/>
    <w:rsid w:val="009B6099"/>
    <w:rsid w:val="009C0243"/>
    <w:rsid w:val="009C76B5"/>
    <w:rsid w:val="009D4D2A"/>
    <w:rsid w:val="009D5BA6"/>
    <w:rsid w:val="009E1E71"/>
    <w:rsid w:val="009F30FD"/>
    <w:rsid w:val="00A0011F"/>
    <w:rsid w:val="00A008F0"/>
    <w:rsid w:val="00A05680"/>
    <w:rsid w:val="00A22D79"/>
    <w:rsid w:val="00A2314D"/>
    <w:rsid w:val="00A274C1"/>
    <w:rsid w:val="00A3494B"/>
    <w:rsid w:val="00A61903"/>
    <w:rsid w:val="00A664A2"/>
    <w:rsid w:val="00AB145F"/>
    <w:rsid w:val="00AB3FB0"/>
    <w:rsid w:val="00AD25BD"/>
    <w:rsid w:val="00AE0625"/>
    <w:rsid w:val="00AE11E2"/>
    <w:rsid w:val="00AE7DA5"/>
    <w:rsid w:val="00AF037D"/>
    <w:rsid w:val="00AF276E"/>
    <w:rsid w:val="00AF4C6D"/>
    <w:rsid w:val="00B03019"/>
    <w:rsid w:val="00B144E9"/>
    <w:rsid w:val="00B153C3"/>
    <w:rsid w:val="00B22596"/>
    <w:rsid w:val="00B2411E"/>
    <w:rsid w:val="00B34C58"/>
    <w:rsid w:val="00B36111"/>
    <w:rsid w:val="00B40FF3"/>
    <w:rsid w:val="00B42825"/>
    <w:rsid w:val="00B44F30"/>
    <w:rsid w:val="00B521E8"/>
    <w:rsid w:val="00B53988"/>
    <w:rsid w:val="00B7131C"/>
    <w:rsid w:val="00B82235"/>
    <w:rsid w:val="00B848DD"/>
    <w:rsid w:val="00B90ECB"/>
    <w:rsid w:val="00BA49D1"/>
    <w:rsid w:val="00BC1C0A"/>
    <w:rsid w:val="00BC2B59"/>
    <w:rsid w:val="00BD400C"/>
    <w:rsid w:val="00BE5AA7"/>
    <w:rsid w:val="00BF1282"/>
    <w:rsid w:val="00C0391F"/>
    <w:rsid w:val="00C03A66"/>
    <w:rsid w:val="00C1069E"/>
    <w:rsid w:val="00C1072E"/>
    <w:rsid w:val="00C11586"/>
    <w:rsid w:val="00C3177E"/>
    <w:rsid w:val="00C3270D"/>
    <w:rsid w:val="00C3404E"/>
    <w:rsid w:val="00C34C3A"/>
    <w:rsid w:val="00C60238"/>
    <w:rsid w:val="00C72779"/>
    <w:rsid w:val="00C8364E"/>
    <w:rsid w:val="00C96AE5"/>
    <w:rsid w:val="00C97F2B"/>
    <w:rsid w:val="00CA1DCA"/>
    <w:rsid w:val="00CA7350"/>
    <w:rsid w:val="00CA7944"/>
    <w:rsid w:val="00CB5F0C"/>
    <w:rsid w:val="00CC1BD0"/>
    <w:rsid w:val="00CE7BAD"/>
    <w:rsid w:val="00D128D7"/>
    <w:rsid w:val="00D141C7"/>
    <w:rsid w:val="00D27029"/>
    <w:rsid w:val="00D31775"/>
    <w:rsid w:val="00D35A02"/>
    <w:rsid w:val="00D35E62"/>
    <w:rsid w:val="00D615EB"/>
    <w:rsid w:val="00D7354D"/>
    <w:rsid w:val="00D916D7"/>
    <w:rsid w:val="00D92797"/>
    <w:rsid w:val="00DA2664"/>
    <w:rsid w:val="00DA7D21"/>
    <w:rsid w:val="00DC6DA4"/>
    <w:rsid w:val="00DD3393"/>
    <w:rsid w:val="00DD791E"/>
    <w:rsid w:val="00DE0A50"/>
    <w:rsid w:val="00E112EC"/>
    <w:rsid w:val="00E15F4C"/>
    <w:rsid w:val="00E2099C"/>
    <w:rsid w:val="00E235B6"/>
    <w:rsid w:val="00E306A1"/>
    <w:rsid w:val="00E425AF"/>
    <w:rsid w:val="00E65755"/>
    <w:rsid w:val="00E71085"/>
    <w:rsid w:val="00E77799"/>
    <w:rsid w:val="00E85224"/>
    <w:rsid w:val="00E86977"/>
    <w:rsid w:val="00E94F99"/>
    <w:rsid w:val="00EA443E"/>
    <w:rsid w:val="00EA783A"/>
    <w:rsid w:val="00EB5ABD"/>
    <w:rsid w:val="00EC4276"/>
    <w:rsid w:val="00ED2066"/>
    <w:rsid w:val="00ED5916"/>
    <w:rsid w:val="00EE47E3"/>
    <w:rsid w:val="00F1132F"/>
    <w:rsid w:val="00F27F0D"/>
    <w:rsid w:val="00F37B92"/>
    <w:rsid w:val="00F47C5E"/>
    <w:rsid w:val="00F550B2"/>
    <w:rsid w:val="00F56631"/>
    <w:rsid w:val="00F71AAC"/>
    <w:rsid w:val="00F74222"/>
    <w:rsid w:val="00F8603B"/>
    <w:rsid w:val="00F915CF"/>
    <w:rsid w:val="00F96C71"/>
    <w:rsid w:val="00FA2AC5"/>
    <w:rsid w:val="00FA7D6F"/>
    <w:rsid w:val="00FB0BEF"/>
    <w:rsid w:val="00FB2AEE"/>
    <w:rsid w:val="00FC1C58"/>
    <w:rsid w:val="00FC3167"/>
    <w:rsid w:val="00FC6C95"/>
    <w:rsid w:val="00FE6C11"/>
    <w:rsid w:val="00FF24D6"/>
    <w:rsid w:val="00FF3D37"/>
    <w:rsid w:val="7DE074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E074AD"/>
  <w15:chartTrackingRefBased/>
  <w15:docId w15:val="{5FE51E84-D97A-4966-9648-07226BB69D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60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42825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42825"/>
    <w:rPr>
      <w:sz w:val="22"/>
      <w:szCs w:val="22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F8603B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CA7944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A794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A7944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A79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794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CA79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7944"/>
    <w:rPr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A26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hatgpt.com/" TargetMode="External"/><Relationship Id="rId18" Type="http://schemas.openxmlformats.org/officeDocument/2006/relationships/hyperlink" Target="https://www.legislation.gov.uk/ukpga/2021/17/contents" TargetMode="External"/><Relationship Id="rId26" Type="http://schemas.openxmlformats.org/officeDocument/2006/relationships/hyperlink" Target="https://doi-org.uwtsd.idm.oclc.org/10.1093/bjsw/bcaf007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doi-org.uwtsd.idm.oclc.org/10.1080/09649069.2010.506314" TargetMode="External"/><Relationship Id="rId34" Type="http://schemas.openxmlformats.org/officeDocument/2006/relationships/hyperlink" Target="https://librarysearch.uwtsd.ac.uk/permalink/44WHELF_UWTSD/11c0l68/alma99100475802402421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contendlegal.com/courts-and-procedure/court/court-preparation/court-forms/form-d8/" TargetMode="External"/><Relationship Id="rId20" Type="http://schemas.openxmlformats.org/officeDocument/2006/relationships/hyperlink" Target="https://www.legislation.gov.uk/uksi/2010/2955/part/3/chapter/3" TargetMode="External"/><Relationship Id="rId29" Type="http://schemas.openxmlformats.org/officeDocument/2006/relationships/hyperlink" Target="https://assets.publishing.service.gov.uk/media/5a800f33ed915d74e33f834d/family-mediation-leaflet.pdf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legislation.gov.uk/ukpga/2012/10/section/8" TargetMode="External"/><Relationship Id="rId32" Type="http://schemas.openxmlformats.org/officeDocument/2006/relationships/hyperlink" Target="https://librarysearch.uwtsd.ac.uk/permalink/44WHELF_UWTSD/11c0l68/alma99100475802402421" TargetMode="External"/><Relationship Id="rId37" Type="http://schemas.openxmlformats.org/officeDocument/2006/relationships/hyperlink" Target="https://librarysearch.uwtsd.ac.uk/permalink/44WHELF_UWTSD/11c0l68/alma99100475802402421" TargetMode="External"/><Relationship Id="rId40" Type="http://schemas.openxmlformats.org/officeDocument/2006/relationships/glossaryDocument" Target="glossary/document.xml"/><Relationship Id="rId5" Type="http://schemas.openxmlformats.org/officeDocument/2006/relationships/numbering" Target="numbering.xml"/><Relationship Id="rId15" Type="http://schemas.openxmlformats.org/officeDocument/2006/relationships/hyperlink" Target="https://www.citizensadvice.org.uk/family/how-to-separate1/getting-a-divorce-or-dissolution/" TargetMode="External"/><Relationship Id="rId23" Type="http://schemas.openxmlformats.org/officeDocument/2006/relationships/hyperlink" Target="https://www.proquest.com/scholarly-journals/mediator-discretion-cases-involving-intimate/docview/2824080165/se-2?accountid=130472" TargetMode="External"/><Relationship Id="rId28" Type="http://schemas.openxmlformats.org/officeDocument/2006/relationships/hyperlink" Target="https://doi-org.uwtsd.idm.oclc.org/10.1177/1077801216640381" TargetMode="External"/><Relationship Id="rId36" Type="http://schemas.openxmlformats.org/officeDocument/2006/relationships/hyperlink" Target="https://librarysearch.uwtsd.ac.uk/permalink/44WHELF_UWTSD/11c0l68/alma99100475802402421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legislation.gov.uk/ukpga/1996/27/contents" TargetMode="External"/><Relationship Id="rId31" Type="http://schemas.openxmlformats.org/officeDocument/2006/relationships/hyperlink" Target="https://librarysearch.uwtsd.ac.uk/permalink/44WHELF_UWTSD/11c0l68/alma99100475802402421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-org.uwtsd.idm.oclc.org/10.1177/2158244013478950" TargetMode="External"/><Relationship Id="rId22" Type="http://schemas.openxmlformats.org/officeDocument/2006/relationships/hyperlink" Target="https://www.gov.uk/government/publications/transforming-the-criminal-justice-response-to-domestic-abuse/shifting-the-scales-transforming-the-criminal-justice-response-to-domestic-abuse-accessible" TargetMode="External"/><Relationship Id="rId27" Type="http://schemas.openxmlformats.org/officeDocument/2006/relationships/hyperlink" Target="https://www.judiciary.uk/wp-content/uploads/2024/09/Guide-to-Family-Mediation-for-the-Courts-2024.pdf" TargetMode="External"/><Relationship Id="rId30" Type="http://schemas.openxmlformats.org/officeDocument/2006/relationships/hyperlink" Target="https://tyrerroxburgh.co.uk/news/uk-divorce-law-what-is-a-consent-order/" TargetMode="External"/><Relationship Id="rId35" Type="http://schemas.openxmlformats.org/officeDocument/2006/relationships/hyperlink" Target="https://librarysearch.uwtsd.ac.uk/permalink/44WHELF_UWTSD/11c0l68/alma99100475802402421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hyperlink" Target="https://www.legislation.gov.uk/ukpga/2020/11/section/1" TargetMode="External"/><Relationship Id="rId25" Type="http://schemas.openxmlformats.org/officeDocument/2006/relationships/hyperlink" Target="https://www.legislation.gov.uk/ukpga/1973/18/contents/2020-06-25" TargetMode="External"/><Relationship Id="rId33" Type="http://schemas.openxmlformats.org/officeDocument/2006/relationships/hyperlink" Target="https://librarysearch.uwtsd.ac.uk/permalink/44WHELF_UWTSD/11c0l68/alma99100475802402421" TargetMode="External"/><Relationship Id="rId38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A3FDF0F16C0542859B7FDFBDBD259E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3DADD6-9C1A-4EB5-BAB8-FB26C2648450}"/>
      </w:docPartPr>
      <w:docPartBody>
        <w:p w:rsidR="00682CCB" w:rsidRDefault="00682CCB" w:rsidP="00682CCB">
          <w:pPr>
            <w:pStyle w:val="A3FDF0F16C0542859B7FDFBDBD259EF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38AF45A610343AB9C1F60CD9644AA1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48BCE0-21BA-4BFB-85B2-0E1742C0CF0B}"/>
      </w:docPartPr>
      <w:docPartBody>
        <w:p w:rsidR="00682CCB" w:rsidRDefault="00682CCB" w:rsidP="00682CCB">
          <w:pPr>
            <w:pStyle w:val="A38AF45A610343AB9C1F60CD9644AA17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CCB"/>
    <w:rsid w:val="00137158"/>
    <w:rsid w:val="0068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3FDF0F16C0542859B7FDFBDBD259EFB">
    <w:name w:val="A3FDF0F16C0542859B7FDFBDBD259EFB"/>
    <w:rsid w:val="00682CCB"/>
  </w:style>
  <w:style w:type="paragraph" w:customStyle="1" w:styleId="A38AF45A610343AB9C1F60CD9644AA17">
    <w:name w:val="A38AF45A610343AB9C1F60CD9644AA17"/>
    <w:rsid w:val="00682CC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Calan wilkins</PublishDate>
  <Abstract/>
  <CompanyAddress>BMLC5004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f3112525ff0aa516fdaa79dafa5718b1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7776f1e7988640abcf02ed41afde689d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90EDA2-0894-49EE-AE55-4362FBBE84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0C3E8AB-E76C-47BA-A3AD-5BC3C4A73BE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FCF076A-1700-4627-A268-21F8A8202A2E}">
  <ds:schemaRefs>
    <ds:schemaRef ds:uri="http://schemas.openxmlformats.org/package/2006/metadata/core-properties"/>
    <ds:schemaRef ds:uri="http://www.w3.org/XML/1998/namespace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0085e1a2-9cbf-4b92-866b-21f3c89040b6"/>
    <ds:schemaRef ds:uri="http://schemas.microsoft.com/office/2006/metadata/propertie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2741</Words>
  <Characters>15627</Characters>
  <Application>Microsoft Office Word</Application>
  <DocSecurity>0</DocSecurity>
  <Lines>130</Lines>
  <Paragraphs>36</Paragraphs>
  <ScaleCrop>false</ScaleCrop>
  <Company>2400656</Company>
  <LinksUpToDate>false</LinksUpToDate>
  <CharactersWithSpaces>18332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Family law and Practice</dc:title>
  <dc:subject>Legal Portfolio</dc:subject>
  <dc:creator>Calan Wilkins (2400656)</dc:creator>
  <cp:keywords/>
  <dc:description/>
  <cp:lastModifiedBy>Calan Wilkins (2400656)</cp:lastModifiedBy>
  <cp:revision>2</cp:revision>
  <dcterms:created xsi:type="dcterms:W3CDTF">2026-01-19T16:32:00Z</dcterms:created>
  <dcterms:modified xsi:type="dcterms:W3CDTF">2026-01-19T16:32:00Z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