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eastAsiaTheme="minorEastAsia"/>
          <w:b w:val="0"/>
          <w:bCs/>
          <w:sz w:val="24"/>
          <w:szCs w:val="24"/>
          <w:lang w:eastAsia="zh-CN"/>
        </w:rPr>
        <w:drawing>
          <wp:inline distT="0" distB="0" distL="114300" distR="114300">
            <wp:extent cx="2310765" cy="924560"/>
            <wp:effectExtent l="0" t="0" r="5715" b="5080"/>
            <wp:docPr id="7" name="图片 7" descr="封面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封面2"/>
                    <pic:cNvPicPr>
                      <a:picLocks noChangeAspect="1"/>
                    </pic:cNvPicPr>
                  </pic:nvPicPr>
                  <pic:blipFill>
                    <a:blip r:embed="rId4"/>
                    <a:stretch>
                      <a:fillRect/>
                    </a:stretch>
                  </pic:blipFill>
                  <pic:spPr>
                    <a:xfrm>
                      <a:off x="0" y="0"/>
                      <a:ext cx="2310765" cy="924560"/>
                    </a:xfrm>
                    <a:prstGeom prst="rect">
                      <a:avLst/>
                    </a:prstGeom>
                  </pic:spPr>
                </pic:pic>
              </a:graphicData>
            </a:graphic>
          </wp:inline>
        </w:drawing>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27" w:name="_GoBack"/>
      <w:r>
        <w:rPr>
          <w:rFonts w:hint="default" w:ascii="Arial" w:hAnsi="Arial" w:cs="Arial"/>
          <w:sz w:val="24"/>
          <w:szCs w:val="24"/>
        </w:rPr>
        <w:t>Strategic Management Evaluation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Luckin Coffee's competition and development strategy</w:t>
      </w:r>
    </w:p>
    <w:bookmarkEnd w:id="27"/>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r>
        <w:rPr>
          <w:rFonts w:hint="default" w:ascii="Arial" w:hAnsi="Arial" w:cs="Arial"/>
          <w:sz w:val="24"/>
          <w:szCs w:val="24"/>
        </w:rPr>
        <w:t>Abstract</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r>
        <w:rPr>
          <w:rFonts w:hint="default" w:ascii="Arial" w:hAnsi="Arial" w:cs="Arial"/>
          <w:sz w:val="24"/>
          <w:szCs w:val="24"/>
        </w:rPr>
        <w:t>This report is an analysis and evaluation of Luckin Coffee's competition and development strategy. This paper introduces the strategic advantages and limitations of Luckin's development, uses PEST model and Porter's Five Forces model as analysis tools to explain the market competition environment and macro environment of Luckin in the development process, and analyzes the advantages and disadvantages of Luckin's coffee through SWOT, and points out the threats and opportunities Luckin will face. In the end, it puts forward reasonable suggestions for the limitations of Luckin coffee in the development strategy.</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r>
        <w:rPr>
          <w:rFonts w:hint="default" w:ascii="Arial" w:hAnsi="Arial" w:cs="Arial"/>
          <w:sz w:val="24"/>
          <w:szCs w:val="24"/>
        </w:rPr>
        <w:t>Keyword: Luckin Coffee development strategy competitive environment</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Student Name:Yi tong Li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ID number:2200244</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outlineLvl w:val="0"/>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bookmarkStart w:id="0" w:name="_Toc28415"/>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 Code:BMBM6015</w:t>
      </w:r>
      <w:bookmarkEnd w:id="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Module:Strategic Management and Sustainability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outlineLvl w:val="0"/>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bookmarkStart w:id="1" w:name="_Toc558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Submitted to Mike Durke</w:t>
      </w:r>
      <w:bookmarkEnd w:id="1"/>
    </w:p>
    <w:p>
      <w:pPr>
        <w:keepNext w:val="0"/>
        <w:keepLines w:val="0"/>
        <w:pageBreakBefore w:val="0"/>
        <w:widowControl w:val="0"/>
        <w:kinsoku/>
        <w:wordWrap/>
        <w:overflowPunct/>
        <w:topLinePunct w:val="0"/>
        <w:autoSpaceDE/>
        <w:autoSpaceDN/>
        <w:bidi w:val="0"/>
        <w:adjustRightInd/>
        <w:snapToGrid/>
        <w:spacing w:line="480" w:lineRule="auto"/>
        <w:jc w:val="both"/>
        <w:textAlignment w:val="auto"/>
        <w:outlineLvl w:val="0"/>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bookmarkStart w:id="2" w:name="_Toc9076"/>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Reported by Yitong Li</w:t>
      </w:r>
      <w:bookmarkEnd w:id="2"/>
    </w:p>
    <w:p>
      <w:pPr>
        <w:keepNext w:val="0"/>
        <w:keepLines w:val="0"/>
        <w:pageBreakBefore w:val="0"/>
        <w:widowControl w:val="0"/>
        <w:kinsoku/>
        <w:wordWrap/>
        <w:overflowPunct/>
        <w:topLinePunct w:val="0"/>
        <w:autoSpaceDE/>
        <w:autoSpaceDN/>
        <w:bidi w:val="0"/>
        <w:adjustRightInd/>
        <w:snapToGrid/>
        <w:spacing w:line="480" w:lineRule="auto"/>
        <w:jc w:val="both"/>
        <w:textAlignment w:val="auto"/>
        <w:outlineLvl w:val="0"/>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outlineLvl w:val="0"/>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480" w:lineRule="auto"/>
        <w:jc w:val="center"/>
        <w:textAlignment w:val="auto"/>
        <w:rPr>
          <w:rFonts w:hint="default" w:ascii="Arial" w:hAnsi="Arial" w:cs="Arial"/>
          <w:bCs/>
          <w:sz w:val="24"/>
          <w:szCs w:val="24"/>
          <w:lang w:val="en-US" w:eastAsia="zh-CN"/>
        </w:rPr>
      </w:pPr>
      <w:r>
        <w:rPr>
          <w:rFonts w:hint="default" w:ascii="Arial" w:hAnsi="Arial" w:cs="Arial"/>
          <w:bCs/>
          <w:sz w:val="24"/>
          <w:szCs w:val="24"/>
          <w:lang w:val="en-US" w:eastAsia="zh-CN"/>
        </w:rPr>
        <w:t>Contents</w:t>
      </w:r>
    </w:p>
    <w:sdt>
      <w:sdtPr>
        <w:rPr>
          <w:rFonts w:hint="default" w:ascii="Arial" w:hAnsi="Arial" w:eastAsia="宋体" w:cs="Arial"/>
          <w:kern w:val="2"/>
          <w:sz w:val="24"/>
          <w:szCs w:val="24"/>
          <w:lang w:val="en-US" w:eastAsia="zh-CN" w:bidi="ar-SA"/>
        </w:rPr>
        <w:id w:val="147483103"/>
        <w15:color w:val="DBDBDB"/>
        <w:docPartObj>
          <w:docPartGallery w:val="Table of Contents"/>
          <w:docPartUnique/>
        </w:docPartObj>
      </w:sdtPr>
      <w:sdtEndPr>
        <w:rPr>
          <w:rFonts w:hint="default" w:ascii="Arial" w:hAnsi="Arial" w:cs="Arial" w:eastAsiaTheme="minorEastAsia"/>
          <w:bCs/>
          <w:kern w:val="2"/>
          <w:sz w:val="24"/>
          <w:szCs w:val="24"/>
          <w:lang w:val="en-US" w:eastAsia="zh-CN" w:bidi="ar-SA"/>
        </w:rPr>
      </w:sdtEndPr>
      <w:sdtContent>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TOC \o "1-3" \h \u </w:instrText>
          </w:r>
          <w:r>
            <w:rPr>
              <w:rFonts w:hint="default" w:ascii="Arial" w:hAnsi="Arial" w:cs="Arial"/>
              <w:bCs/>
              <w:sz w:val="24"/>
              <w:szCs w:val="24"/>
              <w:lang w:val="en-US" w:eastAsia="zh-CN"/>
            </w:rPr>
            <w:fldChar w:fldCharType="separate"/>
          </w:r>
        </w:p>
        <w:p>
          <w:pPr>
            <w:pStyle w:val="8"/>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_Toc26051 </w:instrText>
          </w:r>
          <w:r>
            <w:rPr>
              <w:rFonts w:hint="default" w:ascii="Arial" w:hAnsi="Arial" w:cs="Arial"/>
              <w:bCs/>
              <w:sz w:val="24"/>
              <w:szCs w:val="24"/>
              <w:lang w:val="en-US" w:eastAsia="zh-CN"/>
            </w:rPr>
            <w:fldChar w:fldCharType="separate"/>
          </w:r>
          <w:r>
            <w:rPr>
              <w:rFonts w:hint="default" w:ascii="Arial" w:hAnsi="Arial" w:cs="Arial"/>
              <w:sz w:val="24"/>
              <w:szCs w:val="24"/>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_Toc26051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_Toc18608 </w:instrText>
          </w:r>
          <w:r>
            <w:rPr>
              <w:rFonts w:hint="default" w:ascii="Arial" w:hAnsi="Arial" w:cs="Arial"/>
              <w:bCs/>
              <w:sz w:val="24"/>
              <w:szCs w:val="24"/>
              <w:lang w:val="en-US" w:eastAsia="zh-CN"/>
            </w:rPr>
            <w:fldChar w:fldCharType="separate"/>
          </w:r>
          <w:r>
            <w:rPr>
              <w:rFonts w:hint="default" w:ascii="Arial" w:hAnsi="Arial" w:cs="Arial"/>
              <w:sz w:val="24"/>
              <w:szCs w:val="24"/>
            </w:rPr>
            <w:t>1.1Objectives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_Toc18608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_Toc8011 </w:instrText>
          </w:r>
          <w:r>
            <w:rPr>
              <w:rFonts w:hint="default" w:ascii="Arial" w:hAnsi="Arial" w:cs="Arial"/>
              <w:bCs/>
              <w:sz w:val="24"/>
              <w:szCs w:val="24"/>
              <w:lang w:val="en-US" w:eastAsia="zh-CN"/>
            </w:rPr>
            <w:fldChar w:fldCharType="separate"/>
          </w:r>
          <w:r>
            <w:rPr>
              <w:rFonts w:hint="default" w:ascii="Arial" w:hAnsi="Arial" w:cs="Arial"/>
              <w:sz w:val="24"/>
              <w:szCs w:val="24"/>
            </w:rPr>
            <w:t>2.0 Overview of related theories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_Toc8011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_Toc26247 </w:instrText>
          </w:r>
          <w:r>
            <w:rPr>
              <w:rFonts w:hint="default" w:ascii="Arial" w:hAnsi="Arial" w:cs="Arial"/>
              <w:bCs/>
              <w:sz w:val="24"/>
              <w:szCs w:val="24"/>
              <w:lang w:val="en-US" w:eastAsia="zh-CN"/>
            </w:rPr>
            <w:fldChar w:fldCharType="separate"/>
          </w:r>
          <w:r>
            <w:rPr>
              <w:rFonts w:hint="default" w:ascii="Arial" w:hAnsi="Arial" w:cs="Arial"/>
              <w:sz w:val="24"/>
              <w:szCs w:val="24"/>
            </w:rPr>
            <w:t>2.1 Competitive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_Toc26247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_Toc5143 </w:instrText>
          </w:r>
          <w:r>
            <w:rPr>
              <w:rFonts w:hint="default" w:ascii="Arial" w:hAnsi="Arial" w:cs="Arial"/>
              <w:bCs/>
              <w:sz w:val="24"/>
              <w:szCs w:val="24"/>
              <w:lang w:val="en-US" w:eastAsia="zh-CN"/>
            </w:rPr>
            <w:fldChar w:fldCharType="separate"/>
          </w:r>
          <w:r>
            <w:rPr>
              <w:rFonts w:hint="default" w:ascii="Arial" w:hAnsi="Arial" w:cs="Arial"/>
              <w:sz w:val="24"/>
              <w:szCs w:val="24"/>
            </w:rPr>
            <w:t>2.2 Strategic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_Toc5143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_Toc5193 </w:instrText>
          </w:r>
          <w:r>
            <w:rPr>
              <w:rFonts w:hint="default" w:ascii="Arial" w:hAnsi="Arial" w:cs="Arial"/>
              <w:bCs/>
              <w:sz w:val="24"/>
              <w:szCs w:val="24"/>
              <w:lang w:val="en-US" w:eastAsia="zh-CN"/>
            </w:rPr>
            <w:fldChar w:fldCharType="separate"/>
          </w:r>
          <w:r>
            <w:rPr>
              <w:rFonts w:hint="default" w:ascii="Arial" w:hAnsi="Arial" w:cs="Arial"/>
              <w:sz w:val="24"/>
              <w:szCs w:val="24"/>
            </w:rPr>
            <w:t>2.3 General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_Toc5193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_Toc257 </w:instrText>
          </w:r>
          <w:r>
            <w:rPr>
              <w:rFonts w:hint="default" w:ascii="Arial" w:hAnsi="Arial" w:cs="Arial"/>
              <w:bCs/>
              <w:sz w:val="24"/>
              <w:szCs w:val="24"/>
              <w:lang w:val="en-US" w:eastAsia="zh-CN"/>
            </w:rPr>
            <w:fldChar w:fldCharType="separate"/>
          </w:r>
          <w:r>
            <w:rPr>
              <w:rFonts w:hint="default" w:ascii="Arial" w:hAnsi="Arial" w:cs="Arial"/>
              <w:sz w:val="24"/>
              <w:szCs w:val="24"/>
            </w:rPr>
            <w:t>3.0 Luckin coffee's development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_Toc257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_Toc6948 </w:instrText>
          </w:r>
          <w:r>
            <w:rPr>
              <w:rFonts w:hint="default" w:ascii="Arial" w:hAnsi="Arial" w:cs="Arial"/>
              <w:bCs/>
              <w:sz w:val="24"/>
              <w:szCs w:val="24"/>
              <w:lang w:val="en-US" w:eastAsia="zh-CN"/>
            </w:rPr>
            <w:fldChar w:fldCharType="separate"/>
          </w:r>
          <w:r>
            <w:rPr>
              <w:rFonts w:hint="default" w:ascii="Arial" w:hAnsi="Arial" w:cs="Arial"/>
              <w:sz w:val="24"/>
              <w:szCs w:val="24"/>
            </w:rPr>
            <w:t>3.1 Introduction to Luckin coffee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_Toc6948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_Toc29513 </w:instrText>
          </w:r>
          <w:r>
            <w:rPr>
              <w:rFonts w:hint="default" w:ascii="Arial" w:hAnsi="Arial" w:cs="Arial"/>
              <w:bCs/>
              <w:sz w:val="24"/>
              <w:szCs w:val="24"/>
              <w:lang w:val="en-US" w:eastAsia="zh-CN"/>
            </w:rPr>
            <w:fldChar w:fldCharType="separate"/>
          </w:r>
          <w:r>
            <w:rPr>
              <w:rFonts w:hint="default" w:ascii="Arial" w:hAnsi="Arial" w:cs="Arial"/>
              <w:sz w:val="24"/>
              <w:szCs w:val="24"/>
            </w:rPr>
            <w:t>3.2 Luckin coffee's development strategy and limitations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_Toc29513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0"/>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_Toc24797 </w:instrText>
          </w:r>
          <w:r>
            <w:rPr>
              <w:rFonts w:hint="default" w:ascii="Arial" w:hAnsi="Arial" w:cs="Arial"/>
              <w:bCs/>
              <w:sz w:val="24"/>
              <w:szCs w:val="24"/>
              <w:lang w:val="en-US" w:eastAsia="zh-CN"/>
            </w:rPr>
            <w:fldChar w:fldCharType="separate"/>
          </w:r>
          <w:r>
            <w:rPr>
              <w:rFonts w:hint="default" w:ascii="Arial" w:hAnsi="Arial" w:cs="Arial"/>
              <w:sz w:val="24"/>
              <w:szCs w:val="24"/>
            </w:rPr>
            <w:t>3.2.1 Target customers in Luckin coffee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_Toc24797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_Toc14597 </w:instrText>
          </w:r>
          <w:r>
            <w:rPr>
              <w:rFonts w:hint="default" w:ascii="Arial" w:hAnsi="Arial" w:cs="Arial"/>
              <w:bCs/>
              <w:sz w:val="24"/>
              <w:szCs w:val="24"/>
              <w:lang w:val="en-US" w:eastAsia="zh-CN"/>
            </w:rPr>
            <w:fldChar w:fldCharType="separate"/>
          </w:r>
          <w:r>
            <w:rPr>
              <w:rFonts w:hint="default" w:ascii="Arial" w:hAnsi="Arial" w:cs="Arial"/>
              <w:sz w:val="24"/>
              <w:szCs w:val="24"/>
            </w:rPr>
            <w:t>4.0 Analysis of competitive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_Toc14597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_Toc1297 </w:instrText>
          </w:r>
          <w:r>
            <w:rPr>
              <w:rFonts w:hint="default" w:ascii="Arial" w:hAnsi="Arial" w:cs="Arial"/>
              <w:bCs/>
              <w:sz w:val="24"/>
              <w:szCs w:val="24"/>
              <w:lang w:val="en-US" w:eastAsia="zh-CN"/>
            </w:rPr>
            <w:fldChar w:fldCharType="separate"/>
          </w:r>
          <w:r>
            <w:rPr>
              <w:rFonts w:hint="default" w:ascii="Arial" w:hAnsi="Arial" w:cs="Arial"/>
              <w:sz w:val="24"/>
              <w:szCs w:val="24"/>
            </w:rPr>
            <w:t>4.1 Macro-environmental analysis of Luckin coffee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_Toc1297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0"/>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_Toc15827 </w:instrText>
          </w:r>
          <w:r>
            <w:rPr>
              <w:rFonts w:hint="default" w:ascii="Arial" w:hAnsi="Arial" w:cs="Arial"/>
              <w:bCs/>
              <w:sz w:val="24"/>
              <w:szCs w:val="24"/>
              <w:lang w:val="en-US" w:eastAsia="zh-CN"/>
            </w:rPr>
            <w:fldChar w:fldCharType="separate"/>
          </w:r>
          <w:r>
            <w:rPr>
              <w:rFonts w:hint="default" w:ascii="Arial" w:hAnsi="Arial" w:cs="Arial"/>
              <w:sz w:val="24"/>
              <w:szCs w:val="24"/>
            </w:rPr>
            <w:t>4.1.1 PEST model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_Toc15827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_Toc11662 </w:instrText>
          </w:r>
          <w:r>
            <w:rPr>
              <w:rFonts w:hint="default" w:ascii="Arial" w:hAnsi="Arial" w:cs="Arial"/>
              <w:bCs/>
              <w:sz w:val="24"/>
              <w:szCs w:val="24"/>
              <w:lang w:val="en-US" w:eastAsia="zh-CN"/>
            </w:rPr>
            <w:fldChar w:fldCharType="separate"/>
          </w:r>
          <w:r>
            <w:rPr>
              <w:rFonts w:hint="default" w:ascii="Arial" w:hAnsi="Arial" w:cs="Arial"/>
              <w:sz w:val="24"/>
              <w:szCs w:val="24"/>
              <w:lang w:val="en-US" w:eastAsia="zh-CN"/>
            </w:rPr>
            <w:t>4.2 Analysis of Luckin coffee and five forces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_Toc11662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_Toc32326 </w:instrText>
          </w:r>
          <w:r>
            <w:rPr>
              <w:rFonts w:hint="default" w:ascii="Arial" w:hAnsi="Arial" w:cs="Arial"/>
              <w:bCs/>
              <w:sz w:val="24"/>
              <w:szCs w:val="24"/>
              <w:lang w:val="en-US" w:eastAsia="zh-CN"/>
            </w:rPr>
            <w:fldChar w:fldCharType="separate"/>
          </w:r>
          <w:r>
            <w:rPr>
              <w:rFonts w:hint="default" w:ascii="Arial" w:hAnsi="Arial" w:cs="Arial"/>
              <w:sz w:val="24"/>
              <w:szCs w:val="24"/>
              <w:lang w:val="en-US" w:eastAsia="zh-CN"/>
            </w:rPr>
            <w:t>4.3 SWOT analysis of Luckin coffee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_Toc32326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_Toc8853 </w:instrText>
          </w:r>
          <w:r>
            <w:rPr>
              <w:rFonts w:hint="default" w:ascii="Arial" w:hAnsi="Arial" w:cs="Arial"/>
              <w:bCs/>
              <w:sz w:val="24"/>
              <w:szCs w:val="24"/>
              <w:lang w:val="en-US" w:eastAsia="zh-CN"/>
            </w:rPr>
            <w:fldChar w:fldCharType="separate"/>
          </w:r>
          <w:r>
            <w:rPr>
              <w:rFonts w:hint="default" w:ascii="Arial" w:hAnsi="Arial" w:cs="Arial"/>
              <w:sz w:val="24"/>
              <w:szCs w:val="24"/>
              <w:lang w:val="en-US" w:eastAsia="zh-CN"/>
            </w:rPr>
            <w:t>5.0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_Toc8853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_Toc20399 </w:instrText>
          </w:r>
          <w:r>
            <w:rPr>
              <w:rFonts w:hint="default" w:ascii="Arial" w:hAnsi="Arial" w:cs="Arial"/>
              <w:bCs/>
              <w:sz w:val="24"/>
              <w:szCs w:val="24"/>
              <w:lang w:val="en-US" w:eastAsia="zh-CN"/>
            </w:rPr>
            <w:fldChar w:fldCharType="separate"/>
          </w:r>
          <w:r>
            <w:rPr>
              <w:rFonts w:hint="default" w:ascii="Arial" w:hAnsi="Arial" w:cs="Arial"/>
              <w:sz w:val="24"/>
              <w:szCs w:val="24"/>
              <w:lang w:val="en-US" w:eastAsia="zh-CN"/>
            </w:rPr>
            <w:t>6.0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_Toc20399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_Toc8702 </w:instrText>
          </w:r>
          <w:r>
            <w:rPr>
              <w:rFonts w:hint="default" w:ascii="Arial" w:hAnsi="Arial" w:cs="Arial"/>
              <w:bCs/>
              <w:sz w:val="24"/>
              <w:szCs w:val="24"/>
              <w:lang w:val="en-US" w:eastAsia="zh-CN"/>
            </w:rPr>
            <w:fldChar w:fldCharType="separate"/>
          </w:r>
          <w:r>
            <w:rPr>
              <w:rFonts w:hint="default" w:ascii="Arial" w:hAnsi="Arial" w:cs="Arial"/>
              <w:sz w:val="24"/>
              <w:szCs w:val="24"/>
              <w:lang w:val="en-US" w:eastAsia="zh-CN"/>
            </w:rPr>
            <w:t xml:space="preserve">7.0 </w:t>
          </w:r>
          <w:r>
            <w:rPr>
              <w:rFonts w:hint="default" w:ascii="Arial" w:hAnsi="Arial" w:cs="Arial"/>
              <w:sz w:val="24"/>
              <w:szCs w:val="24"/>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_Toc8702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fldChar w:fldCharType="end"/>
          </w:r>
        </w:p>
      </w:sdtContent>
    </w:sdt>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3" w:name="_Toc26051"/>
      <w:bookmarkStart w:id="4" w:name="OLE_LINK3"/>
      <w:r>
        <w:rPr>
          <w:rFonts w:hint="default" w:ascii="Arial" w:hAnsi="Arial" w:cs="Arial"/>
          <w:sz w:val="24"/>
          <w:szCs w:val="24"/>
        </w:rPr>
        <w:t>1.0 Introduction</w:t>
      </w:r>
      <w:bookmarkEnd w:id="3"/>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In recent years, with the rapid development of China's coffee market, Luckin coffee, as a new coffee chain enterprise, innovatively put forward the idea of "unlimited scenes", and through the online+offline business model, it quickly rose and became one of the enterprises that attracted much attention in the market, which also redefined the inherent image of coffee brands in the hearts of Chinese consumers. However, in the process of rapid development, Luckin coffee is also facing increasingly fierce competition and an increasingly severe market situation. Therefore, the study of Luckin coffee's competition and development strategy is helpful to understand the advantages and disadvantages of the competition and explore the future development direction and strategy.</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rPr>
      </w:pPr>
      <w:bookmarkStart w:id="5" w:name="_Toc18608"/>
      <w:r>
        <w:rPr>
          <w:rFonts w:hint="default" w:ascii="Arial" w:hAnsi="Arial" w:cs="Arial"/>
          <w:sz w:val="24"/>
          <w:szCs w:val="24"/>
        </w:rPr>
        <w:t>1.1Objectives</w:t>
      </w:r>
      <w:bookmarkEnd w:id="5"/>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Based on Michael Porter's Five Forces Model, PEST Macro Model, SWOT, and other related theories, this report analyzes and evaluates Luckin coffee's competitive environment and development strategy, explains Luckin coffee's strengths and weaknesses in detail, points out its opportunities and threats, and puts forward some suggestions for it.</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Michael Porter puts forward the most typical theoretical system of competitive strategy, analyzes the threats faced in the market competitive environment from five aspects, and puts forward that we should constantly enrich and optimize products, services, images, and other factors, so as to form a contrast with other enterprises in the market competition and strengthen our brand image through these comparisons, so as to establish competitive advantages.</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6" w:name="_Toc8011"/>
      <w:r>
        <w:rPr>
          <w:rFonts w:hint="default" w:ascii="Arial" w:hAnsi="Arial" w:cs="Arial"/>
          <w:sz w:val="24"/>
          <w:szCs w:val="24"/>
        </w:rPr>
        <w:t>2.0 Overview of related theories</w:t>
      </w:r>
      <w:bookmarkEnd w:id="6"/>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rPr>
      </w:pPr>
      <w:bookmarkStart w:id="7" w:name="_Toc26247"/>
      <w:r>
        <w:rPr>
          <w:rFonts w:hint="default" w:ascii="Arial" w:hAnsi="Arial" w:cs="Arial"/>
          <w:sz w:val="24"/>
          <w:szCs w:val="24"/>
        </w:rPr>
        <w:t>2.1 Competitive strategy</w:t>
      </w:r>
      <w:bookmarkEnd w:id="7"/>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Competitive strategy is a part of enterprise strategy, which is the plan and action to guide and manage specific strategic business units under the restriction of the overall strategy of the enterprise. The core problem to be solved in enterprise competitive strategy is how to establish and maintain the specific position of this enterprise's products in the market through the relationship among customer demand, competitor products, and this enterprise's products. Among the five competitive forces, three strategic ideas are successful. The goal of these strategic types is to make the operation of enterprises superior in industrial competition. In some industries, this means that enterprises can obtain higher profits, while in other industries, the success of a strategy may only be a necessary condition for enterprises to obtain some micro-profits in an absolute sense. But this situation is unlikely to be realized because enterprises need to go all out to implement any kind of strategy and have an organizational arrangement to support this strategy (Michael Porter, 1980).</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rPr>
      </w:pPr>
      <w:bookmarkStart w:id="8" w:name="_Toc5143"/>
      <w:r>
        <w:rPr>
          <w:rFonts w:hint="default" w:ascii="Arial" w:hAnsi="Arial" w:cs="Arial"/>
          <w:sz w:val="24"/>
          <w:szCs w:val="24"/>
        </w:rPr>
        <w:t>2.2 Strategic management</w:t>
      </w:r>
      <w:bookmarkEnd w:id="8"/>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Strategic management is "the fundamental and long-term planning and guidance for all business activities of an enterprise by the senior managers to ensure the sustainable survival and development of the enterprise through the analysis of the external environment and internal conditions of the enterprise" (Ansoff, 1979). Ansoff believes that the difference between strategic management and previous management lies in that strategic management faces the future and dynamically and continuously completes the process from decision-making to realization. This view is highly consistent with Drucker's "decision and action are the final products of managers' work". Schools of thought originate from two general themes of two different strategic management concepts. Classical methods of strategic management: linear and structured, initiated by Igor Ansoff-planned; The process school of strategic management, initiated by Henry Minzberger, emerged. Decision-making is far from nonlinear or rational but based on the contingency method, which depends on the environment, that is, the "emergency method". There is no "best" or "right" method; According to the specific needs, culture, organization and the situation to be solved, different enterprises will be different. The field of strategic management involves the main intentions and emergency measures taken by the general manager on behalf of the owner and involves the utilization of resources to improve the company's performance in the external environment. (Lynch，2012)</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rPr>
      </w:pPr>
      <w:bookmarkStart w:id="9" w:name="_Toc5193"/>
      <w:r>
        <w:rPr>
          <w:rFonts w:hint="default" w:ascii="Arial" w:hAnsi="Arial" w:cs="Arial"/>
          <w:sz w:val="24"/>
          <w:szCs w:val="24"/>
        </w:rPr>
        <w:t>2.3 General strategy</w:t>
      </w:r>
      <w:bookmarkEnd w:id="9"/>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Michael Porter's strategy promotes enterprises to gain competitive advantage from three basic points: cost leadership, differentiation, and focus. He calls the strategy based on these basic points a general strategy. Mainly include low-cost strategy, differentiation strategy, low-cost focus strategy, and differentiation focus strategy. The cost-leading strategy is to provide standardized products to price-sensitive customers at low cost. It is the best value strategy, which refers to providing products and services to consumers at the best price in the market. The best value strategy refers to comparing similar products with competitors and providing customers with a series of products and services at the lowest price.</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0" w:name="_Toc257"/>
      <w:r>
        <w:rPr>
          <w:rFonts w:hint="default" w:ascii="Arial" w:hAnsi="Arial" w:cs="Arial"/>
          <w:sz w:val="24"/>
          <w:szCs w:val="24"/>
        </w:rPr>
        <w:t>3.0 Luckin coffee's development strategy</w:t>
      </w:r>
      <w:bookmarkEnd w:id="10"/>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rPr>
      </w:pPr>
      <w:bookmarkStart w:id="11" w:name="_Toc6948"/>
      <w:r>
        <w:rPr>
          <w:rFonts w:hint="default" w:ascii="Arial" w:hAnsi="Arial" w:cs="Arial"/>
          <w:sz w:val="24"/>
          <w:szCs w:val="24"/>
        </w:rPr>
        <w:t>3.1 Introduction to Luckin coffee</w:t>
      </w:r>
      <w:bookmarkEnd w:id="11"/>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Luckin coffee, headquartered in Xiamen, is the largest chain coffee brand in China. With the brand vision of "making every customer easily enjoy a cup of good coffee that is worth drinking", Luckin coffee has boldly set up branches in Beijing and Tianjin since October 2017 by investing in the operation radiation effect of its subsidiaries, with the brand mission of "creating a world-class coffee brand originating from China". By making full use of the new retail model of mobile Internet and big data technology, it has deeply cooperated with top suppliers in various fields and is committed to providing customers with high-quality and high-cost performance. Luckin coffee's coffee beans won the gold medal in IIAC International Coffee Tasting Competition for two consecutive years.</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2" w:name="_Toc29513"/>
      <w:r>
        <w:rPr>
          <w:rFonts w:hint="default" w:ascii="Arial" w:hAnsi="Arial" w:cs="Arial"/>
          <w:sz w:val="24"/>
          <w:szCs w:val="24"/>
        </w:rPr>
        <w:t>3.2 Luckin coffee's development strategy and limitations</w:t>
      </w:r>
      <w:bookmarkEnd w:id="12"/>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Luckin coffee started to operate in early 2018. As a local coffee brand combining online and offline, its main product is freshly ground coffee, aiming at redefining the model of China's coffee consumption market through Internet technology, and then becoming a new leading brand in China's coffee market. Since its establishment, Luckin coffee has quickly opened stores with huge subsidies and seized the domestic coffee market at the fastest speed. By creating an "infinite scene" model, Luckin coffee tries to cover as many people as possible in a store location, with a streamlined in-store consumption process and efficient delivery service, so that consumers can enjoy high-quality coffee more conveniently (Google Academic, 2022). In addition, Luckin coffee has always emphasized that there is no cashier, store promotion strategy, and technology as the core of the model design. In the first half of 2018, Luckin coffee opened more than 1,000 stores, with accumulated sales revenue exceeding 300 million yuan, making it the second-largest coffee chain brand in China. According to the third quarter financial report released by Luckin coffee in November 2019, Luckin coffee's revenue has exceeded 1.5 billion, a year-on-year increase of 540%; The number of new users is close to 8 million, and the cumulative number of trading users exceeds 30 million, and the surplus is over 100 million yuan. As of January 2020, the market value of Luckin coffee exceeded $10 billion for the first time. According to the latest financial report released by Luckin coffee in 2019, Luckin coffee's net revenue increased fivefold year-on-year. Although the net loss was still as high as 500 million yuan, Luckin coffee finally achieved "single store profit" in the third quarter. The continuous expansion of the store scale also reduces the cost, and the continuous increase of users is accompanied by the increase of users' brand recognition, which also indicates that after the development stage of large-scale subsidies in exchange for customers, Luckin coffee may usher in Internet-style profits.</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Luckin coffee focuses on a high performance-to-price ratio and uses the cost leadership strategy, and its price advantage is much higher than that of its peers. According to the data of Narrow-door Dining Eye, the customer unit price in Luckin coffee is only 19.4 yuan, far lower than that of most industrial companies. From the point of view of a single product, the price of a cup of coffee in Ruixing is between 21-29 yuan. In fact, due to the normalized preferential activities, the actual purchase price of consumers is 13 yuan -20 yuan, while the price range of Starbucks products is 31-39 yuan, the price of Arabica is 35-50 yuan, and the price of Luckin coffee is about 30%-50% lower than the two, and the price advantage is very prominent (Google Academic, 2022 At the same time, while ensuring the quality of coffee, Luckin coffee has continuously improved consumers' recognition of brands through technological upgrading and product category innovation. However, there are also limitations, product homogeneity, and brand difference. Luckin coffee's brand positioning is too single, and customers really can't feel the corporate culture without empathy, which is not conducive to the expansion of reputation and influence.</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4"/>
        <w:pageBreakBefore w:val="0"/>
        <w:kinsoku/>
        <w:wordWrap/>
        <w:overflowPunct/>
        <w:topLinePunct w:val="0"/>
        <w:autoSpaceDE/>
        <w:autoSpaceDN/>
        <w:bidi w:val="0"/>
        <w:adjustRightInd/>
        <w:snapToGrid/>
        <w:spacing w:line="480" w:lineRule="auto"/>
        <w:textAlignment w:val="auto"/>
        <w:outlineLvl w:val="1"/>
        <w:rPr>
          <w:rFonts w:hint="default" w:ascii="Arial" w:hAnsi="Arial" w:cs="Arial"/>
          <w:sz w:val="24"/>
          <w:szCs w:val="24"/>
        </w:rPr>
      </w:pPr>
      <w:bookmarkStart w:id="13" w:name="_Toc24797"/>
      <w:r>
        <w:rPr>
          <w:rFonts w:hint="default" w:ascii="Arial" w:hAnsi="Arial" w:cs="Arial"/>
          <w:sz w:val="24"/>
          <w:szCs w:val="24"/>
        </w:rPr>
        <w:t>3.2.1 Target customers in Luckin coffee</w:t>
      </w:r>
      <w:bookmarkEnd w:id="13"/>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According to the market positioning, Rising Coffee's consumer groups are mainly locked, professionals and young customers. All kinds of stores, large and small, are distributed in first-and second-tier cities in China, and they are mainly concentrated in the surrounding areas such as business offices, commercial streets, and universities, occupying geographical advantages. According to Figure 1, different levels of urban coffee consumption are different.</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drawing>
          <wp:inline distT="0" distB="0" distL="114300" distR="114300">
            <wp:extent cx="4088130" cy="1972310"/>
            <wp:effectExtent l="5080" t="4445" r="6350" b="19685"/>
            <wp:docPr id="5"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Figure 1: Centralized consumption situation of Luckin coffee in cities of different levels</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According to Figure 2, the age distribution of users in Luckin coffee is not uniform, and the young consumers who are not over 30 years old after 90 years are the main consumers, including some students and newcomers.</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drawing>
          <wp:inline distT="0" distB="0" distL="114300" distR="114300">
            <wp:extent cx="3881755" cy="2169795"/>
            <wp:effectExtent l="4445" t="5080" r="15240" b="4445"/>
            <wp:docPr id="6"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Figure 2: Age distribution of the users of Luckin Coffee</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As can be seen from the chart, Luckin coffee's target customer orientation is mainly concentrated in the first-line and new-line developed areas, with relatively young students or white-collar workers.</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4" w:name="_Toc14597"/>
      <w:r>
        <w:rPr>
          <w:rFonts w:hint="default" w:ascii="Arial" w:hAnsi="Arial" w:cs="Arial"/>
          <w:sz w:val="24"/>
          <w:szCs w:val="24"/>
        </w:rPr>
        <w:t>4.0 Analysis of competitive environment</w:t>
      </w:r>
      <w:bookmarkEnd w:id="14"/>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5" w:name="_Toc1297"/>
      <w:r>
        <w:rPr>
          <w:rFonts w:hint="default" w:ascii="Arial" w:hAnsi="Arial" w:cs="Arial"/>
          <w:sz w:val="24"/>
          <w:szCs w:val="24"/>
        </w:rPr>
        <w:t>4.1 Macro-environmental analysis of Luckin coffee</w:t>
      </w:r>
      <w:bookmarkEnd w:id="15"/>
    </w:p>
    <w:p>
      <w:pPr>
        <w:pStyle w:val="4"/>
        <w:pageBreakBefore w:val="0"/>
        <w:kinsoku/>
        <w:wordWrap/>
        <w:overflowPunct/>
        <w:topLinePunct w:val="0"/>
        <w:autoSpaceDE/>
        <w:autoSpaceDN/>
        <w:bidi w:val="0"/>
        <w:adjustRightInd/>
        <w:snapToGrid/>
        <w:spacing w:line="480" w:lineRule="auto"/>
        <w:textAlignment w:val="auto"/>
        <w:outlineLvl w:val="1"/>
        <w:rPr>
          <w:rFonts w:hint="default" w:ascii="Arial" w:hAnsi="Arial" w:cs="Arial"/>
          <w:sz w:val="24"/>
          <w:szCs w:val="24"/>
        </w:rPr>
      </w:pPr>
      <w:bookmarkStart w:id="16" w:name="_Toc15827"/>
      <w:r>
        <w:rPr>
          <w:rFonts w:hint="default" w:ascii="Arial" w:hAnsi="Arial" w:cs="Arial"/>
          <w:sz w:val="24"/>
          <w:szCs w:val="24"/>
        </w:rPr>
        <w:t>4.1.1 PEST model analysis</w:t>
      </w:r>
      <w:bookmarkEnd w:id="16"/>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drawing>
          <wp:inline distT="0" distB="0" distL="114300" distR="114300">
            <wp:extent cx="4454525" cy="2711450"/>
            <wp:effectExtent l="0" t="0" r="10795" b="1270"/>
            <wp:docPr id="2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3"/>
                    <pic:cNvPicPr>
                      <a:picLocks noChangeAspect="1"/>
                    </pic:cNvPicPr>
                  </pic:nvPicPr>
                  <pic:blipFill>
                    <a:blip r:embed="rId7"/>
                    <a:srcRect l="2964" t="9707" r="7489" b="5731"/>
                    <a:stretch>
                      <a:fillRect/>
                    </a:stretch>
                  </pic:blipFill>
                  <pic:spPr>
                    <a:xfrm>
                      <a:off x="0" y="0"/>
                      <a:ext cx="4454525" cy="2711450"/>
                    </a:xfrm>
                    <a:prstGeom prst="rect">
                      <a:avLst/>
                    </a:prstGeom>
                    <a:noFill/>
                    <a:ln>
                      <a:noFill/>
                    </a:ln>
                  </pic:spPr>
                </pic:pic>
              </a:graphicData>
            </a:graphic>
          </wp:inline>
        </w:drawing>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Figure 3: The PEST model diagram</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Under the background of new retail, compared with traditional coffee enterprises, the macro environment faced by Luckin coffee has its uniqueness and complexity, and there is strong uncertainty on the whole.</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Analysis of political environment. In terms of law, China revised the Enterprise Income Tax Law of the People's Republic of China (PRC) in 2018, and the tax borne by enterprises was reduced. In 2018, the company law was revised and improved, and the market order was maintained. To standardize the development of e-commerce, effectively maintain the market order of e-commerce and promote its healthy development, the E-commerce Law of the People's Republic of China was implemented in 2019. The revision and improvement of laws have enabled Luckin coffee to obtain strong and favorable conditions for its development, reduced the tax burden, and brought more large-scale financial support to China. At the same time, the market order has also been standardized, which has enabled enterprises to obtain a relatively stable development condition.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Economic environment analysis. On the consumption structure, Engel's coefficient of Chinese residents has shown a downward trend in recent years. Although there is a certain rebound in 2020 due to the COVID-19 epidemic, the overall trend is still downward. This shows that non-food expenditure in household consumption is on the rise. See Figure 4 for details.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drawing>
          <wp:inline distT="0" distB="0" distL="114300" distR="114300">
            <wp:extent cx="4193540" cy="2203450"/>
            <wp:effectExtent l="0" t="0" r="12700" b="6350"/>
            <wp:docPr id="23" name="图片 23" descr="db40336c27ef2270e486da21281bc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db40336c27ef2270e486da21281bc2c"/>
                    <pic:cNvPicPr>
                      <a:picLocks noChangeAspect="1"/>
                    </pic:cNvPicPr>
                  </pic:nvPicPr>
                  <pic:blipFill>
                    <a:blip r:embed="rId8"/>
                    <a:stretch>
                      <a:fillRect/>
                    </a:stretch>
                  </pic:blipFill>
                  <pic:spPr>
                    <a:xfrm>
                      <a:off x="0" y="0"/>
                      <a:ext cx="4193540" cy="2203450"/>
                    </a:xfrm>
                    <a:prstGeom prst="rect">
                      <a:avLst/>
                    </a:prstGeom>
                  </pic:spPr>
                </pic:pic>
              </a:graphicData>
            </a:graphic>
          </wp:inline>
        </w:drawing>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Figure 4: Change in the Engel coefficient of the national residents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Since 2018-2021, China's GDP has been growing, and residents' disposable income has been also getting higher and higher, which has further promoted residents' consumption.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drawing>
          <wp:inline distT="0" distB="0" distL="114300" distR="114300">
            <wp:extent cx="4217035" cy="2487930"/>
            <wp:effectExtent l="0" t="0" r="4445" b="11430"/>
            <wp:docPr id="26" name="图片 26" descr="ee97e74a12b9c7460cdbf403151f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ee97e74a12b9c7460cdbf403151f351"/>
                    <pic:cNvPicPr>
                      <a:picLocks noChangeAspect="1"/>
                    </pic:cNvPicPr>
                  </pic:nvPicPr>
                  <pic:blipFill>
                    <a:blip r:embed="rId9"/>
                    <a:stretch>
                      <a:fillRect/>
                    </a:stretch>
                  </pic:blipFill>
                  <pic:spPr>
                    <a:xfrm>
                      <a:off x="0" y="0"/>
                      <a:ext cx="4217035" cy="2487930"/>
                    </a:xfrm>
                    <a:prstGeom prst="rect">
                      <a:avLst/>
                    </a:prstGeom>
                  </pic:spPr>
                </pic:pic>
              </a:graphicData>
            </a:graphic>
          </wp:inline>
        </w:drawing>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Figure 5: National GDP growth from 2015 to 2021</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Great changes have taken place in people's consumption habits, and disposable income has also increased, which has generated new consumption demand and increased market space, enabling Luckin coffee to have a larger group of potential users (Li J, 2019). This also gives Luckin coffee a good market environment, which can further realize market expansion.</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Social environment. China's population growth rate has slowed down and the gap between urban and rural populations still exists. Consumers have more abundant and diversified channels in lifestyle and buying habits. In the development of Luckin coffee, we need to focus on high-tier cities and consider sinking cities.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Technical environment. In the current technical background, Luckin coffee can get technical support and guarantee, and data resources are of great value to new retail enterprises.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17" w:name="_Toc11662"/>
      <w:r>
        <w:rPr>
          <w:rFonts w:hint="default" w:ascii="Arial" w:hAnsi="Arial" w:cs="Arial"/>
          <w:sz w:val="24"/>
          <w:szCs w:val="24"/>
          <w:lang w:val="en-US" w:eastAsia="zh-CN"/>
        </w:rPr>
        <w:t>4.2 Analysis of Luckin coffee and five forces model</w:t>
      </w:r>
      <w:bookmarkEnd w:id="17"/>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drawing>
          <wp:inline distT="0" distB="0" distL="114300" distR="114300">
            <wp:extent cx="3585845" cy="2315210"/>
            <wp:effectExtent l="0" t="0" r="10795" b="1270"/>
            <wp:docPr id="27" name="图片 27" descr="33637bc07394126355e44c1ec5ce4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33637bc07394126355e44c1ec5ce4b7"/>
                    <pic:cNvPicPr>
                      <a:picLocks noChangeAspect="1"/>
                    </pic:cNvPicPr>
                  </pic:nvPicPr>
                  <pic:blipFill>
                    <a:blip r:embed="rId10">
                      <a:clrChange>
                        <a:clrFrom>
                          <a:srgbClr val="B2CACA">
                            <a:alpha val="100000"/>
                          </a:srgbClr>
                        </a:clrFrom>
                        <a:clrTo>
                          <a:srgbClr val="B2CACA">
                            <a:alpha val="100000"/>
                            <a:alpha val="0"/>
                          </a:srgbClr>
                        </a:clrTo>
                      </a:clrChange>
                    </a:blip>
                    <a:stretch>
                      <a:fillRect/>
                    </a:stretch>
                  </pic:blipFill>
                  <pic:spPr>
                    <a:xfrm>
                      <a:off x="0" y="0"/>
                      <a:ext cx="3585845" cy="2315210"/>
                    </a:xfrm>
                    <a:prstGeom prst="rect">
                      <a:avLst/>
                    </a:prstGeom>
                  </pic:spPr>
                </pic:pic>
              </a:graphicData>
            </a:graphic>
          </wp:inline>
        </w:drawing>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Figure 6: Michael Porter Five-force model diagram</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As for the bargaining power of suppliers, Ruixing's coffee machine mainly comes from Switzerland, and the suppliers of raw materials also come from many countries. They are all top supplier brands in the world, which have a solid market position and take the initiative in bargaining activities. However, the products provided by suppliers are not irreplaceable, and buyers have a certain choice of space.</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Buyers' bargaining power, Luckin coffee's main customer group is individuals, but in the process of its operation and management, Luckin coffee also brings corporate customers into its target market to promote the development of public-private business. Compared with individual consumers, corporate customers have a high level in both consumption contribution and evaluation (Yi M,2019), which is also an important source of customers in Luckin coffee and takes the initiative in the bargaining process.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When new entrants threaten, Luckin coffee should take timely measures to deal with them and fully restrain them.</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With the threat of substitutes, coffee is a special drink with a refreshing function, and its fragrance and taste are also special. Fruit juice, functional drinks, and tea all have the same properties and functions and can all be coffee substitutes (Google Academic, 2018). There are many kinds of products in the beverage market, which is a clear threat to Luckin coffee.</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The competition degree of competitors, Luckin coffee opened 2073 stores in 2018, which threatened Starbucks' monopoly position to some extent. It can be seen that Luckin coffee has also been threatened by its competitors (Google Academic, 2022).</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ascii="Arial" w:hAnsi="Arial" w:cs="Arial"/>
          <w:sz w:val="24"/>
          <w:szCs w:val="24"/>
          <w:lang w:val="en-US" w:eastAsia="zh-CN"/>
        </w:rPr>
      </w:pPr>
      <w:bookmarkStart w:id="18" w:name="_Toc32326"/>
      <w:r>
        <w:rPr>
          <w:rFonts w:hint="default" w:ascii="Arial" w:hAnsi="Arial" w:cs="Arial"/>
          <w:sz w:val="24"/>
          <w:szCs w:val="24"/>
          <w:lang w:val="en-US" w:eastAsia="zh-CN"/>
        </w:rPr>
        <w:t>4.3 SWOT analysis of Luckin coffee</w:t>
      </w:r>
      <w:bookmarkEnd w:id="18"/>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According to Google Academic, SWOT mainly includes analyzing the strengths, weaknesses, opportunities, and threats of enterprises.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The advantage of Luckin coffee lies in the right price of coffee and the effective spread of the brand. Excellent brand design and novel sales model. The disadvantage is that the early development situation makes the profit risky and the user experience is poor. Luckin coffee's opportunity is that coffee has a larger share of the audio market. As the disposable income of residents increases, the consumption of coffee will increase. The threat to Luckin coffee is the threat to traditional coffee brands. Small and medium-sized brands occupy multiple markets. Pressure from tea drinks.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19" w:name="_Toc8853"/>
      <w:r>
        <w:rPr>
          <w:rFonts w:hint="default" w:ascii="Arial" w:hAnsi="Arial" w:cs="Arial"/>
          <w:sz w:val="24"/>
          <w:szCs w:val="24"/>
          <w:lang w:val="en-US" w:eastAsia="zh-CN"/>
        </w:rPr>
        <w:t>5.0 Conclusion</w:t>
      </w:r>
      <w:bookmarkEnd w:id="19"/>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This report discusses and analyzes the competition and development strategy of Ruixing, and explains the advantages and limitations of Luckin coffee in the development strategy. Through the PEST model, this paper explains the macro-environmental changes and market competition conditions that Luckin coffee is about to face, and points out the threats and challenges that Luckin coffee is facing in the market at present. And through a SWOT analysis of Luckin coffee's strengths, weaknesses, opportunities, and threats.</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0" w:name="_Toc20399"/>
      <w:r>
        <w:rPr>
          <w:rFonts w:hint="default" w:ascii="Arial" w:hAnsi="Arial" w:cs="Arial"/>
          <w:sz w:val="24"/>
          <w:szCs w:val="24"/>
          <w:lang w:val="en-US" w:eastAsia="zh-CN"/>
        </w:rPr>
        <w:t>6.0 Recommendations</w:t>
      </w:r>
      <w:bookmarkEnd w:id="20"/>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r>
        <w:rPr>
          <w:rFonts w:hint="default" w:ascii="Arial" w:hAnsi="Arial" w:cs="Arial"/>
          <w:bCs/>
          <w:sz w:val="24"/>
          <w:szCs w:val="24"/>
          <w:lang w:val="en-US" w:eastAsia="zh-CN"/>
        </w:rPr>
        <w:t>For the long-term development of Luckin coffee, we should ensure the advantage of the product price, and adopt differentiated pricing strategies, such as the product quality of flagship stores should be higher, and the products of different brands should be different in raw materials, equipment processing, and packaging. Combining with the new retail model, we should enhance the profitability of Luckin coffee, such as opening stores in more favorable areas such as office buildings and parking spaces, reducing costs, strengthening retail channels, establishing a more perfect product supply chain, avoiding management risks, and improving the profitability of Luckin coffee. Finally, we should strengthen the customer experience, enhance the customer's loyalty and stickiness to the brand, and strengthen the promotion of the brand to enhance its credibility and image.</w:t>
      </w:r>
    </w:p>
    <w:bookmarkEnd w:id="4"/>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21" w:name="_Toc8702"/>
      <w:r>
        <w:rPr>
          <w:rFonts w:hint="default" w:ascii="Arial" w:hAnsi="Arial" w:cs="Arial"/>
          <w:sz w:val="24"/>
          <w:szCs w:val="24"/>
          <w:lang w:val="en-US" w:eastAsia="zh-CN"/>
        </w:rPr>
        <w:t xml:space="preserve">7.0 </w:t>
      </w:r>
      <w:r>
        <w:rPr>
          <w:rFonts w:hint="default" w:ascii="Arial" w:hAnsi="Arial" w:cs="Arial"/>
          <w:sz w:val="24"/>
          <w:szCs w:val="24"/>
        </w:rPr>
        <w:t>References</w:t>
      </w:r>
      <w:bookmarkEnd w:id="21"/>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Ansoff, I (1979) Strategic Management. Basingstoke: Palgrave Macmillan.</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 xml:space="preserve">Ansoff, I (1993) Challenges of the 21st Century: United States International University, available at </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fldChar w:fldCharType="begin"/>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instrText xml:space="preserve"> HYPERLINK "https://youtu.be/qbMnw67VpNM" </w:instrTex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fldChar w:fldCharType="separate"/>
      </w:r>
      <w:r>
        <w:rPr>
          <w:rStyle w:val="7"/>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https://youtu.be/qbMnw67VpNM</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fldChar w:fldCharType="end"/>
      </w:r>
      <w:r>
        <w:rPr>
          <w:rFonts w:hint="default" w:ascii="Arial" w:hAnsi="Arial" w:eastAsia="Segoe UI" w:cs="Arial"/>
          <w:i w:val="0"/>
          <w:iCs w:val="0"/>
          <w:caps w:val="0"/>
          <w:color w:val="101214"/>
          <w:spacing w:val="0"/>
          <w:sz w:val="24"/>
          <w:szCs w:val="24"/>
          <w:shd w:val="clear" w:fill="FFFFFF"/>
          <w:lang w:val="en-US" w:eastAsia="zh-CN"/>
        </w:rPr>
        <w:t>[accessed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101214"/>
          <w:spacing w:val="0"/>
          <w:sz w:val="24"/>
          <w:szCs w:val="24"/>
          <w:shd w:val="clear" w:fill="FFFFFF"/>
          <w:lang w:val="en-US" w:eastAsia="zh-CN"/>
        </w:rPr>
        <w:t>Bovaird T (2016) ‘Strategic Management in Public Sector Organisations’ in Bovaird, T. and Loeffler, E. (eds) (2016) Public Management and Governance (3rd edition). Abingdon: Routledge</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222222"/>
          <w:spacing w:val="0"/>
          <w:sz w:val="24"/>
          <w:szCs w:val="24"/>
          <w:shd w:val="clear" w:fill="FFFFFF"/>
          <w:lang w:val="en-US" w:eastAsia="zh-CN"/>
        </w:rPr>
      </w:pPr>
      <w:r>
        <w:rPr>
          <w:rFonts w:hint="default" w:ascii="Arial" w:hAnsi="Arial" w:eastAsia="宋体" w:cs="Arial"/>
          <w:i w:val="0"/>
          <w:iCs w:val="0"/>
          <w:caps w:val="0"/>
          <w:color w:val="222222"/>
          <w:spacing w:val="0"/>
          <w:sz w:val="24"/>
          <w:szCs w:val="24"/>
          <w:shd w:val="clear" w:fill="FFFFFF"/>
        </w:rPr>
        <w:t>CNMO</w:t>
      </w:r>
      <w:r>
        <w:rPr>
          <w:rFonts w:hint="default" w:ascii="Arial" w:hAnsi="Arial" w:eastAsia="宋体" w:cs="Arial"/>
          <w:i w:val="0"/>
          <w:iCs w:val="0"/>
          <w:caps w:val="0"/>
          <w:color w:val="222222"/>
          <w:spacing w:val="0"/>
          <w:sz w:val="24"/>
          <w:szCs w:val="24"/>
          <w:shd w:val="clear" w:fill="FFFFFF"/>
          <w:lang w:val="en-US" w:eastAsia="zh-CN"/>
        </w:rPr>
        <w:t xml:space="preserve"> News.(2023).Luckin Coffee 2022 financial results[online].Available form:</w:t>
      </w:r>
      <w:r>
        <w:rPr>
          <w:rFonts w:hint="default" w:ascii="Arial" w:hAnsi="Arial" w:eastAsia="宋体" w:cs="Arial"/>
          <w:i w:val="0"/>
          <w:iCs w:val="0"/>
          <w:caps w:val="0"/>
          <w:color w:val="222222"/>
          <w:spacing w:val="0"/>
          <w:sz w:val="24"/>
          <w:szCs w:val="24"/>
          <w:shd w:val="clear" w:fill="FFFFFF"/>
        </w:rPr>
        <w:t>https://baijiahao.baidu.com/s?id=1759263600237368215&amp;wfr=spider&amp;for=pc</w:t>
      </w:r>
      <w:r>
        <w:rPr>
          <w:rFonts w:hint="default" w:ascii="Arial" w:hAnsi="Arial" w:eastAsia="宋体" w:cs="Arial"/>
          <w:i w:val="0"/>
          <w:iCs w:val="0"/>
          <w:caps w:val="0"/>
          <w:color w:val="222222"/>
          <w:spacing w:val="0"/>
          <w:sz w:val="24"/>
          <w:szCs w:val="24"/>
          <w:shd w:val="clear" w:fill="FFFFFF"/>
          <w:lang w:val="en-US" w:eastAsia="zh-CN"/>
        </w:rPr>
        <w:t>[accessed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222222"/>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222222"/>
          <w:spacing w:val="0"/>
          <w:sz w:val="24"/>
          <w:szCs w:val="24"/>
          <w:shd w:val="clear" w:fill="FFFFFF"/>
          <w:lang w:val="en-US" w:eastAsia="zh-CN"/>
        </w:rPr>
      </w:pPr>
      <w:bookmarkStart w:id="22" w:name="OLE_LINK5"/>
      <w:r>
        <w:rPr>
          <w:rFonts w:hint="default" w:ascii="Arial" w:hAnsi="Arial" w:eastAsia="Segoe UI" w:cs="Arial"/>
          <w:i w:val="0"/>
          <w:iCs w:val="0"/>
          <w:caps w:val="0"/>
          <w:color w:val="101214"/>
          <w:spacing w:val="0"/>
          <w:sz w:val="24"/>
          <w:szCs w:val="24"/>
          <w:shd w:val="clear" w:fill="FFFFFF"/>
        </w:rPr>
        <w:t>China's National People's Congress</w:t>
      </w:r>
      <w:bookmarkEnd w:id="22"/>
      <w:r>
        <w:rPr>
          <w:rFonts w:hint="default" w:ascii="Arial" w:hAnsi="Arial" w:eastAsia="宋体" w:cs="Arial"/>
          <w:i w:val="0"/>
          <w:iCs w:val="0"/>
          <w:caps w:val="0"/>
          <w:color w:val="101214"/>
          <w:spacing w:val="0"/>
          <w:sz w:val="24"/>
          <w:szCs w:val="24"/>
          <w:shd w:val="clear" w:fill="FFFFFF"/>
          <w:lang w:val="en-US" w:eastAsia="zh-CN"/>
        </w:rPr>
        <w:t>.(2019).</w:t>
      </w:r>
      <w:r>
        <w:rPr>
          <w:rFonts w:hint="default" w:ascii="Arial" w:hAnsi="Arial" w:eastAsia="Segoe UI" w:cs="Arial"/>
          <w:i w:val="0"/>
          <w:iCs w:val="0"/>
          <w:caps w:val="0"/>
          <w:color w:val="2A2B2E"/>
          <w:spacing w:val="0"/>
          <w:sz w:val="24"/>
          <w:szCs w:val="24"/>
          <w:shd w:val="clear" w:fill="FFFFFF"/>
        </w:rPr>
        <w:t>Enterprise Income Tax Law of the People's Republic of China</w:t>
      </w:r>
      <w:r>
        <w:rPr>
          <w:rFonts w:hint="default" w:ascii="Arial" w:hAnsi="Arial" w:eastAsia="宋体" w:cs="Arial"/>
          <w:sz w:val="24"/>
          <w:szCs w:val="24"/>
          <w:lang w:val="en-US" w:eastAsia="zh-CN"/>
        </w:rPr>
        <w:t>[online].Available form:</w:t>
      </w:r>
      <w:r>
        <w:rPr>
          <w:rFonts w:hint="default" w:ascii="Arial" w:hAnsi="Arial" w:eastAsia="宋体" w:cs="Arial"/>
          <w:sz w:val="24"/>
          <w:szCs w:val="24"/>
        </w:rPr>
        <w:t>http://www.npc.gov.cn/npc/c30834/201901/0c846c25aa80405fafc6f99247d0fe08.shtml</w:t>
      </w:r>
      <w:r>
        <w:rPr>
          <w:rFonts w:hint="default" w:ascii="Arial" w:hAnsi="Arial" w:eastAsia="宋体" w:cs="Arial"/>
          <w:i w:val="0"/>
          <w:iCs w:val="0"/>
          <w:caps w:val="0"/>
          <w:color w:val="222222"/>
          <w:spacing w:val="0"/>
          <w:sz w:val="24"/>
          <w:szCs w:val="24"/>
          <w:shd w:val="clear" w:fill="FFFFFF"/>
          <w:lang w:val="en-US" w:eastAsia="zh-CN"/>
        </w:rPr>
        <w:t>[accessed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222222"/>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101214"/>
          <w:spacing w:val="0"/>
          <w:sz w:val="24"/>
          <w:szCs w:val="24"/>
          <w:shd w:val="clear" w:fill="FFFFFF"/>
        </w:rPr>
        <w:t>China's National People's Congress</w:t>
      </w:r>
      <w:r>
        <w:rPr>
          <w:rFonts w:hint="default" w:ascii="Arial" w:hAnsi="Arial" w:eastAsia="宋体" w:cs="Arial"/>
          <w:i w:val="0"/>
          <w:iCs w:val="0"/>
          <w:caps w:val="0"/>
          <w:color w:val="101214"/>
          <w:spacing w:val="0"/>
          <w:sz w:val="24"/>
          <w:szCs w:val="24"/>
          <w:shd w:val="clear" w:fill="FFFFFF"/>
          <w:lang w:val="en-US" w:eastAsia="zh-CN"/>
        </w:rPr>
        <w:t>.(2018).</w:t>
      </w:r>
      <w:r>
        <w:rPr>
          <w:rFonts w:hint="default" w:ascii="Arial" w:hAnsi="Arial" w:eastAsia="Segoe UI" w:cs="Arial"/>
          <w:i w:val="0"/>
          <w:iCs w:val="0"/>
          <w:caps w:val="0"/>
          <w:color w:val="2A2B2E"/>
          <w:spacing w:val="0"/>
          <w:sz w:val="24"/>
          <w:szCs w:val="24"/>
          <w:shd w:val="clear" w:fill="FFFFFF"/>
        </w:rPr>
        <w:t>Electronic Commerce Law of the People's Republic of China</w:t>
      </w:r>
      <w:r>
        <w:rPr>
          <w:rFonts w:hint="default" w:ascii="Arial" w:hAnsi="Arial" w:eastAsia="宋体" w:cs="Arial"/>
          <w:i w:val="0"/>
          <w:iCs w:val="0"/>
          <w:caps w:val="0"/>
          <w:color w:val="2A2B2E"/>
          <w:spacing w:val="0"/>
          <w:sz w:val="24"/>
          <w:szCs w:val="24"/>
          <w:shd w:val="clear" w:fill="FFFFFF"/>
          <w:lang w:val="en-US" w:eastAsia="zh-CN"/>
        </w:rPr>
        <w:t>[online].Available form:</w:t>
      </w:r>
      <w:r>
        <w:rPr>
          <w:rFonts w:hint="default" w:ascii="Arial" w:hAnsi="Arial" w:eastAsia="Segoe UI" w:cs="Arial"/>
          <w:i w:val="0"/>
          <w:iCs w:val="0"/>
          <w:caps w:val="0"/>
          <w:color w:val="101214"/>
          <w:spacing w:val="0"/>
          <w:sz w:val="24"/>
          <w:szCs w:val="24"/>
          <w:shd w:val="clear" w:fill="FFFFFF"/>
          <w:lang w:val="en-US" w:eastAsia="zh-CN"/>
        </w:rPr>
        <w:t>http://www.npc.gov.cn/npc/c30834/201808/5f7ac8879fa44f2aa0d52626757371bf.shtml</w:t>
      </w:r>
      <w:r>
        <w:rPr>
          <w:rFonts w:hint="default" w:ascii="Arial" w:hAnsi="Arial" w:eastAsia="宋体" w:cs="Arial"/>
          <w:i w:val="0"/>
          <w:iCs w:val="0"/>
          <w:caps w:val="0"/>
          <w:color w:val="222222"/>
          <w:spacing w:val="0"/>
          <w:sz w:val="24"/>
          <w:szCs w:val="24"/>
          <w:shd w:val="clear" w:fill="FFFFFF"/>
          <w:lang w:val="en-US" w:eastAsia="zh-CN"/>
        </w:rPr>
        <w:t>[accessed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101214"/>
          <w:spacing w:val="0"/>
          <w:sz w:val="24"/>
          <w:szCs w:val="24"/>
          <w:shd w:val="clear" w:fill="FFFFFF"/>
          <w:lang w:val="en-US" w:eastAsia="zh-CN"/>
        </w:rPr>
        <w:t>Google Academic .(2020）.Research on enterprise strategic management based on Internal and external environmental factors analysis[online].Available form:https://xueshu.baidu.com/usercenter/paper/show?paperid=182806w0a20b0av0q40t0vx0v6740475&amp;site=xueshu_se</w:t>
      </w:r>
      <w:bookmarkStart w:id="23" w:name="OLE_LINK1"/>
      <w:r>
        <w:rPr>
          <w:rFonts w:hint="default" w:ascii="Arial" w:hAnsi="Arial" w:eastAsia="Segoe UI" w:cs="Arial"/>
          <w:i w:val="0"/>
          <w:iCs w:val="0"/>
          <w:caps w:val="0"/>
          <w:color w:val="101214"/>
          <w:spacing w:val="0"/>
          <w:sz w:val="24"/>
          <w:szCs w:val="24"/>
          <w:shd w:val="clear" w:fill="FFFFFF"/>
          <w:lang w:val="en-US" w:eastAsia="zh-CN"/>
        </w:rPr>
        <w:t>[accessed 6 March 2023]</w:t>
      </w:r>
      <w:bookmarkEnd w:id="23"/>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bookmarkStart w:id="24" w:name="OLE_LINK9"/>
      <w:r>
        <w:rPr>
          <w:rFonts w:hint="default" w:ascii="Arial" w:hAnsi="Arial" w:eastAsia="Segoe UI" w:cs="Arial"/>
          <w:i w:val="0"/>
          <w:iCs w:val="0"/>
          <w:caps w:val="0"/>
          <w:color w:val="101214"/>
          <w:spacing w:val="0"/>
          <w:sz w:val="24"/>
          <w:szCs w:val="24"/>
          <w:shd w:val="clear" w:fill="FFFFFF"/>
          <w:lang w:val="en-US" w:eastAsia="zh-CN"/>
        </w:rPr>
        <w:t>Google Academic</w:t>
      </w:r>
      <w:bookmarkEnd w:id="24"/>
      <w:r>
        <w:rPr>
          <w:rFonts w:hint="default" w:ascii="Arial" w:hAnsi="Arial" w:eastAsia="Segoe UI" w:cs="Arial"/>
          <w:i w:val="0"/>
          <w:iCs w:val="0"/>
          <w:caps w:val="0"/>
          <w:color w:val="101214"/>
          <w:spacing w:val="0"/>
          <w:sz w:val="24"/>
          <w:szCs w:val="24"/>
          <w:shd w:val="clear" w:fill="FFFFFF"/>
          <w:lang w:val="en-US" w:eastAsia="zh-CN"/>
        </w:rPr>
        <w:t>.（2022）.Luckin Coffee's development strategy[online].Available form</w:t>
      </w:r>
      <w:r>
        <w:rPr>
          <w:rFonts w:hint="default" w:ascii="Arial" w:hAnsi="Arial" w:eastAsia="Segoe UI" w:cs="Arial"/>
          <w:i w:val="0"/>
          <w:iCs w:val="0"/>
          <w:caps w:val="0"/>
          <w:color w:val="101214"/>
          <w:spacing w:val="0"/>
          <w:sz w:val="24"/>
          <w:szCs w:val="24"/>
          <w:shd w:val="clear" w:fill="FFFFFF"/>
          <w:lang w:val="en-US" w:eastAsia="zh-CN"/>
        </w:rPr>
        <w:br w:type="textWrapping"/>
      </w:r>
      <w:r>
        <w:rPr>
          <w:rFonts w:hint="default" w:ascii="Arial" w:hAnsi="Arial" w:eastAsia="Segoe UI" w:cs="Arial"/>
          <w:i w:val="0"/>
          <w:iCs w:val="0"/>
          <w:caps w:val="0"/>
          <w:color w:val="101214"/>
          <w:spacing w:val="0"/>
          <w:sz w:val="24"/>
          <w:szCs w:val="24"/>
          <w:shd w:val="clear" w:fill="FFFFFF"/>
          <w:lang w:val="en-US" w:eastAsia="zh-CN"/>
        </w:rPr>
        <w:t>:https://baijiahao.baidu.com/s?id=1737410663774922289&amp;wfr=spider&amp;for=pc[accessed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 xml:space="preserve">Google Academic.(2019).Cost advantage is the core business basis of Luckin Coffee[online].Available </w:t>
      </w:r>
      <w:r>
        <w:rPr>
          <w:rFonts w:hint="default" w:ascii="Arial" w:hAnsi="Arial" w:eastAsia="Segoe UI" w:cs="Arial"/>
          <w:i w:val="0"/>
          <w:iCs w:val="0"/>
          <w:caps w:val="0"/>
          <w:color w:val="101214"/>
          <w:spacing w:val="0"/>
          <w:sz w:val="24"/>
          <w:szCs w:val="24"/>
          <w:shd w:val="clear" w:fill="FFFFFF"/>
          <w:lang w:val="en-US" w:eastAsia="zh-CN"/>
        </w:rPr>
        <w:t>form:https://baijiahao.baidu.com/s?id=1634396225944704795&amp;wfr=spider&amp;for=pc&amp;utm_source=wechat_session&amp;utm_medium=social&amp;utm_oi=1176076326364123136[accessed 7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C00000"/>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Google Academic.(2022).Luckin Coffee development status and competitive advantage analysis[online].Available form:</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fldChar w:fldCharType="begin"/>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instrText xml:space="preserve"> HYPERLINK "https://m.vzkoo.com/read/20220617d1cb77ce528201d7a8f69689.html" </w:instrTex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fldChar w:fldCharType="separate"/>
      </w:r>
      <w:r>
        <w:rPr>
          <w:rStyle w:val="7"/>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https://m.vzkoo.com/read/20220617d1cb77ce528201d7a8f69689.html</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fldChar w:fldCharType="end"/>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[accessed 7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Google Academic.(2022).Luckin Coffee competitive environment analysis and brand positioning strategy research[online].Available form:https://www.sbvv.cn/chachong/61225.html[accessed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Google Academic.(2018).Luckin coffee [online].Available form:https://zhuanlan.zhihu.com/p/35994772?utm_id=0[accessed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Google Academic.(2020).</w:t>
      </w:r>
      <w:r>
        <w:rPr>
          <w:rFonts w:hint="default" w:ascii="Arial" w:hAnsi="Arial" w:eastAsia="Segoe UI" w:cs="Arial"/>
          <w:i w:val="0"/>
          <w:iCs w:val="0"/>
          <w:caps w:val="0"/>
          <w:color w:val="2A2B2E"/>
          <w:spacing w:val="0"/>
          <w:sz w:val="24"/>
          <w:szCs w:val="24"/>
          <w:shd w:val="clear" w:fill="FFFFFF"/>
        </w:rPr>
        <w:t>Luckin Coffee's strategic objectives</w:t>
      </w:r>
      <w:r>
        <w:rPr>
          <w:rFonts w:hint="default" w:ascii="Arial" w:hAnsi="Arial" w:eastAsia="宋体" w:cs="Arial"/>
          <w:i w:val="0"/>
          <w:iCs w:val="0"/>
          <w:caps w:val="0"/>
          <w:color w:val="2A2B2E"/>
          <w:spacing w:val="0"/>
          <w:sz w:val="24"/>
          <w:szCs w:val="24"/>
          <w:shd w:val="clear" w:fill="FFFFFF"/>
          <w:lang w:val="en-US" w:eastAsia="zh-CN"/>
        </w:rPr>
        <w:t>[online].Available form:</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https://xueqiu.com/7362718397/132486796</w:t>
      </w:r>
      <w:bookmarkStart w:id="25" w:name="OLE_LINK2"/>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[accessed 6 March 2023]</w:t>
      </w:r>
      <w:bookmarkEnd w:id="25"/>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bookmarkStart w:id="26" w:name="OLE_LINK7"/>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Google Academic</w:t>
      </w:r>
      <w:bookmarkEnd w:id="26"/>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（2022）</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SWOT[online].Available form:https://baike.baidu.com/item/SWOT%E5%88%86%E6%9E%90%E6%B3%95/150223?fromtitle=SWOT&amp;fromid=1050&amp;fr=aladdin[accessed 7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Interface news.(2021).</w:t>
      </w:r>
      <w:r>
        <w:rPr>
          <w:rFonts w:hint="default" w:ascii="Arial" w:hAnsi="Arial" w:eastAsia="宋体" w:cs="Arial"/>
          <w:i w:val="0"/>
          <w:iCs w:val="0"/>
          <w:caps w:val="0"/>
          <w:color w:val="222222"/>
          <w:spacing w:val="0"/>
          <w:sz w:val="24"/>
          <w:szCs w:val="24"/>
          <w:shd w:val="clear" w:fill="FFFFFF"/>
          <w:lang w:val="en-US" w:eastAsia="zh-CN"/>
        </w:rPr>
        <w:t>Luckin Coffee 2021 financial results[online].Available form:https://baijiahao.baidu.com/s?id=1704081354413998911&amp;wfr=spider&amp;for=pc</w:t>
      </w: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C00000"/>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000000" w:themeColor="text1"/>
          <w:spacing w:val="0"/>
          <w:sz w:val="24"/>
          <w:szCs w:val="24"/>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Kotler,P.,2017.The perception of makeup for the elderly and the makeup behavior of new seniors.19th ed.</w:t>
      </w:r>
      <w:r>
        <w:rPr>
          <w:rFonts w:hint="default" w:ascii="Arial" w:hAnsi="Arial" w:eastAsia="Segoe UI" w:cs="Arial"/>
          <w:i w:val="0"/>
          <w:iCs w:val="0"/>
          <w:caps w:val="0"/>
          <w:color w:val="000000" w:themeColor="text1"/>
          <w:spacing w:val="0"/>
          <w:sz w:val="24"/>
          <w:szCs w:val="24"/>
          <w14:textFill>
            <w14:solidFill>
              <w14:schemeClr w14:val="tx1"/>
            </w14:solidFill>
          </w14:textFill>
        </w:rPr>
        <w:t>United States</w:t>
      </w:r>
      <w:r>
        <w:rPr>
          <w:rFonts w:hint="default" w:ascii="Arial" w:hAnsi="Arial" w:eastAsia="宋体" w:cs="Arial"/>
          <w:i w:val="0"/>
          <w:iCs w:val="0"/>
          <w:caps w:val="0"/>
          <w:color w:val="000000" w:themeColor="text1"/>
          <w:spacing w:val="0"/>
          <w:sz w:val="24"/>
          <w:szCs w:val="24"/>
          <w:lang w:val="en-US" w:eastAsia="zh-CN"/>
          <w14:textFill>
            <w14:solidFill>
              <w14:schemeClr w14:val="tx1"/>
            </w14:solidFill>
          </w14:textFill>
        </w:rPr>
        <w:t>:Journal of Consumer Behaviour.</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000000" w:themeColor="text1"/>
          <w:spacing w:val="0"/>
          <w:sz w:val="24"/>
          <w:szCs w:val="24"/>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000000" w:themeColor="text1"/>
          <w:spacing w:val="0"/>
          <w:sz w:val="24"/>
          <w:szCs w:val="24"/>
          <w:lang w:val="en-US" w:eastAsia="zh-CN"/>
          <w14:textFill>
            <w14:solidFill>
              <w14:schemeClr w14:val="tx1"/>
            </w14:solidFill>
          </w14:textFill>
        </w:rPr>
      </w:pPr>
      <w:r>
        <w:rPr>
          <w:rFonts w:hint="default" w:ascii="Arial" w:hAnsi="Arial" w:eastAsia="宋体" w:cs="Arial"/>
          <w:i w:val="0"/>
          <w:iCs w:val="0"/>
          <w:caps w:val="0"/>
          <w:color w:val="000000" w:themeColor="text1"/>
          <w:spacing w:val="0"/>
          <w:sz w:val="24"/>
          <w:szCs w:val="24"/>
          <w:lang w:val="en-US" w:eastAsia="zh-CN"/>
          <w14:textFill>
            <w14:solidFill>
              <w14:schemeClr w14:val="tx1"/>
            </w14:solidFill>
          </w14:textFill>
        </w:rPr>
        <w:t>Kellerman B (2004) ‘Leadership: warts and all’, Harvard Business Review, January, pp. 40–45.</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C00000"/>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cs="Arial"/>
          <w:sz w:val="24"/>
          <w:szCs w:val="24"/>
          <w:lang w:val="en-US" w:eastAsia="zh-CN"/>
        </w:rPr>
        <w:t>Li,D.,2020.</w:t>
      </w:r>
      <w:r>
        <w:rPr>
          <w:rFonts w:hint="default" w:ascii="Arial" w:hAnsi="Arial" w:eastAsia="Segoe UI" w:cs="Arial"/>
          <w:i w:val="0"/>
          <w:iCs w:val="0"/>
          <w:caps w:val="0"/>
          <w:color w:val="101214"/>
          <w:spacing w:val="0"/>
          <w:sz w:val="24"/>
          <w:szCs w:val="24"/>
          <w:shd w:val="clear" w:fill="FFFFFF"/>
        </w:rPr>
        <w:t>The influence of non-price factors on operation in highly competitive market environment</w:t>
      </w:r>
      <w:r>
        <w:rPr>
          <w:rFonts w:hint="default" w:ascii="Arial" w:hAnsi="Arial" w:cs="Arial"/>
          <w:sz w:val="24"/>
          <w:szCs w:val="24"/>
          <w:lang w:val="en-US" w:eastAsia="zh-CN"/>
        </w:rPr>
        <w:t>.15th ed.</w:t>
      </w:r>
      <w:r>
        <w:rPr>
          <w:rFonts w:hint="default" w:ascii="Arial" w:hAnsi="Arial" w:eastAsia="Segoe UI" w:cs="Arial"/>
          <w:i w:val="0"/>
          <w:iCs w:val="0"/>
          <w:caps w:val="0"/>
          <w:color w:val="101214"/>
          <w:spacing w:val="0"/>
          <w:sz w:val="24"/>
          <w:szCs w:val="24"/>
          <w:shd w:val="clear" w:fill="FFFFFF"/>
        </w:rPr>
        <w:t>China: Sales and Management</w:t>
      </w:r>
      <w:r>
        <w:rPr>
          <w:rFonts w:hint="default" w:ascii="Arial" w:hAnsi="Arial" w:eastAsia="宋体" w:cs="Arial"/>
          <w:i w:val="0"/>
          <w:iCs w:val="0"/>
          <w:caps w:val="0"/>
          <w:color w:val="101214"/>
          <w:spacing w:val="0"/>
          <w:sz w:val="24"/>
          <w:szCs w:val="24"/>
          <w:shd w:val="clear" w:fill="FFFFFF"/>
          <w:lang w:val="en-US" w:eastAsia="zh-CN"/>
        </w:rPr>
        <w:t>.</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Li，J.,2019.</w:t>
      </w:r>
      <w:r>
        <w:rPr>
          <w:rFonts w:hint="default" w:ascii="Arial" w:hAnsi="Arial" w:eastAsia="Segoe UI" w:cs="Arial"/>
          <w:i w:val="0"/>
          <w:iCs w:val="0"/>
          <w:caps w:val="0"/>
          <w:color w:val="101214"/>
          <w:spacing w:val="0"/>
          <w:sz w:val="24"/>
          <w:szCs w:val="24"/>
        </w:rPr>
        <w:t xml:space="preserve">Current Situation of Instant coffee Market.1re ed. Southwest </w:t>
      </w:r>
      <w:r>
        <w:rPr>
          <w:rFonts w:hint="default" w:ascii="Arial" w:hAnsi="Arial" w:eastAsia="宋体" w:cs="Arial"/>
          <w:i w:val="0"/>
          <w:iCs w:val="0"/>
          <w:caps w:val="0"/>
          <w:color w:val="101214"/>
          <w:spacing w:val="0"/>
          <w:sz w:val="24"/>
          <w:szCs w:val="24"/>
          <w:lang w:val="en-US" w:eastAsia="zh-CN"/>
        </w:rPr>
        <w:t>traffic</w:t>
      </w:r>
      <w:r>
        <w:rPr>
          <w:rFonts w:hint="default" w:ascii="Arial" w:hAnsi="Arial" w:eastAsia="Segoe UI" w:cs="Arial"/>
          <w:i w:val="0"/>
          <w:iCs w:val="0"/>
          <w:caps w:val="0"/>
          <w:color w:val="101214"/>
          <w:spacing w:val="0"/>
          <w:sz w:val="24"/>
          <w:szCs w:val="24"/>
        </w:rPr>
        <w:t xml:space="preserve"> University</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Luthans F(1988) ‘Successful versus effective real managers’, Academy of Management Executive, vol II, no. 2.</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Lynch RL (2012) Strategic Management 6th edition, Harlow: Pearson [7-25]</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101214"/>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Pu, J.Li y.and Tang,S.,(2020). Empirical analysis on Influential Factors of environmental competitiveness of construction enterprises in Liaoning Province.12th ed. Harbin: Economist.</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Robinson D (2005) Management Theorists – Thinkers for the 21st Century: a three part series. Training Journal, January, February and March 2005.</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Arial" w:hAnsi="Arial" w:eastAsia="Segoe UI" w:cs="Arial"/>
          <w:i w:val="0"/>
          <w:iCs w:val="0"/>
          <w:caps w:val="0"/>
          <w:color w:val="000000" w:themeColor="text1"/>
          <w:spacing w:val="0"/>
          <w:sz w:val="24"/>
          <w:szCs w:val="24"/>
          <w:shd w:val="clear" w:fill="FFFFFF"/>
          <w:lang w:val="en-US" w:eastAsia="zh-CN"/>
          <w14:textFill>
            <w14:solidFill>
              <w14:schemeClr w14:val="tx1"/>
            </w14:solidFill>
          </w14:textFill>
        </w:rPr>
        <w:t>Roskin, MG (2009) ‘Political Science’, an article for the Encyclopaedia available at https://www.britannica.com/topic/political-science[accessed 6 March 2023]</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C00000"/>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auto"/>
          <w:spacing w:val="0"/>
          <w:sz w:val="24"/>
          <w:szCs w:val="24"/>
          <w:shd w:val="clear" w:fill="FFFFFF"/>
          <w:lang w:val="en-US" w:eastAsia="zh-CN"/>
        </w:rPr>
      </w:pPr>
      <w:r>
        <w:rPr>
          <w:rFonts w:hint="default" w:ascii="Arial" w:hAnsi="Arial" w:eastAsia="Segoe UI" w:cs="Arial"/>
          <w:i w:val="0"/>
          <w:iCs w:val="0"/>
          <w:caps w:val="0"/>
          <w:color w:val="auto"/>
          <w:spacing w:val="0"/>
          <w:sz w:val="24"/>
          <w:szCs w:val="24"/>
          <w:shd w:val="clear" w:fill="FFFFFF"/>
          <w:lang w:val="en-US" w:eastAsia="zh-CN"/>
        </w:rPr>
        <w:t>Rechsteiner M .,(1996) PEST sequences and regulation by proteolysis.21st ed. Trends in Biochemical Sciences.</w:t>
      </w: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Segoe UI" w:cs="Arial"/>
          <w:i w:val="0"/>
          <w:iCs w:val="0"/>
          <w:caps w:val="0"/>
          <w:color w:val="auto"/>
          <w:spacing w:val="0"/>
          <w:sz w:val="24"/>
          <w:szCs w:val="24"/>
          <w:shd w:val="clear" w:fill="FFFFFF"/>
          <w:lang w:val="en-US" w:eastAsia="zh-CN"/>
        </w:rPr>
      </w:pPr>
      <w:r>
        <w:rPr>
          <w:rFonts w:hint="default" w:ascii="Arial" w:hAnsi="Arial" w:eastAsia="Segoe UI" w:cs="Arial"/>
          <w:i w:val="0"/>
          <w:iCs w:val="0"/>
          <w:caps w:val="0"/>
          <w:color w:val="auto"/>
          <w:spacing w:val="0"/>
          <w:sz w:val="24"/>
          <w:szCs w:val="24"/>
          <w:shd w:val="clear" w:fill="FFFFFF"/>
          <w:lang w:val="en-US" w:eastAsia="zh-CN"/>
        </w:rPr>
        <w:t>Yi M.,(2019).New thinking on brand relationship under the new retail Thinking of Luckin Coffee.1re ed. International Brand Observation.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bCs/>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46446A36"/>
    <w:rsid w:val="46446A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character" w:styleId="7">
    <w:name w:val="Hyperlink"/>
    <w:basedOn w:val="6"/>
    <w:qFormat/>
    <w:uiPriority w:val="0"/>
    <w:rPr>
      <w:color w:val="0000FF"/>
      <w:u w:val="single"/>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 w:type="paragraph" w:customStyle="1" w:styleId="10">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image" Target="media/image5.jpe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[工作簿1]Sheet1!$B$1:$F$1</c:f>
              <c:strCache>
                <c:ptCount val="5"/>
                <c:pt idx="0">
                  <c:v>New first-tier cities</c:v>
                </c:pt>
                <c:pt idx="1">
                  <c:v>Second-tier city</c:v>
                </c:pt>
                <c:pt idx="2">
                  <c:v>Third-tier city</c:v>
                </c:pt>
                <c:pt idx="3">
                  <c:v>Fourth-tier city</c:v>
                </c:pt>
                <c:pt idx="4">
                  <c:v>Fifth-tier cities and below</c:v>
                </c:pt>
              </c:strCache>
            </c:strRef>
          </c:cat>
          <c:val>
            <c:numRef>
              <c:f>[工作簿1]Sheet1!$B$2:$F$2</c:f>
              <c:numCache>
                <c:formatCode>0.00%</c:formatCode>
                <c:ptCount val="5"/>
                <c:pt idx="0">
                  <c:v>0.2671</c:v>
                </c:pt>
                <c:pt idx="1">
                  <c:v>0.1742</c:v>
                </c:pt>
                <c:pt idx="2">
                  <c:v>0.0971</c:v>
                </c:pt>
                <c:pt idx="3">
                  <c:v>0.0677</c:v>
                </c:pt>
                <c:pt idx="4">
                  <c:v>0.0214</c:v>
                </c:pt>
              </c:numCache>
            </c:numRef>
          </c:val>
        </c:ser>
        <c:ser>
          <c:idx val="1"/>
          <c:order val="1"/>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[工作簿1]Sheet1!$B$1:$F$1</c:f>
              <c:strCache>
                <c:ptCount val="5"/>
                <c:pt idx="0">
                  <c:v>New first-tier cities</c:v>
                </c:pt>
                <c:pt idx="1">
                  <c:v>Second-tier city</c:v>
                </c:pt>
                <c:pt idx="2">
                  <c:v>Third-tier city</c:v>
                </c:pt>
                <c:pt idx="3">
                  <c:v>Fourth-tier city</c:v>
                </c:pt>
                <c:pt idx="4">
                  <c:v>Fifth-tier cities and below</c:v>
                </c:pt>
              </c:strCache>
            </c:strRef>
          </c:cat>
          <c:val>
            <c:numRef>
              <c:f>[工作簿1]Sheet1!$B$3:$F$3</c:f>
              <c:numCache>
                <c:formatCode>General</c:formatCode>
                <c:ptCount val="5"/>
              </c:numCache>
            </c:numRef>
          </c:val>
        </c:ser>
        <c:ser>
          <c:idx val="2"/>
          <c:order val="2"/>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[工作簿1]Sheet1!$B$1:$F$1</c:f>
              <c:strCache>
                <c:ptCount val="5"/>
                <c:pt idx="0">
                  <c:v>New first-tier cities</c:v>
                </c:pt>
                <c:pt idx="1">
                  <c:v>Second-tier city</c:v>
                </c:pt>
                <c:pt idx="2">
                  <c:v>Third-tier city</c:v>
                </c:pt>
                <c:pt idx="3">
                  <c:v>Fourth-tier city</c:v>
                </c:pt>
                <c:pt idx="4">
                  <c:v>Fifth-tier cities and below</c:v>
                </c:pt>
              </c:strCache>
            </c:strRef>
          </c:cat>
          <c:val>
            <c:numRef>
              <c:f>[工作簿1]Sheet1!$B$4:$F$4</c:f>
              <c:numCache>
                <c:formatCode>General</c:formatCode>
                <c:ptCount val="5"/>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[工作簿1]Sheet1!$C$1:$H$1</c:f>
              <c:strCache>
                <c:ptCount val="6"/>
                <c:pt idx="0">
                  <c:v>25-30</c:v>
                </c:pt>
                <c:pt idx="1">
                  <c:v>31-35</c:v>
                </c:pt>
                <c:pt idx="2">
                  <c:v>36-40</c:v>
                </c:pt>
                <c:pt idx="3">
                  <c:v>41-45</c:v>
                </c:pt>
                <c:pt idx="4">
                  <c:v>46-50</c:v>
                </c:pt>
                <c:pt idx="5">
                  <c:v>More than 51</c:v>
                </c:pt>
              </c:strCache>
            </c:strRef>
          </c:cat>
          <c:val>
            <c:numRef>
              <c:f>[工作簿1]Sheet1!$C$2:$H$2</c:f>
              <c:numCache>
                <c:formatCode>0.00%</c:formatCode>
                <c:ptCount val="6"/>
                <c:pt idx="0">
                  <c:v>0.2671</c:v>
                </c:pt>
                <c:pt idx="1">
                  <c:v>0.1388</c:v>
                </c:pt>
                <c:pt idx="2">
                  <c:v>0.1235</c:v>
                </c:pt>
                <c:pt idx="3">
                  <c:v>0.0874</c:v>
                </c:pt>
                <c:pt idx="4">
                  <c:v>0.0504</c:v>
                </c:pt>
                <c:pt idx="5">
                  <c:v>0.1113</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Office_11.1.0.12759_F1E327BC-269C-435d-A152-05C5408002CA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2023-03-09T01:34:00Z</dcterms:created>
  <dc:creator>是潼本人</dc:creator>
  <cp:lastModifiedBy>是潼本人</cp:lastModifiedBy>
  <dcterms:modified xsi:type="dcterms:W3CDTF">2023-03-09T02:09:56Z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2052-11.1.0.12759</vt:lpwstr>
  </property>
  <property fmtid="{D5CDD505-2E9C-101B-9397-08002B2CF9AE}" pid="3" name="ICV">
    <vt:lpwstr>94BA72823BB74E4EB6CA6A87FBF32A47</vt:lpwstr>
  </property>
</Properties>
</file>