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6FF0F" w14:textId="77777777" w:rsidR="0080112E" w:rsidRDefault="0080112E" w:rsidP="0080112E">
      <w:pPr>
        <w:jc w:val="center"/>
        <w:rPr>
          <w:sz w:val="40"/>
          <w:szCs w:val="40"/>
        </w:rPr>
      </w:pPr>
      <w:r w:rsidRPr="00D26FCC">
        <w:rPr>
          <w:sz w:val="40"/>
          <w:szCs w:val="40"/>
        </w:rPr>
        <w:t>"Emergent Technologies Are More Detrimental Than Beneficial to the Skillset, Mindset, and Social Interactions of Children and Young People."</w:t>
      </w:r>
    </w:p>
    <w:p w14:paraId="532117D9" w14:textId="77777777" w:rsidR="00D21514" w:rsidRPr="00D21514" w:rsidRDefault="00D21514" w:rsidP="0080112E">
      <w:pPr>
        <w:spacing w:before="100" w:beforeAutospacing="1" w:after="100" w:afterAutospacing="1" w:line="360" w:lineRule="auto"/>
        <w:jc w:val="both"/>
        <w:rPr>
          <w:rFonts w:eastAsia="Times New Roman" w:cs="Times New Roman"/>
          <w:kern w:val="36"/>
          <w:sz w:val="24"/>
          <w:szCs w:val="24"/>
          <w:lang w:eastAsia="en-GB"/>
          <w14:ligatures w14:val="none"/>
        </w:rPr>
      </w:pPr>
    </w:p>
    <w:p w14:paraId="361838BE"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Introduction</w:t>
      </w:r>
    </w:p>
    <w:p w14:paraId="5A4599A1" w14:textId="7272821D"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Good afternoon. My name is </w:t>
      </w:r>
      <w:r>
        <w:rPr>
          <w:rFonts w:eastAsia="Times New Roman" w:cs="Times New Roman"/>
          <w:kern w:val="0"/>
          <w:sz w:val="24"/>
          <w:szCs w:val="24"/>
          <w:lang w:eastAsia="en-GB"/>
          <w14:ligatures w14:val="none"/>
        </w:rPr>
        <w:t>Anca Sulugiuc</w:t>
      </w:r>
      <w:r w:rsidRPr="00D21514">
        <w:rPr>
          <w:rFonts w:eastAsia="Times New Roman" w:cs="Times New Roman"/>
          <w:kern w:val="0"/>
          <w:sz w:val="24"/>
          <w:szCs w:val="24"/>
          <w:lang w:eastAsia="en-GB"/>
          <w14:ligatures w14:val="none"/>
        </w:rPr>
        <w:t>, and today I will be arguing in favour of the motion that emergent technologies are bad for children and young people. I will show that overuse of technology weakens learning and problem-solving skills (Mueller and Oppenheimer, 2014), harms mental health (Twenge and Campbell, 2018; Primack et al., 2017), and damages real-world social skills (Kuss and Griffiths, 2017). I will respond to the opposing side in my rebuttal and close by asking you to consider the risks that unchecked technology presents to children’s development.</w:t>
      </w:r>
    </w:p>
    <w:p w14:paraId="2507C28A"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Opening statement</w:t>
      </w:r>
    </w:p>
    <w:p w14:paraId="35BEF263"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Good afternoon. Emergent technologies such as laptops, tablets and smartphones may seem useful, but they often come at a cost. I argue that they do more harm than good because they weaken children’s learning, damage mental wellbeing and reduce real-world social interaction.</w:t>
      </w:r>
    </w:p>
    <w:p w14:paraId="79659A07"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First, technology can harm children’s skillsets. Students who take notes on laptops often process information more shallowly and perform worse on conceptual tasks than those who write by hand (Mueller and Oppenheimer, 2014). Screen-based distractions also reduce concentration and academic performance (Hale and Guan, 2015). Rather than encouraging deep thinking, technology can make children dependent on quick answers.</w:t>
      </w:r>
    </w:p>
    <w:p w14:paraId="49D2E51F"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Second, heavy screen use is linked with anxiety, depression and poorer wellbeing in young people (Twenge and Campbell, 2018; Primack et al., 2017). It can also disrupt sleep, which affects focus and emotional regulation (Hale and Guan, 2015).</w:t>
      </w:r>
    </w:p>
    <w:p w14:paraId="3AACA35D"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lastRenderedPageBreak/>
        <w:t>Finally, technology can weaken social development. High digital media use is associated with poorer social wellbeing, reduced empathy and weaker face-to-face interaction (Odgers and Jensen, 2020; Kuss and Griffiths, 2017). For these reasons, emergent technologies are more detrimental than beneficial.</w:t>
      </w:r>
    </w:p>
    <w:p w14:paraId="24CC0839"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Round 2: Rebuttal</w:t>
      </w:r>
    </w:p>
    <w:p w14:paraId="42643BEA"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The opposition may argue that technology helps children gain useful skills, such as coding or digital literacy. However, this ignores evidence showing that students often learn less effectively when technology is involved. Students who take notes on laptops remember less and understand less than those who write by hand (Mueller and Oppenheimer, 2014). Technology may give children faster access to information, but access is not the same as understanding. If children become dependent on devices to do the thinking for them, then their independent problem-solving skills are weakened.</w:t>
      </w:r>
    </w:p>
    <w:p w14:paraId="1A5B453F"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The opposition may also say that technology supports mental health because there are apps and online tools available. While that sounds positive, it overlooks the wider evidence. Heavy social media use has been linked with higher levels of anxiety and depression in young people (Primack et al., 2017; Twenge and Campbell, 2018). Technology may offer support tools, but it can also worsen the very problems it claims to help. Apps cannot replace human care, real relationships or professional support.</w:t>
      </w:r>
    </w:p>
    <w:p w14:paraId="3A7C2F12"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Finally, the opposition may argue that technology helps children connect with others around the world. But online connection is not the same as healthy social development. Excessive screen use is linked to poorer empathy, weaker communication and difficulties in maintaining real friendships (Kuss and Griffiths, 2017; Odgers and Jensen, 2020). Technology may create contact, but it does not always create meaningful connection.</w:t>
      </w:r>
    </w:p>
    <w:p w14:paraId="49268D52"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Cross-examination questions</w:t>
      </w:r>
    </w:p>
    <w:p w14:paraId="67085D13" w14:textId="77777777" w:rsidR="00D21514" w:rsidRPr="00D21514" w:rsidRDefault="00D21514" w:rsidP="0080112E">
      <w:pPr>
        <w:numPr>
          <w:ilvl w:val="0"/>
          <w:numId w:val="7"/>
        </w:num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You say emergent technology helps children, but how do you explain studies showing that heavy social media use is linked with higher anxiety and depression </w:t>
      </w:r>
      <w:r w:rsidRPr="00D21514">
        <w:rPr>
          <w:rFonts w:eastAsia="Times New Roman" w:cs="Times New Roman"/>
          <w:kern w:val="0"/>
          <w:sz w:val="24"/>
          <w:szCs w:val="24"/>
          <w:lang w:eastAsia="en-GB"/>
          <w14:ligatures w14:val="none"/>
        </w:rPr>
        <w:lastRenderedPageBreak/>
        <w:t>in teenagers (Primack et al., 2017; Twenge and Campbell, 2018)? Isn’t that harmful to mental health?</w:t>
      </w:r>
    </w:p>
    <w:p w14:paraId="46E79D62"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Follow-up: Increased screen time is also associated with loneliness and lower life satisfaction in young people (Twenge and Campbell, 2018). How does being constantly connected justify that?</w:t>
      </w:r>
    </w:p>
    <w:p w14:paraId="3E8D9FA1" w14:textId="77777777" w:rsidR="00D21514" w:rsidRPr="00D21514" w:rsidRDefault="00D21514" w:rsidP="0080112E">
      <w:pPr>
        <w:numPr>
          <w:ilvl w:val="0"/>
          <w:numId w:val="8"/>
        </w:num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If technology helps children learn, how do you respond to studies showing that students who type notes on laptops understand material less well than students who write notes by hand (Mueller and Oppenheimer, 2014)? If children retain information less effectively when using technology, how is that improving learning?</w:t>
      </w:r>
    </w:p>
    <w:p w14:paraId="5A31B3F6"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Closing statement</w:t>
      </w:r>
    </w:p>
    <w:p w14:paraId="3FD1C15B"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In conclusion, the evidence shows that unmoderated use of emergent technology is harmful to children. It weakens critical thinking and deep learning (Mueller and Oppenheimer, 2014), contributes to anxiety, poor sleep and lower wellbeing (Twenge and Campbell, 2018; Primack et al., 2017; Hale and Guan, 2015), and damages real-world social development (Odgers and Jensen, 2020; Kuss and Griffiths, 2017). Children may be surrounded by technology, but that does not mean it is helping them grow in healthy ways.</w:t>
      </w:r>
    </w:p>
    <w:p w14:paraId="6CF3837E" w14:textId="4D66A5FF"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So,</w:t>
      </w:r>
      <w:r w:rsidRPr="00D21514">
        <w:rPr>
          <w:rFonts w:eastAsia="Times New Roman" w:cs="Times New Roman"/>
          <w:kern w:val="0"/>
          <w:sz w:val="24"/>
          <w:szCs w:val="24"/>
          <w:lang w:eastAsia="en-GB"/>
          <w14:ligatures w14:val="none"/>
        </w:rPr>
        <w:t xml:space="preserve"> I leave you with this: </w:t>
      </w:r>
      <w:r w:rsidRPr="00D21514">
        <w:rPr>
          <w:rFonts w:eastAsia="Times New Roman" w:cs="Times New Roman"/>
          <w:kern w:val="0"/>
          <w:sz w:val="24"/>
          <w:szCs w:val="24"/>
          <w:lang w:eastAsia="en-GB"/>
          <w14:ligatures w14:val="none"/>
        </w:rPr>
        <w:t>I</w:t>
      </w:r>
      <w:r w:rsidRPr="00D21514">
        <w:rPr>
          <w:rFonts w:eastAsia="Times New Roman" w:cs="Times New Roman"/>
          <w:kern w:val="0"/>
          <w:sz w:val="24"/>
          <w:szCs w:val="24"/>
          <w:lang w:eastAsia="en-GB"/>
          <w14:ligatures w14:val="none"/>
        </w:rPr>
        <w:t xml:space="preserve">s a child truly learning if they can search for everything but think less for themselves? Is a child truly socially connected if most interaction happens through a screen? Parents, educators and policymakers must act with caution. The risks are too serious to ignore. The American Academy of </w:t>
      </w:r>
      <w:r w:rsidR="0080112E" w:rsidRPr="00D21514">
        <w:rPr>
          <w:rFonts w:eastAsia="Times New Roman" w:cs="Times New Roman"/>
          <w:kern w:val="0"/>
          <w:sz w:val="24"/>
          <w:szCs w:val="24"/>
          <w:lang w:eastAsia="en-GB"/>
          <w14:ligatures w14:val="none"/>
        </w:rPr>
        <w:t>Paediatrics</w:t>
      </w:r>
      <w:r w:rsidRPr="00D21514">
        <w:rPr>
          <w:rFonts w:eastAsia="Times New Roman" w:cs="Times New Roman"/>
          <w:kern w:val="0"/>
          <w:sz w:val="24"/>
          <w:szCs w:val="24"/>
          <w:lang w:eastAsia="en-GB"/>
          <w14:ligatures w14:val="none"/>
        </w:rPr>
        <w:t>, Council on Communications and Media (2016) recommends limits and careful guidance around media use in young children, while the World Health Organization (2019) warns that excessive sedentary screen-based behaviour can negatively affect children’s health and wellbeing.</w:t>
      </w:r>
    </w:p>
    <w:p w14:paraId="42469810"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p>
    <w:p w14:paraId="3B0698AB"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p>
    <w:p w14:paraId="4BBDC517"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p>
    <w:p w14:paraId="6BA3F735" w14:textId="77777777" w:rsidR="00D21514" w:rsidRPr="00D21514" w:rsidRDefault="00D21514" w:rsidP="00D21514">
      <w:pPr>
        <w:spacing w:before="100" w:beforeAutospacing="1" w:after="100" w:afterAutospacing="1" w:line="360" w:lineRule="auto"/>
        <w:rPr>
          <w:rFonts w:eastAsia="Times New Roman" w:cs="Times New Roman"/>
          <w:kern w:val="0"/>
          <w:sz w:val="24"/>
          <w:szCs w:val="24"/>
          <w:lang w:eastAsia="en-GB"/>
          <w14:ligatures w14:val="none"/>
        </w:rPr>
      </w:pPr>
    </w:p>
    <w:p w14:paraId="5965C82C" w14:textId="77777777" w:rsidR="00D21514" w:rsidRDefault="00D21514" w:rsidP="00D21514">
      <w:pPr>
        <w:spacing w:before="100" w:beforeAutospacing="1" w:after="100" w:afterAutospacing="1" w:line="360" w:lineRule="auto"/>
        <w:rPr>
          <w:rFonts w:eastAsia="Times New Roman" w:cs="Times New Roman"/>
          <w:kern w:val="0"/>
          <w:sz w:val="24"/>
          <w:szCs w:val="24"/>
          <w:lang w:eastAsia="en-GB"/>
          <w14:ligatures w14:val="none"/>
        </w:rPr>
      </w:pPr>
    </w:p>
    <w:p w14:paraId="63DC0B12" w14:textId="77777777" w:rsidR="00D21514" w:rsidRDefault="00D21514" w:rsidP="00D21514">
      <w:pPr>
        <w:spacing w:before="100" w:beforeAutospacing="1" w:after="100" w:afterAutospacing="1" w:line="360" w:lineRule="auto"/>
        <w:rPr>
          <w:rFonts w:eastAsia="Times New Roman" w:cs="Times New Roman"/>
          <w:kern w:val="0"/>
          <w:sz w:val="24"/>
          <w:szCs w:val="24"/>
          <w:lang w:eastAsia="en-GB"/>
          <w14:ligatures w14:val="none"/>
        </w:rPr>
      </w:pPr>
    </w:p>
    <w:p w14:paraId="797B3C2D" w14:textId="30BD2909"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References</w:t>
      </w:r>
    </w:p>
    <w:p w14:paraId="07C070B4"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American Academy of </w:t>
      </w:r>
      <w:proofErr w:type="spellStart"/>
      <w:r w:rsidRPr="00D21514">
        <w:rPr>
          <w:rFonts w:eastAsia="Times New Roman" w:cs="Times New Roman"/>
          <w:kern w:val="0"/>
          <w:sz w:val="24"/>
          <w:szCs w:val="24"/>
          <w:lang w:eastAsia="en-GB"/>
          <w14:ligatures w14:val="none"/>
        </w:rPr>
        <w:t>Pediatrics</w:t>
      </w:r>
      <w:proofErr w:type="spellEnd"/>
      <w:r w:rsidRPr="00D21514">
        <w:rPr>
          <w:rFonts w:eastAsia="Times New Roman" w:cs="Times New Roman"/>
          <w:kern w:val="0"/>
          <w:sz w:val="24"/>
          <w:szCs w:val="24"/>
          <w:lang w:eastAsia="en-GB"/>
          <w14:ligatures w14:val="none"/>
        </w:rPr>
        <w:t xml:space="preserve">, Council on Communications and Media (2016) ‘Media and young minds’, </w:t>
      </w:r>
      <w:proofErr w:type="spellStart"/>
      <w:r w:rsidRPr="00D21514">
        <w:rPr>
          <w:rFonts w:eastAsia="Times New Roman" w:cs="Times New Roman"/>
          <w:kern w:val="0"/>
          <w:sz w:val="24"/>
          <w:szCs w:val="24"/>
          <w:lang w:eastAsia="en-GB"/>
          <w14:ligatures w14:val="none"/>
        </w:rPr>
        <w:t>Pediatrics</w:t>
      </w:r>
      <w:proofErr w:type="spellEnd"/>
      <w:r w:rsidRPr="00D21514">
        <w:rPr>
          <w:rFonts w:eastAsia="Times New Roman" w:cs="Times New Roman"/>
          <w:kern w:val="0"/>
          <w:sz w:val="24"/>
          <w:szCs w:val="24"/>
          <w:lang w:eastAsia="en-GB"/>
          <w14:ligatures w14:val="none"/>
        </w:rPr>
        <w:t xml:space="preserve">, 138(5), e20162591. Available at: </w:t>
      </w:r>
      <w:hyperlink r:id="rId5" w:history="1">
        <w:r w:rsidRPr="00D21514">
          <w:rPr>
            <w:rStyle w:val="Hyperlink"/>
            <w:rFonts w:eastAsia="Times New Roman" w:cs="Times New Roman"/>
            <w:kern w:val="0"/>
            <w:sz w:val="24"/>
            <w:szCs w:val="24"/>
            <w:lang w:eastAsia="en-GB"/>
            <w14:ligatures w14:val="none"/>
          </w:rPr>
          <w:t>https://doi.org/10.15</w:t>
        </w:r>
        <w:r w:rsidRPr="00D21514">
          <w:rPr>
            <w:rStyle w:val="Hyperlink"/>
            <w:rFonts w:eastAsia="Times New Roman" w:cs="Times New Roman"/>
            <w:kern w:val="0"/>
            <w:sz w:val="24"/>
            <w:szCs w:val="24"/>
            <w:lang w:eastAsia="en-GB"/>
            <w14:ligatures w14:val="none"/>
          </w:rPr>
          <w:t>4</w:t>
        </w:r>
        <w:r w:rsidRPr="00D21514">
          <w:rPr>
            <w:rStyle w:val="Hyperlink"/>
            <w:rFonts w:eastAsia="Times New Roman" w:cs="Times New Roman"/>
            <w:kern w:val="0"/>
            <w:sz w:val="24"/>
            <w:szCs w:val="24"/>
            <w:lang w:eastAsia="en-GB"/>
            <w14:ligatures w14:val="none"/>
          </w:rPr>
          <w:t>2/peds.2016-2591</w:t>
        </w:r>
      </w:hyperlink>
    </w:p>
    <w:p w14:paraId="7CB061A9"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Hale, L. and Guan, S. (2015) ‘Screen time and sleep among school-aged children and adolescents: a systematic literature review’, Sleep Medicine Reviews, 21, pp. 50–58. Available at: </w:t>
      </w:r>
      <w:hyperlink r:id="rId6" w:history="1">
        <w:r w:rsidRPr="00D21514">
          <w:rPr>
            <w:rStyle w:val="Hyperlink"/>
            <w:rFonts w:eastAsia="Times New Roman" w:cs="Times New Roman"/>
            <w:kern w:val="0"/>
            <w:sz w:val="24"/>
            <w:szCs w:val="24"/>
            <w:lang w:eastAsia="en-GB"/>
            <w14:ligatures w14:val="none"/>
          </w:rPr>
          <w:t>https://doi.org/10.</w:t>
        </w:r>
        <w:r w:rsidRPr="00D21514">
          <w:rPr>
            <w:rStyle w:val="Hyperlink"/>
            <w:rFonts w:eastAsia="Times New Roman" w:cs="Times New Roman"/>
            <w:kern w:val="0"/>
            <w:sz w:val="24"/>
            <w:szCs w:val="24"/>
            <w:lang w:eastAsia="en-GB"/>
            <w14:ligatures w14:val="none"/>
          </w:rPr>
          <w:t>1</w:t>
        </w:r>
        <w:r w:rsidRPr="00D21514">
          <w:rPr>
            <w:rStyle w:val="Hyperlink"/>
            <w:rFonts w:eastAsia="Times New Roman" w:cs="Times New Roman"/>
            <w:kern w:val="0"/>
            <w:sz w:val="24"/>
            <w:szCs w:val="24"/>
            <w:lang w:eastAsia="en-GB"/>
            <w14:ligatures w14:val="none"/>
          </w:rPr>
          <w:t>016/j.smrv.2014.07.007</w:t>
        </w:r>
      </w:hyperlink>
    </w:p>
    <w:p w14:paraId="159F7A0C"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Kuss, D.J. and Griffiths, M.D. (2017) ‘Social networking sites and addiction: ten lessons learned’, International Journal of Environmental Research and Public Health, 14(3), p. 311. Available at: </w:t>
      </w:r>
      <w:hyperlink r:id="rId7" w:history="1">
        <w:r w:rsidRPr="00D21514">
          <w:rPr>
            <w:rStyle w:val="Hyperlink"/>
            <w:rFonts w:eastAsia="Times New Roman" w:cs="Times New Roman"/>
            <w:kern w:val="0"/>
            <w:sz w:val="24"/>
            <w:szCs w:val="24"/>
            <w:lang w:eastAsia="en-GB"/>
            <w14:ligatures w14:val="none"/>
          </w:rPr>
          <w:t>https://doi.org/10.3390/ijerph14030311</w:t>
        </w:r>
      </w:hyperlink>
    </w:p>
    <w:p w14:paraId="2219D655"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Mueller, P.A. and Oppenheimer, D.M. (2014) ‘The pen is mightier than the keyboard: advantages of longhand over laptop note taking’, Psychological Science, 25(6), pp. 1159–1168. Available at: </w:t>
      </w:r>
      <w:hyperlink r:id="rId8" w:history="1">
        <w:r w:rsidRPr="00D21514">
          <w:rPr>
            <w:rStyle w:val="Hyperlink"/>
            <w:rFonts w:eastAsia="Times New Roman" w:cs="Times New Roman"/>
            <w:kern w:val="0"/>
            <w:sz w:val="24"/>
            <w:szCs w:val="24"/>
            <w:lang w:eastAsia="en-GB"/>
            <w14:ligatures w14:val="none"/>
          </w:rPr>
          <w:t>https://doi.org/10.1177/0956797614524581</w:t>
        </w:r>
      </w:hyperlink>
    </w:p>
    <w:p w14:paraId="544048A7"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Odgers, C.L. and Jensen, M.R. (2020) ‘Annual Research Review: Adolescent mental health in the digital age: facts, fears, and future directions’, Journal of Child Psychology and Psychiatry, 61(3), pp. 336–348. Available at: </w:t>
      </w:r>
      <w:hyperlink r:id="rId9" w:history="1">
        <w:r w:rsidRPr="00D21514">
          <w:rPr>
            <w:rStyle w:val="Hyperlink"/>
            <w:rFonts w:eastAsia="Times New Roman" w:cs="Times New Roman"/>
            <w:kern w:val="0"/>
            <w:sz w:val="24"/>
            <w:szCs w:val="24"/>
            <w:lang w:eastAsia="en-GB"/>
            <w14:ligatures w14:val="none"/>
          </w:rPr>
          <w:t>https://doi.org/10.1111/jcpp.13190</w:t>
        </w:r>
      </w:hyperlink>
    </w:p>
    <w:p w14:paraId="41301D56"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Primack, B.A., </w:t>
      </w:r>
      <w:proofErr w:type="spellStart"/>
      <w:r w:rsidRPr="00D21514">
        <w:rPr>
          <w:rFonts w:eastAsia="Times New Roman" w:cs="Times New Roman"/>
          <w:kern w:val="0"/>
          <w:sz w:val="24"/>
          <w:szCs w:val="24"/>
          <w:lang w:eastAsia="en-GB"/>
          <w14:ligatures w14:val="none"/>
        </w:rPr>
        <w:t>Shensa</w:t>
      </w:r>
      <w:proofErr w:type="spellEnd"/>
      <w:r w:rsidRPr="00D21514">
        <w:rPr>
          <w:rFonts w:eastAsia="Times New Roman" w:cs="Times New Roman"/>
          <w:kern w:val="0"/>
          <w:sz w:val="24"/>
          <w:szCs w:val="24"/>
          <w:lang w:eastAsia="en-GB"/>
          <w14:ligatures w14:val="none"/>
        </w:rPr>
        <w:t xml:space="preserve">, A., Escobar-Viera, C.G., Barrett, E.L., </w:t>
      </w:r>
      <w:proofErr w:type="spellStart"/>
      <w:r w:rsidRPr="00D21514">
        <w:rPr>
          <w:rFonts w:eastAsia="Times New Roman" w:cs="Times New Roman"/>
          <w:kern w:val="0"/>
          <w:sz w:val="24"/>
          <w:szCs w:val="24"/>
          <w:lang w:eastAsia="en-GB"/>
          <w14:ligatures w14:val="none"/>
        </w:rPr>
        <w:t>Sidani</w:t>
      </w:r>
      <w:proofErr w:type="spellEnd"/>
      <w:r w:rsidRPr="00D21514">
        <w:rPr>
          <w:rFonts w:eastAsia="Times New Roman" w:cs="Times New Roman"/>
          <w:kern w:val="0"/>
          <w:sz w:val="24"/>
          <w:szCs w:val="24"/>
          <w:lang w:eastAsia="en-GB"/>
          <w14:ligatures w14:val="none"/>
        </w:rPr>
        <w:t xml:space="preserve">, J.E., Colditz, J.B., James, A.E. and Miller, E. (2017) ‘Use of multiple social media platforms and symptoms of depression and anxiety: a nationally-representative study among U.S. young adults’, </w:t>
      </w:r>
      <w:r w:rsidRPr="00D21514">
        <w:rPr>
          <w:rFonts w:eastAsia="Times New Roman" w:cs="Times New Roman"/>
          <w:kern w:val="0"/>
          <w:sz w:val="24"/>
          <w:szCs w:val="24"/>
          <w:lang w:eastAsia="en-GB"/>
          <w14:ligatures w14:val="none"/>
        </w:rPr>
        <w:lastRenderedPageBreak/>
        <w:t xml:space="preserve">Computers in Human </w:t>
      </w:r>
      <w:proofErr w:type="spellStart"/>
      <w:r w:rsidRPr="00D21514">
        <w:rPr>
          <w:rFonts w:eastAsia="Times New Roman" w:cs="Times New Roman"/>
          <w:kern w:val="0"/>
          <w:sz w:val="24"/>
          <w:szCs w:val="24"/>
          <w:lang w:eastAsia="en-GB"/>
          <w14:ligatures w14:val="none"/>
        </w:rPr>
        <w:t>Behavior</w:t>
      </w:r>
      <w:proofErr w:type="spellEnd"/>
      <w:r w:rsidRPr="00D21514">
        <w:rPr>
          <w:rFonts w:eastAsia="Times New Roman" w:cs="Times New Roman"/>
          <w:kern w:val="0"/>
          <w:sz w:val="24"/>
          <w:szCs w:val="24"/>
          <w:lang w:eastAsia="en-GB"/>
          <w14:ligatures w14:val="none"/>
        </w:rPr>
        <w:t xml:space="preserve">, 69, pp. 1–9. Available at: </w:t>
      </w:r>
      <w:hyperlink r:id="rId10" w:history="1">
        <w:r w:rsidRPr="00D21514">
          <w:rPr>
            <w:rStyle w:val="Hyperlink"/>
            <w:rFonts w:eastAsia="Times New Roman" w:cs="Times New Roman"/>
            <w:kern w:val="0"/>
            <w:sz w:val="24"/>
            <w:szCs w:val="24"/>
            <w:lang w:eastAsia="en-GB"/>
            <w14:ligatures w14:val="none"/>
          </w:rPr>
          <w:t>https://doi.org</w:t>
        </w:r>
        <w:r w:rsidRPr="00D21514">
          <w:rPr>
            <w:rStyle w:val="Hyperlink"/>
            <w:rFonts w:eastAsia="Times New Roman" w:cs="Times New Roman"/>
            <w:kern w:val="0"/>
            <w:sz w:val="24"/>
            <w:szCs w:val="24"/>
            <w:lang w:eastAsia="en-GB"/>
            <w14:ligatures w14:val="none"/>
          </w:rPr>
          <w:t>/</w:t>
        </w:r>
        <w:r w:rsidRPr="00D21514">
          <w:rPr>
            <w:rStyle w:val="Hyperlink"/>
            <w:rFonts w:eastAsia="Times New Roman" w:cs="Times New Roman"/>
            <w:kern w:val="0"/>
            <w:sz w:val="24"/>
            <w:szCs w:val="24"/>
            <w:lang w:eastAsia="en-GB"/>
            <w14:ligatures w14:val="none"/>
          </w:rPr>
          <w:t>10.1016/j.chb.2016.11.013</w:t>
        </w:r>
      </w:hyperlink>
    </w:p>
    <w:p w14:paraId="6DE250F1"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Radesky, J.S., Schumacher, J. and Zuckerman, B. (2015) ‘Mobile and interactive media use by young children: the good, the bad, and the unknown’, </w:t>
      </w:r>
      <w:proofErr w:type="spellStart"/>
      <w:r w:rsidRPr="00D21514">
        <w:rPr>
          <w:rFonts w:eastAsia="Times New Roman" w:cs="Times New Roman"/>
          <w:kern w:val="0"/>
          <w:sz w:val="24"/>
          <w:szCs w:val="24"/>
          <w:lang w:eastAsia="en-GB"/>
          <w14:ligatures w14:val="none"/>
        </w:rPr>
        <w:t>Pediatrics</w:t>
      </w:r>
      <w:proofErr w:type="spellEnd"/>
      <w:r w:rsidRPr="00D21514">
        <w:rPr>
          <w:rFonts w:eastAsia="Times New Roman" w:cs="Times New Roman"/>
          <w:kern w:val="0"/>
          <w:sz w:val="24"/>
          <w:szCs w:val="24"/>
          <w:lang w:eastAsia="en-GB"/>
          <w14:ligatures w14:val="none"/>
        </w:rPr>
        <w:t xml:space="preserve">, 135(1), pp. 1–3. Available at: </w:t>
      </w:r>
      <w:hyperlink r:id="rId11" w:history="1">
        <w:r w:rsidRPr="00D21514">
          <w:rPr>
            <w:rStyle w:val="Hyperlink"/>
            <w:rFonts w:eastAsia="Times New Roman" w:cs="Times New Roman"/>
            <w:kern w:val="0"/>
            <w:sz w:val="24"/>
            <w:szCs w:val="24"/>
            <w:lang w:eastAsia="en-GB"/>
            <w14:ligatures w14:val="none"/>
          </w:rPr>
          <w:t>https://doi.org/10.1542/peds.2014-2251</w:t>
        </w:r>
      </w:hyperlink>
    </w:p>
    <w:p w14:paraId="1E48328D"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Twenge, J.M. and Campbell, W.K. (2018) ‘Associations between screen time and lower psychological well-being among children and adolescents: evidence from a population-based study’, Preventive Medicine Reports, 12, pp. 271–283. Available at: </w:t>
      </w:r>
      <w:hyperlink r:id="rId12" w:history="1">
        <w:r w:rsidRPr="00D21514">
          <w:rPr>
            <w:rStyle w:val="Hyperlink"/>
            <w:rFonts w:eastAsia="Times New Roman" w:cs="Times New Roman"/>
            <w:kern w:val="0"/>
            <w:sz w:val="24"/>
            <w:szCs w:val="24"/>
            <w:lang w:eastAsia="en-GB"/>
            <w14:ligatures w14:val="none"/>
          </w:rPr>
          <w:t>https://doi.org/10.1016/j.</w:t>
        </w:r>
        <w:r w:rsidRPr="00D21514">
          <w:rPr>
            <w:rStyle w:val="Hyperlink"/>
            <w:rFonts w:eastAsia="Times New Roman" w:cs="Times New Roman"/>
            <w:kern w:val="0"/>
            <w:sz w:val="24"/>
            <w:szCs w:val="24"/>
            <w:lang w:eastAsia="en-GB"/>
            <w14:ligatures w14:val="none"/>
          </w:rPr>
          <w:t>p</w:t>
        </w:r>
        <w:r w:rsidRPr="00D21514">
          <w:rPr>
            <w:rStyle w:val="Hyperlink"/>
            <w:rFonts w:eastAsia="Times New Roman" w:cs="Times New Roman"/>
            <w:kern w:val="0"/>
            <w:sz w:val="24"/>
            <w:szCs w:val="24"/>
            <w:lang w:eastAsia="en-GB"/>
            <w14:ligatures w14:val="none"/>
          </w:rPr>
          <w:t>medr.2018.10.003</w:t>
        </w:r>
      </w:hyperlink>
    </w:p>
    <w:p w14:paraId="52C80E95"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r w:rsidRPr="00D21514">
        <w:rPr>
          <w:rFonts w:eastAsia="Times New Roman" w:cs="Times New Roman"/>
          <w:kern w:val="0"/>
          <w:sz w:val="24"/>
          <w:szCs w:val="24"/>
          <w:lang w:eastAsia="en-GB"/>
          <w14:ligatures w14:val="none"/>
        </w:rPr>
        <w:t xml:space="preserve">World Health Organization (2019) Guidelines on physical activity, sedentary behaviour and sleep for children under 5 years of age. Geneva: World Health Organization. Available at: </w:t>
      </w:r>
      <w:hyperlink r:id="rId13" w:history="1">
        <w:r w:rsidRPr="00D21514">
          <w:rPr>
            <w:rStyle w:val="Hyperlink"/>
            <w:rFonts w:eastAsia="Times New Roman" w:cs="Times New Roman"/>
            <w:kern w:val="0"/>
            <w:sz w:val="24"/>
            <w:szCs w:val="24"/>
            <w:lang w:eastAsia="en-GB"/>
            <w14:ligatures w14:val="none"/>
          </w:rPr>
          <w:t>https://www.who.int/publi</w:t>
        </w:r>
        <w:r w:rsidRPr="00D21514">
          <w:rPr>
            <w:rStyle w:val="Hyperlink"/>
            <w:rFonts w:eastAsia="Times New Roman" w:cs="Times New Roman"/>
            <w:kern w:val="0"/>
            <w:sz w:val="24"/>
            <w:szCs w:val="24"/>
            <w:lang w:eastAsia="en-GB"/>
            <w14:ligatures w14:val="none"/>
          </w:rPr>
          <w:t>c</w:t>
        </w:r>
        <w:r w:rsidRPr="00D21514">
          <w:rPr>
            <w:rStyle w:val="Hyperlink"/>
            <w:rFonts w:eastAsia="Times New Roman" w:cs="Times New Roman"/>
            <w:kern w:val="0"/>
            <w:sz w:val="24"/>
            <w:szCs w:val="24"/>
            <w:lang w:eastAsia="en-GB"/>
            <w14:ligatures w14:val="none"/>
          </w:rPr>
          <w:t>ations/i/item/9789241550536</w:t>
        </w:r>
      </w:hyperlink>
    </w:p>
    <w:p w14:paraId="4213DA53" w14:textId="77777777" w:rsidR="00D21514" w:rsidRPr="00D21514"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p>
    <w:p w14:paraId="121E9213" w14:textId="77777777" w:rsidR="00D21514" w:rsidRPr="008C594C" w:rsidRDefault="00D21514" w:rsidP="0080112E">
      <w:pPr>
        <w:spacing w:before="100" w:beforeAutospacing="1" w:after="100" w:afterAutospacing="1" w:line="360" w:lineRule="auto"/>
        <w:jc w:val="both"/>
        <w:rPr>
          <w:rFonts w:eastAsia="Times New Roman" w:cs="Times New Roman"/>
          <w:kern w:val="0"/>
          <w:sz w:val="24"/>
          <w:szCs w:val="24"/>
          <w:lang w:eastAsia="en-GB"/>
          <w14:ligatures w14:val="none"/>
        </w:rPr>
      </w:pPr>
    </w:p>
    <w:p w14:paraId="5668FE4E" w14:textId="77777777" w:rsidR="00781F12" w:rsidRPr="008C594C" w:rsidRDefault="00781F12" w:rsidP="0080112E">
      <w:pPr>
        <w:spacing w:line="360" w:lineRule="auto"/>
        <w:jc w:val="both"/>
        <w:rPr>
          <w:sz w:val="24"/>
          <w:szCs w:val="24"/>
        </w:rPr>
      </w:pPr>
    </w:p>
    <w:sectPr w:rsidR="00781F12" w:rsidRPr="008C5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12184"/>
    <w:multiLevelType w:val="multilevel"/>
    <w:tmpl w:val="372AA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806E52"/>
    <w:multiLevelType w:val="multilevel"/>
    <w:tmpl w:val="372AA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D72A37"/>
    <w:multiLevelType w:val="multilevel"/>
    <w:tmpl w:val="372AA1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177071"/>
    <w:multiLevelType w:val="multilevel"/>
    <w:tmpl w:val="EDF68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576200"/>
    <w:multiLevelType w:val="hybridMultilevel"/>
    <w:tmpl w:val="DA4889C0"/>
    <w:lvl w:ilvl="0" w:tplc="E88E2996">
      <w:start w:val="1"/>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5" w15:restartNumberingAfterBreak="0">
    <w:nsid w:val="694C4B14"/>
    <w:multiLevelType w:val="multilevel"/>
    <w:tmpl w:val="372AA1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D31668"/>
    <w:multiLevelType w:val="multilevel"/>
    <w:tmpl w:val="372AA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2160DA"/>
    <w:multiLevelType w:val="multilevel"/>
    <w:tmpl w:val="372AA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9091117">
    <w:abstractNumId w:val="3"/>
  </w:num>
  <w:num w:numId="2" w16cid:durableId="1187135239">
    <w:abstractNumId w:val="1"/>
  </w:num>
  <w:num w:numId="3" w16cid:durableId="1769815926">
    <w:abstractNumId w:val="7"/>
  </w:num>
  <w:num w:numId="4" w16cid:durableId="831145761">
    <w:abstractNumId w:val="4"/>
  </w:num>
  <w:num w:numId="5" w16cid:durableId="1481922438">
    <w:abstractNumId w:val="6"/>
  </w:num>
  <w:num w:numId="6" w16cid:durableId="107818882">
    <w:abstractNumId w:val="5"/>
  </w:num>
  <w:num w:numId="7" w16cid:durableId="1863204608">
    <w:abstractNumId w:val="0"/>
  </w:num>
  <w:num w:numId="8" w16cid:durableId="1053698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8F1"/>
    <w:rsid w:val="000556A4"/>
    <w:rsid w:val="00607C4A"/>
    <w:rsid w:val="00781F12"/>
    <w:rsid w:val="007828F1"/>
    <w:rsid w:val="0080112E"/>
    <w:rsid w:val="008C594C"/>
    <w:rsid w:val="00AD4AF2"/>
    <w:rsid w:val="00C645A4"/>
    <w:rsid w:val="00D21514"/>
    <w:rsid w:val="00E9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4AA0B"/>
  <w15:chartTrackingRefBased/>
  <w15:docId w15:val="{58B8299F-64E4-4724-9759-ABCC4BD18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8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28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28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28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8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8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8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8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8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8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28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28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8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8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8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8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8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8F1"/>
    <w:rPr>
      <w:rFonts w:eastAsiaTheme="majorEastAsia" w:cstheme="majorBidi"/>
      <w:color w:val="272727" w:themeColor="text1" w:themeTint="D8"/>
    </w:rPr>
  </w:style>
  <w:style w:type="paragraph" w:styleId="Title">
    <w:name w:val="Title"/>
    <w:basedOn w:val="Normal"/>
    <w:next w:val="Normal"/>
    <w:link w:val="TitleChar"/>
    <w:uiPriority w:val="10"/>
    <w:qFormat/>
    <w:rsid w:val="007828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8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8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8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8F1"/>
    <w:pPr>
      <w:spacing w:before="160"/>
      <w:jc w:val="center"/>
    </w:pPr>
    <w:rPr>
      <w:i/>
      <w:iCs/>
      <w:color w:val="404040" w:themeColor="text1" w:themeTint="BF"/>
    </w:rPr>
  </w:style>
  <w:style w:type="character" w:customStyle="1" w:styleId="QuoteChar">
    <w:name w:val="Quote Char"/>
    <w:basedOn w:val="DefaultParagraphFont"/>
    <w:link w:val="Quote"/>
    <w:uiPriority w:val="29"/>
    <w:rsid w:val="007828F1"/>
    <w:rPr>
      <w:i/>
      <w:iCs/>
      <w:color w:val="404040" w:themeColor="text1" w:themeTint="BF"/>
    </w:rPr>
  </w:style>
  <w:style w:type="paragraph" w:styleId="ListParagraph">
    <w:name w:val="List Paragraph"/>
    <w:basedOn w:val="Normal"/>
    <w:uiPriority w:val="34"/>
    <w:qFormat/>
    <w:rsid w:val="007828F1"/>
    <w:pPr>
      <w:ind w:left="720"/>
      <w:contextualSpacing/>
    </w:pPr>
  </w:style>
  <w:style w:type="character" w:styleId="IntenseEmphasis">
    <w:name w:val="Intense Emphasis"/>
    <w:basedOn w:val="DefaultParagraphFont"/>
    <w:uiPriority w:val="21"/>
    <w:qFormat/>
    <w:rsid w:val="007828F1"/>
    <w:rPr>
      <w:i/>
      <w:iCs/>
      <w:color w:val="0F4761" w:themeColor="accent1" w:themeShade="BF"/>
    </w:rPr>
  </w:style>
  <w:style w:type="paragraph" w:styleId="IntenseQuote">
    <w:name w:val="Intense Quote"/>
    <w:basedOn w:val="Normal"/>
    <w:next w:val="Normal"/>
    <w:link w:val="IntenseQuoteChar"/>
    <w:uiPriority w:val="30"/>
    <w:qFormat/>
    <w:rsid w:val="007828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8F1"/>
    <w:rPr>
      <w:i/>
      <w:iCs/>
      <w:color w:val="0F4761" w:themeColor="accent1" w:themeShade="BF"/>
    </w:rPr>
  </w:style>
  <w:style w:type="character" w:styleId="IntenseReference">
    <w:name w:val="Intense Reference"/>
    <w:basedOn w:val="DefaultParagraphFont"/>
    <w:uiPriority w:val="32"/>
    <w:qFormat/>
    <w:rsid w:val="007828F1"/>
    <w:rPr>
      <w:b/>
      <w:bCs/>
      <w:smallCaps/>
      <w:color w:val="0F4761" w:themeColor="accent1" w:themeShade="BF"/>
      <w:spacing w:val="5"/>
    </w:rPr>
  </w:style>
  <w:style w:type="character" w:styleId="Hyperlink">
    <w:name w:val="Hyperlink"/>
    <w:basedOn w:val="DefaultParagraphFont"/>
    <w:uiPriority w:val="99"/>
    <w:unhideWhenUsed/>
    <w:rsid w:val="008C594C"/>
    <w:rPr>
      <w:color w:val="467886" w:themeColor="hyperlink"/>
      <w:u w:val="single"/>
    </w:rPr>
  </w:style>
  <w:style w:type="character" w:styleId="UnresolvedMention">
    <w:name w:val="Unresolved Mention"/>
    <w:basedOn w:val="DefaultParagraphFont"/>
    <w:uiPriority w:val="99"/>
    <w:semiHidden/>
    <w:unhideWhenUsed/>
    <w:rsid w:val="008C594C"/>
    <w:rPr>
      <w:color w:val="605E5C"/>
      <w:shd w:val="clear" w:color="auto" w:fill="E1DFDD"/>
    </w:rPr>
  </w:style>
  <w:style w:type="character" w:styleId="FollowedHyperlink">
    <w:name w:val="FollowedHyperlink"/>
    <w:basedOn w:val="DefaultParagraphFont"/>
    <w:uiPriority w:val="99"/>
    <w:semiHidden/>
    <w:unhideWhenUsed/>
    <w:rsid w:val="00D2151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56797614524581" TargetMode="External"/><Relationship Id="rId13" Type="http://schemas.openxmlformats.org/officeDocument/2006/relationships/hyperlink" Target="https://www.who.int/publications/i/item/9789241550536" TargetMode="External"/><Relationship Id="rId3" Type="http://schemas.openxmlformats.org/officeDocument/2006/relationships/settings" Target="settings.xml"/><Relationship Id="rId7" Type="http://schemas.openxmlformats.org/officeDocument/2006/relationships/hyperlink" Target="https://doi.org/10.3390/ijerph14030311" TargetMode="External"/><Relationship Id="rId12" Type="http://schemas.openxmlformats.org/officeDocument/2006/relationships/hyperlink" Target="https://doi.org/10.1016/j.pmedr.2018.10.0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smrv.2014.07.007" TargetMode="External"/><Relationship Id="rId11" Type="http://schemas.openxmlformats.org/officeDocument/2006/relationships/hyperlink" Target="https://doi.org/10.1542/peds.2014-2251" TargetMode="External"/><Relationship Id="rId5" Type="http://schemas.openxmlformats.org/officeDocument/2006/relationships/hyperlink" Target="https://doi.org/10.1542/peds.2016-2591" TargetMode="External"/><Relationship Id="rId15" Type="http://schemas.openxmlformats.org/officeDocument/2006/relationships/theme" Target="theme/theme1.xml"/><Relationship Id="rId10" Type="http://schemas.openxmlformats.org/officeDocument/2006/relationships/hyperlink" Target="https://doi.org/10.1016/j.chb.2016.11.013" TargetMode="External"/><Relationship Id="rId4" Type="http://schemas.openxmlformats.org/officeDocument/2006/relationships/webSettings" Target="webSettings.xml"/><Relationship Id="rId9" Type="http://schemas.openxmlformats.org/officeDocument/2006/relationships/hyperlink" Target="https://doi.org/10.1111/jcpp.1319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1106</Words>
  <Characters>7115</Characters>
  <Application>Microsoft Office Word</Application>
  <DocSecurity>0</DocSecurity>
  <Lines>129</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Anca-Madalina Sulugiuc (1710291)</dc:creator>
  <cp:keywords/>
  <dc:description/>
  <cp:lastModifiedBy>Cezar - Andrei Sulugiuc</cp:lastModifiedBy>
  <cp:revision>2</cp:revision>
  <dcterms:created xsi:type="dcterms:W3CDTF">2026-04-24T20:24:00Z</dcterms:created>
  <dcterms:modified xsi:type="dcterms:W3CDTF">2026-04-24T20:24:00Z</dcterms:modified>
</cp:coreProperties>
</file>