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58B0" w:rsidRPr="00594FAC" w:rsidRDefault="00C558B0" w:rsidP="009A2155">
      <w:pPr>
        <w:spacing w:after="240" w:line="360" w:lineRule="auto"/>
        <w:rPr>
          <w:rFonts w:ascii="Arial" w:hAnsi="Arial" w:cs="Arial"/>
          <w:szCs w:val="24"/>
        </w:rPr>
      </w:pPr>
      <w:r w:rsidRPr="00594FAC">
        <w:rPr>
          <w:rFonts w:ascii="Arial" w:hAnsi="Arial" w:cs="Arial"/>
          <w:noProof/>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pic:spPr>
                </pic:pic>
              </a:graphicData>
            </a:graphic>
          </wp:anchor>
        </w:drawing>
      </w:r>
    </w:p>
    <w:p w:rsidR="00C558B0" w:rsidRPr="00594FAC" w:rsidRDefault="00C558B0" w:rsidP="009A2155">
      <w:pPr>
        <w:spacing w:after="240" w:line="360" w:lineRule="auto"/>
        <w:rPr>
          <w:rFonts w:ascii="Arial" w:hAnsi="Arial" w:cs="Arial"/>
          <w:szCs w:val="24"/>
        </w:rPr>
      </w:pPr>
    </w:p>
    <w:p w:rsidR="00C558B0" w:rsidRPr="00594FAC" w:rsidRDefault="00C558B0" w:rsidP="009A2155">
      <w:pPr>
        <w:spacing w:after="240" w:line="360" w:lineRule="auto"/>
        <w:rPr>
          <w:rFonts w:ascii="Arial" w:hAnsi="Arial" w:cs="Arial"/>
          <w:szCs w:val="24"/>
        </w:rPr>
      </w:pPr>
    </w:p>
    <w:p w:rsidR="00C558B0" w:rsidRPr="00532A5F" w:rsidRDefault="00532A5F" w:rsidP="000D612A">
      <w:pPr>
        <w:tabs>
          <w:tab w:val="left" w:pos="6540"/>
        </w:tabs>
        <w:spacing w:line="276"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Maria Fatima Mangue Mbomio</w:t>
      </w:r>
    </w:p>
    <w:p w:rsidR="00532A5F" w:rsidRPr="000D612A" w:rsidRDefault="00532A5F" w:rsidP="000D612A">
      <w:pPr>
        <w:tabs>
          <w:tab w:val="left" w:pos="6540"/>
        </w:tabs>
        <w:spacing w:line="276"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0D612A" w:rsidRPr="000D612A">
        <w:rPr>
          <w:rFonts w:ascii="Arial" w:hAnsi="Arial" w:cs="Arial"/>
        </w:rPr>
        <w:t>Health, Wellbeing and Sustainable Development</w:t>
      </w:r>
    </w:p>
    <w:p w:rsidR="00532A5F" w:rsidRPr="000D612A" w:rsidRDefault="00532A5F" w:rsidP="000D612A">
      <w:pPr>
        <w:tabs>
          <w:tab w:val="left" w:pos="6540"/>
        </w:tabs>
        <w:spacing w:line="276" w:lineRule="auto"/>
        <w:rPr>
          <w:rFonts w:ascii="Arial" w:hAnsi="Arial" w:cs="Arial"/>
          <w:sz w:val="22"/>
        </w:rPr>
      </w:pPr>
      <w:r w:rsidRPr="00CD33A8">
        <w:rPr>
          <w:rFonts w:ascii="Arial" w:hAnsi="Arial" w:cs="Arial"/>
          <w:b/>
          <w:bCs/>
          <w:sz w:val="28"/>
          <w:szCs w:val="28"/>
        </w:rPr>
        <w:t>Module code</w:t>
      </w:r>
      <w:r w:rsidRPr="000D612A">
        <w:rPr>
          <w:rFonts w:ascii="Arial" w:hAnsi="Arial" w:cs="Arial"/>
          <w:sz w:val="22"/>
        </w:rPr>
        <w:t>:</w:t>
      </w:r>
      <w:r w:rsidR="000D612A" w:rsidRPr="000D612A">
        <w:rPr>
          <w:rFonts w:ascii="Arial" w:hAnsi="Arial" w:cs="Arial"/>
          <w:sz w:val="22"/>
        </w:rPr>
        <w:t xml:space="preserve"> (BMHP6030-LON)</w:t>
      </w:r>
      <w:r w:rsidRPr="000D612A">
        <w:rPr>
          <w:rFonts w:ascii="Arial" w:hAnsi="Arial" w:cs="Arial"/>
          <w:sz w:val="22"/>
        </w:rPr>
        <w:t xml:space="preserve"> </w:t>
      </w:r>
    </w:p>
    <w:p w:rsidR="00532A5F" w:rsidRPr="000C18D6" w:rsidRDefault="00532A5F" w:rsidP="000D612A">
      <w:pPr>
        <w:spacing w:line="276" w:lineRule="auto"/>
        <w:rPr>
          <w:rFonts w:ascii="Arial" w:hAnsi="Arial" w:cs="Arial"/>
        </w:rPr>
      </w:pPr>
      <w:r>
        <w:rPr>
          <w:rFonts w:ascii="Arial" w:hAnsi="Arial" w:cs="Arial"/>
          <w:b/>
          <w:bCs/>
          <w:sz w:val="28"/>
          <w:szCs w:val="28"/>
          <w:lang w:val="nl-NL"/>
        </w:rPr>
        <w:t xml:space="preserve">Lecture name: </w:t>
      </w:r>
      <w:proofErr w:type="spellStart"/>
      <w:r w:rsidR="000D612A">
        <w:rPr>
          <w:rFonts w:ascii="Arial" w:hAnsi="Arial" w:cs="Arial"/>
        </w:rPr>
        <w:t>Shapherd</w:t>
      </w:r>
      <w:proofErr w:type="spellEnd"/>
      <w:r w:rsidR="000D612A">
        <w:rPr>
          <w:rFonts w:ascii="Arial" w:hAnsi="Arial" w:cs="Arial"/>
        </w:rPr>
        <w:t xml:space="preserve"> </w:t>
      </w:r>
      <w:proofErr w:type="spellStart"/>
      <w:r w:rsidR="000D612A">
        <w:rPr>
          <w:rFonts w:ascii="Arial" w:hAnsi="Arial" w:cs="Arial"/>
        </w:rPr>
        <w:t>Ziko</w:t>
      </w:r>
      <w:proofErr w:type="spellEnd"/>
    </w:p>
    <w:p w:rsidR="00532A5F" w:rsidRPr="00CD33A8" w:rsidRDefault="00532A5F" w:rsidP="000D612A">
      <w:pPr>
        <w:tabs>
          <w:tab w:val="left" w:pos="6540"/>
        </w:tabs>
        <w:spacing w:line="276"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2230098</w:t>
      </w:r>
    </w:p>
    <w:p w:rsidR="00532A5F" w:rsidRPr="00CD33A8" w:rsidRDefault="00532A5F" w:rsidP="000D612A">
      <w:pPr>
        <w:tabs>
          <w:tab w:val="left" w:pos="6540"/>
        </w:tabs>
        <w:spacing w:line="276" w:lineRule="auto"/>
        <w:rPr>
          <w:rFonts w:ascii="Arial" w:hAnsi="Arial" w:cs="Arial"/>
          <w:sz w:val="28"/>
          <w:szCs w:val="28"/>
        </w:rPr>
      </w:pPr>
      <w:r w:rsidRPr="00CD33A8">
        <w:rPr>
          <w:rFonts w:ascii="Arial" w:hAnsi="Arial" w:cs="Arial"/>
          <w:b/>
          <w:bCs/>
          <w:sz w:val="28"/>
          <w:szCs w:val="28"/>
        </w:rPr>
        <w:t>Word count</w:t>
      </w:r>
      <w:r w:rsidRPr="00CD33A8">
        <w:rPr>
          <w:rFonts w:ascii="Arial" w:hAnsi="Arial" w:cs="Arial"/>
          <w:sz w:val="28"/>
          <w:szCs w:val="28"/>
        </w:rPr>
        <w:t>:</w:t>
      </w:r>
      <w:r>
        <w:rPr>
          <w:rFonts w:ascii="Arial" w:hAnsi="Arial" w:cs="Arial"/>
          <w:sz w:val="28"/>
          <w:szCs w:val="28"/>
        </w:rPr>
        <w:t xml:space="preserve"> 2000</w:t>
      </w:r>
    </w:p>
    <w:p w:rsidR="006D2F2D" w:rsidRDefault="006D2F2D"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8668AC" w:rsidRDefault="008668AC"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532A5F" w:rsidRDefault="00532A5F" w:rsidP="009A2155">
      <w:pPr>
        <w:spacing w:after="240" w:line="360" w:lineRule="auto"/>
        <w:rPr>
          <w:rFonts w:ascii="Arial" w:hAnsi="Arial" w:cs="Arial"/>
        </w:rPr>
      </w:pPr>
    </w:p>
    <w:p w:rsidR="00F8526A" w:rsidRDefault="00F8526A" w:rsidP="00F8526A">
      <w:pPr>
        <w:spacing w:line="360" w:lineRule="auto"/>
        <w:jc w:val="both"/>
        <w:rPr>
          <w:rFonts w:ascii="Arial" w:hAnsi="Arial" w:cs="Arial"/>
          <w:sz w:val="22"/>
        </w:rPr>
      </w:pPr>
      <w:r>
        <w:rPr>
          <w:rFonts w:ascii="Arial" w:hAnsi="Arial" w:cs="Arial"/>
          <w:sz w:val="22"/>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532A5F" w:rsidRDefault="00532A5F"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F8526A" w:rsidRDefault="00F8526A" w:rsidP="009A2155">
      <w:pPr>
        <w:spacing w:after="240" w:line="360" w:lineRule="auto"/>
        <w:rPr>
          <w:rFonts w:ascii="Arial" w:hAnsi="Arial" w:cs="Arial"/>
        </w:rPr>
      </w:pPr>
    </w:p>
    <w:p w:rsidR="00B21FE6" w:rsidRDefault="00B21FE6" w:rsidP="009A2155">
      <w:pPr>
        <w:spacing w:after="240" w:line="360" w:lineRule="auto"/>
        <w:rPr>
          <w:rFonts w:ascii="Arial" w:hAnsi="Arial" w:cs="Arial"/>
        </w:rPr>
      </w:pPr>
    </w:p>
    <w:p w:rsidR="00C724C5" w:rsidRPr="00594FAC" w:rsidRDefault="00C724C5" w:rsidP="009A2155">
      <w:pPr>
        <w:spacing w:after="240" w:line="360" w:lineRule="auto"/>
        <w:rPr>
          <w:rFonts w:ascii="Arial" w:hAnsi="Arial" w:cs="Arial"/>
          <w:b/>
          <w:bCs/>
        </w:rPr>
      </w:pPr>
    </w:p>
    <w:sdt>
      <w:sdtPr>
        <w:id w:val="135940548"/>
        <w:docPartObj>
          <w:docPartGallery w:val="Table of Contents"/>
          <w:docPartUnique/>
        </w:docPartObj>
      </w:sdtPr>
      <w:sdtEndPr>
        <w:rPr>
          <w:rFonts w:ascii="Times New Roman" w:eastAsiaTheme="minorHAnsi" w:hAnsi="Times New Roman" w:cstheme="minorBidi"/>
          <w:b w:val="0"/>
          <w:bCs w:val="0"/>
          <w:color w:val="auto"/>
          <w:sz w:val="24"/>
          <w:szCs w:val="22"/>
          <w:lang w:val="en-GB"/>
        </w:rPr>
      </w:sdtEndPr>
      <w:sdtContent>
        <w:p w:rsidR="00C724C5" w:rsidRDefault="00C724C5">
          <w:pPr>
            <w:pStyle w:val="TOCHeading"/>
          </w:pPr>
          <w:r>
            <w:t>Table of contents</w:t>
          </w:r>
        </w:p>
        <w:p w:rsidR="00C724C5" w:rsidRDefault="00C724C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16440799" w:history="1">
            <w:r w:rsidRPr="00883CA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_Toc216440799 \h </w:instrText>
            </w:r>
            <w:r>
              <w:rPr>
                <w:noProof/>
                <w:webHidden/>
              </w:rPr>
            </w:r>
            <w:r>
              <w:rPr>
                <w:noProof/>
                <w:webHidden/>
              </w:rPr>
              <w:fldChar w:fldCharType="separate"/>
            </w:r>
            <w:r>
              <w:rPr>
                <w:noProof/>
                <w:webHidden/>
              </w:rPr>
              <w:t>4</w:t>
            </w:r>
            <w:r>
              <w:rPr>
                <w:noProof/>
                <w:webHidden/>
              </w:rPr>
              <w:fldChar w:fldCharType="end"/>
            </w:r>
          </w:hyperlink>
        </w:p>
        <w:p w:rsidR="00C724C5" w:rsidRDefault="00C724C5">
          <w:pPr>
            <w:pStyle w:val="TOC1"/>
            <w:tabs>
              <w:tab w:val="right" w:leader="dot" w:pos="9016"/>
            </w:tabs>
            <w:rPr>
              <w:rFonts w:asciiTheme="minorHAnsi" w:eastAsiaTheme="minorEastAsia" w:hAnsiTheme="minorHAnsi"/>
              <w:noProof/>
              <w:sz w:val="22"/>
              <w:lang w:eastAsia="en-GB"/>
            </w:rPr>
          </w:pPr>
          <w:hyperlink w:anchor="_Toc216440800" w:history="1">
            <w:r w:rsidRPr="00883CA0">
              <w:rPr>
                <w:rStyle w:val="Hyperlink"/>
                <w:rFonts w:ascii="Arial" w:hAnsi="Arial" w:cs="Arial"/>
                <w:noProof/>
              </w:rPr>
              <w:t>Sustainable Development Goal 3</w:t>
            </w:r>
            <w:r>
              <w:rPr>
                <w:noProof/>
                <w:webHidden/>
              </w:rPr>
              <w:tab/>
            </w:r>
            <w:r>
              <w:rPr>
                <w:noProof/>
                <w:webHidden/>
              </w:rPr>
              <w:fldChar w:fldCharType="begin"/>
            </w:r>
            <w:r>
              <w:rPr>
                <w:noProof/>
                <w:webHidden/>
              </w:rPr>
              <w:instrText xml:space="preserve"> PAGEREF _Toc216440800 \h </w:instrText>
            </w:r>
            <w:r>
              <w:rPr>
                <w:noProof/>
                <w:webHidden/>
              </w:rPr>
            </w:r>
            <w:r>
              <w:rPr>
                <w:noProof/>
                <w:webHidden/>
              </w:rPr>
              <w:fldChar w:fldCharType="separate"/>
            </w:r>
            <w:r>
              <w:rPr>
                <w:noProof/>
                <w:webHidden/>
              </w:rPr>
              <w:t>4</w:t>
            </w:r>
            <w:r>
              <w:rPr>
                <w:noProof/>
                <w:webHidden/>
              </w:rPr>
              <w:fldChar w:fldCharType="end"/>
            </w:r>
          </w:hyperlink>
        </w:p>
        <w:p w:rsidR="00C724C5" w:rsidRDefault="00C724C5">
          <w:pPr>
            <w:pStyle w:val="TOC1"/>
            <w:tabs>
              <w:tab w:val="right" w:leader="dot" w:pos="9016"/>
            </w:tabs>
            <w:rPr>
              <w:rFonts w:asciiTheme="minorHAnsi" w:eastAsiaTheme="minorEastAsia" w:hAnsiTheme="minorHAnsi"/>
              <w:noProof/>
              <w:sz w:val="22"/>
              <w:lang w:eastAsia="en-GB"/>
            </w:rPr>
          </w:pPr>
          <w:hyperlink w:anchor="_Toc216440801" w:history="1">
            <w:r w:rsidRPr="00883CA0">
              <w:rPr>
                <w:rStyle w:val="Hyperlink"/>
                <w:rFonts w:ascii="Arial" w:hAnsi="Arial" w:cs="Arial"/>
                <w:noProof/>
              </w:rPr>
              <w:t>Sustainable Development Goal 10</w:t>
            </w:r>
            <w:r>
              <w:rPr>
                <w:noProof/>
                <w:webHidden/>
              </w:rPr>
              <w:tab/>
            </w:r>
            <w:r>
              <w:rPr>
                <w:noProof/>
                <w:webHidden/>
              </w:rPr>
              <w:fldChar w:fldCharType="begin"/>
            </w:r>
            <w:r>
              <w:rPr>
                <w:noProof/>
                <w:webHidden/>
              </w:rPr>
              <w:instrText xml:space="preserve"> PAGEREF _Toc216440801 \h </w:instrText>
            </w:r>
            <w:r>
              <w:rPr>
                <w:noProof/>
                <w:webHidden/>
              </w:rPr>
            </w:r>
            <w:r>
              <w:rPr>
                <w:noProof/>
                <w:webHidden/>
              </w:rPr>
              <w:fldChar w:fldCharType="separate"/>
            </w:r>
            <w:r>
              <w:rPr>
                <w:noProof/>
                <w:webHidden/>
              </w:rPr>
              <w:t>5</w:t>
            </w:r>
            <w:r>
              <w:rPr>
                <w:noProof/>
                <w:webHidden/>
              </w:rPr>
              <w:fldChar w:fldCharType="end"/>
            </w:r>
          </w:hyperlink>
        </w:p>
        <w:p w:rsidR="00C724C5" w:rsidRDefault="00C724C5">
          <w:pPr>
            <w:pStyle w:val="TOC1"/>
            <w:tabs>
              <w:tab w:val="right" w:leader="dot" w:pos="9016"/>
            </w:tabs>
            <w:rPr>
              <w:rFonts w:asciiTheme="minorHAnsi" w:eastAsiaTheme="minorEastAsia" w:hAnsiTheme="minorHAnsi"/>
              <w:noProof/>
              <w:sz w:val="22"/>
              <w:lang w:eastAsia="en-GB"/>
            </w:rPr>
          </w:pPr>
          <w:hyperlink w:anchor="_Toc216440802" w:history="1">
            <w:r w:rsidRPr="00883CA0">
              <w:rPr>
                <w:rStyle w:val="Hyperlink"/>
                <w:rFonts w:ascii="Arial" w:hAnsi="Arial" w:cs="Arial"/>
                <w:noProof/>
              </w:rPr>
              <w:t>National Well-being Initiatives</w:t>
            </w:r>
            <w:r>
              <w:rPr>
                <w:noProof/>
                <w:webHidden/>
              </w:rPr>
              <w:tab/>
            </w:r>
            <w:r>
              <w:rPr>
                <w:noProof/>
                <w:webHidden/>
              </w:rPr>
              <w:fldChar w:fldCharType="begin"/>
            </w:r>
            <w:r>
              <w:rPr>
                <w:noProof/>
                <w:webHidden/>
              </w:rPr>
              <w:instrText xml:space="preserve"> PAGEREF _Toc216440802 \h </w:instrText>
            </w:r>
            <w:r>
              <w:rPr>
                <w:noProof/>
                <w:webHidden/>
              </w:rPr>
            </w:r>
            <w:r>
              <w:rPr>
                <w:noProof/>
                <w:webHidden/>
              </w:rPr>
              <w:fldChar w:fldCharType="separate"/>
            </w:r>
            <w:r>
              <w:rPr>
                <w:noProof/>
                <w:webHidden/>
              </w:rPr>
              <w:t>7</w:t>
            </w:r>
            <w:r>
              <w:rPr>
                <w:noProof/>
                <w:webHidden/>
              </w:rPr>
              <w:fldChar w:fldCharType="end"/>
            </w:r>
          </w:hyperlink>
        </w:p>
        <w:p w:rsidR="00C724C5" w:rsidRDefault="00C724C5">
          <w:pPr>
            <w:pStyle w:val="TOC1"/>
            <w:tabs>
              <w:tab w:val="right" w:leader="dot" w:pos="9016"/>
            </w:tabs>
            <w:rPr>
              <w:rFonts w:asciiTheme="minorHAnsi" w:eastAsiaTheme="minorEastAsia" w:hAnsiTheme="minorHAnsi"/>
              <w:noProof/>
              <w:sz w:val="22"/>
              <w:lang w:eastAsia="en-GB"/>
            </w:rPr>
          </w:pPr>
          <w:hyperlink w:anchor="_Toc216440803" w:history="1">
            <w:r w:rsidRPr="00883CA0">
              <w:rPr>
                <w:rStyle w:val="Hyperlink"/>
                <w:rFonts w:ascii="Arial" w:hAnsi="Arial" w:cs="Arial"/>
                <w:noProof/>
              </w:rPr>
              <w:t>Local wellbeing initiatives</w:t>
            </w:r>
            <w:r>
              <w:rPr>
                <w:noProof/>
                <w:webHidden/>
              </w:rPr>
              <w:tab/>
            </w:r>
            <w:r>
              <w:rPr>
                <w:noProof/>
                <w:webHidden/>
              </w:rPr>
              <w:fldChar w:fldCharType="begin"/>
            </w:r>
            <w:r>
              <w:rPr>
                <w:noProof/>
                <w:webHidden/>
              </w:rPr>
              <w:instrText xml:space="preserve"> PAGEREF _Toc216440803 \h </w:instrText>
            </w:r>
            <w:r>
              <w:rPr>
                <w:noProof/>
                <w:webHidden/>
              </w:rPr>
            </w:r>
            <w:r>
              <w:rPr>
                <w:noProof/>
                <w:webHidden/>
              </w:rPr>
              <w:fldChar w:fldCharType="separate"/>
            </w:r>
            <w:r>
              <w:rPr>
                <w:noProof/>
                <w:webHidden/>
              </w:rPr>
              <w:t>8</w:t>
            </w:r>
            <w:r>
              <w:rPr>
                <w:noProof/>
                <w:webHidden/>
              </w:rPr>
              <w:fldChar w:fldCharType="end"/>
            </w:r>
          </w:hyperlink>
        </w:p>
        <w:p w:rsidR="00C724C5" w:rsidRDefault="00C724C5">
          <w:pPr>
            <w:pStyle w:val="TOC1"/>
            <w:tabs>
              <w:tab w:val="right" w:leader="dot" w:pos="9016"/>
            </w:tabs>
            <w:rPr>
              <w:rFonts w:asciiTheme="minorHAnsi" w:eastAsiaTheme="minorEastAsia" w:hAnsiTheme="minorHAnsi"/>
              <w:noProof/>
              <w:sz w:val="22"/>
              <w:lang w:eastAsia="en-GB"/>
            </w:rPr>
          </w:pPr>
          <w:hyperlink w:anchor="_Toc216440804" w:history="1">
            <w:r w:rsidRPr="00883CA0">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_Toc216440804 \h </w:instrText>
            </w:r>
            <w:r>
              <w:rPr>
                <w:noProof/>
                <w:webHidden/>
              </w:rPr>
            </w:r>
            <w:r>
              <w:rPr>
                <w:noProof/>
                <w:webHidden/>
              </w:rPr>
              <w:fldChar w:fldCharType="separate"/>
            </w:r>
            <w:r>
              <w:rPr>
                <w:noProof/>
                <w:webHidden/>
              </w:rPr>
              <w:t>9</w:t>
            </w:r>
            <w:r>
              <w:rPr>
                <w:noProof/>
                <w:webHidden/>
              </w:rPr>
              <w:fldChar w:fldCharType="end"/>
            </w:r>
          </w:hyperlink>
        </w:p>
        <w:p w:rsidR="00C724C5" w:rsidRDefault="00C724C5">
          <w:pPr>
            <w:pStyle w:val="TOC1"/>
            <w:tabs>
              <w:tab w:val="right" w:leader="dot" w:pos="9016"/>
            </w:tabs>
            <w:rPr>
              <w:rFonts w:asciiTheme="minorHAnsi" w:eastAsiaTheme="minorEastAsia" w:hAnsiTheme="minorHAnsi"/>
              <w:noProof/>
              <w:sz w:val="22"/>
              <w:lang w:eastAsia="en-GB"/>
            </w:rPr>
          </w:pPr>
          <w:hyperlink w:anchor="_Toc216440805" w:history="1">
            <w:r w:rsidRPr="00883CA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_Toc216440805 \h </w:instrText>
            </w:r>
            <w:r>
              <w:rPr>
                <w:noProof/>
                <w:webHidden/>
              </w:rPr>
            </w:r>
            <w:r>
              <w:rPr>
                <w:noProof/>
                <w:webHidden/>
              </w:rPr>
              <w:fldChar w:fldCharType="separate"/>
            </w:r>
            <w:r>
              <w:rPr>
                <w:noProof/>
                <w:webHidden/>
              </w:rPr>
              <w:t>10</w:t>
            </w:r>
            <w:r>
              <w:rPr>
                <w:noProof/>
                <w:webHidden/>
              </w:rPr>
              <w:fldChar w:fldCharType="end"/>
            </w:r>
          </w:hyperlink>
        </w:p>
        <w:p w:rsidR="00C724C5" w:rsidRDefault="00C724C5">
          <w:r>
            <w:fldChar w:fldCharType="end"/>
          </w:r>
        </w:p>
      </w:sdtContent>
    </w:sdt>
    <w:p w:rsidR="00B21FE6" w:rsidRPr="00594FAC" w:rsidRDefault="00B21FE6" w:rsidP="009A2155">
      <w:pPr>
        <w:spacing w:after="240" w:line="360" w:lineRule="auto"/>
        <w:rPr>
          <w:rFonts w:ascii="Arial" w:hAnsi="Arial" w:cs="Arial"/>
          <w:sz w:val="22"/>
        </w:rPr>
      </w:pPr>
    </w:p>
    <w:p w:rsidR="00B21FE6" w:rsidRPr="00594FAC" w:rsidRDefault="00B21FE6" w:rsidP="009A2155">
      <w:pPr>
        <w:spacing w:after="240" w:line="360" w:lineRule="auto"/>
        <w:rPr>
          <w:rFonts w:ascii="Arial" w:hAnsi="Arial" w:cs="Arial"/>
          <w:sz w:val="22"/>
        </w:rPr>
      </w:pPr>
    </w:p>
    <w:p w:rsidR="00B21FE6" w:rsidRPr="00594FAC" w:rsidRDefault="00B21FE6" w:rsidP="009A2155">
      <w:pPr>
        <w:spacing w:after="240" w:line="360" w:lineRule="auto"/>
        <w:rPr>
          <w:rFonts w:ascii="Arial" w:hAnsi="Arial" w:cs="Arial"/>
          <w:sz w:val="22"/>
        </w:rPr>
      </w:pPr>
    </w:p>
    <w:p w:rsidR="00B21FE6" w:rsidRPr="00594FAC" w:rsidRDefault="00B21FE6" w:rsidP="009A2155">
      <w:pPr>
        <w:spacing w:after="240" w:line="360" w:lineRule="auto"/>
        <w:rPr>
          <w:rFonts w:ascii="Arial" w:hAnsi="Arial" w:cs="Arial"/>
          <w:sz w:val="22"/>
        </w:rPr>
      </w:pPr>
    </w:p>
    <w:p w:rsidR="000A0381" w:rsidRPr="00C724C5" w:rsidRDefault="00B21FE6" w:rsidP="00C724C5">
      <w:pPr>
        <w:pStyle w:val="Heading1"/>
        <w:rPr>
          <w:rFonts w:ascii="Arial" w:hAnsi="Arial" w:cs="Arial"/>
          <w:b w:val="0"/>
          <w:bCs w:val="0"/>
          <w:sz w:val="24"/>
          <w:szCs w:val="24"/>
        </w:rPr>
      </w:pPr>
      <w:r w:rsidRPr="000A0381">
        <w:rPr>
          <w:rFonts w:ascii="Arial" w:hAnsi="Arial" w:cs="Arial"/>
          <w:sz w:val="22"/>
        </w:rPr>
        <w:br w:type="page"/>
      </w:r>
      <w:bookmarkStart w:id="0" w:name="_Toc216440799"/>
      <w:r w:rsidR="00A009FF" w:rsidRPr="00C724C5">
        <w:rPr>
          <w:rFonts w:ascii="Arial" w:hAnsi="Arial" w:cs="Arial"/>
          <w:sz w:val="24"/>
          <w:szCs w:val="24"/>
        </w:rPr>
        <w:t>Introduction</w:t>
      </w:r>
      <w:bookmarkEnd w:id="0"/>
      <w:r w:rsidR="00A009FF" w:rsidRPr="00C724C5">
        <w:rPr>
          <w:rFonts w:ascii="Arial" w:hAnsi="Arial" w:cs="Arial"/>
          <w:sz w:val="24"/>
          <w:szCs w:val="24"/>
        </w:rPr>
        <w:t xml:space="preserve"> </w:t>
      </w:r>
    </w:p>
    <w:p w:rsidR="000A0381" w:rsidRPr="00E24DF1" w:rsidRDefault="00AD6C91" w:rsidP="00277C22">
      <w:pPr>
        <w:spacing w:after="240" w:line="360" w:lineRule="auto"/>
        <w:jc w:val="both"/>
        <w:rPr>
          <w:rFonts w:ascii="Arial" w:hAnsi="Arial" w:cs="Arial"/>
          <w:bCs/>
          <w:sz w:val="22"/>
        </w:rPr>
      </w:pPr>
      <w:r w:rsidRPr="00E24DF1">
        <w:rPr>
          <w:rFonts w:ascii="Arial" w:hAnsi="Arial" w:cs="Arial"/>
          <w:bCs/>
          <w:sz w:val="22"/>
        </w:rPr>
        <w:t>The report aims to thoroughly explore Sustainable Development Goals (SDG) 3 and 10. These goals, part of the 17 established by United Nations member states in 2015, are set to be achieved by 2030. SDG 3 focuses on ensuring healthy lives and promoting well-being for all ages, while SDG 10 addresses the urgent need to reduce inequality within and among countries. It will examine the main objectives linked to each goal, analysing various initiatives implemented by national governments and local municipalities. By assessing the effectiveness of these initiatives, the report intends to identify best practices and areas for improvement. Additionally, recommendations for future enhancements will be provided to support greater progress towards achieving these vital global aims.</w:t>
      </w:r>
    </w:p>
    <w:p w:rsidR="006C1134" w:rsidRPr="00C724C5" w:rsidRDefault="00F1778A" w:rsidP="00C724C5">
      <w:pPr>
        <w:pStyle w:val="Heading1"/>
        <w:rPr>
          <w:rFonts w:ascii="Arial" w:hAnsi="Arial" w:cs="Arial"/>
          <w:b w:val="0"/>
          <w:bCs w:val="0"/>
          <w:sz w:val="24"/>
          <w:szCs w:val="24"/>
        </w:rPr>
      </w:pPr>
      <w:bookmarkStart w:id="1" w:name="_Toc216440800"/>
      <w:r w:rsidRPr="00C724C5">
        <w:rPr>
          <w:rFonts w:ascii="Arial" w:hAnsi="Arial" w:cs="Arial"/>
          <w:sz w:val="24"/>
          <w:szCs w:val="24"/>
        </w:rPr>
        <w:t>Sustainable Development Goal 3</w:t>
      </w:r>
      <w:bookmarkEnd w:id="1"/>
    </w:p>
    <w:p w:rsidR="0024541D" w:rsidRPr="00CA462D" w:rsidRDefault="0024541D" w:rsidP="00CA462D">
      <w:pPr>
        <w:spacing w:after="240" w:line="360" w:lineRule="auto"/>
        <w:jc w:val="both"/>
        <w:rPr>
          <w:rFonts w:ascii="Arial" w:hAnsi="Arial" w:cs="Arial"/>
          <w:bCs/>
          <w:sz w:val="22"/>
        </w:rPr>
      </w:pPr>
      <w:r w:rsidRPr="00CA462D">
        <w:rPr>
          <w:rFonts w:ascii="Arial" w:hAnsi="Arial" w:cs="Arial"/>
          <w:bCs/>
          <w:sz w:val="22"/>
        </w:rPr>
        <w:t>Goal 3 aims to ensure healthy lives and promote well-being for people of all ages. Achieving this depends on the combined efforts of various stakeholders, including governments, non-governmental organisations, and communities. One of the 13 targets under Goal 3 is to significantly reduce maternal mortality rates. It is projected that by 2030, the global infant mortality rate will fall to 70 per 100,000 live births, while also working to eliminate preventable infant deaths (WHO, 2022). Additionally, the goal includes a commitment to reducing traffic fatalities by adopting more effective road safety measures, demonstrating the diverse approach needed to improve public health.</w:t>
      </w:r>
    </w:p>
    <w:p w:rsidR="006C1134" w:rsidRPr="00CA462D" w:rsidRDefault="006C1134" w:rsidP="00CA462D">
      <w:pPr>
        <w:spacing w:after="240" w:line="360" w:lineRule="auto"/>
        <w:jc w:val="both"/>
        <w:rPr>
          <w:rFonts w:ascii="Arial" w:hAnsi="Arial" w:cs="Arial"/>
          <w:bCs/>
          <w:sz w:val="22"/>
        </w:rPr>
      </w:pPr>
      <w:r w:rsidRPr="00CA462D">
        <w:rPr>
          <w:rFonts w:ascii="Arial" w:hAnsi="Arial" w:cs="Arial"/>
          <w:bCs/>
          <w:sz w:val="22"/>
        </w:rPr>
        <w:t>The initiative also advocates for universal access to preventive care, particularly in the realm of sexual health services. This is essential for addressing health disparities and ensuring that all individuals have access to necessary care. Additionally, the goal outlines the imperative to eliminate epidemic diseases, including malaria and tuberculosis, while also intensifying efforts to combat viral hepatitis</w:t>
      </w:r>
      <w:r w:rsidR="008D0A19" w:rsidRPr="00CA462D">
        <w:rPr>
          <w:rFonts w:eastAsia="Times New Roman" w:cs="Times New Roman"/>
          <w:sz w:val="22"/>
          <w:lang w:eastAsia="en-GB"/>
        </w:rPr>
        <w:t xml:space="preserve"> </w:t>
      </w:r>
      <w:r w:rsidR="008D0A19" w:rsidRPr="00CA462D">
        <w:rPr>
          <w:rFonts w:ascii="Arial" w:hAnsi="Arial" w:cs="Arial"/>
          <w:bCs/>
          <w:sz w:val="22"/>
        </w:rPr>
        <w:t>(UNEP, 2025)</w:t>
      </w:r>
      <w:r w:rsidRPr="00CA462D">
        <w:rPr>
          <w:rFonts w:ascii="Arial" w:hAnsi="Arial" w:cs="Arial"/>
          <w:bCs/>
          <w:sz w:val="22"/>
        </w:rPr>
        <w:t>. The attainment of these objectives underscores the necessity of collaboration and commitment among various sectors of society</w:t>
      </w:r>
      <w:r w:rsidR="008D0A19" w:rsidRPr="00CA462D">
        <w:rPr>
          <w:rFonts w:eastAsia="Times New Roman" w:cs="Times New Roman"/>
          <w:sz w:val="22"/>
          <w:lang w:eastAsia="en-GB"/>
        </w:rPr>
        <w:t xml:space="preserve"> </w:t>
      </w:r>
      <w:r w:rsidR="008D0A19" w:rsidRPr="00CA462D">
        <w:rPr>
          <w:rFonts w:ascii="Arial" w:hAnsi="Arial" w:cs="Arial"/>
          <w:bCs/>
          <w:sz w:val="22"/>
        </w:rPr>
        <w:t>(UNICEF, 2025)</w:t>
      </w:r>
      <w:r w:rsidRPr="00CA462D">
        <w:rPr>
          <w:rFonts w:ascii="Arial" w:hAnsi="Arial" w:cs="Arial"/>
          <w:bCs/>
          <w:sz w:val="22"/>
        </w:rPr>
        <w:t>. Such interdisciplinary cooperation is vital for developing innovative solutions and effective policies that respond to health challenges on a global scale.</w:t>
      </w:r>
    </w:p>
    <w:p w:rsidR="00AF1833" w:rsidRPr="00CA462D" w:rsidRDefault="002B7D7D" w:rsidP="00CA462D">
      <w:pPr>
        <w:spacing w:after="240" w:line="360" w:lineRule="auto"/>
        <w:jc w:val="both"/>
        <w:rPr>
          <w:rFonts w:ascii="Arial" w:hAnsi="Arial" w:cs="Arial"/>
          <w:bCs/>
          <w:sz w:val="22"/>
        </w:rPr>
      </w:pPr>
      <w:r w:rsidRPr="00CA462D">
        <w:rPr>
          <w:rFonts w:ascii="Arial" w:hAnsi="Arial" w:cs="Arial"/>
          <w:bCs/>
          <w:sz w:val="22"/>
        </w:rPr>
        <w:t>The effective implementation of (SDG 3) is paramount for addressing the complex health disparities that affect individuals and communities both locally and globally. The Marmot report (2005) highlights the stark inequalities in health outcomes observed in England and beyond, underscoring the urgent need for comprehensive strategies to combat these disparities. In particular, the report reveals that life expectancy can differ by up to 48 years within the same country, illustrating the profound impact that social determinants of health have on well-being.</w:t>
      </w:r>
      <w:r w:rsidR="00892E89" w:rsidRPr="00CA462D">
        <w:rPr>
          <w:rFonts w:ascii="Arial" w:hAnsi="Arial" w:cs="Arial"/>
          <w:bCs/>
          <w:sz w:val="22"/>
        </w:rPr>
        <w:t xml:space="preserve"> </w:t>
      </w:r>
      <w:r w:rsidRPr="00CA462D">
        <w:rPr>
          <w:rFonts w:ascii="Arial" w:hAnsi="Arial" w:cs="Arial"/>
          <w:bCs/>
          <w:sz w:val="22"/>
        </w:rPr>
        <w:t xml:space="preserve">Various studies indicate that those inequalities stem from a multitude of factors, including socioeconomic status, education, and access to healthcare. Consequently, the responsibility for health outcomes should not rest solely on individuals; rather, it must encompass a collaborative approach that engages policymakers across various sectors. Recognizing this, the World Health Organization established a Commission on Social Determinants of Health, tasked with examining the evidence surrounding health inequalities. The Commission’s goal is to stimulate public discourse and </w:t>
      </w:r>
      <w:proofErr w:type="gramStart"/>
      <w:r w:rsidRPr="00CA462D">
        <w:rPr>
          <w:rFonts w:ascii="Arial" w:hAnsi="Arial" w:cs="Arial"/>
          <w:bCs/>
          <w:sz w:val="22"/>
        </w:rPr>
        <w:t>advise</w:t>
      </w:r>
      <w:proofErr w:type="gramEnd"/>
      <w:r w:rsidRPr="00CA462D">
        <w:rPr>
          <w:rFonts w:ascii="Arial" w:hAnsi="Arial" w:cs="Arial"/>
          <w:bCs/>
          <w:sz w:val="22"/>
        </w:rPr>
        <w:t xml:space="preserve"> on effective policies that can enhance the health of the most marginalized populations, including children, older adults, individuals with disabilities, and those experiencing mental health issues</w:t>
      </w:r>
      <w:r w:rsidR="005D5823" w:rsidRPr="00CA462D">
        <w:rPr>
          <w:rFonts w:eastAsia="Times New Roman" w:cs="Times New Roman"/>
          <w:sz w:val="22"/>
          <w:lang w:eastAsia="en-GB"/>
        </w:rPr>
        <w:t xml:space="preserve"> </w:t>
      </w:r>
      <w:r w:rsidR="005D5823" w:rsidRPr="00CA462D">
        <w:rPr>
          <w:rFonts w:ascii="Arial" w:hAnsi="Arial" w:cs="Arial"/>
          <w:bCs/>
          <w:sz w:val="22"/>
        </w:rPr>
        <w:t>(Marmot, 2017)</w:t>
      </w:r>
      <w:r w:rsidRPr="00CA462D">
        <w:rPr>
          <w:rFonts w:ascii="Arial" w:hAnsi="Arial" w:cs="Arial"/>
          <w:bCs/>
          <w:sz w:val="22"/>
        </w:rPr>
        <w:t>.</w:t>
      </w:r>
    </w:p>
    <w:p w:rsidR="00A33FAD" w:rsidRDefault="005B0124" w:rsidP="00CA462D">
      <w:pPr>
        <w:spacing w:after="240" w:line="360" w:lineRule="auto"/>
        <w:jc w:val="both"/>
        <w:rPr>
          <w:rFonts w:ascii="Arial" w:hAnsi="Arial" w:cs="Arial"/>
          <w:bCs/>
          <w:sz w:val="22"/>
        </w:rPr>
      </w:pPr>
      <w:r w:rsidRPr="00CA462D">
        <w:rPr>
          <w:rFonts w:ascii="Arial" w:hAnsi="Arial" w:cs="Arial"/>
          <w:bCs/>
          <w:sz w:val="22"/>
        </w:rPr>
        <w:t xml:space="preserve">The UK government has taken significant strides to advance the objectives outlined in SDG 3, particularly through the implementation of the NHS Long-Term Plan (2019). This strategic framework is </w:t>
      </w:r>
      <w:r w:rsidR="00EA20B9" w:rsidRPr="00CA462D">
        <w:rPr>
          <w:rFonts w:ascii="Arial" w:hAnsi="Arial" w:cs="Arial"/>
          <w:bCs/>
          <w:sz w:val="22"/>
        </w:rPr>
        <w:t>designed to address the targets</w:t>
      </w:r>
      <w:r w:rsidRPr="00CA462D">
        <w:rPr>
          <w:rFonts w:ascii="Arial" w:hAnsi="Arial" w:cs="Arial"/>
          <w:bCs/>
          <w:sz w:val="22"/>
        </w:rPr>
        <w:t xml:space="preserve"> needs identified in SDG 3 by prioritising equitable access to public healthcare for all citizens. Among its numerous initiatives, the plan places a strong emphasis on expanding access to mental health services, which is critical for enhancing overall public health outcomes. In addition, the Health and Care Act 2022 has been introduced with the intent to further promote social health, social assistance, and public health services</w:t>
      </w:r>
      <w:r w:rsidR="00AF1833" w:rsidRPr="00CA462D">
        <w:rPr>
          <w:rFonts w:eastAsia="Times New Roman" w:cs="Times New Roman"/>
          <w:sz w:val="22"/>
          <w:lang w:eastAsia="en-GB"/>
        </w:rPr>
        <w:t xml:space="preserve"> </w:t>
      </w:r>
      <w:r w:rsidR="00AF1833" w:rsidRPr="00CA462D">
        <w:rPr>
          <w:rFonts w:ascii="Arial" w:hAnsi="Arial" w:cs="Arial"/>
          <w:bCs/>
          <w:sz w:val="22"/>
        </w:rPr>
        <w:t>(The King's Fund, 2022)</w:t>
      </w:r>
      <w:r w:rsidRPr="00CA462D">
        <w:rPr>
          <w:rFonts w:ascii="Arial" w:hAnsi="Arial" w:cs="Arial"/>
          <w:bCs/>
          <w:sz w:val="22"/>
        </w:rPr>
        <w:t xml:space="preserve">. </w:t>
      </w:r>
    </w:p>
    <w:p w:rsidR="00CF3642" w:rsidRPr="00CA462D" w:rsidRDefault="005B0124" w:rsidP="00CA462D">
      <w:pPr>
        <w:spacing w:after="240" w:line="360" w:lineRule="auto"/>
        <w:jc w:val="both"/>
        <w:rPr>
          <w:rFonts w:ascii="Arial" w:hAnsi="Arial" w:cs="Arial"/>
          <w:bCs/>
          <w:sz w:val="22"/>
        </w:rPr>
      </w:pPr>
      <w:r w:rsidRPr="00CA462D">
        <w:rPr>
          <w:rFonts w:ascii="Arial" w:hAnsi="Arial" w:cs="Arial"/>
          <w:bCs/>
          <w:sz w:val="22"/>
        </w:rPr>
        <w:t xml:space="preserve">This legislation aims to reduce bureaucratic barriers that may hinder access to essential healthcare services. Despite these policy initiatives and the government's commitment to improving health outcomes, significant social inequalities continue to impede progress. A considerable number of citizens live in poverty, with many relying on food banks to meet their basic nutritional needs, access to clean drinking water </w:t>
      </w:r>
      <w:proofErr w:type="gramStart"/>
      <w:r w:rsidRPr="00CA462D">
        <w:rPr>
          <w:rFonts w:ascii="Arial" w:hAnsi="Arial" w:cs="Arial"/>
          <w:bCs/>
          <w:sz w:val="22"/>
        </w:rPr>
        <w:t>remains</w:t>
      </w:r>
      <w:proofErr w:type="gramEnd"/>
      <w:r w:rsidRPr="00CA462D">
        <w:rPr>
          <w:rFonts w:ascii="Arial" w:hAnsi="Arial" w:cs="Arial"/>
          <w:bCs/>
          <w:sz w:val="22"/>
        </w:rPr>
        <w:t xml:space="preserve"> a critical issue, with disparities evident across different boroughs in England. These geographic variations can disproportionately affect life expectancy and overall health outcomes for residents</w:t>
      </w:r>
      <w:r w:rsidR="00702F34" w:rsidRPr="00CA462D">
        <w:rPr>
          <w:rFonts w:eastAsia="Times New Roman" w:cs="Times New Roman"/>
          <w:sz w:val="22"/>
          <w:lang w:eastAsia="en-GB"/>
        </w:rPr>
        <w:t xml:space="preserve"> </w:t>
      </w:r>
      <w:r w:rsidR="00702F34" w:rsidRPr="00CA462D">
        <w:rPr>
          <w:rFonts w:ascii="Arial" w:hAnsi="Arial" w:cs="Arial"/>
          <w:bCs/>
          <w:sz w:val="22"/>
        </w:rPr>
        <w:t>(GOV.UK, 2021)</w:t>
      </w:r>
      <w:r w:rsidRPr="00CA462D">
        <w:rPr>
          <w:rFonts w:ascii="Arial" w:hAnsi="Arial" w:cs="Arial"/>
          <w:bCs/>
          <w:sz w:val="22"/>
        </w:rPr>
        <w:t>. In conclusion, while the UK government has made notable advancements in promoting public health through various policies, substantial challenges persist.</w:t>
      </w:r>
    </w:p>
    <w:p w:rsidR="00404824" w:rsidRPr="00C724C5" w:rsidRDefault="00404824" w:rsidP="00C724C5">
      <w:pPr>
        <w:pStyle w:val="Heading1"/>
        <w:rPr>
          <w:rFonts w:ascii="Arial" w:hAnsi="Arial" w:cs="Arial"/>
          <w:b w:val="0"/>
          <w:bCs w:val="0"/>
          <w:sz w:val="24"/>
          <w:szCs w:val="24"/>
        </w:rPr>
      </w:pPr>
      <w:bookmarkStart w:id="2" w:name="_Toc216440801"/>
      <w:r w:rsidRPr="00C724C5">
        <w:rPr>
          <w:rFonts w:ascii="Arial" w:hAnsi="Arial" w:cs="Arial"/>
          <w:sz w:val="24"/>
          <w:szCs w:val="24"/>
        </w:rPr>
        <w:t>Sustainable Development Goal 10</w:t>
      </w:r>
      <w:bookmarkEnd w:id="2"/>
    </w:p>
    <w:p w:rsidR="00271816" w:rsidRPr="00CA462D" w:rsidRDefault="005B240B" w:rsidP="00CA462D">
      <w:pPr>
        <w:spacing w:after="240" w:line="360" w:lineRule="auto"/>
        <w:jc w:val="both"/>
        <w:rPr>
          <w:rFonts w:ascii="Arial" w:hAnsi="Arial" w:cs="Arial"/>
          <w:bCs/>
          <w:sz w:val="22"/>
        </w:rPr>
      </w:pPr>
      <w:r w:rsidRPr="00CA462D">
        <w:rPr>
          <w:rFonts w:ascii="Arial" w:hAnsi="Arial" w:cs="Arial"/>
          <w:bCs/>
          <w:sz w:val="22"/>
        </w:rPr>
        <w:t>S</w:t>
      </w:r>
      <w:r w:rsidR="005C2222" w:rsidRPr="00CA462D">
        <w:rPr>
          <w:rFonts w:ascii="Arial" w:hAnsi="Arial" w:cs="Arial"/>
          <w:bCs/>
          <w:sz w:val="22"/>
        </w:rPr>
        <w:t>DG 10</w:t>
      </w:r>
      <w:r w:rsidRPr="00CA462D">
        <w:rPr>
          <w:rFonts w:ascii="Arial" w:hAnsi="Arial" w:cs="Arial"/>
          <w:bCs/>
          <w:sz w:val="22"/>
        </w:rPr>
        <w:t xml:space="preserve"> aims to reduce inequalities within and between countries by eliminating disparities and ensuring that no one is excluded. These inequalities are addressed through policies, income distribution, and the overall well-being of citizens.</w:t>
      </w:r>
      <w:r w:rsidR="003D34C3" w:rsidRPr="00CA462D">
        <w:rPr>
          <w:rFonts w:ascii="Arial" w:hAnsi="Arial" w:cs="Arial"/>
          <w:bCs/>
          <w:sz w:val="22"/>
        </w:rPr>
        <w:t xml:space="preserve"> The objective is to accomplish 10 targets, which include increasing the income of the poorest, promoting the social economy, and ensuring equal opportunities, among others. It is estimated that 10% of the </w:t>
      </w:r>
      <w:r w:rsidR="00422C38" w:rsidRPr="00CA462D">
        <w:rPr>
          <w:rFonts w:ascii="Arial" w:hAnsi="Arial" w:cs="Arial"/>
          <w:bCs/>
          <w:sz w:val="22"/>
        </w:rPr>
        <w:t xml:space="preserve">world </w:t>
      </w:r>
      <w:r w:rsidR="003D34C3" w:rsidRPr="00CA462D">
        <w:rPr>
          <w:rFonts w:ascii="Arial" w:hAnsi="Arial" w:cs="Arial"/>
          <w:bCs/>
          <w:sz w:val="22"/>
        </w:rPr>
        <w:t>population holds 76% of the world's wealth, while another 40% owns 22%, leaving the remaining 50% with just 2%. These statistics highlight the e</w:t>
      </w:r>
      <w:r w:rsidR="005C2222" w:rsidRPr="00CA462D">
        <w:rPr>
          <w:rFonts w:ascii="Arial" w:hAnsi="Arial" w:cs="Arial"/>
          <w:bCs/>
          <w:sz w:val="22"/>
        </w:rPr>
        <w:t xml:space="preserve">xistence of global inequality. SDG 10 </w:t>
      </w:r>
      <w:r w:rsidR="003D34C3" w:rsidRPr="00CA462D">
        <w:rPr>
          <w:rFonts w:ascii="Arial" w:hAnsi="Arial" w:cs="Arial"/>
          <w:bCs/>
          <w:sz w:val="22"/>
        </w:rPr>
        <w:t>focuses on reducing inequalities within and among countries, with an emphasis on eliminating disparities and ensuring inclusivity for all individuals</w:t>
      </w:r>
      <w:r w:rsidR="0087149D" w:rsidRPr="00CA462D">
        <w:rPr>
          <w:rFonts w:ascii="Arial" w:hAnsi="Arial" w:cs="Arial"/>
          <w:bCs/>
          <w:sz w:val="22"/>
        </w:rPr>
        <w:t xml:space="preserve"> </w:t>
      </w:r>
      <w:r w:rsidR="00D82314" w:rsidRPr="00CA462D">
        <w:rPr>
          <w:rFonts w:ascii="Arial" w:hAnsi="Arial" w:cs="Arial"/>
          <w:bCs/>
          <w:sz w:val="22"/>
        </w:rPr>
        <w:t>(United Nations, 2025)</w:t>
      </w:r>
      <w:r w:rsidR="003D34C3" w:rsidRPr="00CA462D">
        <w:rPr>
          <w:rFonts w:ascii="Arial" w:hAnsi="Arial" w:cs="Arial"/>
          <w:bCs/>
          <w:sz w:val="22"/>
        </w:rPr>
        <w:t>.</w:t>
      </w:r>
      <w:r w:rsidR="005C2222" w:rsidRPr="00CA462D">
        <w:rPr>
          <w:rFonts w:ascii="Arial" w:hAnsi="Arial" w:cs="Arial"/>
          <w:bCs/>
          <w:sz w:val="22"/>
        </w:rPr>
        <w:t xml:space="preserve"> W</w:t>
      </w:r>
      <w:r w:rsidR="004B077B" w:rsidRPr="00CA462D">
        <w:rPr>
          <w:rFonts w:ascii="Arial" w:hAnsi="Arial" w:cs="Arial"/>
          <w:bCs/>
          <w:sz w:val="22"/>
        </w:rPr>
        <w:t>hen we talk about how SDG 10 impacts government policy, it really nudges governments to focus on reducing inequalities across the board. That includes introducing fairer tax policies, boosting social safety nets, and making sure that marginalised groups have equal opportunities in areas like healthcare, education, and employment. Ultimately, all of this helps improve overall health and well-being for citizens by creating more inclusive and equitable societies, for that reason when it comes to naming the policy, it's really more of a collection of measures rather than one single policy name</w:t>
      </w:r>
      <w:r w:rsidR="00FC7991" w:rsidRPr="00CA462D">
        <w:rPr>
          <w:rFonts w:eastAsia="Times New Roman" w:cs="Times New Roman"/>
          <w:sz w:val="22"/>
          <w:lang w:eastAsia="en-GB"/>
        </w:rPr>
        <w:t xml:space="preserve"> </w:t>
      </w:r>
      <w:r w:rsidR="00FC7991" w:rsidRPr="00CA462D">
        <w:rPr>
          <w:rFonts w:ascii="Arial" w:hAnsi="Arial" w:cs="Arial"/>
          <w:bCs/>
          <w:sz w:val="22"/>
        </w:rPr>
        <w:t xml:space="preserve">(Team and </w:t>
      </w:r>
      <w:proofErr w:type="spellStart"/>
      <w:r w:rsidR="00FC7991" w:rsidRPr="00CA462D">
        <w:rPr>
          <w:rFonts w:ascii="Arial" w:hAnsi="Arial" w:cs="Arial"/>
          <w:bCs/>
          <w:sz w:val="22"/>
        </w:rPr>
        <w:t>Roser</w:t>
      </w:r>
      <w:proofErr w:type="spellEnd"/>
      <w:r w:rsidR="00FC7991" w:rsidRPr="00CA462D">
        <w:rPr>
          <w:rFonts w:ascii="Arial" w:hAnsi="Arial" w:cs="Arial"/>
          <w:bCs/>
          <w:sz w:val="22"/>
        </w:rPr>
        <w:t>, 2023)</w:t>
      </w:r>
      <w:r w:rsidR="00FE4839" w:rsidRPr="00CA462D">
        <w:rPr>
          <w:rFonts w:eastAsia="Times New Roman" w:cs="Times New Roman"/>
          <w:sz w:val="22"/>
          <w:lang w:eastAsia="en-GB"/>
        </w:rPr>
        <w:t xml:space="preserve"> </w:t>
      </w:r>
      <w:r w:rsidR="004B077B" w:rsidRPr="00CA462D">
        <w:rPr>
          <w:rFonts w:ascii="Arial" w:hAnsi="Arial" w:cs="Arial"/>
          <w:bCs/>
          <w:sz w:val="22"/>
        </w:rPr>
        <w:t xml:space="preserve">. So you might hear terms like "inclusive social protection," "anti-discrimination laws," or "progressive tax reforms," all </w:t>
      </w:r>
      <w:r w:rsidR="00DF2338" w:rsidRPr="00CA462D">
        <w:rPr>
          <w:rFonts w:ascii="Arial" w:hAnsi="Arial" w:cs="Arial"/>
          <w:bCs/>
          <w:sz w:val="22"/>
        </w:rPr>
        <w:t>aimed at reducing inequalities.</w:t>
      </w:r>
      <w:r w:rsidR="008F639D" w:rsidRPr="00CA462D">
        <w:rPr>
          <w:rFonts w:ascii="Arial" w:hAnsi="Arial" w:cs="Arial"/>
          <w:bCs/>
          <w:sz w:val="22"/>
        </w:rPr>
        <w:t xml:space="preserve"> </w:t>
      </w:r>
    </w:p>
    <w:p w:rsidR="008A2C2E" w:rsidRPr="00CA462D" w:rsidRDefault="008F639D" w:rsidP="00CA462D">
      <w:pPr>
        <w:spacing w:after="240" w:line="360" w:lineRule="auto"/>
        <w:jc w:val="both"/>
        <w:rPr>
          <w:rFonts w:ascii="Arial" w:hAnsi="Arial" w:cs="Arial"/>
          <w:bCs/>
          <w:sz w:val="22"/>
        </w:rPr>
      </w:pPr>
      <w:r w:rsidRPr="00CA462D">
        <w:rPr>
          <w:rFonts w:ascii="Arial" w:hAnsi="Arial" w:cs="Arial"/>
          <w:bCs/>
          <w:sz w:val="22"/>
        </w:rPr>
        <w:t>According to Welsh government (2015), t</w:t>
      </w:r>
      <w:r w:rsidR="00F64D4D" w:rsidRPr="00CA462D">
        <w:rPr>
          <w:rFonts w:ascii="Arial" w:hAnsi="Arial" w:cs="Arial"/>
          <w:bCs/>
          <w:sz w:val="22"/>
        </w:rPr>
        <w:t>he Well-being of Future Generations (W</w:t>
      </w:r>
      <w:r w:rsidRPr="00CA462D">
        <w:rPr>
          <w:rFonts w:ascii="Arial" w:hAnsi="Arial" w:cs="Arial"/>
          <w:bCs/>
          <w:sz w:val="22"/>
        </w:rPr>
        <w:t>e</w:t>
      </w:r>
      <w:r w:rsidR="00F64D4D" w:rsidRPr="00CA462D">
        <w:rPr>
          <w:rFonts w:ascii="Arial" w:hAnsi="Arial" w:cs="Arial"/>
          <w:bCs/>
          <w:sz w:val="22"/>
        </w:rPr>
        <w:t>l</w:t>
      </w:r>
      <w:r w:rsidRPr="00CA462D">
        <w:rPr>
          <w:rFonts w:ascii="Arial" w:hAnsi="Arial" w:cs="Arial"/>
          <w:bCs/>
          <w:sz w:val="22"/>
        </w:rPr>
        <w:t>sh</w:t>
      </w:r>
      <w:r w:rsidR="00F64D4D" w:rsidRPr="00CA462D">
        <w:rPr>
          <w:rFonts w:ascii="Arial" w:hAnsi="Arial" w:cs="Arial"/>
          <w:bCs/>
          <w:sz w:val="22"/>
        </w:rPr>
        <w:t>) Act 2015 establishes a legal framework in Wales that requires public bodies to actively enhance social, economic, environmental, and cultural well-being.</w:t>
      </w:r>
      <w:r w:rsidR="00271816" w:rsidRPr="00CA462D">
        <w:rPr>
          <w:rFonts w:ascii="Arial" w:hAnsi="Arial" w:cs="Arial"/>
          <w:bCs/>
          <w:sz w:val="22"/>
        </w:rPr>
        <w:t xml:space="preserve"> However, t</w:t>
      </w:r>
      <w:r w:rsidR="00F64D4D" w:rsidRPr="00CA462D">
        <w:rPr>
          <w:rFonts w:ascii="Arial" w:hAnsi="Arial" w:cs="Arial"/>
          <w:bCs/>
          <w:sz w:val="22"/>
        </w:rPr>
        <w:t>his legislation sets out specific objectives and strategies to ensure that current decisions do not compromise the prospects of future generations. By embedding sustainability into public policy, the Act seeks to promote a holistic approach to well-being, highlighting the interconnectedness of various societal aspects.</w:t>
      </w:r>
      <w:r w:rsidR="00DF2338" w:rsidRPr="00CA462D">
        <w:rPr>
          <w:rFonts w:ascii="Arial" w:hAnsi="Arial" w:cs="Arial"/>
          <w:bCs/>
          <w:sz w:val="22"/>
        </w:rPr>
        <w:t xml:space="preserve"> In summary, SDG 10 represents a combination of various strategies aimed at creating a more equitable world.</w:t>
      </w:r>
      <w:r w:rsidR="008A2C2E" w:rsidRPr="00CA462D">
        <w:rPr>
          <w:rFonts w:ascii="Arial" w:hAnsi="Arial" w:cs="Arial"/>
          <w:bCs/>
          <w:sz w:val="22"/>
        </w:rPr>
        <w:t xml:space="preserve"> </w:t>
      </w:r>
    </w:p>
    <w:p w:rsidR="00DF1D79" w:rsidRPr="00CA462D" w:rsidRDefault="00FC7991" w:rsidP="00CA462D">
      <w:pPr>
        <w:spacing w:after="240" w:line="360" w:lineRule="auto"/>
        <w:jc w:val="both"/>
        <w:rPr>
          <w:rFonts w:ascii="Arial" w:hAnsi="Arial" w:cs="Arial"/>
          <w:bCs/>
          <w:sz w:val="22"/>
        </w:rPr>
      </w:pPr>
      <w:r w:rsidRPr="00CA462D">
        <w:rPr>
          <w:rFonts w:ascii="Arial" w:hAnsi="Arial" w:cs="Arial"/>
          <w:bCs/>
          <w:sz w:val="22"/>
        </w:rPr>
        <w:t xml:space="preserve">While SDG 10 aims to reduce inequality within and among countries, progress remains uneven and fragile. Evidence shows that prior to the COVID-19 pandemic, income inequality was declining globally, with the poorest 40% in many nations experiencing faster income growth than national averages. </w:t>
      </w:r>
      <w:proofErr w:type="gramStart"/>
      <w:r w:rsidRPr="00CA462D">
        <w:rPr>
          <w:rFonts w:ascii="Arial" w:hAnsi="Arial" w:cs="Arial"/>
          <w:bCs/>
          <w:sz w:val="22"/>
        </w:rPr>
        <w:t>However, the pandemic reversed decades of progress, exacerbating disparities in health, education, and economic opportunity.</w:t>
      </w:r>
      <w:proofErr w:type="gramEnd"/>
      <w:r w:rsidRPr="00CA462D">
        <w:rPr>
          <w:rFonts w:ascii="Arial" w:hAnsi="Arial" w:cs="Arial"/>
          <w:bCs/>
          <w:sz w:val="22"/>
        </w:rPr>
        <w:t xml:space="preserve"> Structural barriers such as unequal access to technology, restrictive migration policies, and limited representation of low-income countries in global institutions continue to undermine the goal’s feasibility. As highlighted by Our World in Data (2023), inequality remains deeply entrenched, particularly across dimensions of income, social inclusion, and political participation, raising questions about whether current strategies are sufficient to achieve systemic change. This suggests that SDG 10 requires not only redistributive policies but also intersectional approaches that address overlapping disadvantages, such as gender, disability, and socioeconomic status, if it is to move beyond aspiration towards tangible impact.</w:t>
      </w:r>
    </w:p>
    <w:p w:rsidR="00A938B2" w:rsidRPr="00C724C5" w:rsidRDefault="005A0C0F" w:rsidP="00C724C5">
      <w:pPr>
        <w:pStyle w:val="Heading1"/>
        <w:rPr>
          <w:rFonts w:ascii="Arial" w:hAnsi="Arial" w:cs="Arial"/>
          <w:b w:val="0"/>
          <w:bCs w:val="0"/>
          <w:sz w:val="24"/>
          <w:szCs w:val="24"/>
        </w:rPr>
      </w:pPr>
      <w:bookmarkStart w:id="3" w:name="_Toc216440802"/>
      <w:r w:rsidRPr="00C724C5">
        <w:rPr>
          <w:rFonts w:ascii="Arial" w:hAnsi="Arial" w:cs="Arial"/>
          <w:sz w:val="24"/>
          <w:szCs w:val="24"/>
        </w:rPr>
        <w:t>National Well-being Initiatives</w:t>
      </w:r>
      <w:bookmarkEnd w:id="3"/>
    </w:p>
    <w:p w:rsidR="00576FAB" w:rsidRDefault="00BA0960" w:rsidP="00576FAB">
      <w:pPr>
        <w:spacing w:after="240" w:line="360" w:lineRule="auto"/>
        <w:jc w:val="both"/>
        <w:rPr>
          <w:rFonts w:ascii="Arial" w:hAnsi="Arial" w:cs="Arial"/>
          <w:bCs/>
          <w:sz w:val="22"/>
        </w:rPr>
      </w:pPr>
      <w:r w:rsidRPr="00CA462D">
        <w:rPr>
          <w:rFonts w:ascii="Arial" w:hAnsi="Arial" w:cs="Arial"/>
          <w:bCs/>
          <w:sz w:val="22"/>
        </w:rPr>
        <w:t xml:space="preserve">The UK government, as one of the 193 UN members, committed to the 2030 Agenda. For that reason, they must at least present a National Voluntary review to assess progress and measure whether the objectives are on track to meet the SDG targets. Even before that summit, many initiatives were already underway to raise public awareness of the importance of health, the environment, and economic growth, including </w:t>
      </w:r>
      <w:r w:rsidR="00FE5A4C" w:rsidRPr="00CA462D">
        <w:rPr>
          <w:rFonts w:ascii="Arial" w:hAnsi="Arial" w:cs="Arial"/>
          <w:bCs/>
          <w:sz w:val="22"/>
        </w:rPr>
        <w:t>initiatives such as</w:t>
      </w:r>
      <w:r w:rsidR="003D41EC" w:rsidRPr="00CA462D">
        <w:rPr>
          <w:rFonts w:ascii="Arial" w:hAnsi="Arial" w:cs="Arial"/>
          <w:bCs/>
          <w:sz w:val="22"/>
        </w:rPr>
        <w:t xml:space="preserve"> Measures of National Well-being (MNW), </w:t>
      </w:r>
      <w:r w:rsidR="00FE5A4C" w:rsidRPr="00CA462D">
        <w:rPr>
          <w:rFonts w:ascii="Arial" w:hAnsi="Arial" w:cs="Arial"/>
          <w:bCs/>
          <w:sz w:val="22"/>
        </w:rPr>
        <w:t xml:space="preserve"> </w:t>
      </w:r>
      <w:r w:rsidR="003D41EC" w:rsidRPr="00CA462D">
        <w:rPr>
          <w:rFonts w:ascii="Arial" w:hAnsi="Arial" w:cs="Arial"/>
          <w:bCs/>
          <w:sz w:val="22"/>
        </w:rPr>
        <w:t>since 2010 the Office for National Statistics (ONS) has developed the framework to provide a holistic understanding of life in the UK which  tracks over 50 indicators across various domains, including health, personal well-being, relationships, environment, economy, and governance</w:t>
      </w:r>
      <w:r w:rsidR="00576FAB">
        <w:rPr>
          <w:rFonts w:ascii="Arial" w:hAnsi="Arial" w:cs="Arial"/>
          <w:bCs/>
          <w:sz w:val="22"/>
        </w:rPr>
        <w:t xml:space="preserve"> </w:t>
      </w:r>
      <w:r w:rsidR="00A33FAD" w:rsidRPr="00A33FAD">
        <w:rPr>
          <w:rFonts w:ascii="Arial" w:hAnsi="Arial" w:cs="Arial"/>
          <w:bCs/>
          <w:sz w:val="22"/>
        </w:rPr>
        <w:t>(National Statistic, 2023)</w:t>
      </w:r>
      <w:r w:rsidR="003D41EC" w:rsidRPr="00CA462D">
        <w:rPr>
          <w:rFonts w:ascii="Arial" w:hAnsi="Arial" w:cs="Arial"/>
          <w:bCs/>
          <w:sz w:val="22"/>
        </w:rPr>
        <w:t xml:space="preserve">. </w:t>
      </w:r>
    </w:p>
    <w:p w:rsidR="003D41EC" w:rsidRPr="00CA462D" w:rsidRDefault="003D41EC" w:rsidP="00CA462D">
      <w:pPr>
        <w:spacing w:after="240" w:line="360" w:lineRule="auto"/>
        <w:jc w:val="both"/>
        <w:rPr>
          <w:rFonts w:ascii="Arial" w:hAnsi="Arial" w:cs="Arial"/>
          <w:bCs/>
          <w:sz w:val="22"/>
        </w:rPr>
      </w:pPr>
      <w:r w:rsidRPr="00CA462D">
        <w:rPr>
          <w:rFonts w:ascii="Arial" w:hAnsi="Arial" w:cs="Arial"/>
          <w:bCs/>
          <w:sz w:val="22"/>
        </w:rPr>
        <w:t>One of the MNW's significant strengths is its comprehensive approach, which integrates diverse aspects of well-being, thus fostering a more nuanced understanding of societal health beyond me</w:t>
      </w:r>
      <w:r w:rsidR="00A639AD" w:rsidRPr="00CA462D">
        <w:rPr>
          <w:rFonts w:ascii="Arial" w:hAnsi="Arial" w:cs="Arial"/>
          <w:bCs/>
          <w:sz w:val="22"/>
        </w:rPr>
        <w:t>re economic measures such as trusted methodology</w:t>
      </w:r>
      <w:r w:rsidRPr="00CA462D">
        <w:rPr>
          <w:rFonts w:ascii="Arial" w:hAnsi="Arial" w:cs="Arial"/>
          <w:bCs/>
          <w:sz w:val="22"/>
        </w:rPr>
        <w:t>. By including factors like mental health and environmental sustainability, the MNW allows for a more holistic assessment that better reflects citizens' lived experiences</w:t>
      </w:r>
      <w:r w:rsidR="00576FAB" w:rsidRPr="00576FAB">
        <w:rPr>
          <w:rFonts w:eastAsia="Times New Roman" w:cs="Times New Roman"/>
          <w:szCs w:val="24"/>
          <w:lang w:eastAsia="en-GB"/>
        </w:rPr>
        <w:t xml:space="preserve"> </w:t>
      </w:r>
      <w:r w:rsidR="00576FAB" w:rsidRPr="00576FAB">
        <w:rPr>
          <w:rFonts w:ascii="Arial" w:hAnsi="Arial" w:cs="Arial"/>
          <w:bCs/>
          <w:sz w:val="22"/>
        </w:rPr>
        <w:t>(Office, 2013)</w:t>
      </w:r>
      <w:r w:rsidRPr="00CA462D">
        <w:rPr>
          <w:rFonts w:ascii="Arial" w:hAnsi="Arial" w:cs="Arial"/>
          <w:bCs/>
          <w:sz w:val="22"/>
        </w:rPr>
        <w:t>. Furthermore, the transparent nature of the MNW, with publicly available data, encourages informed public discourse and policy-making.</w:t>
      </w:r>
      <w:r w:rsidR="00576FAB">
        <w:rPr>
          <w:rFonts w:ascii="Arial" w:hAnsi="Arial" w:cs="Arial"/>
          <w:bCs/>
          <w:sz w:val="22"/>
        </w:rPr>
        <w:t xml:space="preserve"> </w:t>
      </w:r>
      <w:r w:rsidRPr="00CA462D">
        <w:rPr>
          <w:rFonts w:ascii="Arial" w:hAnsi="Arial" w:cs="Arial"/>
          <w:bCs/>
          <w:sz w:val="22"/>
        </w:rPr>
        <w:t>However, despite these strengths, the MNW does exhibit notable limitations. Critics argue that some indicators may lack representativeness or be too subjective, which could diminish the framework’s overall reliability. Additionally, the emphasis on quantitative measures may overlook qualitative aspects of well-being. To enhance the MNW's effectiveness, it is recommended that the ONS consider incorporating more qualitative research methods, such as interviews or focus groups, to complement quantitative data and capture a richer narrative of well-being in the UK.</w:t>
      </w:r>
    </w:p>
    <w:p w:rsidR="003D41EC" w:rsidRPr="00CA462D" w:rsidRDefault="003D41EC" w:rsidP="00CA462D">
      <w:pPr>
        <w:spacing w:after="240" w:line="360" w:lineRule="auto"/>
        <w:jc w:val="both"/>
        <w:rPr>
          <w:rFonts w:ascii="Arial" w:hAnsi="Arial" w:cs="Arial"/>
          <w:bCs/>
          <w:sz w:val="22"/>
        </w:rPr>
      </w:pPr>
      <w:r w:rsidRPr="00CA462D">
        <w:rPr>
          <w:rFonts w:ascii="Arial" w:hAnsi="Arial" w:cs="Arial"/>
          <w:bCs/>
          <w:sz w:val="22"/>
        </w:rPr>
        <w:t>In December 2025, the UK government published the Environmental Improvement Plan 2025 (EIP 2025), outlining a five-year strategy aimed at halting nature’s decline and improving environmental quality. Grounded in the statutory targets of the Environment Act 2021, the EIP seeks to embed sustainability into national policy, addressing critical areas including air and water quality, soil health, biodiversity, waste management, climate resilience, and public access to nature</w:t>
      </w:r>
      <w:r w:rsidR="00576FAB" w:rsidRPr="00576FAB">
        <w:rPr>
          <w:rFonts w:eastAsia="Times New Roman" w:cs="Times New Roman"/>
          <w:szCs w:val="24"/>
          <w:lang w:eastAsia="en-GB"/>
        </w:rPr>
        <w:t xml:space="preserve"> </w:t>
      </w:r>
      <w:r w:rsidR="00576FAB" w:rsidRPr="00576FAB">
        <w:rPr>
          <w:rFonts w:ascii="Arial" w:hAnsi="Arial" w:cs="Arial"/>
          <w:bCs/>
          <w:sz w:val="22"/>
        </w:rPr>
        <w:t>(for, 2025)</w:t>
      </w:r>
      <w:r w:rsidRPr="00CA462D">
        <w:rPr>
          <w:rFonts w:ascii="Arial" w:hAnsi="Arial" w:cs="Arial"/>
          <w:bCs/>
          <w:sz w:val="22"/>
        </w:rPr>
        <w:t>. The EIP 2025 has several strengths in that it establishes clear, measurable targets and emphasizes a cross-sector approach to environmental challenges. By focusing on a holistic vision of sustainability, the plan encourages collaboration across governmental and non-governmental organizations, fostering innovative solutions to complex environmental issues.</w:t>
      </w:r>
      <w:r w:rsidR="00576FAB">
        <w:rPr>
          <w:rFonts w:ascii="Arial" w:hAnsi="Arial" w:cs="Arial"/>
          <w:bCs/>
          <w:sz w:val="22"/>
        </w:rPr>
        <w:t xml:space="preserve"> </w:t>
      </w:r>
      <w:r w:rsidRPr="00CA462D">
        <w:rPr>
          <w:rFonts w:ascii="Arial" w:hAnsi="Arial" w:cs="Arial"/>
          <w:bCs/>
          <w:sz w:val="22"/>
        </w:rPr>
        <w:t>Nonetheless, the plan faces limitations, particularly in terms of funding and resource allocation. Effective implementation of such an ambitious strategy requires substantial financial commitment and public engagement, which may be challenging in the current political climate. As such, it is recommended that the government explore diverse funding mechanisms, including public-private partnerships, to ensure the plan's goals are achieved.</w:t>
      </w:r>
      <w:r w:rsidR="00E31701" w:rsidRPr="00CA462D">
        <w:rPr>
          <w:rFonts w:ascii="Arial" w:hAnsi="Arial" w:cs="Arial"/>
          <w:bCs/>
          <w:sz w:val="22"/>
        </w:rPr>
        <w:t xml:space="preserve"> </w:t>
      </w:r>
      <w:r w:rsidRPr="00CA462D">
        <w:rPr>
          <w:rFonts w:ascii="Arial" w:hAnsi="Arial" w:cs="Arial"/>
          <w:bCs/>
          <w:sz w:val="22"/>
        </w:rPr>
        <w:t>Additionally, the UK runs various national well-being campaigns each year, such as NHS-led initiatives like Best Start in Life, along with awareness drives like Dry January, Time to Talk Day, and Stress Awareness Month. These campaigns aim to enhance physical, mental, and social well-being within communities and demonstrate the government's commitment to promoting health and well-being.</w:t>
      </w:r>
    </w:p>
    <w:p w:rsidR="005E6F87" w:rsidRPr="00C724C5" w:rsidRDefault="005E6F87" w:rsidP="00C724C5">
      <w:pPr>
        <w:pStyle w:val="Heading1"/>
        <w:rPr>
          <w:rFonts w:ascii="Arial" w:hAnsi="Arial" w:cs="Arial"/>
          <w:b w:val="0"/>
          <w:bCs w:val="0"/>
          <w:sz w:val="24"/>
          <w:szCs w:val="24"/>
        </w:rPr>
      </w:pPr>
      <w:bookmarkStart w:id="4" w:name="_Toc216440803"/>
      <w:r w:rsidRPr="00C724C5">
        <w:rPr>
          <w:rFonts w:ascii="Arial" w:hAnsi="Arial" w:cs="Arial"/>
          <w:sz w:val="24"/>
          <w:szCs w:val="24"/>
        </w:rPr>
        <w:t>Local wellbeing initiatives</w:t>
      </w:r>
      <w:bookmarkEnd w:id="4"/>
    </w:p>
    <w:p w:rsidR="00E31701" w:rsidRPr="00CA462D" w:rsidRDefault="001A157D" w:rsidP="00CA462D">
      <w:pPr>
        <w:spacing w:after="240" w:line="360" w:lineRule="auto"/>
        <w:jc w:val="both"/>
        <w:rPr>
          <w:rFonts w:ascii="Arial" w:hAnsi="Arial" w:cs="Arial"/>
          <w:bCs/>
          <w:sz w:val="22"/>
        </w:rPr>
      </w:pPr>
      <w:r w:rsidRPr="00CA462D">
        <w:rPr>
          <w:rFonts w:ascii="Arial" w:hAnsi="Arial" w:cs="Arial"/>
          <w:bCs/>
          <w:sz w:val="22"/>
        </w:rPr>
        <w:t>Local wellbeing initiatives have garnered increased recognition as essential tools for addressing health inequalities, fostering sustainable development, and cultivating resilient communities. By integrating health and sustainability into local strategies, these initiatives strive to enhance the overall quality of life while simultaneously alleviating the long-term pressures on public servic</w:t>
      </w:r>
      <w:r w:rsidR="00F32799" w:rsidRPr="00CA462D">
        <w:rPr>
          <w:rFonts w:ascii="Arial" w:hAnsi="Arial" w:cs="Arial"/>
          <w:bCs/>
          <w:sz w:val="22"/>
        </w:rPr>
        <w:t>es. Among these initiatives are</w:t>
      </w:r>
      <w:r w:rsidRPr="00CA462D">
        <w:rPr>
          <w:rFonts w:ascii="Arial" w:hAnsi="Arial" w:cs="Arial"/>
          <w:bCs/>
          <w:sz w:val="22"/>
        </w:rPr>
        <w:t>.</w:t>
      </w:r>
      <w:r w:rsidR="00981FF7" w:rsidRPr="00CA462D">
        <w:rPr>
          <w:rFonts w:ascii="Arial" w:hAnsi="Arial" w:cs="Arial"/>
          <w:bCs/>
          <w:sz w:val="22"/>
        </w:rPr>
        <w:t xml:space="preserve"> </w:t>
      </w:r>
      <w:r w:rsidRPr="00CA462D">
        <w:rPr>
          <w:rFonts w:ascii="Arial" w:hAnsi="Arial" w:cs="Arial"/>
          <w:bCs/>
          <w:sz w:val="22"/>
        </w:rPr>
        <w:t>The "Communities Keeping Well" initiative focuses on encouraging residents to actively participate through volunteerism, which is instrumental in reducing the prevalence and impacts of chronic diseases</w:t>
      </w:r>
      <w:r w:rsidR="00C16EA8" w:rsidRPr="00CA462D">
        <w:rPr>
          <w:rFonts w:ascii="Arial" w:hAnsi="Arial" w:cs="Arial"/>
          <w:bCs/>
          <w:sz w:val="22"/>
        </w:rPr>
        <w:t xml:space="preserve"> (LGA, 2025).</w:t>
      </w:r>
      <w:r w:rsidRPr="00CA462D">
        <w:rPr>
          <w:rFonts w:ascii="Arial" w:hAnsi="Arial" w:cs="Arial"/>
          <w:bCs/>
          <w:sz w:val="22"/>
        </w:rPr>
        <w:t xml:space="preserve">This initiative has proven effective in fostering trust among community members by organizing volunteer-led activities that promote engagement. Furthermore, these activities significantly mitigate feelings of isolation and contribute positively to mental wellbeing. However, it is crucial to recognize the limitations inherent in this initiative. Some residents continue to encounter language barriers, and cultural differences may restrict their involvement in certain activities. Despite these challenges, volunteer-led initiatives are pivotal in alleviating isolation and enhancing mental </w:t>
      </w:r>
      <w:proofErr w:type="gramStart"/>
      <w:r w:rsidRPr="00CA462D">
        <w:rPr>
          <w:rFonts w:ascii="Arial" w:hAnsi="Arial" w:cs="Arial"/>
          <w:bCs/>
          <w:sz w:val="22"/>
        </w:rPr>
        <w:t>health</w:t>
      </w:r>
      <w:r w:rsidR="000F7D38" w:rsidRPr="000F7D38">
        <w:rPr>
          <w:rFonts w:ascii="Arial" w:hAnsi="Arial" w:cs="Arial"/>
          <w:bCs/>
          <w:sz w:val="22"/>
        </w:rPr>
        <w:t>(</w:t>
      </w:r>
      <w:proofErr w:type="gramEnd"/>
      <w:r w:rsidR="000F7D38" w:rsidRPr="000F7D38">
        <w:rPr>
          <w:rFonts w:ascii="Arial" w:hAnsi="Arial" w:cs="Arial"/>
          <w:bCs/>
          <w:sz w:val="22"/>
        </w:rPr>
        <w:t>Haldane et al., 2019)</w:t>
      </w:r>
      <w:r w:rsidRPr="00CA462D">
        <w:rPr>
          <w:rFonts w:ascii="Arial" w:hAnsi="Arial" w:cs="Arial"/>
          <w:bCs/>
          <w:sz w:val="22"/>
        </w:rPr>
        <w:t>.</w:t>
      </w:r>
      <w:r w:rsidR="00981FF7" w:rsidRPr="00CA462D">
        <w:rPr>
          <w:rFonts w:ascii="Arial" w:hAnsi="Arial" w:cs="Arial"/>
          <w:bCs/>
          <w:sz w:val="22"/>
        </w:rPr>
        <w:t xml:space="preserve"> </w:t>
      </w:r>
    </w:p>
    <w:p w:rsidR="00A853DF" w:rsidRPr="00CA462D" w:rsidRDefault="001A157D" w:rsidP="00CA462D">
      <w:pPr>
        <w:spacing w:after="240" w:line="360" w:lineRule="auto"/>
        <w:jc w:val="both"/>
        <w:rPr>
          <w:rFonts w:ascii="Arial" w:hAnsi="Arial" w:cs="Arial"/>
          <w:bCs/>
          <w:sz w:val="22"/>
        </w:rPr>
      </w:pPr>
      <w:r w:rsidRPr="00CA462D">
        <w:rPr>
          <w:rFonts w:ascii="Arial" w:hAnsi="Arial" w:cs="Arial"/>
          <w:bCs/>
          <w:sz w:val="22"/>
        </w:rPr>
        <w:t>To optimize the effectiveness of these local wellbeing initiatives, several recommendations are proposed for ongoing evaluation and improvement. It is essential to track short-, medium-, and long-term indicator</w:t>
      </w:r>
      <w:r w:rsidR="00981FF7" w:rsidRPr="00CA462D">
        <w:rPr>
          <w:rFonts w:ascii="Arial" w:hAnsi="Arial" w:cs="Arial"/>
          <w:bCs/>
          <w:sz w:val="22"/>
        </w:rPr>
        <w:t xml:space="preserve"> such as </w:t>
      </w:r>
      <w:r w:rsidRPr="00CA462D">
        <w:rPr>
          <w:rFonts w:ascii="Arial" w:hAnsi="Arial" w:cs="Arial"/>
          <w:bCs/>
          <w:sz w:val="22"/>
        </w:rPr>
        <w:t>participation rates, volunteer</w:t>
      </w:r>
      <w:r w:rsidR="00981FF7" w:rsidRPr="00CA462D">
        <w:rPr>
          <w:rFonts w:ascii="Arial" w:hAnsi="Arial" w:cs="Arial"/>
          <w:bCs/>
          <w:sz w:val="22"/>
        </w:rPr>
        <w:t xml:space="preserve"> retention, and referral uptake</w:t>
      </w:r>
      <w:r w:rsidR="000F7D38">
        <w:rPr>
          <w:rFonts w:ascii="Arial" w:hAnsi="Arial" w:cs="Arial"/>
          <w:bCs/>
          <w:sz w:val="22"/>
        </w:rPr>
        <w:t xml:space="preserve"> </w:t>
      </w:r>
      <w:r w:rsidR="00301518" w:rsidRPr="00301518">
        <w:rPr>
          <w:rFonts w:ascii="Arial" w:hAnsi="Arial" w:cs="Arial"/>
          <w:bCs/>
          <w:sz w:val="22"/>
        </w:rPr>
        <w:t>(NHS, 2019)</w:t>
      </w:r>
      <w:r w:rsidRPr="00CA462D">
        <w:rPr>
          <w:rFonts w:ascii="Arial" w:hAnsi="Arial" w:cs="Arial"/>
          <w:bCs/>
          <w:sz w:val="22"/>
        </w:rPr>
        <w:t>.</w:t>
      </w:r>
      <w:r w:rsidR="00A853DF" w:rsidRPr="00CA462D">
        <w:rPr>
          <w:rFonts w:ascii="Arial" w:hAnsi="Arial" w:cs="Arial"/>
          <w:bCs/>
          <w:sz w:val="22"/>
        </w:rPr>
        <w:t xml:space="preserve"> </w:t>
      </w:r>
      <w:r w:rsidR="00132C2C" w:rsidRPr="00CA462D">
        <w:rPr>
          <w:rFonts w:ascii="Arial" w:hAnsi="Arial" w:cs="Arial"/>
          <w:bCs/>
          <w:sz w:val="22"/>
        </w:rPr>
        <w:t xml:space="preserve">Additionally </w:t>
      </w:r>
      <w:r w:rsidR="00A853DF" w:rsidRPr="00CA462D">
        <w:rPr>
          <w:rFonts w:ascii="Arial" w:hAnsi="Arial" w:cs="Arial"/>
          <w:bCs/>
          <w:sz w:val="22"/>
        </w:rPr>
        <w:t>The London Healthy Urban Development Unit (HUDU)</w:t>
      </w:r>
      <w:r w:rsidR="001C366A" w:rsidRPr="00CA462D">
        <w:rPr>
          <w:rFonts w:ascii="Arial" w:hAnsi="Arial" w:cs="Arial"/>
          <w:bCs/>
          <w:sz w:val="22"/>
        </w:rPr>
        <w:t xml:space="preserve"> it is the second initiative, which</w:t>
      </w:r>
      <w:r w:rsidR="00A853DF" w:rsidRPr="00CA462D">
        <w:rPr>
          <w:rFonts w:ascii="Arial" w:hAnsi="Arial" w:cs="Arial"/>
          <w:bCs/>
          <w:sz w:val="22"/>
        </w:rPr>
        <w:t xml:space="preserve"> plays a pivotal role in promoting health-oriented strategies within urban planning and development in London. Its objectives </w:t>
      </w:r>
      <w:proofErr w:type="spellStart"/>
      <w:r w:rsidR="00A853DF" w:rsidRPr="00CA462D">
        <w:rPr>
          <w:rFonts w:ascii="Arial" w:hAnsi="Arial" w:cs="Arial"/>
          <w:bCs/>
          <w:sz w:val="22"/>
        </w:rPr>
        <w:t>center</w:t>
      </w:r>
      <w:proofErr w:type="spellEnd"/>
      <w:r w:rsidR="00A853DF" w:rsidRPr="00CA462D">
        <w:rPr>
          <w:rFonts w:ascii="Arial" w:hAnsi="Arial" w:cs="Arial"/>
          <w:bCs/>
          <w:sz w:val="22"/>
        </w:rPr>
        <w:t xml:space="preserve"> on the integration of health into urban frameworks, ensuring that the increasing housing demand is accompanied by adequate health infrastructure, and fostering the creation of healthy, sustainable communities</w:t>
      </w:r>
      <w:r w:rsidR="000F7D38">
        <w:rPr>
          <w:rFonts w:ascii="Arial" w:hAnsi="Arial" w:cs="Arial"/>
          <w:bCs/>
          <w:sz w:val="22"/>
        </w:rPr>
        <w:t xml:space="preserve"> </w:t>
      </w:r>
      <w:r w:rsidR="00301518" w:rsidRPr="00301518">
        <w:rPr>
          <w:rFonts w:ascii="Arial" w:hAnsi="Arial" w:cs="Arial"/>
          <w:bCs/>
          <w:sz w:val="22"/>
        </w:rPr>
        <w:t>(CIEH, 2019)</w:t>
      </w:r>
      <w:r w:rsidR="00A853DF" w:rsidRPr="00CA462D">
        <w:rPr>
          <w:rFonts w:ascii="Arial" w:hAnsi="Arial" w:cs="Arial"/>
          <w:bCs/>
          <w:sz w:val="22"/>
        </w:rPr>
        <w:t>.</w:t>
      </w:r>
    </w:p>
    <w:p w:rsidR="00132C2C" w:rsidRPr="00CA462D" w:rsidRDefault="00A853DF" w:rsidP="00CA462D">
      <w:pPr>
        <w:spacing w:after="240" w:line="360" w:lineRule="auto"/>
        <w:jc w:val="both"/>
        <w:rPr>
          <w:rFonts w:ascii="Arial" w:hAnsi="Arial" w:cs="Arial"/>
          <w:bCs/>
          <w:sz w:val="22"/>
        </w:rPr>
      </w:pPr>
      <w:r w:rsidRPr="00CA462D">
        <w:rPr>
          <w:rFonts w:ascii="Arial" w:hAnsi="Arial" w:cs="Arial"/>
          <w:bCs/>
          <w:sz w:val="22"/>
        </w:rPr>
        <w:t>HUDU demonstrates effectiveness through several key mechanisms. Firstly, it provides systemic influence by embedding health considerations into planning policies, which establishes a foundation for health-centric urban environments. Secondly, it encourages collaboration across sectors</w:t>
      </w:r>
      <w:r w:rsidR="001C366A" w:rsidRPr="00CA462D">
        <w:rPr>
          <w:rFonts w:ascii="Arial" w:hAnsi="Arial" w:cs="Arial"/>
          <w:bCs/>
          <w:sz w:val="22"/>
        </w:rPr>
        <w:t xml:space="preserve">. </w:t>
      </w:r>
      <w:r w:rsidRPr="00CA462D">
        <w:rPr>
          <w:rFonts w:ascii="Arial" w:hAnsi="Arial" w:cs="Arial"/>
          <w:bCs/>
          <w:sz w:val="22"/>
        </w:rPr>
        <w:t>Despite its strengths, HUDU faces several limitations. The implementation of health-oriented policies varies significantly across the boroughs of London, leading to discrepancies in health priorities and enforcement. Additionally, there is a notable gap in tracking post-occupancy health outcomes, undermining the ability to measure the true effectiveness of these interventions.</w:t>
      </w:r>
      <w:r w:rsidR="00132C2C" w:rsidRPr="00CA462D">
        <w:rPr>
          <w:rFonts w:ascii="Arial" w:hAnsi="Arial" w:cs="Arial"/>
          <w:bCs/>
          <w:sz w:val="22"/>
        </w:rPr>
        <w:t xml:space="preserve"> Moreover,</w:t>
      </w:r>
      <w:r w:rsidRPr="00CA462D">
        <w:rPr>
          <w:rFonts w:ascii="Arial" w:hAnsi="Arial" w:cs="Arial"/>
          <w:bCs/>
          <w:sz w:val="22"/>
        </w:rPr>
        <w:t xml:space="preserve"> </w:t>
      </w:r>
      <w:r w:rsidR="00132C2C" w:rsidRPr="00CA462D">
        <w:rPr>
          <w:rFonts w:ascii="Arial" w:hAnsi="Arial" w:cs="Arial"/>
          <w:bCs/>
          <w:sz w:val="22"/>
        </w:rPr>
        <w:t>t</w:t>
      </w:r>
      <w:r w:rsidRPr="00CA462D">
        <w:rPr>
          <w:rFonts w:ascii="Arial" w:hAnsi="Arial" w:cs="Arial"/>
          <w:bCs/>
          <w:sz w:val="22"/>
        </w:rPr>
        <w:t xml:space="preserve">o enhance its impact, several recommendations can be proposed. </w:t>
      </w:r>
    </w:p>
    <w:p w:rsidR="003D34C3" w:rsidRPr="00CA462D" w:rsidRDefault="00A853DF" w:rsidP="00CA462D">
      <w:pPr>
        <w:spacing w:after="240" w:line="360" w:lineRule="auto"/>
        <w:jc w:val="both"/>
        <w:rPr>
          <w:rFonts w:ascii="Arial" w:hAnsi="Arial" w:cs="Arial"/>
          <w:bCs/>
          <w:sz w:val="22"/>
        </w:rPr>
      </w:pPr>
      <w:r w:rsidRPr="00CA462D">
        <w:rPr>
          <w:rFonts w:ascii="Arial" w:hAnsi="Arial" w:cs="Arial"/>
          <w:bCs/>
          <w:sz w:val="22"/>
        </w:rPr>
        <w:t>First, establishing measurable health-related Key Performance Indicators (KPIs) for new developments, such as access to green spaces and rates of active travel, could facilitate the monitoring and assessment of health outcomes. Second, standardizing health impact assessments along with developer obligations regarding health infrastructure would create a more uniform approach to health integration across boroughs. Third, embedding community co-design panels into the planning cycle can ensure that local voices and needs are continually integrated into urban development processes</w:t>
      </w:r>
      <w:r w:rsidR="00A078C1">
        <w:rPr>
          <w:rFonts w:ascii="Arial" w:hAnsi="Arial" w:cs="Arial"/>
          <w:bCs/>
          <w:sz w:val="22"/>
        </w:rPr>
        <w:t xml:space="preserve"> </w:t>
      </w:r>
      <w:r w:rsidR="000F7D38" w:rsidRPr="000F7D38">
        <w:rPr>
          <w:rFonts w:ascii="Arial" w:hAnsi="Arial" w:cs="Arial"/>
          <w:bCs/>
          <w:sz w:val="22"/>
        </w:rPr>
        <w:t>(Marmot, 2010)</w:t>
      </w:r>
      <w:r w:rsidRPr="00CA462D">
        <w:rPr>
          <w:rFonts w:ascii="Arial" w:hAnsi="Arial" w:cs="Arial"/>
          <w:bCs/>
          <w:sz w:val="22"/>
        </w:rPr>
        <w:t>. Lastly, linking urban design features, such as walking routes, to clinical pathways like social prescribing can promote healthier lifestyles and further the goal of sustainable urban communities.</w:t>
      </w:r>
    </w:p>
    <w:p w:rsidR="00A009FF" w:rsidRPr="00C724C5" w:rsidRDefault="00A009FF" w:rsidP="00C724C5">
      <w:pPr>
        <w:pStyle w:val="Heading1"/>
        <w:rPr>
          <w:rFonts w:ascii="Arial" w:hAnsi="Arial" w:cs="Arial"/>
          <w:b w:val="0"/>
          <w:bCs w:val="0"/>
          <w:sz w:val="24"/>
          <w:szCs w:val="24"/>
        </w:rPr>
      </w:pPr>
      <w:bookmarkStart w:id="5" w:name="_Toc216440804"/>
      <w:r w:rsidRPr="00C724C5">
        <w:rPr>
          <w:rFonts w:ascii="Arial" w:hAnsi="Arial" w:cs="Arial"/>
          <w:sz w:val="24"/>
          <w:szCs w:val="24"/>
        </w:rPr>
        <w:t>Conclusion</w:t>
      </w:r>
      <w:bookmarkEnd w:id="5"/>
      <w:r w:rsidRPr="00C724C5">
        <w:rPr>
          <w:rFonts w:ascii="Arial" w:hAnsi="Arial" w:cs="Arial"/>
          <w:sz w:val="24"/>
          <w:szCs w:val="24"/>
        </w:rPr>
        <w:t xml:space="preserve"> </w:t>
      </w:r>
    </w:p>
    <w:p w:rsidR="00E24DF1" w:rsidRPr="00E24DF1" w:rsidRDefault="00E24DF1" w:rsidP="00CA462D">
      <w:pPr>
        <w:spacing w:after="240" w:line="360" w:lineRule="auto"/>
        <w:jc w:val="both"/>
        <w:rPr>
          <w:rFonts w:ascii="Arial" w:hAnsi="Arial" w:cs="Arial"/>
          <w:bCs/>
          <w:sz w:val="22"/>
        </w:rPr>
      </w:pPr>
      <w:r w:rsidRPr="00E24DF1">
        <w:rPr>
          <w:rFonts w:ascii="Arial" w:hAnsi="Arial" w:cs="Arial"/>
          <w:bCs/>
          <w:sz w:val="22"/>
        </w:rPr>
        <w:t>In conclusion, the Sustainable Development Goals represent a comprehensive framework for addressing the world’s most pressing challenges. They emphasize the interconnectedness of economic growth, social inclusion, and environmental sustainability. While significant progress has been made, persistent inequalities, climate risks, and resource gaps remain obstacles. The SDGs ultimately serve as both a roadmap and a moral imperative: to ensure that development today does not compromise the well-being of future generations. Their success depends on global solidarity, local action, and unwavering commitment to the principle of leaving no one behind.</w:t>
      </w:r>
    </w:p>
    <w:p w:rsidR="009A2155" w:rsidRDefault="009A2155" w:rsidP="00CA462D">
      <w:pPr>
        <w:spacing w:after="240" w:line="360" w:lineRule="auto"/>
        <w:jc w:val="both"/>
        <w:rPr>
          <w:rFonts w:ascii="Arial" w:hAnsi="Arial" w:cs="Arial"/>
          <w:sz w:val="22"/>
        </w:rPr>
      </w:pPr>
    </w:p>
    <w:p w:rsidR="00C724C5" w:rsidRDefault="00C724C5" w:rsidP="00CA462D">
      <w:pPr>
        <w:spacing w:after="240" w:line="360" w:lineRule="auto"/>
        <w:jc w:val="both"/>
        <w:rPr>
          <w:rFonts w:ascii="Arial" w:hAnsi="Arial" w:cs="Arial"/>
          <w:sz w:val="22"/>
        </w:rPr>
      </w:pPr>
    </w:p>
    <w:p w:rsidR="00C724C5" w:rsidRDefault="00C724C5" w:rsidP="00CA462D">
      <w:pPr>
        <w:spacing w:after="240" w:line="360" w:lineRule="auto"/>
        <w:jc w:val="both"/>
        <w:rPr>
          <w:rFonts w:ascii="Arial" w:hAnsi="Arial" w:cs="Arial"/>
          <w:sz w:val="22"/>
        </w:rPr>
      </w:pPr>
    </w:p>
    <w:p w:rsidR="00C724C5" w:rsidRPr="00CA462D" w:rsidRDefault="00C724C5" w:rsidP="00CA462D">
      <w:pPr>
        <w:spacing w:after="240" w:line="360" w:lineRule="auto"/>
        <w:jc w:val="both"/>
        <w:rPr>
          <w:rFonts w:ascii="Arial" w:hAnsi="Arial" w:cs="Arial"/>
          <w:sz w:val="22"/>
        </w:rPr>
      </w:pPr>
    </w:p>
    <w:p w:rsidR="00F31D5C" w:rsidRPr="00C724C5" w:rsidRDefault="00A009FF" w:rsidP="00C724C5">
      <w:pPr>
        <w:pStyle w:val="Heading1"/>
        <w:rPr>
          <w:rFonts w:ascii="Arial" w:hAnsi="Arial" w:cs="Arial"/>
          <w:sz w:val="24"/>
          <w:szCs w:val="24"/>
        </w:rPr>
      </w:pPr>
      <w:bookmarkStart w:id="6" w:name="_Toc216440805"/>
      <w:r w:rsidRPr="00C724C5">
        <w:rPr>
          <w:rFonts w:ascii="Arial" w:hAnsi="Arial" w:cs="Arial"/>
          <w:sz w:val="24"/>
          <w:szCs w:val="24"/>
        </w:rPr>
        <w:t>References</w:t>
      </w:r>
      <w:bookmarkEnd w:id="6"/>
      <w:r w:rsidRPr="00C724C5">
        <w:rPr>
          <w:rFonts w:ascii="Arial" w:hAnsi="Arial" w:cs="Arial"/>
          <w:sz w:val="24"/>
          <w:szCs w:val="24"/>
        </w:rPr>
        <w:t xml:space="preserve"> </w:t>
      </w:r>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 xml:space="preserve">CIEH (2019) </w:t>
      </w:r>
      <w:r w:rsidRPr="00F31D5C">
        <w:rPr>
          <w:rFonts w:ascii="Arial" w:hAnsi="Arial" w:cs="Arial"/>
          <w:bCs/>
          <w:i/>
          <w:iCs/>
          <w:sz w:val="22"/>
        </w:rPr>
        <w:t>CIEH responds to UK Government’s revised Environmental Improvement Plan</w:t>
      </w:r>
      <w:r w:rsidRPr="00F31D5C">
        <w:rPr>
          <w:rFonts w:ascii="Arial" w:hAnsi="Arial" w:cs="Arial"/>
          <w:bCs/>
          <w:sz w:val="22"/>
        </w:rPr>
        <w:t xml:space="preserve">. Available at: </w:t>
      </w:r>
      <w:hyperlink r:id="rId10" w:history="1">
        <w:r w:rsidR="00C724C5" w:rsidRPr="00C66300">
          <w:rPr>
            <w:rStyle w:val="Hyperlink"/>
            <w:rFonts w:ascii="Arial" w:hAnsi="Arial" w:cs="Arial"/>
            <w:bCs/>
            <w:sz w:val="22"/>
          </w:rPr>
          <w:t>https://www.cieh.org/news/press-releases/2025/cieh-responds-to-uk-government-s-revised-environmental-improvement-plan/</w:t>
        </w:r>
      </w:hyperlink>
      <w:r w:rsidR="00C724C5">
        <w:rPr>
          <w:rFonts w:ascii="Arial" w:hAnsi="Arial" w:cs="Arial"/>
          <w:bCs/>
          <w:sz w:val="22"/>
        </w:rPr>
        <w:t xml:space="preserve">. </w:t>
      </w:r>
      <w:proofErr w:type="gramStart"/>
      <w:r>
        <w:rPr>
          <w:rFonts w:ascii="Arial" w:hAnsi="Arial" w:cs="Arial"/>
          <w:bCs/>
          <w:sz w:val="22"/>
        </w:rPr>
        <w:t>(Accessed: 12 November</w:t>
      </w:r>
      <w:r w:rsidRPr="00F31D5C">
        <w:rPr>
          <w:rFonts w:ascii="Arial" w:hAnsi="Arial" w:cs="Arial"/>
          <w:bCs/>
          <w:sz w:val="22"/>
        </w:rPr>
        <w:t xml:space="preserve"> 2025).</w:t>
      </w:r>
      <w:proofErr w:type="gramEnd"/>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Department for Environment, Food and Rural Affairs (</w:t>
      </w:r>
      <w:proofErr w:type="spellStart"/>
      <w:r w:rsidRPr="00F31D5C">
        <w:rPr>
          <w:rFonts w:ascii="Arial" w:hAnsi="Arial" w:cs="Arial"/>
          <w:bCs/>
          <w:sz w:val="22"/>
        </w:rPr>
        <w:t>Defra</w:t>
      </w:r>
      <w:proofErr w:type="spellEnd"/>
      <w:r w:rsidRPr="00F31D5C">
        <w:rPr>
          <w:rFonts w:ascii="Arial" w:hAnsi="Arial" w:cs="Arial"/>
          <w:bCs/>
          <w:sz w:val="22"/>
        </w:rPr>
        <w:t xml:space="preserve">) (2025) </w:t>
      </w:r>
      <w:r w:rsidRPr="00F31D5C">
        <w:rPr>
          <w:rFonts w:ascii="Arial" w:hAnsi="Arial" w:cs="Arial"/>
          <w:bCs/>
          <w:i/>
          <w:iCs/>
          <w:sz w:val="22"/>
        </w:rPr>
        <w:t>Environmental Improvement Plan (EIP) 2025</w:t>
      </w:r>
      <w:r w:rsidRPr="00F31D5C">
        <w:rPr>
          <w:rFonts w:ascii="Arial" w:hAnsi="Arial" w:cs="Arial"/>
          <w:bCs/>
          <w:sz w:val="22"/>
        </w:rPr>
        <w:t xml:space="preserve">. Available at: </w:t>
      </w:r>
      <w:hyperlink r:id="rId11" w:history="1">
        <w:r w:rsidR="00C724C5" w:rsidRPr="00C66300">
          <w:rPr>
            <w:rStyle w:val="Hyperlink"/>
            <w:rFonts w:ascii="Arial" w:hAnsi="Arial" w:cs="Arial"/>
            <w:bCs/>
            <w:sz w:val="22"/>
          </w:rPr>
          <w:t>https://www.gov.uk/government/publications/environmental-improvement-plan-2025/environmental-improvement-plan-eip-2025</w:t>
        </w:r>
      </w:hyperlink>
      <w:r w:rsidR="00C724C5">
        <w:rPr>
          <w:rFonts w:ascii="Arial" w:hAnsi="Arial" w:cs="Arial"/>
          <w:bCs/>
          <w:sz w:val="22"/>
        </w:rPr>
        <w:t xml:space="preserve">. </w:t>
      </w:r>
      <w:proofErr w:type="gramStart"/>
      <w:r w:rsidR="00C724C5">
        <w:rPr>
          <w:rFonts w:ascii="Arial" w:hAnsi="Arial" w:cs="Arial"/>
          <w:bCs/>
          <w:sz w:val="22"/>
        </w:rPr>
        <w:t>(Accessed 11 December 2025).</w:t>
      </w:r>
      <w:proofErr w:type="gramEnd"/>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 xml:space="preserve">GOV.UK (2021) </w:t>
      </w:r>
      <w:r w:rsidRPr="00F31D5C">
        <w:rPr>
          <w:rFonts w:ascii="Arial" w:hAnsi="Arial" w:cs="Arial"/>
          <w:bCs/>
          <w:i/>
          <w:iCs/>
          <w:sz w:val="22"/>
        </w:rPr>
        <w:t>Implementing the Sustainable Development Goals</w:t>
      </w:r>
      <w:r w:rsidRPr="00F31D5C">
        <w:rPr>
          <w:rFonts w:ascii="Arial" w:hAnsi="Arial" w:cs="Arial"/>
          <w:bCs/>
          <w:sz w:val="22"/>
        </w:rPr>
        <w:t xml:space="preserve">. Available at: </w:t>
      </w:r>
      <w:hyperlink r:id="rId12" w:history="1">
        <w:r w:rsidR="00C724C5" w:rsidRPr="00C66300">
          <w:rPr>
            <w:rStyle w:val="Hyperlink"/>
            <w:rFonts w:ascii="Arial" w:hAnsi="Arial" w:cs="Arial"/>
            <w:bCs/>
            <w:sz w:val="22"/>
          </w:rPr>
          <w:t>https://www.gov.uk/government/publications/implementing-the-sustainable-development-goals/implementing-the-sustainable-development-goals--2</w:t>
        </w:r>
      </w:hyperlink>
      <w:r w:rsidRPr="00C724C5">
        <w:rPr>
          <w:rFonts w:ascii="Arial" w:hAnsi="Arial" w:cs="Arial"/>
          <w:bCs/>
          <w:sz w:val="22"/>
        </w:rPr>
        <w:t>.</w:t>
      </w:r>
      <w:r w:rsidR="00C724C5">
        <w:rPr>
          <w:rFonts w:ascii="Arial" w:hAnsi="Arial" w:cs="Arial"/>
          <w:bCs/>
          <w:sz w:val="22"/>
        </w:rPr>
        <w:t xml:space="preserve"> </w:t>
      </w:r>
      <w:proofErr w:type="gramStart"/>
      <w:r w:rsidRPr="00C724C5">
        <w:rPr>
          <w:rFonts w:ascii="Arial" w:hAnsi="Arial" w:cs="Arial"/>
          <w:bCs/>
          <w:sz w:val="22"/>
        </w:rPr>
        <w:t>(Accessed</w:t>
      </w:r>
      <w:r>
        <w:rPr>
          <w:rFonts w:ascii="Arial" w:hAnsi="Arial" w:cs="Arial"/>
          <w:bCs/>
          <w:sz w:val="22"/>
        </w:rPr>
        <w:t xml:space="preserve"> 20 November 2025).</w:t>
      </w:r>
      <w:proofErr w:type="gramEnd"/>
    </w:p>
    <w:p w:rsidR="00F31D5C" w:rsidRPr="00F31D5C" w:rsidRDefault="00F31D5C" w:rsidP="00C724C5">
      <w:pPr>
        <w:spacing w:after="240" w:line="360" w:lineRule="auto"/>
        <w:ind w:left="142"/>
        <w:rPr>
          <w:rFonts w:ascii="Arial" w:hAnsi="Arial" w:cs="Arial"/>
          <w:bCs/>
          <w:sz w:val="22"/>
        </w:rPr>
      </w:pPr>
      <w:proofErr w:type="spellStart"/>
      <w:proofErr w:type="gramStart"/>
      <w:r w:rsidRPr="00F31D5C">
        <w:rPr>
          <w:rFonts w:ascii="Arial" w:hAnsi="Arial" w:cs="Arial"/>
          <w:bCs/>
          <w:sz w:val="22"/>
        </w:rPr>
        <w:t>Gyeltshen</w:t>
      </w:r>
      <w:proofErr w:type="spellEnd"/>
      <w:r w:rsidRPr="00F31D5C">
        <w:rPr>
          <w:rFonts w:ascii="Arial" w:hAnsi="Arial" w:cs="Arial"/>
          <w:bCs/>
          <w:sz w:val="22"/>
        </w:rPr>
        <w:t xml:space="preserve">, J. (2022) ‘Bhutan’s sustainable development initiatives and Gross National Happiness’, in </w:t>
      </w:r>
      <w:r w:rsidRPr="00F31D5C">
        <w:rPr>
          <w:rFonts w:ascii="Arial" w:hAnsi="Arial" w:cs="Arial"/>
          <w:bCs/>
          <w:i/>
          <w:iCs/>
          <w:sz w:val="22"/>
        </w:rPr>
        <w:t>Sustainable Development: Asia-Pacific Perspectives</w:t>
      </w:r>
      <w:r w:rsidRPr="00F31D5C">
        <w:rPr>
          <w:rFonts w:ascii="Arial" w:hAnsi="Arial" w:cs="Arial"/>
          <w:bCs/>
          <w:sz w:val="22"/>
        </w:rPr>
        <w:t>.</w:t>
      </w:r>
      <w:proofErr w:type="gramEnd"/>
      <w:r w:rsidRPr="00F31D5C">
        <w:rPr>
          <w:rFonts w:ascii="Arial" w:hAnsi="Arial" w:cs="Arial"/>
          <w:bCs/>
          <w:sz w:val="22"/>
        </w:rPr>
        <w:t xml:space="preserve"> </w:t>
      </w:r>
      <w:proofErr w:type="gramStart"/>
      <w:r w:rsidRPr="00F31D5C">
        <w:rPr>
          <w:rFonts w:ascii="Arial" w:hAnsi="Arial" w:cs="Arial"/>
          <w:bCs/>
          <w:sz w:val="22"/>
        </w:rPr>
        <w:t>Cambridge University Press.</w:t>
      </w:r>
      <w:proofErr w:type="gramEnd"/>
      <w:r w:rsidRPr="00F31D5C">
        <w:rPr>
          <w:rFonts w:ascii="Arial" w:hAnsi="Arial" w:cs="Arial"/>
          <w:bCs/>
          <w:sz w:val="22"/>
        </w:rPr>
        <w:t xml:space="preserve"> Available at: </w:t>
      </w:r>
      <w:hyperlink r:id="rId13" w:history="1">
        <w:r w:rsidRPr="00C66300">
          <w:rPr>
            <w:rStyle w:val="Hyperlink"/>
            <w:rFonts w:ascii="Arial" w:hAnsi="Arial" w:cs="Arial"/>
            <w:bCs/>
            <w:sz w:val="22"/>
          </w:rPr>
          <w:t>https://www.cambridge.org/core/books/abs/sustainable-development-asiapacific-perspectives/bhutans-sustainable-development-initiatives-and-gross-national-happiness/CE7795D37FFC6D11A597BBE477DC20BF</w:t>
        </w:r>
      </w:hyperlink>
      <w:r>
        <w:rPr>
          <w:rFonts w:ascii="Arial" w:hAnsi="Arial" w:cs="Arial"/>
          <w:bCs/>
          <w:sz w:val="22"/>
        </w:rPr>
        <w:t xml:space="preserve">. </w:t>
      </w:r>
      <w:proofErr w:type="gramStart"/>
      <w:r>
        <w:rPr>
          <w:rFonts w:ascii="Arial" w:hAnsi="Arial" w:cs="Arial"/>
          <w:bCs/>
          <w:sz w:val="22"/>
        </w:rPr>
        <w:t>(Accessed 1 December 2025).</w:t>
      </w:r>
      <w:proofErr w:type="gramEnd"/>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 xml:space="preserve">Haldane, V., </w:t>
      </w:r>
      <w:proofErr w:type="spellStart"/>
      <w:r w:rsidRPr="00F31D5C">
        <w:rPr>
          <w:rFonts w:ascii="Arial" w:hAnsi="Arial" w:cs="Arial"/>
          <w:bCs/>
          <w:sz w:val="22"/>
        </w:rPr>
        <w:t>Chuah</w:t>
      </w:r>
      <w:proofErr w:type="spellEnd"/>
      <w:r w:rsidRPr="00F31D5C">
        <w:rPr>
          <w:rFonts w:ascii="Arial" w:hAnsi="Arial" w:cs="Arial"/>
          <w:bCs/>
          <w:sz w:val="22"/>
        </w:rPr>
        <w:t xml:space="preserve">, F.L.H., </w:t>
      </w:r>
      <w:proofErr w:type="spellStart"/>
      <w:r w:rsidRPr="00F31D5C">
        <w:rPr>
          <w:rFonts w:ascii="Arial" w:hAnsi="Arial" w:cs="Arial"/>
          <w:bCs/>
          <w:sz w:val="22"/>
        </w:rPr>
        <w:t>Srivastava</w:t>
      </w:r>
      <w:proofErr w:type="spellEnd"/>
      <w:r w:rsidRPr="00F31D5C">
        <w:rPr>
          <w:rFonts w:ascii="Arial" w:hAnsi="Arial" w:cs="Arial"/>
          <w:bCs/>
          <w:sz w:val="22"/>
        </w:rPr>
        <w:t xml:space="preserve">, A., Singh, S.R., </w:t>
      </w:r>
      <w:proofErr w:type="spellStart"/>
      <w:r w:rsidRPr="00F31D5C">
        <w:rPr>
          <w:rFonts w:ascii="Arial" w:hAnsi="Arial" w:cs="Arial"/>
          <w:bCs/>
          <w:sz w:val="22"/>
        </w:rPr>
        <w:t>Koh</w:t>
      </w:r>
      <w:proofErr w:type="spellEnd"/>
      <w:r w:rsidRPr="00F31D5C">
        <w:rPr>
          <w:rFonts w:ascii="Arial" w:hAnsi="Arial" w:cs="Arial"/>
          <w:bCs/>
          <w:sz w:val="22"/>
        </w:rPr>
        <w:t xml:space="preserve">, G.C.H., </w:t>
      </w:r>
      <w:proofErr w:type="spellStart"/>
      <w:r w:rsidRPr="00F31D5C">
        <w:rPr>
          <w:rFonts w:ascii="Arial" w:hAnsi="Arial" w:cs="Arial"/>
          <w:bCs/>
          <w:sz w:val="22"/>
        </w:rPr>
        <w:t>Seng</w:t>
      </w:r>
      <w:proofErr w:type="spellEnd"/>
      <w:r w:rsidRPr="00F31D5C">
        <w:rPr>
          <w:rFonts w:ascii="Arial" w:hAnsi="Arial" w:cs="Arial"/>
          <w:bCs/>
          <w:sz w:val="22"/>
        </w:rPr>
        <w:t xml:space="preserve">, C.K. and </w:t>
      </w:r>
      <w:proofErr w:type="spellStart"/>
      <w:r w:rsidRPr="00F31D5C">
        <w:rPr>
          <w:rFonts w:ascii="Arial" w:hAnsi="Arial" w:cs="Arial"/>
          <w:bCs/>
          <w:sz w:val="22"/>
        </w:rPr>
        <w:t>Legido</w:t>
      </w:r>
      <w:proofErr w:type="spellEnd"/>
      <w:r w:rsidRPr="00F31D5C">
        <w:rPr>
          <w:rFonts w:ascii="Arial" w:hAnsi="Arial" w:cs="Arial"/>
          <w:bCs/>
          <w:sz w:val="22"/>
        </w:rPr>
        <w:t xml:space="preserve">-Quigley, H. (2019) ‘Community participation in health services development, implementation, and evaluation: a systematic review of empowerment, health, community, and process outcomes’, </w:t>
      </w:r>
      <w:proofErr w:type="spellStart"/>
      <w:r w:rsidRPr="00F31D5C">
        <w:rPr>
          <w:rFonts w:ascii="Arial" w:hAnsi="Arial" w:cs="Arial"/>
          <w:bCs/>
          <w:i/>
          <w:iCs/>
          <w:sz w:val="22"/>
        </w:rPr>
        <w:t>PLoS</w:t>
      </w:r>
      <w:proofErr w:type="spellEnd"/>
      <w:r w:rsidRPr="00F31D5C">
        <w:rPr>
          <w:rFonts w:ascii="Arial" w:hAnsi="Arial" w:cs="Arial"/>
          <w:bCs/>
          <w:i/>
          <w:iCs/>
          <w:sz w:val="22"/>
        </w:rPr>
        <w:t xml:space="preserve"> One</w:t>
      </w:r>
      <w:r w:rsidRPr="00F31D5C">
        <w:rPr>
          <w:rFonts w:ascii="Arial" w:hAnsi="Arial" w:cs="Arial"/>
          <w:bCs/>
          <w:sz w:val="22"/>
        </w:rPr>
        <w:t xml:space="preserve">, 14(5). </w:t>
      </w:r>
      <w:proofErr w:type="spellStart"/>
      <w:proofErr w:type="gramStart"/>
      <w:r w:rsidRPr="00F31D5C">
        <w:rPr>
          <w:rFonts w:ascii="Arial" w:hAnsi="Arial" w:cs="Arial"/>
          <w:bCs/>
          <w:sz w:val="22"/>
        </w:rPr>
        <w:t>doi</w:t>
      </w:r>
      <w:proofErr w:type="spellEnd"/>
      <w:proofErr w:type="gramEnd"/>
      <w:r w:rsidRPr="00F31D5C">
        <w:rPr>
          <w:rFonts w:ascii="Arial" w:hAnsi="Arial" w:cs="Arial"/>
          <w:bCs/>
          <w:sz w:val="22"/>
        </w:rPr>
        <w:t>: https://doi.org/10.1371/journal.pone.0216112..</w:t>
      </w:r>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 xml:space="preserve">Local Government Association (LGA) (2025) </w:t>
      </w:r>
      <w:r w:rsidRPr="00F31D5C">
        <w:rPr>
          <w:rFonts w:ascii="Arial" w:hAnsi="Arial" w:cs="Arial"/>
          <w:bCs/>
          <w:i/>
          <w:iCs/>
          <w:sz w:val="22"/>
        </w:rPr>
        <w:t>London Borough of Tower Hamlets: Community-led projects to improve health and reduce the incidence of long-term conditions</w:t>
      </w:r>
      <w:r w:rsidRPr="00F31D5C">
        <w:rPr>
          <w:rFonts w:ascii="Arial" w:hAnsi="Arial" w:cs="Arial"/>
          <w:bCs/>
          <w:sz w:val="22"/>
        </w:rPr>
        <w:t>. Available at: https://www.local.gov.uk/case-studies/london-borough-tower-hamlets-community-led-projects-improve-health-and-reduce (Accessed: 15 November 2025).</w:t>
      </w:r>
    </w:p>
    <w:p w:rsidR="00F31D5C" w:rsidRPr="00F31D5C" w:rsidRDefault="00F31D5C" w:rsidP="00C724C5">
      <w:pPr>
        <w:spacing w:after="240" w:line="360" w:lineRule="auto"/>
        <w:ind w:left="142"/>
        <w:rPr>
          <w:rFonts w:ascii="Arial" w:hAnsi="Arial" w:cs="Arial"/>
          <w:bCs/>
          <w:sz w:val="22"/>
        </w:rPr>
      </w:pPr>
      <w:proofErr w:type="gramStart"/>
      <w:r w:rsidRPr="00F31D5C">
        <w:rPr>
          <w:rFonts w:ascii="Arial" w:hAnsi="Arial" w:cs="Arial"/>
          <w:bCs/>
          <w:sz w:val="22"/>
        </w:rPr>
        <w:t xml:space="preserve">Marmot, M. (2005) ‘Social determinants of health inequalities’, </w:t>
      </w:r>
      <w:r w:rsidRPr="00F31D5C">
        <w:rPr>
          <w:rFonts w:ascii="Arial" w:hAnsi="Arial" w:cs="Arial"/>
          <w:bCs/>
          <w:i/>
          <w:iCs/>
          <w:sz w:val="22"/>
        </w:rPr>
        <w:t>The Lancet</w:t>
      </w:r>
      <w:r w:rsidRPr="00F31D5C">
        <w:rPr>
          <w:rFonts w:ascii="Arial" w:hAnsi="Arial" w:cs="Arial"/>
          <w:bCs/>
          <w:sz w:val="22"/>
        </w:rPr>
        <w:t>, 365(9464), pp. 1099–1104.</w:t>
      </w:r>
      <w:proofErr w:type="gramEnd"/>
      <w:r w:rsidRPr="00F31D5C">
        <w:rPr>
          <w:rFonts w:ascii="Arial" w:hAnsi="Arial" w:cs="Arial"/>
          <w:bCs/>
          <w:sz w:val="22"/>
        </w:rPr>
        <w:t xml:space="preserve"> </w:t>
      </w:r>
      <w:proofErr w:type="spellStart"/>
      <w:proofErr w:type="gramStart"/>
      <w:r w:rsidRPr="00F31D5C">
        <w:rPr>
          <w:rFonts w:ascii="Arial" w:hAnsi="Arial" w:cs="Arial"/>
          <w:bCs/>
          <w:sz w:val="22"/>
        </w:rPr>
        <w:t>doi</w:t>
      </w:r>
      <w:proofErr w:type="spellEnd"/>
      <w:proofErr w:type="gramEnd"/>
      <w:r w:rsidRPr="00F31D5C">
        <w:rPr>
          <w:rFonts w:ascii="Arial" w:hAnsi="Arial" w:cs="Arial"/>
          <w:bCs/>
          <w:sz w:val="22"/>
        </w:rPr>
        <w:t>: https://doi.org/10.1016/s0140-6736(05)71146-6.</w:t>
      </w:r>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 xml:space="preserve">Marmot, M. (2010) </w:t>
      </w:r>
      <w:r w:rsidRPr="00F31D5C">
        <w:rPr>
          <w:rFonts w:ascii="Arial" w:hAnsi="Arial" w:cs="Arial"/>
          <w:bCs/>
          <w:i/>
          <w:iCs/>
          <w:sz w:val="22"/>
        </w:rPr>
        <w:t>Fair society, healthy lives: the Marmot Review: strategic review of health inequalities in England post-2010</w:t>
      </w:r>
      <w:r w:rsidRPr="00F31D5C">
        <w:rPr>
          <w:rFonts w:ascii="Arial" w:hAnsi="Arial" w:cs="Arial"/>
          <w:bCs/>
          <w:sz w:val="22"/>
        </w:rPr>
        <w:t xml:space="preserve">. Available at: </w:t>
      </w:r>
      <w:hyperlink r:id="rId14" w:history="1">
        <w:r w:rsidRPr="00C66300">
          <w:rPr>
            <w:rStyle w:val="Hyperlink"/>
            <w:rFonts w:ascii="Arial" w:hAnsi="Arial" w:cs="Arial"/>
            <w:bCs/>
            <w:sz w:val="22"/>
          </w:rPr>
          <w:t>https://www.gov.uk/research-for-development-outputs/fair-society-healthy-lives-the-marmot-review-strategic-review-of-health-inequalities-in-england-post-2010</w:t>
        </w:r>
      </w:hyperlink>
      <w:r>
        <w:rPr>
          <w:rFonts w:ascii="Arial" w:hAnsi="Arial" w:cs="Arial"/>
          <w:bCs/>
          <w:sz w:val="22"/>
        </w:rPr>
        <w:t xml:space="preserve">. </w:t>
      </w:r>
      <w:proofErr w:type="gramStart"/>
      <w:r>
        <w:rPr>
          <w:rFonts w:ascii="Arial" w:hAnsi="Arial" w:cs="Arial"/>
          <w:bCs/>
          <w:sz w:val="22"/>
        </w:rPr>
        <w:t>(Accessed 7 November 2025).</w:t>
      </w:r>
      <w:proofErr w:type="gramEnd"/>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Marmot, M. (2017) ‘</w:t>
      </w:r>
      <w:proofErr w:type="gramStart"/>
      <w:r w:rsidRPr="00F31D5C">
        <w:rPr>
          <w:rFonts w:ascii="Arial" w:hAnsi="Arial" w:cs="Arial"/>
          <w:bCs/>
          <w:sz w:val="22"/>
        </w:rPr>
        <w:t>The</w:t>
      </w:r>
      <w:proofErr w:type="gramEnd"/>
      <w:r w:rsidRPr="00F31D5C">
        <w:rPr>
          <w:rFonts w:ascii="Arial" w:hAnsi="Arial" w:cs="Arial"/>
          <w:bCs/>
          <w:sz w:val="22"/>
        </w:rPr>
        <w:t xml:space="preserve"> health gap: the challenge of an unequal world: the argument’, </w:t>
      </w:r>
      <w:r w:rsidRPr="00F31D5C">
        <w:rPr>
          <w:rFonts w:ascii="Arial" w:hAnsi="Arial" w:cs="Arial"/>
          <w:bCs/>
          <w:i/>
          <w:iCs/>
          <w:sz w:val="22"/>
        </w:rPr>
        <w:t>International Journal of Epidemiology</w:t>
      </w:r>
      <w:r w:rsidRPr="00F31D5C">
        <w:rPr>
          <w:rFonts w:ascii="Arial" w:hAnsi="Arial" w:cs="Arial"/>
          <w:bCs/>
          <w:sz w:val="22"/>
        </w:rPr>
        <w:t xml:space="preserve">, 46(4), pp. 1312–1318. </w:t>
      </w:r>
      <w:proofErr w:type="spellStart"/>
      <w:proofErr w:type="gramStart"/>
      <w:r w:rsidRPr="00F31D5C">
        <w:rPr>
          <w:rFonts w:ascii="Arial" w:hAnsi="Arial" w:cs="Arial"/>
          <w:bCs/>
          <w:sz w:val="22"/>
        </w:rPr>
        <w:t>doi</w:t>
      </w:r>
      <w:proofErr w:type="spellEnd"/>
      <w:proofErr w:type="gramEnd"/>
      <w:r w:rsidRPr="00F31D5C">
        <w:rPr>
          <w:rFonts w:ascii="Arial" w:hAnsi="Arial" w:cs="Arial"/>
          <w:bCs/>
          <w:sz w:val="22"/>
        </w:rPr>
        <w:t>: https://doi.org/10.1093/ije/dyx163..</w:t>
      </w:r>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 xml:space="preserve">Office for National Statistics (2023) </w:t>
      </w:r>
      <w:r w:rsidRPr="00F31D5C">
        <w:rPr>
          <w:rFonts w:ascii="Arial" w:hAnsi="Arial" w:cs="Arial"/>
          <w:bCs/>
          <w:i/>
          <w:iCs/>
          <w:sz w:val="22"/>
        </w:rPr>
        <w:t>UK Measures of National Well-being: review and latest insights</w:t>
      </w:r>
      <w:r w:rsidRPr="00F31D5C">
        <w:rPr>
          <w:rFonts w:ascii="Arial" w:hAnsi="Arial" w:cs="Arial"/>
          <w:bCs/>
          <w:sz w:val="22"/>
        </w:rPr>
        <w:t xml:space="preserve">. Available at: </w:t>
      </w:r>
      <w:hyperlink r:id="rId15" w:history="1">
        <w:r w:rsidR="00A078C1" w:rsidRPr="00C66300">
          <w:rPr>
            <w:rStyle w:val="Hyperlink"/>
            <w:rFonts w:ascii="Arial" w:hAnsi="Arial" w:cs="Arial"/>
            <w:bCs/>
            <w:sz w:val="22"/>
          </w:rPr>
          <w:t>https://www.ons.gov.uk/releases/ukmeasuresofnationalwellbeingreviewandlatestinsights</w:t>
        </w:r>
      </w:hyperlink>
      <w:r w:rsidR="00A078C1">
        <w:rPr>
          <w:rFonts w:ascii="Arial" w:hAnsi="Arial" w:cs="Arial"/>
          <w:bCs/>
          <w:sz w:val="22"/>
        </w:rPr>
        <w:t xml:space="preserve">. </w:t>
      </w:r>
      <w:proofErr w:type="gramStart"/>
      <w:r w:rsidR="00A078C1">
        <w:rPr>
          <w:rFonts w:ascii="Arial" w:hAnsi="Arial" w:cs="Arial"/>
          <w:bCs/>
          <w:sz w:val="22"/>
        </w:rPr>
        <w:t>(Accessed 11 December 2025).</w:t>
      </w:r>
      <w:proofErr w:type="gramEnd"/>
    </w:p>
    <w:p w:rsidR="00F31D5C" w:rsidRPr="00F31D5C" w:rsidRDefault="00F31D5C" w:rsidP="00C724C5">
      <w:pPr>
        <w:spacing w:after="240" w:line="360" w:lineRule="auto"/>
        <w:ind w:left="142"/>
        <w:rPr>
          <w:rFonts w:ascii="Arial" w:hAnsi="Arial" w:cs="Arial"/>
          <w:bCs/>
          <w:sz w:val="22"/>
        </w:rPr>
      </w:pPr>
      <w:proofErr w:type="gramStart"/>
      <w:r w:rsidRPr="00F31D5C">
        <w:rPr>
          <w:rFonts w:ascii="Arial" w:hAnsi="Arial" w:cs="Arial"/>
          <w:bCs/>
          <w:sz w:val="22"/>
        </w:rPr>
        <w:t xml:space="preserve">NHS (2019) </w:t>
      </w:r>
      <w:r w:rsidRPr="00F31D5C">
        <w:rPr>
          <w:rFonts w:ascii="Arial" w:hAnsi="Arial" w:cs="Arial"/>
          <w:bCs/>
          <w:i/>
          <w:iCs/>
          <w:sz w:val="22"/>
        </w:rPr>
        <w:t>HUDU Planning for Health</w:t>
      </w:r>
      <w:r w:rsidRPr="00F31D5C">
        <w:rPr>
          <w:rFonts w:ascii="Arial" w:hAnsi="Arial" w:cs="Arial"/>
          <w:bCs/>
          <w:sz w:val="22"/>
        </w:rPr>
        <w:t>.</w:t>
      </w:r>
      <w:proofErr w:type="gramEnd"/>
      <w:r w:rsidRPr="00F31D5C">
        <w:rPr>
          <w:rFonts w:ascii="Arial" w:hAnsi="Arial" w:cs="Arial"/>
          <w:bCs/>
          <w:sz w:val="22"/>
        </w:rPr>
        <w:t xml:space="preserve"> Available at: </w:t>
      </w:r>
      <w:hyperlink r:id="rId16" w:history="1">
        <w:r w:rsidRPr="00C66300">
          <w:rPr>
            <w:rStyle w:val="Hyperlink"/>
            <w:rFonts w:ascii="Arial" w:hAnsi="Arial" w:cs="Arial"/>
            <w:bCs/>
            <w:sz w:val="22"/>
          </w:rPr>
          <w:t>https://www.healthyurbandevelopment.nhs.uk/wp-content/uploads/2019/10/HUDU-Rapid-HIA-Tool-October-2019.pdf</w:t>
        </w:r>
      </w:hyperlink>
      <w:r>
        <w:rPr>
          <w:rFonts w:ascii="Arial" w:hAnsi="Arial" w:cs="Arial"/>
          <w:bCs/>
          <w:sz w:val="22"/>
        </w:rPr>
        <w:t xml:space="preserve">. </w:t>
      </w:r>
      <w:proofErr w:type="gramStart"/>
      <w:r>
        <w:rPr>
          <w:rFonts w:ascii="Arial" w:hAnsi="Arial" w:cs="Arial"/>
          <w:bCs/>
          <w:sz w:val="22"/>
        </w:rPr>
        <w:t>(Accessed 10 December 2025).</w:t>
      </w:r>
      <w:proofErr w:type="gramEnd"/>
    </w:p>
    <w:p w:rsidR="00F31D5C" w:rsidRDefault="00F31D5C" w:rsidP="00C724C5">
      <w:pPr>
        <w:spacing w:after="240" w:line="360" w:lineRule="auto"/>
        <w:ind w:left="142"/>
        <w:rPr>
          <w:rFonts w:ascii="Arial" w:hAnsi="Arial" w:cs="Arial"/>
          <w:bCs/>
          <w:sz w:val="22"/>
        </w:rPr>
      </w:pPr>
      <w:proofErr w:type="gramStart"/>
      <w:r w:rsidRPr="00F31D5C">
        <w:rPr>
          <w:rFonts w:ascii="Arial" w:hAnsi="Arial" w:cs="Arial"/>
          <w:bCs/>
          <w:sz w:val="22"/>
        </w:rPr>
        <w:t xml:space="preserve">Cabinet Office (2013) </w:t>
      </w:r>
      <w:r w:rsidRPr="00F31D5C">
        <w:rPr>
          <w:rFonts w:ascii="Arial" w:hAnsi="Arial" w:cs="Arial"/>
          <w:bCs/>
          <w:i/>
          <w:iCs/>
          <w:sz w:val="22"/>
        </w:rPr>
        <w:t>National wellbeing</w:t>
      </w:r>
      <w:r w:rsidRPr="00F31D5C">
        <w:rPr>
          <w:rFonts w:ascii="Arial" w:hAnsi="Arial" w:cs="Arial"/>
          <w:bCs/>
          <w:sz w:val="22"/>
        </w:rPr>
        <w:t>.</w:t>
      </w:r>
      <w:proofErr w:type="gramEnd"/>
      <w:r w:rsidRPr="00F31D5C">
        <w:rPr>
          <w:rFonts w:ascii="Arial" w:hAnsi="Arial" w:cs="Arial"/>
          <w:bCs/>
          <w:sz w:val="22"/>
        </w:rPr>
        <w:t xml:space="preserve"> Available at: </w:t>
      </w:r>
      <w:hyperlink r:id="rId17" w:history="1">
        <w:r w:rsidRPr="00C66300">
          <w:rPr>
            <w:rStyle w:val="Hyperlink"/>
            <w:rFonts w:ascii="Arial" w:hAnsi="Arial" w:cs="Arial"/>
            <w:bCs/>
            <w:sz w:val="22"/>
          </w:rPr>
          <w:t>https://www.gov.uk/government/collections/national-wellbeing</w:t>
        </w:r>
      </w:hyperlink>
      <w:r>
        <w:rPr>
          <w:rFonts w:ascii="Arial" w:hAnsi="Arial" w:cs="Arial"/>
          <w:bCs/>
          <w:sz w:val="22"/>
        </w:rPr>
        <w:t xml:space="preserve">. </w:t>
      </w:r>
      <w:proofErr w:type="gramStart"/>
      <w:r>
        <w:rPr>
          <w:rFonts w:ascii="Arial" w:hAnsi="Arial" w:cs="Arial"/>
          <w:bCs/>
          <w:sz w:val="22"/>
        </w:rPr>
        <w:t>(Accessed 10 December 2025).</w:t>
      </w:r>
      <w:proofErr w:type="gramEnd"/>
    </w:p>
    <w:p w:rsidR="00F31D5C" w:rsidRPr="00F31D5C" w:rsidRDefault="00F31D5C" w:rsidP="00C724C5">
      <w:pPr>
        <w:spacing w:after="240" w:line="360" w:lineRule="auto"/>
        <w:ind w:left="142"/>
        <w:rPr>
          <w:rFonts w:ascii="Arial" w:hAnsi="Arial" w:cs="Arial"/>
          <w:bCs/>
          <w:sz w:val="22"/>
        </w:rPr>
      </w:pPr>
      <w:proofErr w:type="gramStart"/>
      <w:r w:rsidRPr="00F31D5C">
        <w:rPr>
          <w:rFonts w:ascii="Arial" w:hAnsi="Arial" w:cs="Arial"/>
          <w:bCs/>
          <w:sz w:val="22"/>
        </w:rPr>
        <w:t>Holt-</w:t>
      </w:r>
      <w:proofErr w:type="spellStart"/>
      <w:r w:rsidRPr="00F31D5C">
        <w:rPr>
          <w:rFonts w:ascii="Arial" w:hAnsi="Arial" w:cs="Arial"/>
          <w:bCs/>
          <w:sz w:val="22"/>
        </w:rPr>
        <w:t>Lunstad</w:t>
      </w:r>
      <w:proofErr w:type="spellEnd"/>
      <w:r w:rsidRPr="00F31D5C">
        <w:rPr>
          <w:rFonts w:ascii="Arial" w:hAnsi="Arial" w:cs="Arial"/>
          <w:bCs/>
          <w:sz w:val="22"/>
        </w:rPr>
        <w:t>, J., et al. (2015).</w:t>
      </w:r>
      <w:proofErr w:type="gramEnd"/>
      <w:r w:rsidRPr="00F31D5C">
        <w:rPr>
          <w:rFonts w:ascii="Arial" w:hAnsi="Arial" w:cs="Arial"/>
          <w:bCs/>
          <w:sz w:val="22"/>
        </w:rPr>
        <w:t xml:space="preserve"> </w:t>
      </w:r>
      <w:proofErr w:type="gramStart"/>
      <w:r w:rsidRPr="00F31D5C">
        <w:rPr>
          <w:rFonts w:ascii="Arial" w:hAnsi="Arial" w:cs="Arial"/>
          <w:bCs/>
          <w:sz w:val="22"/>
        </w:rPr>
        <w:t>Loneliness and social isolation as risk factors for mortality.</w:t>
      </w:r>
      <w:proofErr w:type="gramEnd"/>
      <w:r w:rsidRPr="00F31D5C">
        <w:rPr>
          <w:rFonts w:ascii="Arial" w:hAnsi="Arial" w:cs="Arial"/>
          <w:bCs/>
          <w:sz w:val="22"/>
        </w:rPr>
        <w:t xml:space="preserve"> Perspectives on Psychological Science, 10(2), 227–237.</w:t>
      </w:r>
    </w:p>
    <w:p w:rsidR="00F31D5C" w:rsidRDefault="00F31D5C" w:rsidP="00C724C5">
      <w:pPr>
        <w:spacing w:after="240" w:line="360" w:lineRule="auto"/>
        <w:ind w:left="142"/>
        <w:rPr>
          <w:rFonts w:ascii="Arial" w:hAnsi="Arial" w:cs="Arial"/>
          <w:bCs/>
          <w:sz w:val="22"/>
        </w:rPr>
      </w:pPr>
      <w:proofErr w:type="gramStart"/>
      <w:r w:rsidRPr="00F31D5C">
        <w:rPr>
          <w:rFonts w:ascii="Arial" w:hAnsi="Arial" w:cs="Arial"/>
          <w:bCs/>
          <w:sz w:val="22"/>
        </w:rPr>
        <w:t xml:space="preserve">Our World in Data, Team and </w:t>
      </w:r>
      <w:proofErr w:type="spellStart"/>
      <w:r w:rsidRPr="00F31D5C">
        <w:rPr>
          <w:rFonts w:ascii="Arial" w:hAnsi="Arial" w:cs="Arial"/>
          <w:bCs/>
          <w:sz w:val="22"/>
        </w:rPr>
        <w:t>Roser</w:t>
      </w:r>
      <w:proofErr w:type="spellEnd"/>
      <w:r w:rsidRPr="00F31D5C">
        <w:rPr>
          <w:rFonts w:ascii="Arial" w:hAnsi="Arial" w:cs="Arial"/>
          <w:bCs/>
          <w:sz w:val="22"/>
        </w:rPr>
        <w:t xml:space="preserve">, M. (2023) ‘Reduce inequality within and among countries’, </w:t>
      </w:r>
      <w:r w:rsidRPr="00F31D5C">
        <w:rPr>
          <w:rFonts w:ascii="Arial" w:hAnsi="Arial" w:cs="Arial"/>
          <w:bCs/>
          <w:i/>
          <w:iCs/>
          <w:sz w:val="22"/>
        </w:rPr>
        <w:t>Our World in Data</w:t>
      </w:r>
      <w:r w:rsidRPr="00F31D5C">
        <w:rPr>
          <w:rFonts w:ascii="Arial" w:hAnsi="Arial" w:cs="Arial"/>
          <w:bCs/>
          <w:sz w:val="22"/>
        </w:rPr>
        <w:t>.</w:t>
      </w:r>
      <w:proofErr w:type="gramEnd"/>
      <w:r w:rsidRPr="00F31D5C">
        <w:rPr>
          <w:rFonts w:ascii="Arial" w:hAnsi="Arial" w:cs="Arial"/>
          <w:bCs/>
          <w:sz w:val="22"/>
        </w:rPr>
        <w:t xml:space="preserve"> Available at: </w:t>
      </w:r>
      <w:hyperlink r:id="rId18" w:history="1">
        <w:r w:rsidRPr="00C66300">
          <w:rPr>
            <w:rStyle w:val="Hyperlink"/>
            <w:rFonts w:ascii="Arial" w:hAnsi="Arial" w:cs="Arial"/>
            <w:bCs/>
            <w:sz w:val="22"/>
          </w:rPr>
          <w:t>https://ourworldindata.org/sdgs/reduced-inequalities#article-citation</w:t>
        </w:r>
      </w:hyperlink>
      <w:r>
        <w:rPr>
          <w:rFonts w:ascii="Arial" w:hAnsi="Arial" w:cs="Arial"/>
          <w:bCs/>
          <w:sz w:val="22"/>
        </w:rPr>
        <w:t xml:space="preserve">. </w:t>
      </w:r>
      <w:proofErr w:type="gramStart"/>
      <w:r>
        <w:rPr>
          <w:rFonts w:ascii="Arial" w:hAnsi="Arial" w:cs="Arial"/>
          <w:bCs/>
          <w:sz w:val="22"/>
        </w:rPr>
        <w:t>(Accessed 12 December 2025).</w:t>
      </w:r>
      <w:proofErr w:type="gramEnd"/>
    </w:p>
    <w:p w:rsidR="00A078C1" w:rsidRPr="00F31D5C" w:rsidRDefault="00A078C1" w:rsidP="00C724C5">
      <w:pPr>
        <w:spacing w:after="240" w:line="360" w:lineRule="auto"/>
        <w:ind w:left="142"/>
        <w:rPr>
          <w:rFonts w:ascii="Arial" w:hAnsi="Arial" w:cs="Arial"/>
          <w:bCs/>
          <w:sz w:val="22"/>
        </w:rPr>
      </w:pPr>
      <w:r w:rsidRPr="00A078C1">
        <w:rPr>
          <w:rFonts w:ascii="Arial" w:hAnsi="Arial" w:cs="Arial"/>
          <w:bCs/>
          <w:sz w:val="22"/>
        </w:rPr>
        <w:t xml:space="preserve">The King’s Fund (2022) </w:t>
      </w:r>
      <w:r w:rsidRPr="00A078C1">
        <w:rPr>
          <w:rFonts w:ascii="Arial" w:hAnsi="Arial" w:cs="Arial"/>
          <w:bCs/>
          <w:i/>
          <w:iCs/>
          <w:sz w:val="22"/>
        </w:rPr>
        <w:t>The Health and Care Act: Six Key Questions</w:t>
      </w:r>
      <w:r w:rsidRPr="00A078C1">
        <w:rPr>
          <w:rFonts w:ascii="Arial" w:hAnsi="Arial" w:cs="Arial"/>
          <w:bCs/>
          <w:sz w:val="22"/>
        </w:rPr>
        <w:t xml:space="preserve">. Available at: https://www.kingsfund.org.uk/insight-and-analysis/long-reads/health-and-care-act-key-questions. </w:t>
      </w:r>
      <w:proofErr w:type="gramStart"/>
      <w:r w:rsidRPr="00A078C1">
        <w:rPr>
          <w:rFonts w:ascii="Arial" w:hAnsi="Arial" w:cs="Arial"/>
          <w:bCs/>
          <w:sz w:val="22"/>
        </w:rPr>
        <w:t>(Accessed</w:t>
      </w:r>
      <w:r>
        <w:rPr>
          <w:rFonts w:ascii="Arial" w:hAnsi="Arial" w:cs="Arial"/>
          <w:bCs/>
          <w:sz w:val="22"/>
        </w:rPr>
        <w:t xml:space="preserve"> 11 December 2025).</w:t>
      </w:r>
      <w:proofErr w:type="gramEnd"/>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 xml:space="preserve">The World Bank (2023) </w:t>
      </w:r>
      <w:r w:rsidRPr="00F31D5C">
        <w:rPr>
          <w:rFonts w:ascii="Arial" w:hAnsi="Arial" w:cs="Arial"/>
          <w:bCs/>
          <w:i/>
          <w:iCs/>
          <w:sz w:val="22"/>
        </w:rPr>
        <w:t>Reduced Inequalities | SDG 10: Reduced Inequalities</w:t>
      </w:r>
      <w:r w:rsidRPr="00F31D5C">
        <w:rPr>
          <w:rFonts w:ascii="Arial" w:hAnsi="Arial" w:cs="Arial"/>
          <w:bCs/>
          <w:sz w:val="22"/>
        </w:rPr>
        <w:t xml:space="preserve">. Available at: </w:t>
      </w:r>
      <w:hyperlink r:id="rId19" w:history="1">
        <w:r w:rsidR="00A078C1" w:rsidRPr="00C66300">
          <w:rPr>
            <w:rStyle w:val="Hyperlink"/>
            <w:rFonts w:ascii="Arial" w:hAnsi="Arial" w:cs="Arial"/>
            <w:bCs/>
            <w:sz w:val="22"/>
          </w:rPr>
          <w:t>https://datatopics.worldbank.org/sdgatlas/goal-10-reduced-inequalities/?lang=en</w:t>
        </w:r>
      </w:hyperlink>
      <w:proofErr w:type="gramStart"/>
      <w:r w:rsidR="00A078C1">
        <w:rPr>
          <w:rFonts w:ascii="Arial" w:hAnsi="Arial" w:cs="Arial"/>
          <w:bCs/>
          <w:sz w:val="22"/>
        </w:rPr>
        <w:t>.(</w:t>
      </w:r>
      <w:proofErr w:type="gramEnd"/>
      <w:r w:rsidR="00A078C1">
        <w:rPr>
          <w:rFonts w:ascii="Arial" w:hAnsi="Arial" w:cs="Arial"/>
          <w:bCs/>
          <w:sz w:val="22"/>
        </w:rPr>
        <w:t xml:space="preserve"> Accessed 6 December 2025).</w:t>
      </w:r>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 xml:space="preserve">United Nations Environment Programme (UNEP) (2025) </w:t>
      </w:r>
      <w:r w:rsidRPr="00F31D5C">
        <w:rPr>
          <w:rFonts w:ascii="Arial" w:hAnsi="Arial" w:cs="Arial"/>
          <w:bCs/>
          <w:i/>
          <w:iCs/>
          <w:sz w:val="22"/>
        </w:rPr>
        <w:t>Goal 3: Good Health and Wellbeing</w:t>
      </w:r>
      <w:r w:rsidRPr="00F31D5C">
        <w:rPr>
          <w:rFonts w:ascii="Arial" w:hAnsi="Arial" w:cs="Arial"/>
          <w:bCs/>
          <w:sz w:val="22"/>
        </w:rPr>
        <w:t xml:space="preserve">. Available at: </w:t>
      </w:r>
      <w:hyperlink r:id="rId20" w:history="1">
        <w:r w:rsidR="00A078C1" w:rsidRPr="00C66300">
          <w:rPr>
            <w:rStyle w:val="Hyperlink"/>
            <w:rFonts w:ascii="Arial" w:hAnsi="Arial" w:cs="Arial"/>
            <w:bCs/>
            <w:sz w:val="22"/>
          </w:rPr>
          <w:t>https://www.unep.org/topics/sustainable-development-goals/why-do-sustainable-development-goals-matter/goal-3</w:t>
        </w:r>
      </w:hyperlink>
      <w:r w:rsidR="00A078C1">
        <w:rPr>
          <w:rFonts w:ascii="Arial" w:hAnsi="Arial" w:cs="Arial"/>
          <w:bCs/>
          <w:sz w:val="22"/>
        </w:rPr>
        <w:t xml:space="preserve">. </w:t>
      </w:r>
      <w:proofErr w:type="gramStart"/>
      <w:r w:rsidR="00A078C1">
        <w:rPr>
          <w:rFonts w:ascii="Arial" w:hAnsi="Arial" w:cs="Arial"/>
          <w:bCs/>
          <w:sz w:val="22"/>
        </w:rPr>
        <w:t>(Accessed 30 November 2025).</w:t>
      </w:r>
      <w:proofErr w:type="gramEnd"/>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 xml:space="preserve">UNICEF (2025) </w:t>
      </w:r>
      <w:r w:rsidRPr="00F31D5C">
        <w:rPr>
          <w:rFonts w:ascii="Arial" w:hAnsi="Arial" w:cs="Arial"/>
          <w:bCs/>
          <w:i/>
          <w:iCs/>
          <w:sz w:val="22"/>
        </w:rPr>
        <w:t>SDG Goal 3: Good Health and Well-being</w:t>
      </w:r>
      <w:r w:rsidRPr="00F31D5C">
        <w:rPr>
          <w:rFonts w:ascii="Arial" w:hAnsi="Arial" w:cs="Arial"/>
          <w:bCs/>
          <w:sz w:val="22"/>
        </w:rPr>
        <w:t xml:space="preserve">. Available at: </w:t>
      </w:r>
      <w:hyperlink r:id="rId21" w:history="1">
        <w:r w:rsidR="00A078C1" w:rsidRPr="00C66300">
          <w:rPr>
            <w:rStyle w:val="Hyperlink"/>
            <w:rFonts w:ascii="Arial" w:hAnsi="Arial" w:cs="Arial"/>
            <w:bCs/>
            <w:sz w:val="22"/>
          </w:rPr>
          <w:t>https://data.unicef.org/sdgs/goal-3-good-health-wellbeing/</w:t>
        </w:r>
      </w:hyperlink>
      <w:r w:rsidR="00A078C1">
        <w:rPr>
          <w:rFonts w:ascii="Arial" w:hAnsi="Arial" w:cs="Arial"/>
          <w:bCs/>
          <w:sz w:val="22"/>
        </w:rPr>
        <w:t xml:space="preserve">. </w:t>
      </w:r>
      <w:proofErr w:type="gramStart"/>
      <w:r w:rsidR="00A078C1">
        <w:rPr>
          <w:rFonts w:ascii="Arial" w:hAnsi="Arial" w:cs="Arial"/>
          <w:bCs/>
          <w:sz w:val="22"/>
        </w:rPr>
        <w:t>(Accessed 6 December 2025).</w:t>
      </w:r>
      <w:proofErr w:type="gramEnd"/>
    </w:p>
    <w:p w:rsidR="00F31D5C" w:rsidRPr="00F31D5C" w:rsidRDefault="00F31D5C" w:rsidP="00C724C5">
      <w:pPr>
        <w:spacing w:after="240" w:line="360" w:lineRule="auto"/>
        <w:ind w:left="142"/>
        <w:rPr>
          <w:rFonts w:ascii="Arial" w:hAnsi="Arial" w:cs="Arial"/>
          <w:bCs/>
          <w:sz w:val="22"/>
        </w:rPr>
      </w:pPr>
      <w:r w:rsidRPr="00F31D5C">
        <w:rPr>
          <w:rFonts w:ascii="Arial" w:hAnsi="Arial" w:cs="Arial"/>
          <w:bCs/>
          <w:sz w:val="22"/>
        </w:rPr>
        <w:t xml:space="preserve">United Nations (2025) </w:t>
      </w:r>
      <w:r w:rsidRPr="00F31D5C">
        <w:rPr>
          <w:rFonts w:ascii="Arial" w:hAnsi="Arial" w:cs="Arial"/>
          <w:bCs/>
          <w:i/>
          <w:iCs/>
          <w:sz w:val="22"/>
        </w:rPr>
        <w:t>Goal 10: Reduce inequality within and among countries</w:t>
      </w:r>
      <w:r w:rsidRPr="00F31D5C">
        <w:rPr>
          <w:rFonts w:ascii="Arial" w:hAnsi="Arial" w:cs="Arial"/>
          <w:bCs/>
          <w:sz w:val="22"/>
        </w:rPr>
        <w:t xml:space="preserve">. Available at: </w:t>
      </w:r>
      <w:r w:rsidR="00A078C1" w:rsidRPr="00A078C1">
        <w:rPr>
          <w:rFonts w:ascii="Arial" w:hAnsi="Arial" w:cs="Arial"/>
          <w:bCs/>
          <w:sz w:val="22"/>
        </w:rPr>
        <w:t>https://www.un.org/sustainabledevelopment/inequality/</w:t>
      </w:r>
      <w:r w:rsidR="00A078C1">
        <w:rPr>
          <w:rFonts w:ascii="Arial" w:hAnsi="Arial" w:cs="Arial"/>
          <w:bCs/>
          <w:sz w:val="22"/>
        </w:rPr>
        <w:t>.</w:t>
      </w:r>
      <w:r w:rsidR="00A078C1" w:rsidRPr="00A078C1">
        <w:rPr>
          <w:rFonts w:ascii="Arial" w:hAnsi="Arial" w:cs="Arial"/>
          <w:bCs/>
          <w:sz w:val="22"/>
        </w:rPr>
        <w:t xml:space="preserve">   </w:t>
      </w:r>
      <w:r w:rsidR="00A078C1">
        <w:rPr>
          <w:rFonts w:ascii="Arial" w:hAnsi="Arial" w:cs="Arial"/>
          <w:bCs/>
          <w:sz w:val="22"/>
        </w:rPr>
        <w:t>(Accessed 11December 2025).</w:t>
      </w:r>
    </w:p>
    <w:p w:rsidR="00F31D5C" w:rsidRPr="00F31D5C" w:rsidRDefault="00F31D5C" w:rsidP="00C724C5">
      <w:pPr>
        <w:spacing w:after="240" w:line="360" w:lineRule="auto"/>
        <w:ind w:left="142"/>
        <w:rPr>
          <w:rFonts w:ascii="Arial" w:hAnsi="Arial" w:cs="Arial"/>
          <w:bCs/>
          <w:sz w:val="22"/>
        </w:rPr>
      </w:pPr>
      <w:proofErr w:type="gramStart"/>
      <w:r w:rsidRPr="00F31D5C">
        <w:rPr>
          <w:rFonts w:ascii="Arial" w:hAnsi="Arial" w:cs="Arial"/>
          <w:bCs/>
          <w:sz w:val="22"/>
        </w:rPr>
        <w:t xml:space="preserve">Welsh Government (2015) </w:t>
      </w:r>
      <w:r w:rsidRPr="00F31D5C">
        <w:rPr>
          <w:rFonts w:ascii="Arial" w:hAnsi="Arial" w:cs="Arial"/>
          <w:bCs/>
          <w:i/>
          <w:iCs/>
          <w:sz w:val="22"/>
        </w:rPr>
        <w:t>Well-being of Future Generations (Wales) Act 2015</w:t>
      </w:r>
      <w:r w:rsidRPr="00F31D5C">
        <w:rPr>
          <w:rFonts w:ascii="Arial" w:hAnsi="Arial" w:cs="Arial"/>
          <w:bCs/>
          <w:sz w:val="22"/>
        </w:rPr>
        <w:t>.</w:t>
      </w:r>
      <w:proofErr w:type="gramEnd"/>
      <w:r w:rsidRPr="00F31D5C">
        <w:rPr>
          <w:rFonts w:ascii="Arial" w:hAnsi="Arial" w:cs="Arial"/>
          <w:bCs/>
          <w:sz w:val="22"/>
        </w:rPr>
        <w:t xml:space="preserve"> Available at: </w:t>
      </w:r>
      <w:hyperlink r:id="rId22" w:history="1">
        <w:r w:rsidR="00A078C1" w:rsidRPr="00C66300">
          <w:rPr>
            <w:rStyle w:val="Hyperlink"/>
            <w:rFonts w:ascii="Arial" w:hAnsi="Arial" w:cs="Arial"/>
            <w:bCs/>
            <w:sz w:val="22"/>
          </w:rPr>
          <w:t>https://www.legislation.gov.uk/anaw/2015/2/contents</w:t>
        </w:r>
      </w:hyperlink>
      <w:r w:rsidR="00A078C1">
        <w:rPr>
          <w:rFonts w:ascii="Arial" w:hAnsi="Arial" w:cs="Arial"/>
          <w:bCs/>
          <w:sz w:val="22"/>
        </w:rPr>
        <w:t xml:space="preserve"> (Accessed 12 December 2025).</w:t>
      </w:r>
    </w:p>
    <w:p w:rsidR="00F31D5C" w:rsidRPr="00F31D5C" w:rsidRDefault="00F31D5C" w:rsidP="00C724C5">
      <w:pPr>
        <w:spacing w:after="240" w:line="360" w:lineRule="auto"/>
        <w:ind w:left="142"/>
        <w:rPr>
          <w:rFonts w:ascii="Arial" w:hAnsi="Arial" w:cs="Arial"/>
          <w:bCs/>
          <w:sz w:val="22"/>
        </w:rPr>
      </w:pPr>
      <w:proofErr w:type="gramStart"/>
      <w:r w:rsidRPr="00F31D5C">
        <w:rPr>
          <w:rFonts w:ascii="Arial" w:hAnsi="Arial" w:cs="Arial"/>
          <w:bCs/>
          <w:sz w:val="22"/>
        </w:rPr>
        <w:t xml:space="preserve">World Health Organization (WHO) (2022) </w:t>
      </w:r>
      <w:r w:rsidRPr="00F31D5C">
        <w:rPr>
          <w:rFonts w:ascii="Arial" w:hAnsi="Arial" w:cs="Arial"/>
          <w:bCs/>
          <w:i/>
          <w:iCs/>
          <w:sz w:val="22"/>
        </w:rPr>
        <w:t>Targets of Sustainable Development Goal 3</w:t>
      </w:r>
      <w:r w:rsidRPr="00F31D5C">
        <w:rPr>
          <w:rFonts w:ascii="Arial" w:hAnsi="Arial" w:cs="Arial"/>
          <w:bCs/>
          <w:sz w:val="22"/>
        </w:rPr>
        <w:t>.</w:t>
      </w:r>
      <w:proofErr w:type="gramEnd"/>
      <w:r w:rsidRPr="00F31D5C">
        <w:rPr>
          <w:rFonts w:ascii="Arial" w:hAnsi="Arial" w:cs="Arial"/>
          <w:bCs/>
          <w:sz w:val="22"/>
        </w:rPr>
        <w:t xml:space="preserve"> Available at: https://www.who.int/europe/about-us/our-work/sustainable-development-goals/targets-of-sustainable-development-goal-3 (Accessed: 20 November 2025).</w:t>
      </w:r>
    </w:p>
    <w:p w:rsidR="000F7D38" w:rsidRPr="000F7D38" w:rsidRDefault="000F7D38" w:rsidP="00CA462D">
      <w:pPr>
        <w:spacing w:after="240" w:line="360" w:lineRule="auto"/>
        <w:jc w:val="both"/>
        <w:rPr>
          <w:rFonts w:ascii="Arial" w:hAnsi="Arial" w:cs="Arial"/>
          <w:bCs/>
          <w:sz w:val="22"/>
        </w:rPr>
      </w:pPr>
    </w:p>
    <w:sectPr w:rsidR="000F7D38" w:rsidRPr="000F7D38" w:rsidSect="00EF495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035CE" w:rsidRDefault="008035CE" w:rsidP="00B21FE6">
      <w:pPr>
        <w:spacing w:after="0" w:line="240" w:lineRule="auto"/>
      </w:pPr>
      <w:r>
        <w:separator/>
      </w:r>
    </w:p>
  </w:endnote>
  <w:endnote w:type="continuationSeparator" w:id="0">
    <w:p w:rsidR="008035CE" w:rsidRDefault="008035CE" w:rsidP="00B21FE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035CE" w:rsidRDefault="008035CE" w:rsidP="00B21FE6">
      <w:pPr>
        <w:spacing w:after="0" w:line="240" w:lineRule="auto"/>
      </w:pPr>
      <w:r>
        <w:separator/>
      </w:r>
    </w:p>
  </w:footnote>
  <w:footnote w:type="continuationSeparator" w:id="0">
    <w:p w:rsidR="008035CE" w:rsidRDefault="008035CE" w:rsidP="00B21FE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71388A"/>
    <w:multiLevelType w:val="hybridMultilevel"/>
    <w:tmpl w:val="12909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C6342EF"/>
    <w:multiLevelType w:val="hybridMultilevel"/>
    <w:tmpl w:val="09EE59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F2464FC"/>
    <w:multiLevelType w:val="multilevel"/>
    <w:tmpl w:val="CCEC2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3184AF4"/>
    <w:multiLevelType w:val="multilevel"/>
    <w:tmpl w:val="6C185D0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4DB4CDF"/>
    <w:multiLevelType w:val="hybridMultilevel"/>
    <w:tmpl w:val="83F6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2"/>
  </w:num>
  <w:num w:numId="3">
    <w:abstractNumId w:val="1"/>
  </w:num>
  <w:num w:numId="4">
    <w:abstractNumId w:val="3"/>
  </w:num>
  <w:num w:numId="5">
    <w:abstractNumId w:val="0"/>
  </w:num>
  <w:num w:numId="6">
    <w:abstractNumId w:val="6"/>
  </w:num>
  <w:num w:numId="7">
    <w:abstractNumId w:val="5"/>
  </w:num>
  <w:num w:numId="8">
    <w:abstractNumId w:val="4"/>
  </w:num>
  <w:num w:numId="9">
    <w:abstractNumId w:val="11"/>
  </w:num>
  <w:num w:numId="10">
    <w:abstractNumId w:val="7"/>
  </w:num>
  <w:num w:numId="11">
    <w:abstractNumId w:val="10"/>
  </w:num>
  <w:num w:numId="12">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attachedTemplate r:id="rId1"/>
  <w:defaultTabStop w:val="720"/>
  <w:characterSpacingControl w:val="doNotCompress"/>
  <w:savePreviewPicture/>
  <w:hdrShapeDefaults>
    <o:shapedefaults v:ext="edit" spidmax="32770"/>
  </w:hdrShapeDefaults>
  <w:footnotePr>
    <w:footnote w:id="-1"/>
    <w:footnote w:id="0"/>
  </w:footnotePr>
  <w:endnotePr>
    <w:endnote w:id="-1"/>
    <w:endnote w:id="0"/>
  </w:endnotePr>
  <w:compat/>
  <w:rsids>
    <w:rsidRoot w:val="00A60ACA"/>
    <w:rsid w:val="00001DA9"/>
    <w:rsid w:val="00052F51"/>
    <w:rsid w:val="000709DA"/>
    <w:rsid w:val="000A0381"/>
    <w:rsid w:val="000B53B0"/>
    <w:rsid w:val="000D612A"/>
    <w:rsid w:val="000F2766"/>
    <w:rsid w:val="000F7D38"/>
    <w:rsid w:val="001153B8"/>
    <w:rsid w:val="00132C2C"/>
    <w:rsid w:val="001333C2"/>
    <w:rsid w:val="00142CBA"/>
    <w:rsid w:val="001511F7"/>
    <w:rsid w:val="001A157D"/>
    <w:rsid w:val="001C366A"/>
    <w:rsid w:val="001D3428"/>
    <w:rsid w:val="001D345E"/>
    <w:rsid w:val="00220640"/>
    <w:rsid w:val="00220827"/>
    <w:rsid w:val="00222E55"/>
    <w:rsid w:val="0024541D"/>
    <w:rsid w:val="0025779A"/>
    <w:rsid w:val="00271816"/>
    <w:rsid w:val="00277C22"/>
    <w:rsid w:val="002B7D7D"/>
    <w:rsid w:val="002C0B87"/>
    <w:rsid w:val="002D39BD"/>
    <w:rsid w:val="00301518"/>
    <w:rsid w:val="00317E3D"/>
    <w:rsid w:val="00355EA9"/>
    <w:rsid w:val="00371701"/>
    <w:rsid w:val="003D34C3"/>
    <w:rsid w:val="003D41EC"/>
    <w:rsid w:val="00404824"/>
    <w:rsid w:val="00422C38"/>
    <w:rsid w:val="004472CF"/>
    <w:rsid w:val="00450E2D"/>
    <w:rsid w:val="004B077B"/>
    <w:rsid w:val="00511A77"/>
    <w:rsid w:val="00530399"/>
    <w:rsid w:val="00532A5F"/>
    <w:rsid w:val="00576FAB"/>
    <w:rsid w:val="0058218C"/>
    <w:rsid w:val="00582B50"/>
    <w:rsid w:val="00594FAC"/>
    <w:rsid w:val="005A03A2"/>
    <w:rsid w:val="005A0C0F"/>
    <w:rsid w:val="005B0124"/>
    <w:rsid w:val="005B240B"/>
    <w:rsid w:val="005C2222"/>
    <w:rsid w:val="005D240A"/>
    <w:rsid w:val="005D5823"/>
    <w:rsid w:val="005E6F87"/>
    <w:rsid w:val="006524ED"/>
    <w:rsid w:val="0069405D"/>
    <w:rsid w:val="006B0B1E"/>
    <w:rsid w:val="006C1134"/>
    <w:rsid w:val="006D2F2D"/>
    <w:rsid w:val="006E1FF9"/>
    <w:rsid w:val="00702F34"/>
    <w:rsid w:val="00716175"/>
    <w:rsid w:val="007642E4"/>
    <w:rsid w:val="00771CA3"/>
    <w:rsid w:val="00785886"/>
    <w:rsid w:val="007B302B"/>
    <w:rsid w:val="007E23E1"/>
    <w:rsid w:val="007E57E7"/>
    <w:rsid w:val="007F3A6A"/>
    <w:rsid w:val="007F578C"/>
    <w:rsid w:val="008035CE"/>
    <w:rsid w:val="008172BE"/>
    <w:rsid w:val="00823BE5"/>
    <w:rsid w:val="0084070C"/>
    <w:rsid w:val="008668AC"/>
    <w:rsid w:val="0087149D"/>
    <w:rsid w:val="00892E89"/>
    <w:rsid w:val="008A1E99"/>
    <w:rsid w:val="008A2C2E"/>
    <w:rsid w:val="008C54B5"/>
    <w:rsid w:val="008D0A19"/>
    <w:rsid w:val="008F639D"/>
    <w:rsid w:val="008F6D4B"/>
    <w:rsid w:val="00981FF7"/>
    <w:rsid w:val="009A2155"/>
    <w:rsid w:val="009A3B21"/>
    <w:rsid w:val="009C16C8"/>
    <w:rsid w:val="009C7336"/>
    <w:rsid w:val="009D7F37"/>
    <w:rsid w:val="00A009FF"/>
    <w:rsid w:val="00A078C1"/>
    <w:rsid w:val="00A24883"/>
    <w:rsid w:val="00A33FAD"/>
    <w:rsid w:val="00A5293D"/>
    <w:rsid w:val="00A52A79"/>
    <w:rsid w:val="00A60ACA"/>
    <w:rsid w:val="00A622C8"/>
    <w:rsid w:val="00A639AD"/>
    <w:rsid w:val="00A72438"/>
    <w:rsid w:val="00A853DF"/>
    <w:rsid w:val="00A938B2"/>
    <w:rsid w:val="00AD6C91"/>
    <w:rsid w:val="00AF1833"/>
    <w:rsid w:val="00B21FE6"/>
    <w:rsid w:val="00B409D2"/>
    <w:rsid w:val="00B5612B"/>
    <w:rsid w:val="00B61392"/>
    <w:rsid w:val="00B76036"/>
    <w:rsid w:val="00BA0960"/>
    <w:rsid w:val="00BA3B6C"/>
    <w:rsid w:val="00BA623E"/>
    <w:rsid w:val="00BC79FE"/>
    <w:rsid w:val="00BD0344"/>
    <w:rsid w:val="00BE1EB1"/>
    <w:rsid w:val="00BF0213"/>
    <w:rsid w:val="00BF320F"/>
    <w:rsid w:val="00C109B4"/>
    <w:rsid w:val="00C16EA8"/>
    <w:rsid w:val="00C46496"/>
    <w:rsid w:val="00C54E0F"/>
    <w:rsid w:val="00C558B0"/>
    <w:rsid w:val="00C62606"/>
    <w:rsid w:val="00C724C5"/>
    <w:rsid w:val="00CA462D"/>
    <w:rsid w:val="00CF3642"/>
    <w:rsid w:val="00D545BA"/>
    <w:rsid w:val="00D82314"/>
    <w:rsid w:val="00D86CD7"/>
    <w:rsid w:val="00D96FD4"/>
    <w:rsid w:val="00DD3FCD"/>
    <w:rsid w:val="00DD4145"/>
    <w:rsid w:val="00DF1D79"/>
    <w:rsid w:val="00DF2338"/>
    <w:rsid w:val="00DF43A3"/>
    <w:rsid w:val="00E24DF1"/>
    <w:rsid w:val="00E31701"/>
    <w:rsid w:val="00E81204"/>
    <w:rsid w:val="00EA20B9"/>
    <w:rsid w:val="00EB0620"/>
    <w:rsid w:val="00EF4956"/>
    <w:rsid w:val="00F1778A"/>
    <w:rsid w:val="00F201A9"/>
    <w:rsid w:val="00F26FEA"/>
    <w:rsid w:val="00F31D5C"/>
    <w:rsid w:val="00F32799"/>
    <w:rsid w:val="00F64D4D"/>
    <w:rsid w:val="00F81510"/>
    <w:rsid w:val="00F8526A"/>
    <w:rsid w:val="00F94D94"/>
    <w:rsid w:val="00FA6248"/>
    <w:rsid w:val="00FC7991"/>
    <w:rsid w:val="00FD33F1"/>
    <w:rsid w:val="00FE4839"/>
    <w:rsid w:val="00FE5A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7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724C5"/>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4">
    <w:name w:val="heading 4"/>
    <w:basedOn w:val="Normal"/>
    <w:next w:val="Normal"/>
    <w:link w:val="Heading4Char"/>
    <w:uiPriority w:val="9"/>
    <w:semiHidden/>
    <w:unhideWhenUsed/>
    <w:qFormat/>
    <w:rsid w:val="00142CBA"/>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4Char">
    <w:name w:val="Heading 4 Char"/>
    <w:basedOn w:val="DefaultParagraphFont"/>
    <w:link w:val="Heading4"/>
    <w:uiPriority w:val="9"/>
    <w:semiHidden/>
    <w:rsid w:val="00142CBA"/>
    <w:rPr>
      <w:rFonts w:asciiTheme="majorHAnsi" w:eastAsiaTheme="majorEastAsia" w:hAnsiTheme="majorHAnsi" w:cstheme="majorBidi"/>
      <w:b/>
      <w:bCs/>
      <w:i/>
      <w:iCs/>
      <w:color w:val="4472C4" w:themeColor="accent1"/>
      <w:sz w:val="24"/>
    </w:rPr>
  </w:style>
  <w:style w:type="character" w:styleId="Hyperlink">
    <w:name w:val="Hyperlink"/>
    <w:basedOn w:val="DefaultParagraphFont"/>
    <w:uiPriority w:val="99"/>
    <w:unhideWhenUsed/>
    <w:rsid w:val="00F31D5C"/>
    <w:rPr>
      <w:color w:val="0563C1" w:themeColor="hyperlink"/>
      <w:u w:val="single"/>
    </w:rPr>
  </w:style>
  <w:style w:type="character" w:customStyle="1" w:styleId="Heading1Char">
    <w:name w:val="Heading 1 Char"/>
    <w:basedOn w:val="DefaultParagraphFont"/>
    <w:link w:val="Heading1"/>
    <w:uiPriority w:val="9"/>
    <w:rsid w:val="00C724C5"/>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C724C5"/>
    <w:pPr>
      <w:spacing w:line="276" w:lineRule="auto"/>
      <w:outlineLvl w:val="9"/>
    </w:pPr>
    <w:rPr>
      <w:lang w:val="en-US"/>
    </w:rPr>
  </w:style>
  <w:style w:type="paragraph" w:styleId="BalloonText">
    <w:name w:val="Balloon Text"/>
    <w:basedOn w:val="Normal"/>
    <w:link w:val="BalloonTextChar"/>
    <w:uiPriority w:val="99"/>
    <w:semiHidden/>
    <w:unhideWhenUsed/>
    <w:rsid w:val="00C724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24C5"/>
    <w:rPr>
      <w:rFonts w:ascii="Tahoma" w:hAnsi="Tahoma" w:cs="Tahoma"/>
      <w:sz w:val="16"/>
      <w:szCs w:val="16"/>
    </w:rPr>
  </w:style>
  <w:style w:type="paragraph" w:styleId="TOC1">
    <w:name w:val="toc 1"/>
    <w:basedOn w:val="Normal"/>
    <w:next w:val="Normal"/>
    <w:autoRedefine/>
    <w:uiPriority w:val="39"/>
    <w:unhideWhenUsed/>
    <w:rsid w:val="00C724C5"/>
    <w:pPr>
      <w:spacing w:after="100"/>
    </w:pPr>
  </w:style>
</w:styles>
</file>

<file path=word/webSettings.xml><?xml version="1.0" encoding="utf-8"?>
<w:webSettings xmlns:r="http://schemas.openxmlformats.org/officeDocument/2006/relationships" xmlns:w="http://schemas.openxmlformats.org/wordprocessingml/2006/main">
  <w:divs>
    <w:div w:id="97255834">
      <w:bodyDiv w:val="1"/>
      <w:marLeft w:val="0"/>
      <w:marRight w:val="0"/>
      <w:marTop w:val="0"/>
      <w:marBottom w:val="0"/>
      <w:divBdr>
        <w:top w:val="none" w:sz="0" w:space="0" w:color="auto"/>
        <w:left w:val="none" w:sz="0" w:space="0" w:color="auto"/>
        <w:bottom w:val="none" w:sz="0" w:space="0" w:color="auto"/>
        <w:right w:val="none" w:sz="0" w:space="0" w:color="auto"/>
      </w:divBdr>
    </w:div>
    <w:div w:id="106776033">
      <w:bodyDiv w:val="1"/>
      <w:marLeft w:val="0"/>
      <w:marRight w:val="0"/>
      <w:marTop w:val="0"/>
      <w:marBottom w:val="0"/>
      <w:divBdr>
        <w:top w:val="none" w:sz="0" w:space="0" w:color="auto"/>
        <w:left w:val="none" w:sz="0" w:space="0" w:color="auto"/>
        <w:bottom w:val="none" w:sz="0" w:space="0" w:color="auto"/>
        <w:right w:val="none" w:sz="0" w:space="0" w:color="auto"/>
      </w:divBdr>
    </w:div>
    <w:div w:id="147718768">
      <w:bodyDiv w:val="1"/>
      <w:marLeft w:val="0"/>
      <w:marRight w:val="0"/>
      <w:marTop w:val="0"/>
      <w:marBottom w:val="0"/>
      <w:divBdr>
        <w:top w:val="none" w:sz="0" w:space="0" w:color="auto"/>
        <w:left w:val="none" w:sz="0" w:space="0" w:color="auto"/>
        <w:bottom w:val="none" w:sz="0" w:space="0" w:color="auto"/>
        <w:right w:val="none" w:sz="0" w:space="0" w:color="auto"/>
      </w:divBdr>
    </w:div>
    <w:div w:id="153571370">
      <w:bodyDiv w:val="1"/>
      <w:marLeft w:val="0"/>
      <w:marRight w:val="0"/>
      <w:marTop w:val="0"/>
      <w:marBottom w:val="0"/>
      <w:divBdr>
        <w:top w:val="none" w:sz="0" w:space="0" w:color="auto"/>
        <w:left w:val="none" w:sz="0" w:space="0" w:color="auto"/>
        <w:bottom w:val="none" w:sz="0" w:space="0" w:color="auto"/>
        <w:right w:val="none" w:sz="0" w:space="0" w:color="auto"/>
      </w:divBdr>
    </w:div>
    <w:div w:id="199782252">
      <w:bodyDiv w:val="1"/>
      <w:marLeft w:val="0"/>
      <w:marRight w:val="0"/>
      <w:marTop w:val="0"/>
      <w:marBottom w:val="0"/>
      <w:divBdr>
        <w:top w:val="none" w:sz="0" w:space="0" w:color="auto"/>
        <w:left w:val="none" w:sz="0" w:space="0" w:color="auto"/>
        <w:bottom w:val="none" w:sz="0" w:space="0" w:color="auto"/>
        <w:right w:val="none" w:sz="0" w:space="0" w:color="auto"/>
      </w:divBdr>
    </w:div>
    <w:div w:id="306786649">
      <w:bodyDiv w:val="1"/>
      <w:marLeft w:val="0"/>
      <w:marRight w:val="0"/>
      <w:marTop w:val="0"/>
      <w:marBottom w:val="0"/>
      <w:divBdr>
        <w:top w:val="none" w:sz="0" w:space="0" w:color="auto"/>
        <w:left w:val="none" w:sz="0" w:space="0" w:color="auto"/>
        <w:bottom w:val="none" w:sz="0" w:space="0" w:color="auto"/>
        <w:right w:val="none" w:sz="0" w:space="0" w:color="auto"/>
      </w:divBdr>
    </w:div>
    <w:div w:id="369035016">
      <w:bodyDiv w:val="1"/>
      <w:marLeft w:val="0"/>
      <w:marRight w:val="0"/>
      <w:marTop w:val="0"/>
      <w:marBottom w:val="0"/>
      <w:divBdr>
        <w:top w:val="none" w:sz="0" w:space="0" w:color="auto"/>
        <w:left w:val="none" w:sz="0" w:space="0" w:color="auto"/>
        <w:bottom w:val="none" w:sz="0" w:space="0" w:color="auto"/>
        <w:right w:val="none" w:sz="0" w:space="0" w:color="auto"/>
      </w:divBdr>
    </w:div>
    <w:div w:id="431315123">
      <w:bodyDiv w:val="1"/>
      <w:marLeft w:val="0"/>
      <w:marRight w:val="0"/>
      <w:marTop w:val="0"/>
      <w:marBottom w:val="0"/>
      <w:divBdr>
        <w:top w:val="none" w:sz="0" w:space="0" w:color="auto"/>
        <w:left w:val="none" w:sz="0" w:space="0" w:color="auto"/>
        <w:bottom w:val="none" w:sz="0" w:space="0" w:color="auto"/>
        <w:right w:val="none" w:sz="0" w:space="0" w:color="auto"/>
      </w:divBdr>
    </w:div>
    <w:div w:id="439224987">
      <w:bodyDiv w:val="1"/>
      <w:marLeft w:val="0"/>
      <w:marRight w:val="0"/>
      <w:marTop w:val="0"/>
      <w:marBottom w:val="0"/>
      <w:divBdr>
        <w:top w:val="none" w:sz="0" w:space="0" w:color="auto"/>
        <w:left w:val="none" w:sz="0" w:space="0" w:color="auto"/>
        <w:bottom w:val="none" w:sz="0" w:space="0" w:color="auto"/>
        <w:right w:val="none" w:sz="0" w:space="0" w:color="auto"/>
      </w:divBdr>
    </w:div>
    <w:div w:id="446198222">
      <w:bodyDiv w:val="1"/>
      <w:marLeft w:val="0"/>
      <w:marRight w:val="0"/>
      <w:marTop w:val="0"/>
      <w:marBottom w:val="0"/>
      <w:divBdr>
        <w:top w:val="none" w:sz="0" w:space="0" w:color="auto"/>
        <w:left w:val="none" w:sz="0" w:space="0" w:color="auto"/>
        <w:bottom w:val="none" w:sz="0" w:space="0" w:color="auto"/>
        <w:right w:val="none" w:sz="0" w:space="0" w:color="auto"/>
      </w:divBdr>
    </w:div>
    <w:div w:id="463079206">
      <w:bodyDiv w:val="1"/>
      <w:marLeft w:val="0"/>
      <w:marRight w:val="0"/>
      <w:marTop w:val="0"/>
      <w:marBottom w:val="0"/>
      <w:divBdr>
        <w:top w:val="none" w:sz="0" w:space="0" w:color="auto"/>
        <w:left w:val="none" w:sz="0" w:space="0" w:color="auto"/>
        <w:bottom w:val="none" w:sz="0" w:space="0" w:color="auto"/>
        <w:right w:val="none" w:sz="0" w:space="0" w:color="auto"/>
      </w:divBdr>
    </w:div>
    <w:div w:id="488905868">
      <w:bodyDiv w:val="1"/>
      <w:marLeft w:val="0"/>
      <w:marRight w:val="0"/>
      <w:marTop w:val="0"/>
      <w:marBottom w:val="0"/>
      <w:divBdr>
        <w:top w:val="none" w:sz="0" w:space="0" w:color="auto"/>
        <w:left w:val="none" w:sz="0" w:space="0" w:color="auto"/>
        <w:bottom w:val="none" w:sz="0" w:space="0" w:color="auto"/>
        <w:right w:val="none" w:sz="0" w:space="0" w:color="auto"/>
      </w:divBdr>
    </w:div>
    <w:div w:id="517543156">
      <w:bodyDiv w:val="1"/>
      <w:marLeft w:val="0"/>
      <w:marRight w:val="0"/>
      <w:marTop w:val="0"/>
      <w:marBottom w:val="0"/>
      <w:divBdr>
        <w:top w:val="none" w:sz="0" w:space="0" w:color="auto"/>
        <w:left w:val="none" w:sz="0" w:space="0" w:color="auto"/>
        <w:bottom w:val="none" w:sz="0" w:space="0" w:color="auto"/>
        <w:right w:val="none" w:sz="0" w:space="0" w:color="auto"/>
      </w:divBdr>
    </w:div>
    <w:div w:id="534122265">
      <w:bodyDiv w:val="1"/>
      <w:marLeft w:val="0"/>
      <w:marRight w:val="0"/>
      <w:marTop w:val="0"/>
      <w:marBottom w:val="0"/>
      <w:divBdr>
        <w:top w:val="none" w:sz="0" w:space="0" w:color="auto"/>
        <w:left w:val="none" w:sz="0" w:space="0" w:color="auto"/>
        <w:bottom w:val="none" w:sz="0" w:space="0" w:color="auto"/>
        <w:right w:val="none" w:sz="0" w:space="0" w:color="auto"/>
      </w:divBdr>
    </w:div>
    <w:div w:id="564412482">
      <w:bodyDiv w:val="1"/>
      <w:marLeft w:val="0"/>
      <w:marRight w:val="0"/>
      <w:marTop w:val="0"/>
      <w:marBottom w:val="0"/>
      <w:divBdr>
        <w:top w:val="none" w:sz="0" w:space="0" w:color="auto"/>
        <w:left w:val="none" w:sz="0" w:space="0" w:color="auto"/>
        <w:bottom w:val="none" w:sz="0" w:space="0" w:color="auto"/>
        <w:right w:val="none" w:sz="0" w:space="0" w:color="auto"/>
      </w:divBdr>
    </w:div>
    <w:div w:id="598948680">
      <w:bodyDiv w:val="1"/>
      <w:marLeft w:val="0"/>
      <w:marRight w:val="0"/>
      <w:marTop w:val="0"/>
      <w:marBottom w:val="0"/>
      <w:divBdr>
        <w:top w:val="none" w:sz="0" w:space="0" w:color="auto"/>
        <w:left w:val="none" w:sz="0" w:space="0" w:color="auto"/>
        <w:bottom w:val="none" w:sz="0" w:space="0" w:color="auto"/>
        <w:right w:val="none" w:sz="0" w:space="0" w:color="auto"/>
      </w:divBdr>
    </w:div>
    <w:div w:id="720056931">
      <w:bodyDiv w:val="1"/>
      <w:marLeft w:val="0"/>
      <w:marRight w:val="0"/>
      <w:marTop w:val="0"/>
      <w:marBottom w:val="0"/>
      <w:divBdr>
        <w:top w:val="none" w:sz="0" w:space="0" w:color="auto"/>
        <w:left w:val="none" w:sz="0" w:space="0" w:color="auto"/>
        <w:bottom w:val="none" w:sz="0" w:space="0" w:color="auto"/>
        <w:right w:val="none" w:sz="0" w:space="0" w:color="auto"/>
      </w:divBdr>
    </w:div>
    <w:div w:id="757596287">
      <w:bodyDiv w:val="1"/>
      <w:marLeft w:val="0"/>
      <w:marRight w:val="0"/>
      <w:marTop w:val="0"/>
      <w:marBottom w:val="0"/>
      <w:divBdr>
        <w:top w:val="none" w:sz="0" w:space="0" w:color="auto"/>
        <w:left w:val="none" w:sz="0" w:space="0" w:color="auto"/>
        <w:bottom w:val="none" w:sz="0" w:space="0" w:color="auto"/>
        <w:right w:val="none" w:sz="0" w:space="0" w:color="auto"/>
      </w:divBdr>
    </w:div>
    <w:div w:id="768891715">
      <w:bodyDiv w:val="1"/>
      <w:marLeft w:val="0"/>
      <w:marRight w:val="0"/>
      <w:marTop w:val="0"/>
      <w:marBottom w:val="0"/>
      <w:divBdr>
        <w:top w:val="none" w:sz="0" w:space="0" w:color="auto"/>
        <w:left w:val="none" w:sz="0" w:space="0" w:color="auto"/>
        <w:bottom w:val="none" w:sz="0" w:space="0" w:color="auto"/>
        <w:right w:val="none" w:sz="0" w:space="0" w:color="auto"/>
      </w:divBdr>
    </w:div>
    <w:div w:id="825978737">
      <w:bodyDiv w:val="1"/>
      <w:marLeft w:val="0"/>
      <w:marRight w:val="0"/>
      <w:marTop w:val="0"/>
      <w:marBottom w:val="0"/>
      <w:divBdr>
        <w:top w:val="none" w:sz="0" w:space="0" w:color="auto"/>
        <w:left w:val="none" w:sz="0" w:space="0" w:color="auto"/>
        <w:bottom w:val="none" w:sz="0" w:space="0" w:color="auto"/>
        <w:right w:val="none" w:sz="0" w:space="0" w:color="auto"/>
      </w:divBdr>
    </w:div>
    <w:div w:id="831066134">
      <w:bodyDiv w:val="1"/>
      <w:marLeft w:val="0"/>
      <w:marRight w:val="0"/>
      <w:marTop w:val="0"/>
      <w:marBottom w:val="0"/>
      <w:divBdr>
        <w:top w:val="none" w:sz="0" w:space="0" w:color="auto"/>
        <w:left w:val="none" w:sz="0" w:space="0" w:color="auto"/>
        <w:bottom w:val="none" w:sz="0" w:space="0" w:color="auto"/>
        <w:right w:val="none" w:sz="0" w:space="0" w:color="auto"/>
      </w:divBdr>
    </w:div>
    <w:div w:id="847795038">
      <w:bodyDiv w:val="1"/>
      <w:marLeft w:val="0"/>
      <w:marRight w:val="0"/>
      <w:marTop w:val="0"/>
      <w:marBottom w:val="0"/>
      <w:divBdr>
        <w:top w:val="none" w:sz="0" w:space="0" w:color="auto"/>
        <w:left w:val="none" w:sz="0" w:space="0" w:color="auto"/>
        <w:bottom w:val="none" w:sz="0" w:space="0" w:color="auto"/>
        <w:right w:val="none" w:sz="0" w:space="0" w:color="auto"/>
      </w:divBdr>
    </w:div>
    <w:div w:id="1028262545">
      <w:bodyDiv w:val="1"/>
      <w:marLeft w:val="0"/>
      <w:marRight w:val="0"/>
      <w:marTop w:val="0"/>
      <w:marBottom w:val="0"/>
      <w:divBdr>
        <w:top w:val="none" w:sz="0" w:space="0" w:color="auto"/>
        <w:left w:val="none" w:sz="0" w:space="0" w:color="auto"/>
        <w:bottom w:val="none" w:sz="0" w:space="0" w:color="auto"/>
        <w:right w:val="none" w:sz="0" w:space="0" w:color="auto"/>
      </w:divBdr>
    </w:div>
    <w:div w:id="1139885140">
      <w:bodyDiv w:val="1"/>
      <w:marLeft w:val="0"/>
      <w:marRight w:val="0"/>
      <w:marTop w:val="0"/>
      <w:marBottom w:val="0"/>
      <w:divBdr>
        <w:top w:val="none" w:sz="0" w:space="0" w:color="auto"/>
        <w:left w:val="none" w:sz="0" w:space="0" w:color="auto"/>
        <w:bottom w:val="none" w:sz="0" w:space="0" w:color="auto"/>
        <w:right w:val="none" w:sz="0" w:space="0" w:color="auto"/>
      </w:divBdr>
    </w:div>
    <w:div w:id="1141118737">
      <w:bodyDiv w:val="1"/>
      <w:marLeft w:val="0"/>
      <w:marRight w:val="0"/>
      <w:marTop w:val="0"/>
      <w:marBottom w:val="0"/>
      <w:divBdr>
        <w:top w:val="none" w:sz="0" w:space="0" w:color="auto"/>
        <w:left w:val="none" w:sz="0" w:space="0" w:color="auto"/>
        <w:bottom w:val="none" w:sz="0" w:space="0" w:color="auto"/>
        <w:right w:val="none" w:sz="0" w:space="0" w:color="auto"/>
      </w:divBdr>
    </w:div>
    <w:div w:id="1175219502">
      <w:bodyDiv w:val="1"/>
      <w:marLeft w:val="0"/>
      <w:marRight w:val="0"/>
      <w:marTop w:val="0"/>
      <w:marBottom w:val="0"/>
      <w:divBdr>
        <w:top w:val="none" w:sz="0" w:space="0" w:color="auto"/>
        <w:left w:val="none" w:sz="0" w:space="0" w:color="auto"/>
        <w:bottom w:val="none" w:sz="0" w:space="0" w:color="auto"/>
        <w:right w:val="none" w:sz="0" w:space="0" w:color="auto"/>
      </w:divBdr>
    </w:div>
    <w:div w:id="1193108492">
      <w:bodyDiv w:val="1"/>
      <w:marLeft w:val="0"/>
      <w:marRight w:val="0"/>
      <w:marTop w:val="0"/>
      <w:marBottom w:val="0"/>
      <w:divBdr>
        <w:top w:val="none" w:sz="0" w:space="0" w:color="auto"/>
        <w:left w:val="none" w:sz="0" w:space="0" w:color="auto"/>
        <w:bottom w:val="none" w:sz="0" w:space="0" w:color="auto"/>
        <w:right w:val="none" w:sz="0" w:space="0" w:color="auto"/>
      </w:divBdr>
    </w:div>
    <w:div w:id="1242790242">
      <w:bodyDiv w:val="1"/>
      <w:marLeft w:val="0"/>
      <w:marRight w:val="0"/>
      <w:marTop w:val="0"/>
      <w:marBottom w:val="0"/>
      <w:divBdr>
        <w:top w:val="none" w:sz="0" w:space="0" w:color="auto"/>
        <w:left w:val="none" w:sz="0" w:space="0" w:color="auto"/>
        <w:bottom w:val="none" w:sz="0" w:space="0" w:color="auto"/>
        <w:right w:val="none" w:sz="0" w:space="0" w:color="auto"/>
      </w:divBdr>
    </w:div>
    <w:div w:id="1367832500">
      <w:bodyDiv w:val="1"/>
      <w:marLeft w:val="0"/>
      <w:marRight w:val="0"/>
      <w:marTop w:val="0"/>
      <w:marBottom w:val="0"/>
      <w:divBdr>
        <w:top w:val="none" w:sz="0" w:space="0" w:color="auto"/>
        <w:left w:val="none" w:sz="0" w:space="0" w:color="auto"/>
        <w:bottom w:val="none" w:sz="0" w:space="0" w:color="auto"/>
        <w:right w:val="none" w:sz="0" w:space="0" w:color="auto"/>
      </w:divBdr>
    </w:div>
    <w:div w:id="1426850402">
      <w:bodyDiv w:val="1"/>
      <w:marLeft w:val="0"/>
      <w:marRight w:val="0"/>
      <w:marTop w:val="0"/>
      <w:marBottom w:val="0"/>
      <w:divBdr>
        <w:top w:val="none" w:sz="0" w:space="0" w:color="auto"/>
        <w:left w:val="none" w:sz="0" w:space="0" w:color="auto"/>
        <w:bottom w:val="none" w:sz="0" w:space="0" w:color="auto"/>
        <w:right w:val="none" w:sz="0" w:space="0" w:color="auto"/>
      </w:divBdr>
    </w:div>
    <w:div w:id="1433433614">
      <w:bodyDiv w:val="1"/>
      <w:marLeft w:val="0"/>
      <w:marRight w:val="0"/>
      <w:marTop w:val="0"/>
      <w:marBottom w:val="0"/>
      <w:divBdr>
        <w:top w:val="none" w:sz="0" w:space="0" w:color="auto"/>
        <w:left w:val="none" w:sz="0" w:space="0" w:color="auto"/>
        <w:bottom w:val="none" w:sz="0" w:space="0" w:color="auto"/>
        <w:right w:val="none" w:sz="0" w:space="0" w:color="auto"/>
      </w:divBdr>
    </w:div>
    <w:div w:id="1457672758">
      <w:bodyDiv w:val="1"/>
      <w:marLeft w:val="0"/>
      <w:marRight w:val="0"/>
      <w:marTop w:val="0"/>
      <w:marBottom w:val="0"/>
      <w:divBdr>
        <w:top w:val="none" w:sz="0" w:space="0" w:color="auto"/>
        <w:left w:val="none" w:sz="0" w:space="0" w:color="auto"/>
        <w:bottom w:val="none" w:sz="0" w:space="0" w:color="auto"/>
        <w:right w:val="none" w:sz="0" w:space="0" w:color="auto"/>
      </w:divBdr>
    </w:div>
    <w:div w:id="1472088940">
      <w:bodyDiv w:val="1"/>
      <w:marLeft w:val="0"/>
      <w:marRight w:val="0"/>
      <w:marTop w:val="0"/>
      <w:marBottom w:val="0"/>
      <w:divBdr>
        <w:top w:val="none" w:sz="0" w:space="0" w:color="auto"/>
        <w:left w:val="none" w:sz="0" w:space="0" w:color="auto"/>
        <w:bottom w:val="none" w:sz="0" w:space="0" w:color="auto"/>
        <w:right w:val="none" w:sz="0" w:space="0" w:color="auto"/>
      </w:divBdr>
    </w:div>
    <w:div w:id="1520243402">
      <w:bodyDiv w:val="1"/>
      <w:marLeft w:val="0"/>
      <w:marRight w:val="0"/>
      <w:marTop w:val="0"/>
      <w:marBottom w:val="0"/>
      <w:divBdr>
        <w:top w:val="none" w:sz="0" w:space="0" w:color="auto"/>
        <w:left w:val="none" w:sz="0" w:space="0" w:color="auto"/>
        <w:bottom w:val="none" w:sz="0" w:space="0" w:color="auto"/>
        <w:right w:val="none" w:sz="0" w:space="0" w:color="auto"/>
      </w:divBdr>
    </w:div>
    <w:div w:id="1529568185">
      <w:bodyDiv w:val="1"/>
      <w:marLeft w:val="0"/>
      <w:marRight w:val="0"/>
      <w:marTop w:val="0"/>
      <w:marBottom w:val="0"/>
      <w:divBdr>
        <w:top w:val="none" w:sz="0" w:space="0" w:color="auto"/>
        <w:left w:val="none" w:sz="0" w:space="0" w:color="auto"/>
        <w:bottom w:val="none" w:sz="0" w:space="0" w:color="auto"/>
        <w:right w:val="none" w:sz="0" w:space="0" w:color="auto"/>
      </w:divBdr>
    </w:div>
    <w:div w:id="1536960557">
      <w:bodyDiv w:val="1"/>
      <w:marLeft w:val="0"/>
      <w:marRight w:val="0"/>
      <w:marTop w:val="0"/>
      <w:marBottom w:val="0"/>
      <w:divBdr>
        <w:top w:val="none" w:sz="0" w:space="0" w:color="auto"/>
        <w:left w:val="none" w:sz="0" w:space="0" w:color="auto"/>
        <w:bottom w:val="none" w:sz="0" w:space="0" w:color="auto"/>
        <w:right w:val="none" w:sz="0" w:space="0" w:color="auto"/>
      </w:divBdr>
    </w:div>
    <w:div w:id="1629819451">
      <w:bodyDiv w:val="1"/>
      <w:marLeft w:val="0"/>
      <w:marRight w:val="0"/>
      <w:marTop w:val="0"/>
      <w:marBottom w:val="0"/>
      <w:divBdr>
        <w:top w:val="none" w:sz="0" w:space="0" w:color="auto"/>
        <w:left w:val="none" w:sz="0" w:space="0" w:color="auto"/>
        <w:bottom w:val="none" w:sz="0" w:space="0" w:color="auto"/>
        <w:right w:val="none" w:sz="0" w:space="0" w:color="auto"/>
      </w:divBdr>
    </w:div>
    <w:div w:id="1636446739">
      <w:bodyDiv w:val="1"/>
      <w:marLeft w:val="0"/>
      <w:marRight w:val="0"/>
      <w:marTop w:val="0"/>
      <w:marBottom w:val="0"/>
      <w:divBdr>
        <w:top w:val="none" w:sz="0" w:space="0" w:color="auto"/>
        <w:left w:val="none" w:sz="0" w:space="0" w:color="auto"/>
        <w:bottom w:val="none" w:sz="0" w:space="0" w:color="auto"/>
        <w:right w:val="none" w:sz="0" w:space="0" w:color="auto"/>
      </w:divBdr>
    </w:div>
    <w:div w:id="1654067457">
      <w:bodyDiv w:val="1"/>
      <w:marLeft w:val="0"/>
      <w:marRight w:val="0"/>
      <w:marTop w:val="0"/>
      <w:marBottom w:val="0"/>
      <w:divBdr>
        <w:top w:val="none" w:sz="0" w:space="0" w:color="auto"/>
        <w:left w:val="none" w:sz="0" w:space="0" w:color="auto"/>
        <w:bottom w:val="none" w:sz="0" w:space="0" w:color="auto"/>
        <w:right w:val="none" w:sz="0" w:space="0" w:color="auto"/>
      </w:divBdr>
    </w:div>
    <w:div w:id="1655991229">
      <w:bodyDiv w:val="1"/>
      <w:marLeft w:val="0"/>
      <w:marRight w:val="0"/>
      <w:marTop w:val="0"/>
      <w:marBottom w:val="0"/>
      <w:divBdr>
        <w:top w:val="none" w:sz="0" w:space="0" w:color="auto"/>
        <w:left w:val="none" w:sz="0" w:space="0" w:color="auto"/>
        <w:bottom w:val="none" w:sz="0" w:space="0" w:color="auto"/>
        <w:right w:val="none" w:sz="0" w:space="0" w:color="auto"/>
      </w:divBdr>
    </w:div>
    <w:div w:id="1664553450">
      <w:bodyDiv w:val="1"/>
      <w:marLeft w:val="0"/>
      <w:marRight w:val="0"/>
      <w:marTop w:val="0"/>
      <w:marBottom w:val="0"/>
      <w:divBdr>
        <w:top w:val="none" w:sz="0" w:space="0" w:color="auto"/>
        <w:left w:val="none" w:sz="0" w:space="0" w:color="auto"/>
        <w:bottom w:val="none" w:sz="0" w:space="0" w:color="auto"/>
        <w:right w:val="none" w:sz="0" w:space="0" w:color="auto"/>
      </w:divBdr>
    </w:div>
    <w:div w:id="1673726023">
      <w:bodyDiv w:val="1"/>
      <w:marLeft w:val="0"/>
      <w:marRight w:val="0"/>
      <w:marTop w:val="0"/>
      <w:marBottom w:val="0"/>
      <w:divBdr>
        <w:top w:val="none" w:sz="0" w:space="0" w:color="auto"/>
        <w:left w:val="none" w:sz="0" w:space="0" w:color="auto"/>
        <w:bottom w:val="none" w:sz="0" w:space="0" w:color="auto"/>
        <w:right w:val="none" w:sz="0" w:space="0" w:color="auto"/>
      </w:divBdr>
    </w:div>
    <w:div w:id="1678539143">
      <w:bodyDiv w:val="1"/>
      <w:marLeft w:val="0"/>
      <w:marRight w:val="0"/>
      <w:marTop w:val="0"/>
      <w:marBottom w:val="0"/>
      <w:divBdr>
        <w:top w:val="none" w:sz="0" w:space="0" w:color="auto"/>
        <w:left w:val="none" w:sz="0" w:space="0" w:color="auto"/>
        <w:bottom w:val="none" w:sz="0" w:space="0" w:color="auto"/>
        <w:right w:val="none" w:sz="0" w:space="0" w:color="auto"/>
      </w:divBdr>
    </w:div>
    <w:div w:id="1757552400">
      <w:bodyDiv w:val="1"/>
      <w:marLeft w:val="0"/>
      <w:marRight w:val="0"/>
      <w:marTop w:val="0"/>
      <w:marBottom w:val="0"/>
      <w:divBdr>
        <w:top w:val="none" w:sz="0" w:space="0" w:color="auto"/>
        <w:left w:val="none" w:sz="0" w:space="0" w:color="auto"/>
        <w:bottom w:val="none" w:sz="0" w:space="0" w:color="auto"/>
        <w:right w:val="none" w:sz="0" w:space="0" w:color="auto"/>
      </w:divBdr>
    </w:div>
    <w:div w:id="1857185798">
      <w:bodyDiv w:val="1"/>
      <w:marLeft w:val="0"/>
      <w:marRight w:val="0"/>
      <w:marTop w:val="0"/>
      <w:marBottom w:val="0"/>
      <w:divBdr>
        <w:top w:val="none" w:sz="0" w:space="0" w:color="auto"/>
        <w:left w:val="none" w:sz="0" w:space="0" w:color="auto"/>
        <w:bottom w:val="none" w:sz="0" w:space="0" w:color="auto"/>
        <w:right w:val="none" w:sz="0" w:space="0" w:color="auto"/>
      </w:divBdr>
    </w:div>
    <w:div w:id="1879780143">
      <w:bodyDiv w:val="1"/>
      <w:marLeft w:val="0"/>
      <w:marRight w:val="0"/>
      <w:marTop w:val="0"/>
      <w:marBottom w:val="0"/>
      <w:divBdr>
        <w:top w:val="none" w:sz="0" w:space="0" w:color="auto"/>
        <w:left w:val="none" w:sz="0" w:space="0" w:color="auto"/>
        <w:bottom w:val="none" w:sz="0" w:space="0" w:color="auto"/>
        <w:right w:val="none" w:sz="0" w:space="0" w:color="auto"/>
      </w:divBdr>
    </w:div>
    <w:div w:id="1880700165">
      <w:bodyDiv w:val="1"/>
      <w:marLeft w:val="0"/>
      <w:marRight w:val="0"/>
      <w:marTop w:val="0"/>
      <w:marBottom w:val="0"/>
      <w:divBdr>
        <w:top w:val="none" w:sz="0" w:space="0" w:color="auto"/>
        <w:left w:val="none" w:sz="0" w:space="0" w:color="auto"/>
        <w:bottom w:val="none" w:sz="0" w:space="0" w:color="auto"/>
        <w:right w:val="none" w:sz="0" w:space="0" w:color="auto"/>
      </w:divBdr>
    </w:div>
    <w:div w:id="1894191518">
      <w:bodyDiv w:val="1"/>
      <w:marLeft w:val="0"/>
      <w:marRight w:val="0"/>
      <w:marTop w:val="0"/>
      <w:marBottom w:val="0"/>
      <w:divBdr>
        <w:top w:val="none" w:sz="0" w:space="0" w:color="auto"/>
        <w:left w:val="none" w:sz="0" w:space="0" w:color="auto"/>
        <w:bottom w:val="none" w:sz="0" w:space="0" w:color="auto"/>
        <w:right w:val="none" w:sz="0" w:space="0" w:color="auto"/>
      </w:divBdr>
    </w:div>
    <w:div w:id="1908606112">
      <w:bodyDiv w:val="1"/>
      <w:marLeft w:val="0"/>
      <w:marRight w:val="0"/>
      <w:marTop w:val="0"/>
      <w:marBottom w:val="0"/>
      <w:divBdr>
        <w:top w:val="none" w:sz="0" w:space="0" w:color="auto"/>
        <w:left w:val="none" w:sz="0" w:space="0" w:color="auto"/>
        <w:bottom w:val="none" w:sz="0" w:space="0" w:color="auto"/>
        <w:right w:val="none" w:sz="0" w:space="0" w:color="auto"/>
      </w:divBdr>
    </w:div>
    <w:div w:id="1929729766">
      <w:bodyDiv w:val="1"/>
      <w:marLeft w:val="0"/>
      <w:marRight w:val="0"/>
      <w:marTop w:val="0"/>
      <w:marBottom w:val="0"/>
      <w:divBdr>
        <w:top w:val="none" w:sz="0" w:space="0" w:color="auto"/>
        <w:left w:val="none" w:sz="0" w:space="0" w:color="auto"/>
        <w:bottom w:val="none" w:sz="0" w:space="0" w:color="auto"/>
        <w:right w:val="none" w:sz="0" w:space="0" w:color="auto"/>
      </w:divBdr>
    </w:div>
    <w:div w:id="2057467163">
      <w:bodyDiv w:val="1"/>
      <w:marLeft w:val="0"/>
      <w:marRight w:val="0"/>
      <w:marTop w:val="0"/>
      <w:marBottom w:val="0"/>
      <w:divBdr>
        <w:top w:val="none" w:sz="0" w:space="0" w:color="auto"/>
        <w:left w:val="none" w:sz="0" w:space="0" w:color="auto"/>
        <w:bottom w:val="none" w:sz="0" w:space="0" w:color="auto"/>
        <w:right w:val="none" w:sz="0" w:space="0" w:color="auto"/>
      </w:divBdr>
    </w:div>
    <w:div w:id="2121533956">
      <w:bodyDiv w:val="1"/>
      <w:marLeft w:val="0"/>
      <w:marRight w:val="0"/>
      <w:marTop w:val="0"/>
      <w:marBottom w:val="0"/>
      <w:divBdr>
        <w:top w:val="none" w:sz="0" w:space="0" w:color="auto"/>
        <w:left w:val="none" w:sz="0" w:space="0" w:color="auto"/>
        <w:bottom w:val="none" w:sz="0" w:space="0" w:color="auto"/>
        <w:right w:val="none" w:sz="0" w:space="0" w:color="auto"/>
      </w:divBdr>
    </w:div>
    <w:div w:id="2128624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mbridge.org/core/books/abs/sustainable-development-asiapacific-perspectives/bhutans-sustainable-development-initiatives-and-gross-national-happiness/CE7795D37FFC6D11A597BBE477DC20BF" TargetMode="External"/><Relationship Id="rId18" Type="http://schemas.openxmlformats.org/officeDocument/2006/relationships/hyperlink" Target="https://ourworldindata.org/sdgs/reduced-inequalities#article-citation" TargetMode="External"/><Relationship Id="rId3" Type="http://schemas.openxmlformats.org/officeDocument/2006/relationships/styles" Target="styles.xml"/><Relationship Id="rId21" Type="http://schemas.openxmlformats.org/officeDocument/2006/relationships/hyperlink" Target="https://data.unicef.org/sdgs/goal-3-good-health-wellbeing/" TargetMode="External"/><Relationship Id="rId7" Type="http://schemas.openxmlformats.org/officeDocument/2006/relationships/endnotes" Target="endnotes.xml"/><Relationship Id="rId12" Type="http://schemas.openxmlformats.org/officeDocument/2006/relationships/hyperlink" Target="https://www.gov.uk/government/publications/implementing-the-sustainable-development-goals/implementing-the-sustainable-development-goals--2" TargetMode="External"/><Relationship Id="rId17" Type="http://schemas.openxmlformats.org/officeDocument/2006/relationships/hyperlink" Target="https://www.gov.uk/government/collections/national-wellbeing" TargetMode="External"/><Relationship Id="rId2" Type="http://schemas.openxmlformats.org/officeDocument/2006/relationships/numbering" Target="numbering.xml"/><Relationship Id="rId16" Type="http://schemas.openxmlformats.org/officeDocument/2006/relationships/hyperlink" Target="https://www.healthyurbandevelopment.nhs.uk/wp-content/uploads/2019/10/HUDU-Rapid-HIA-Tool-October-2019.pdf" TargetMode="External"/><Relationship Id="rId20" Type="http://schemas.openxmlformats.org/officeDocument/2006/relationships/hyperlink" Target="https://www.unep.org/topics/sustainable-development-goals/why-do-sustainable-development-goals-matter/goal-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environmental-improvement-plan-2025/environmental-improvement-plan-eip-2025"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ns.gov.uk/releases/ukmeasuresofnationalwellbeingreviewandlatestinsights" TargetMode="External"/><Relationship Id="rId23" Type="http://schemas.openxmlformats.org/officeDocument/2006/relationships/fontTable" Target="fontTable.xml"/><Relationship Id="rId10" Type="http://schemas.openxmlformats.org/officeDocument/2006/relationships/hyperlink" Target="https://www.cieh.org/news/press-releases/2025/cieh-responds-to-uk-government-s-revised-environmental-improvement-plan/" TargetMode="External"/><Relationship Id="rId19" Type="http://schemas.openxmlformats.org/officeDocument/2006/relationships/hyperlink" Target="https://datatopics.worldbank.org/sdgatlas/goal-10-reduced-inequalities/?lang=en"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gov.uk/research-for-development-outputs/fair-society-healthy-lives-the-marmot-review-strategic-review-of-health-inequalities-in-england-post-2010" TargetMode="External"/><Relationship Id="rId22" Type="http://schemas.openxmlformats.org/officeDocument/2006/relationships/hyperlink" Target="https://www.legislation.gov.uk/anaw/2015/2/content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umar%20Souu\Desktop\LEVEL5\Changemakers%20report%20Brand%20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70DF00E-C9A0-4185-8965-E338E7D39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Changemakers report Brand me</Template>
  <TotalTime>11158</TotalTime>
  <Pages>12</Pages>
  <Words>3583</Words>
  <Characters>20427</Characters>
  <Application>Microsoft Office Word</Application>
  <DocSecurity>0</DocSecurity>
  <Lines>170</Lines>
  <Paragraphs>47</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 </vt:lpstr>
      <vt:lpstr>Sustainable Development Goal 3</vt:lpstr>
      <vt:lpstr>Sustainable Development Goal 10</vt:lpstr>
      <vt:lpstr>National Well-being Initiatives</vt:lpstr>
      <vt:lpstr>Local wellbeing initiatives</vt:lpstr>
      <vt:lpstr>Conclusion </vt:lpstr>
      <vt:lpstr>References </vt:lpstr>
    </vt:vector>
  </TitlesOfParts>
  <Company/>
  <LinksUpToDate>false</LinksUpToDate>
  <CharactersWithSpaces>23963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Oumar Souu</dc:creator>
  <cp:lastModifiedBy>Oumar Souu</cp:lastModifiedBy>
  <cp:revision>20</cp:revision>
  <dcterms:created xsi:type="dcterms:W3CDTF">2025-12-02T09:30:00Z</dcterms:created>
  <dcterms:modified xsi:type="dcterms:W3CDTF">2025-12-12T14:14:00Z</dcterms:modified>
</cp:coreProperties>
</file>