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6DE4234">
      <w:pPr>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p>
    <w:p w14:paraId="361E8814">
      <w:pPr>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drawing>
          <wp:anchor distT="0" distB="0" distL="114300" distR="114300" simplePos="0" relativeHeight="251660288" behindDoc="1" locked="0" layoutInCell="1" allowOverlap="1">
            <wp:simplePos x="0" y="0"/>
            <wp:positionH relativeFrom="margin">
              <wp:align>center</wp:align>
            </wp:positionH>
            <wp:positionV relativeFrom="paragraph">
              <wp:posOffset>0</wp:posOffset>
            </wp:positionV>
            <wp:extent cx="3072130" cy="1706245"/>
            <wp:effectExtent l="0" t="0" r="1270" b="20955"/>
            <wp:wrapTopAndBottom/>
            <wp:docPr id="372673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73800"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072130" cy="1706245"/>
                    </a:xfrm>
                    <a:prstGeom prst="rect">
                      <a:avLst/>
                    </a:prstGeom>
                  </pic:spPr>
                </pic:pic>
              </a:graphicData>
            </a:graphic>
          </wp:anchor>
        </w:drawing>
      </w:r>
      <w:r>
        <w:rPr>
          <w:rFonts w:hint="default" w:ascii="Arial Regular" w:hAnsi="Arial Regular" w:cs="Arial Regular"/>
          <w:b/>
          <w:bCs/>
          <w:color w:val="000000" w:themeColor="text1"/>
          <w:sz w:val="24"/>
          <w:szCs w:val="24"/>
          <w14:textFill>
            <w14:solidFill>
              <w14:schemeClr w14:val="tx1"/>
            </w14:solidFill>
          </w14:textFill>
        </w:rPr>
        <w:t xml:space="preserve">Institute </w:t>
      </w:r>
      <w:r>
        <w:rPr>
          <w:rFonts w:hint="default" w:ascii="Arial Regular" w:hAnsi="Arial Regular" w:cs="Arial Regular"/>
          <w:b/>
          <w:bCs/>
          <w:color w:val="000000" w:themeColor="text1"/>
          <w:sz w:val="24"/>
          <w:szCs w:val="24"/>
          <w:lang w:val="de-DE"/>
          <w14:textFill>
            <w14:solidFill>
              <w14:schemeClr w14:val="tx1"/>
            </w14:solidFill>
          </w14:textFill>
        </w:rPr>
        <w:t>of</w:t>
      </w:r>
      <w:r>
        <w:rPr>
          <w:rFonts w:hint="default" w:ascii="Arial Regular" w:hAnsi="Arial Regular" w:cs="Arial Regular"/>
          <w:b/>
          <w:bCs/>
          <w:color w:val="000000" w:themeColor="text1"/>
          <w:sz w:val="24"/>
          <w:szCs w:val="24"/>
          <w14:textFill>
            <w14:solidFill>
              <w14:schemeClr w14:val="tx1"/>
            </w14:solidFill>
          </w14:textFill>
        </w:rPr>
        <w:t xml:space="preserve"> Inner-City Learning</w:t>
      </w:r>
      <w:r>
        <w:rPr>
          <w:rFonts w:hint="default" w:ascii="Arial Regular" w:hAnsi="Arial Regular" w:cs="Arial Regular"/>
          <w:b/>
          <w:bCs/>
          <w:color w:val="000000" w:themeColor="text1"/>
          <w:sz w:val="24"/>
          <w:szCs w:val="24"/>
          <w:lang w:val="de-DE"/>
          <w14:textFill>
            <w14:solidFill>
              <w14:schemeClr w14:val="tx1"/>
            </w14:solidFill>
          </w14:textFill>
        </w:rPr>
        <w:t xml:space="preserve"> - </w:t>
      </w:r>
      <w:r>
        <w:rPr>
          <w:rFonts w:hint="default" w:ascii="Arial Regular" w:hAnsi="Arial Regular" w:cs="Arial Regular"/>
          <w:b/>
          <w:bCs/>
          <w:color w:val="000000" w:themeColor="text1"/>
          <w:sz w:val="24"/>
          <w:szCs w:val="24"/>
          <w14:textFill>
            <w14:solidFill>
              <w14:schemeClr w14:val="tx1"/>
            </w14:solidFill>
          </w14:textFill>
        </w:rPr>
        <w:t>London Campus</w:t>
      </w:r>
    </w:p>
    <w:p w14:paraId="73C933E9">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Program: Master of Business Administration</w:t>
      </w:r>
    </w:p>
    <w:p w14:paraId="23341151">
      <w:pPr>
        <w:pStyle w:val="18"/>
        <w:keepNext w:val="0"/>
        <w:keepLines w:val="0"/>
        <w:widowControl/>
        <w:suppressLineNumbers w:val="0"/>
        <w:spacing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color w:val="000000" w:themeColor="text1"/>
          <w:sz w:val="24"/>
          <w:szCs w:val="24"/>
          <w:lang w:val="de-DE"/>
          <w14:textFill>
            <w14:solidFill>
              <w14:schemeClr w14:val="tx1"/>
            </w14:solidFill>
          </w14:textFill>
        </w:rPr>
        <w:t xml:space="preserve">Title: </w:t>
      </w:r>
      <w:r>
        <w:rPr>
          <w:rFonts w:hint="default" w:ascii="Arial Regular" w:hAnsi="Arial Regular" w:cs="Arial Regular"/>
          <w:b w:val="0"/>
          <w:bCs w:val="0"/>
          <w:sz w:val="24"/>
          <w:szCs w:val="24"/>
        </w:rPr>
        <w:t xml:space="preserve">SmartGrowth AI: </w:t>
      </w:r>
      <w:r>
        <w:rPr>
          <w:rFonts w:hint="default" w:ascii="Arial Regular" w:hAnsi="Arial Regular" w:cs="Arial Regular"/>
          <w:b w:val="0"/>
          <w:bCs w:val="0"/>
          <w:sz w:val="24"/>
          <w:szCs w:val="24"/>
          <w:lang w:val="de-DE"/>
        </w:rPr>
        <w:t>An</w:t>
      </w:r>
      <w:r>
        <w:rPr>
          <w:rFonts w:hint="default" w:ascii="Arial Regular" w:hAnsi="Arial Regular" w:cs="Arial Regular"/>
          <w:b w:val="0"/>
          <w:bCs w:val="0"/>
          <w:sz w:val="24"/>
          <w:szCs w:val="24"/>
        </w:rPr>
        <w:t xml:space="preserve"> AI-Powered Marketing Agency for Service-Based SMEs in </w:t>
      </w:r>
      <w:r>
        <w:rPr>
          <w:rFonts w:hint="default" w:ascii="Arial Regular" w:hAnsi="Arial Regular" w:cs="Arial Regular"/>
          <w:b w:val="0"/>
          <w:bCs w:val="0"/>
          <w:sz w:val="24"/>
          <w:szCs w:val="24"/>
          <w:lang w:val="de-DE"/>
        </w:rPr>
        <w:t>the UK</w:t>
      </w:r>
    </w:p>
    <w:p w14:paraId="5F94D597">
      <w:pPr>
        <w:pStyle w:val="18"/>
        <w:keepNext w:val="0"/>
        <w:keepLines w:val="0"/>
        <w:widowControl/>
        <w:suppressLineNumbers w:val="0"/>
        <w:spacing w:line="360" w:lineRule="auto"/>
        <w:jc w:val="center"/>
        <w:rPr>
          <w:rFonts w:hint="default" w:ascii="Arial Regular" w:hAnsi="Arial Regular" w:cs="Arial Regular"/>
          <w:b w:val="0"/>
          <w:bCs w:val="0"/>
          <w:sz w:val="24"/>
          <w:szCs w:val="24"/>
          <w:lang w:val="de-DE"/>
        </w:rPr>
      </w:pPr>
    </w:p>
    <w:p w14:paraId="1CFC4EA8">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Name: Anika Ayub</w:t>
      </w:r>
    </w:p>
    <w:p w14:paraId="6E102626">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Student ID: 2504343</w:t>
      </w:r>
    </w:p>
    <w:p w14:paraId="57079439">
      <w:pPr>
        <w:keepNext w:val="0"/>
        <w:keepLines w:val="0"/>
        <w:widowControl/>
        <w:suppressLineNumbers w:val="0"/>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p>
    <w:p w14:paraId="4A46CB4D">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 xml:space="preserve">Module Name: </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Business Development Proposal</w:t>
      </w:r>
    </w:p>
    <w:p w14:paraId="42D54EC4">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 xml:space="preserve">Module Code: </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LCMB7037</w:t>
      </w:r>
    </w:p>
    <w:p w14:paraId="0723BD3D">
      <w:pPr>
        <w:keepNext w:val="0"/>
        <w:keepLines w:val="0"/>
        <w:widowControl/>
        <w:suppressLineNumbers w:val="0"/>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p>
    <w:p w14:paraId="54D6C346">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60" w:lineRule="auto"/>
        <w:ind w:left="0" w:right="0" w:firstLine="0"/>
        <w:jc w:val="center"/>
        <w:textAlignment w:val="baseline"/>
        <w:rPr>
          <w:rFonts w:hint="default" w:ascii="Arial Regular" w:hAnsi="Arial Regular" w:eastAsia="Helvetica Light" w:cs="Arial Regular"/>
          <w:b w:val="0"/>
          <w:bCs w:val="0"/>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 xml:space="preserve">Supervisor’s </w:t>
      </w: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 xml:space="preserve">Name: </w:t>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t>Amare Desta [PhD, MEd, MSc, LCGI, BSc (Hons)]</w:t>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br w:type="textWrapping"/>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t>Professor of Information &amp; Knowledge Management</w:t>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br w:type="textWrapping"/>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t xml:space="preserve">Senior Lecturer, Director of Studies, Doctoral Supervisor, Internal Examiner </w:t>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de-DE" w:eastAsia="zh-CN" w:bidi="ar"/>
          <w14:textFill>
            <w14:solidFill>
              <w14:schemeClr w14:val="tx1"/>
            </w14:solidFill>
          </w14:textFill>
        </w:rPr>
        <w:t xml:space="preserve">&amp; </w:t>
      </w: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t>Chair</w:t>
      </w:r>
    </w:p>
    <w:p w14:paraId="3264FC99">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60" w:lineRule="auto"/>
        <w:ind w:left="0" w:right="0" w:firstLine="0"/>
        <w:jc w:val="center"/>
        <w:textAlignment w:val="baseline"/>
        <w:rPr>
          <w:rFonts w:hint="default" w:ascii="Arial Regular" w:hAnsi="Arial Regular" w:eastAsia="Helvetica Light" w:cs="Arial Regular"/>
          <w:b w:val="0"/>
          <w:bCs w:val="0"/>
          <w:i w:val="0"/>
          <w:iCs w:val="0"/>
          <w:caps w:val="0"/>
          <w:color w:val="000000" w:themeColor="text1"/>
          <w:spacing w:val="0"/>
          <w:sz w:val="24"/>
          <w:szCs w:val="24"/>
          <w14:textFill>
            <w14:solidFill>
              <w14:schemeClr w14:val="tx1"/>
            </w14:solidFill>
          </w14:textFill>
        </w:rPr>
      </w:pPr>
      <w:r>
        <w:rPr>
          <w:rFonts w:hint="default" w:ascii="Arial Regular" w:hAnsi="Arial Regular" w:eastAsia="Helvetica Light" w:cs="Arial Regular"/>
          <w:b w:val="0"/>
          <w:bCs w:val="0"/>
          <w:i w:val="0"/>
          <w:iCs w:val="0"/>
          <w:caps w:val="0"/>
          <w:color w:val="000000" w:themeColor="text1"/>
          <w:spacing w:val="0"/>
          <w:kern w:val="0"/>
          <w:sz w:val="24"/>
          <w:szCs w:val="24"/>
          <w:bdr w:val="none" w:color="auto" w:sz="0" w:space="0"/>
          <w:shd w:val="clear" w:fill="FFFFFF"/>
          <w:vertAlign w:val="baseline"/>
          <w:lang w:val="en-US" w:eastAsia="zh-CN" w:bidi="ar"/>
          <w14:textFill>
            <w14:solidFill>
              <w14:schemeClr w14:val="tx1"/>
            </w14:solidFill>
          </w14:textFill>
        </w:rPr>
        <w:t>University of Wales Trinity Saint David (London Campus)</w:t>
      </w:r>
    </w:p>
    <w:p w14:paraId="16D26849">
      <w:pPr>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p>
    <w:p w14:paraId="0D5E77E2">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Word Count</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 16,052</w:t>
      </w:r>
    </w:p>
    <w:p w14:paraId="02A70A32">
      <w:pPr>
        <w:keepNext w:val="0"/>
        <w:keepLines w:val="0"/>
        <w:widowControl/>
        <w:suppressLineNumbers w:val="0"/>
        <w:spacing w:after="240" w:afterAutospacing="0"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p>
    <w:p w14:paraId="380F0CEE">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14:textFill>
            <w14:solidFill>
              <w14:schemeClr w14:val="tx1"/>
            </w14:solidFill>
          </w14:textFill>
        </w:rPr>
        <w:t xml:space="preserve">Term </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bookmarkStart w:id="0" w:name="_Toc239077215"/>
    </w:p>
    <w:sdt>
      <w:sdtPr>
        <w:rPr>
          <w:rFonts w:hint="default" w:ascii="Arial Regular" w:hAnsi="Arial Regular" w:eastAsia="SimSun" w:cs="Arial Regular"/>
          <w:sz w:val="24"/>
          <w:szCs w:val="24"/>
          <w:lang w:val="en-US" w:eastAsia="zh-CN" w:bidi="ar-SA"/>
        </w:rPr>
        <w:id w:val="61665286"/>
        <w15:color w:val="DBDBDB"/>
        <w:docPartObj>
          <w:docPartGallery w:val="Table of Contents"/>
          <w:docPartUnique/>
        </w:docPartObj>
      </w:sdtPr>
      <w:sdtEndPr>
        <w:rPr>
          <w:rFonts w:hint="default" w:ascii="Arial Regular" w:hAnsi="Arial Regular" w:eastAsia="SimSun" w:cs="Arial Regular"/>
          <w:b/>
          <w:bCs/>
          <w:i w:val="0"/>
          <w:iCs w:val="0"/>
          <w:color w:val="000000" w:themeColor="text1"/>
          <w:kern w:val="0"/>
          <w:sz w:val="24"/>
          <w:szCs w:val="24"/>
          <w:u w:val="none"/>
          <w:vertAlign w:val="baseline"/>
          <w:lang w:val="de-DE" w:eastAsia="zh-CN" w:bidi="ar"/>
          <w14:textFill>
            <w14:solidFill>
              <w14:schemeClr w14:val="tx1"/>
            </w14:solidFill>
          </w14:textFill>
        </w:rPr>
      </w:sdtEndPr>
      <w:sdtContent>
        <w:sdt>
          <w:sdtPr>
            <w:rPr>
              <w:rFonts w:hint="default" w:ascii="Arial Regular" w:hAnsi="Arial Regular" w:eastAsia="SimSun" w:cs="Arial Regular"/>
              <w:sz w:val="24"/>
              <w:szCs w:val="24"/>
              <w:lang w:val="en-US" w:eastAsia="zh-CN" w:bidi="ar-SA"/>
            </w:rPr>
            <w:id w:val="247940485"/>
            <w15:color w:val="DBDBDB"/>
            <w:docPartObj>
              <w:docPartGallery w:val="Table of Contents"/>
              <w:docPartUnique/>
            </w:docPartObj>
          </w:sdtPr>
          <w:sdtEndPr>
            <w:rPr>
              <w:rFonts w:hint="default" w:ascii="Arial Regular" w:hAnsi="Arial Regular" w:eastAsia="SimSun" w:cs="Arial Regular"/>
              <w:b/>
              <w:bCs/>
              <w:i w:val="0"/>
              <w:iCs w:val="0"/>
              <w:color w:val="000000" w:themeColor="text1"/>
              <w:kern w:val="0"/>
              <w:sz w:val="24"/>
              <w:szCs w:val="24"/>
              <w:u w:val="none"/>
              <w:vertAlign w:val="baseline"/>
              <w:lang w:val="de-DE" w:eastAsia="zh-CN" w:bidi="ar"/>
              <w14:textFill>
                <w14:solidFill>
                  <w14:schemeClr w14:val="tx1"/>
                </w14:solidFill>
              </w14:textFill>
            </w:rPr>
          </w:sdtEndPr>
          <w:sdtContent>
            <w:sdt>
              <w:sdtPr>
                <w:rPr>
                  <w:rFonts w:hint="default" w:ascii="Arial Regular" w:hAnsi="Arial Regular" w:eastAsia="SimSun" w:cs="Arial Regular"/>
                  <w:sz w:val="24"/>
                  <w:szCs w:val="24"/>
                  <w:lang w:val="en-US" w:eastAsia="zh-CN" w:bidi="ar-SA"/>
                </w:rPr>
                <w:id w:val="120414570"/>
                <w15:color w:val="DBDBDB"/>
                <w:docPartObj>
                  <w:docPartGallery w:val="Table of Contents"/>
                  <w:docPartUnique/>
                </w:docPartObj>
              </w:sdtPr>
              <w:sdtEndPr>
                <w:rPr>
                  <w:rFonts w:hint="default" w:ascii="Arial Regular" w:hAnsi="Arial Regular" w:eastAsia="SimSun" w:cs="Arial Regular"/>
                  <w:b/>
                  <w:bCs/>
                  <w:i w:val="0"/>
                  <w:iCs w:val="0"/>
                  <w:color w:val="000000" w:themeColor="text1"/>
                  <w:kern w:val="0"/>
                  <w:sz w:val="24"/>
                  <w:szCs w:val="24"/>
                  <w:u w:val="none"/>
                  <w:vertAlign w:val="baseline"/>
                  <w:lang w:val="de-DE" w:eastAsia="zh-CN" w:bidi="ar"/>
                  <w14:textFill>
                    <w14:solidFill>
                      <w14:schemeClr w14:val="tx1"/>
                    </w14:solidFill>
                  </w14:textFill>
                </w:rPr>
              </w:sdtEndPr>
              <w:sdtContent>
                <w:sdt>
                  <w:sdtPr>
                    <w:rPr>
                      <w:rFonts w:hint="default" w:ascii="Arial Regular" w:hAnsi="Arial Regular" w:eastAsia="SimSun" w:cs="Arial Regular"/>
                      <w:sz w:val="24"/>
                      <w:szCs w:val="24"/>
                      <w:lang w:val="en-US" w:eastAsia="zh-CN" w:bidi="ar-SA"/>
                    </w:rPr>
                    <w:id w:val="571340501"/>
                    <w15:color w:val="DBDBDB"/>
                    <w:docPartObj>
                      <w:docPartGallery w:val="Table of Contents"/>
                      <w:docPartUnique/>
                    </w:docPartObj>
                  </w:sdtPr>
                  <w:sdtEndPr>
                    <w:rPr>
                      <w:rFonts w:hint="default" w:ascii="Arial Regular" w:hAnsi="Arial Regular" w:eastAsia="SimSun" w:cs="Arial Regular"/>
                      <w:b/>
                      <w:bCs/>
                      <w:i w:val="0"/>
                      <w:iCs w:val="0"/>
                      <w:color w:val="000000" w:themeColor="text1"/>
                      <w:kern w:val="0"/>
                      <w:sz w:val="24"/>
                      <w:szCs w:val="24"/>
                      <w:u w:val="none"/>
                      <w:vertAlign w:val="baseline"/>
                      <w:lang w:val="de-DE" w:eastAsia="zh-CN" w:bidi="ar"/>
                      <w14:textFill>
                        <w14:solidFill>
                          <w14:schemeClr w14:val="tx1"/>
                        </w14:solidFill>
                      </w14:textFill>
                    </w:rPr>
                  </w:sdtEndPr>
                  <w:sdtContent>
                    <w:p w14:paraId="3F133562">
                      <w:pPr>
                        <w:spacing w:before="0" w:beforeLines="0" w:after="0" w:afterLines="0" w:line="360" w:lineRule="auto"/>
                        <w:ind w:left="0" w:leftChars="0" w:right="0" w:rightChars="0" w:firstLine="0" w:firstLineChars="0"/>
                        <w:jc w:val="center"/>
                        <w:rPr>
                          <w:rFonts w:hint="default" w:ascii="Arial Regular" w:hAnsi="Arial Regular" w:eastAsia="SimSun" w:cs="Arial Regular"/>
                          <w:b/>
                          <w:bCs/>
                          <w:sz w:val="24"/>
                          <w:szCs w:val="24"/>
                          <w:lang w:val="de-DE"/>
                        </w:rPr>
                      </w:pPr>
                      <w:r>
                        <w:rPr>
                          <w:rFonts w:hint="default" w:ascii="Arial Regular" w:hAnsi="Arial Regular" w:eastAsia="SimSun" w:cs="Arial Regular"/>
                          <w:b/>
                          <w:bCs/>
                          <w:sz w:val="24"/>
                          <w:szCs w:val="24"/>
                          <w:lang w:val="de-DE"/>
                        </w:rPr>
                        <w:t>Table of Contents</w:t>
                      </w:r>
                    </w:p>
                    <w:p w14:paraId="5F2FD3C1">
                      <w:pPr>
                        <w:spacing w:before="0" w:beforeLines="0" w:after="0" w:afterLines="0" w:line="360" w:lineRule="auto"/>
                        <w:ind w:left="0" w:leftChars="0" w:right="0" w:rightChars="0" w:firstLine="0" w:firstLineChars="0"/>
                        <w:jc w:val="center"/>
                        <w:rPr>
                          <w:rFonts w:hint="default" w:ascii="Arial Regular" w:hAnsi="Arial Regular" w:eastAsia="SimSun" w:cs="Arial Regular"/>
                          <w:b/>
                          <w:bCs/>
                          <w:sz w:val="24"/>
                          <w:szCs w:val="24"/>
                          <w:lang w:val="de-DE"/>
                        </w:rPr>
                      </w:pPr>
                    </w:p>
                    <w:p w14:paraId="51644BC9">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instrText xml:space="preserve">TOC \o "1-3" \h \u </w:instrTex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separate"/>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AI Use Acknowledgement</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06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p>
                    <w:p w14:paraId="2BF9A763">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Executive Summary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0</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23663155">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 Introduction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0</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774DFA5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 Background</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0</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7053FC6F">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1.2 Problem and Opportunity Statement</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0</w:t>
                      </w:r>
                    </w:p>
                    <w:p w14:paraId="5DE89D1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1.3 Initial Observation of Mareket Demand</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5252834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1.4 Aim, Objective and Research Questions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1E9C1581">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1.5 Scope of the Study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4C6930F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1.6 Structure of the Report</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4A7CD22E">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 Company (Agency) Description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6B4C7AD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2.1 Business Overview</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55293970">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2.2 Mission, Vision and Core Values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0371D63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2.3 Products and Services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4</w:t>
                      </w:r>
                    </w:p>
                    <w:p w14:paraId="16B1643A">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2.4 Founding Idea and Business Purpose</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4498EB4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2.5 Business Objectives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14D2C6D5">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2.6 Market Opportunity and Current Trends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3955CDF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2.7 SMART objectives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1D41645E">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 Literature Review</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3257613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3.1 Job To Be Done (JTBD)</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22CB6F0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3.2 PESTLE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_Toc1475700776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17</w:t>
                      </w:r>
                      <w:r>
                        <w:rPr>
                          <w:rFonts w:hint="default" w:ascii="Arial Regular" w:hAnsi="Arial Regular" w:cs="Arial Regular"/>
                          <w:b w:val="0"/>
                          <w:bCs w:val="0"/>
                          <w:sz w:val="24"/>
                          <w:szCs w:val="24"/>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p>
                    <w:p w14:paraId="0CA45EE6">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3.3 Porter's Five Fources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7F3C3B6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3.4 Value Proposition Canvas (VPC)</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30D86035">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3.5 Business Canvas Model (BMC)</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199F4D9A">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3.6 Supplementary Framework: VRIO and SWOT</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7B5213D2">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 Methodology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7896DF56">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4.1 Research Approach</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1</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2D1B503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4.2 Opportunity Identification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0</w:t>
                      </w:r>
                    </w:p>
                    <w:p w14:paraId="6835E8C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4.3 Market Insight Collection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5AD2603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4.4 Market Data Cathering</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3F5EA85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4.5 Data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33FA0FF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4.6 Data Collection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3D75BFAC">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Interview Questions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6268D4D7">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Interview 1: Education Consultancy Ower</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16A3A486">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Interview 2: Boutique Owner</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185F4BF1">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Interview 3: Grocery Owner</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15066C25">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4.7 Application of Business Frameworks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63514E14">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4.8 Limitations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17B96E7B">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4.9 Ethical Considerations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1440709A">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5. Market Opportunity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2</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01EC6E70">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5.1 Market size and growth trends</w:t>
                      </w:r>
                      <w:r>
                        <w:rPr>
                          <w:rFonts w:hint="default" w:ascii="Arial Regular" w:hAnsi="Arial Regular" w:cs="Arial Regular"/>
                          <w:b w:val="0"/>
                          <w:bCs w:val="0"/>
                          <w:sz w:val="24"/>
                          <w:szCs w:val="24"/>
                        </w:rPr>
                        <w:tab/>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30</w:t>
                      </w:r>
                    </w:p>
                    <w:p w14:paraId="6B639CC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5.2 Market segmentation and customer demographic</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6419307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5.3 Customer pain points, demand and behavior</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66088BE0">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5.4 Economic and geographic conditions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33000E16">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sz w:val="24"/>
                          <w:szCs w:val="24"/>
                          <w:lang w:val="de-DE"/>
                        </w:rPr>
                        <w:t>5.5 E</w:t>
                      </w:r>
                      <w:r>
                        <w:rPr>
                          <w:rFonts w:hint="default" w:ascii="Arial Regular" w:hAnsi="Arial Regular" w:eastAsia="SimSun" w:cs="Arial Regular"/>
                          <w:b w:val="0"/>
                          <w:bCs w:val="0"/>
                          <w:color w:val="000000" w:themeColor="text1"/>
                          <w:kern w:val="0"/>
                          <w:sz w:val="24"/>
                          <w:szCs w:val="24"/>
                          <w:lang w:val="en-US" w:eastAsia="zh-CN" w:bidi="ar"/>
                          <w14:textFill>
                            <w14:solidFill>
                              <w14:schemeClr w14:val="tx1"/>
                            </w14:solidFill>
                          </w14:textFill>
                        </w:rPr>
                        <w:t>stimated Market Size for SmartGrowth AI</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4</w:t>
                      </w:r>
                    </w:p>
                    <w:p w14:paraId="77C2C1A2">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6. C</w:t>
                      </w:r>
                      <w:r>
                        <w:rPr>
                          <w:rFonts w:hint="default" w:ascii="Arial Regular" w:hAnsi="Arial Regular" w:cs="Arial Regular"/>
                          <w:b w:val="0"/>
                          <w:bCs w:val="0"/>
                          <w:color w:val="000000" w:themeColor="text1"/>
                          <w:sz w:val="24"/>
                          <w:szCs w:val="24"/>
                          <w14:textFill>
                            <w14:solidFill>
                              <w14:schemeClr w14:val="tx1"/>
                            </w14:solidFill>
                          </w14:textFill>
                        </w:rPr>
                        <w:t>ompetitive Environment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38DD765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6.</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1 </w:t>
                      </w:r>
                      <w:r>
                        <w:rPr>
                          <w:rFonts w:hint="default" w:ascii="Arial Regular" w:hAnsi="Arial Regular" w:cs="Arial Regular"/>
                          <w:b w:val="0"/>
                          <w:bCs w:val="0"/>
                          <w:color w:val="000000" w:themeColor="text1"/>
                          <w:sz w:val="24"/>
                          <w:szCs w:val="24"/>
                          <w14:textFill>
                            <w14:solidFill>
                              <w14:schemeClr w14:val="tx1"/>
                            </w14:solidFill>
                          </w14:textFill>
                        </w:rPr>
                        <w:t>Scope, Frameworks and Competitive Sets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3678345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6.</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2 </w:t>
                      </w:r>
                      <w:r>
                        <w:rPr>
                          <w:rFonts w:hint="default" w:ascii="Arial Regular" w:hAnsi="Arial Regular" w:cs="Arial Regular"/>
                          <w:b w:val="0"/>
                          <w:bCs w:val="0"/>
                          <w:color w:val="000000" w:themeColor="text1"/>
                          <w:sz w:val="24"/>
                          <w:szCs w:val="24"/>
                          <w14:textFill>
                            <w14:solidFill>
                              <w14:schemeClr w14:val="tx1"/>
                            </w14:solidFill>
                          </w14:textFill>
                        </w:rPr>
                        <w:t>Key Success Factors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4AF644F6">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6.</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3 </w:t>
                      </w:r>
                      <w:r>
                        <w:rPr>
                          <w:rFonts w:hint="default" w:ascii="Arial Regular" w:hAnsi="Arial Regular" w:cs="Arial Regular"/>
                          <w:b w:val="0"/>
                          <w:bCs w:val="0"/>
                          <w:color w:val="000000" w:themeColor="text1"/>
                          <w:sz w:val="24"/>
                          <w:szCs w:val="24"/>
                          <w14:textFill>
                            <w14:solidFill>
                              <w14:schemeClr w14:val="tx1"/>
                            </w14:solidFill>
                          </w14:textFill>
                        </w:rPr>
                        <w:t>Main Competitors and Positioning</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30E9342A">
                      <w:pPr>
                        <w:pStyle w:val="16"/>
                        <w:tabs>
                          <w:tab w:val="right" w:leader="dot" w:pos="8306"/>
                        </w:tabs>
                        <w:spacing w:line="360" w:lineRule="auto"/>
                        <w:ind w:left="720" w:leftChars="0"/>
                        <w:rPr>
                          <w:rFonts w:hint="default" w:ascii="Arial Regular" w:hAnsi="Arial Regular" w:cs="Arial Regular"/>
                          <w:sz w:val="24"/>
                          <w:szCs w:val="24"/>
                          <w:lang w:val="de-DE"/>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6.</w:t>
                      </w:r>
                      <w:r>
                        <w:rPr>
                          <w:rFonts w:hint="default" w:ascii="Arial Regular" w:hAnsi="Arial Regular" w:cs="Arial Regular"/>
                          <w:b w:val="0"/>
                          <w:bCs w:val="0"/>
                          <w:color w:val="000000" w:themeColor="text1"/>
                          <w:sz w:val="24"/>
                          <w:szCs w:val="24"/>
                          <w:lang w:val="de-DE"/>
                          <w14:textFill>
                            <w14:solidFill>
                              <w14:schemeClr w14:val="tx1"/>
                            </w14:solidFill>
                          </w14:textFill>
                        </w:rPr>
                        <w:t>4 Competitor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6E0FD91D">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7.C</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ompetitive Environment and Strategic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02B3458C">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pacing w:val="0"/>
                          <w:sz w:val="24"/>
                          <w:szCs w:val="24"/>
                          <w:shd w:val="clear" w:fill="FFFFFF"/>
                          <w:lang w:val="de-DE"/>
                          <w14:textFill>
                            <w14:solidFill>
                              <w14:schemeClr w14:val="tx1"/>
                            </w14:solidFill>
                          </w14:textFill>
                        </w:rPr>
                        <w:t>1 C</w:t>
                      </w:r>
                      <w:r>
                        <w:rPr>
                          <w:rFonts w:hint="default" w:ascii="Arial Regular" w:hAnsi="Arial Regular" w:cs="Arial Regular"/>
                          <w:b w:val="0"/>
                          <w:bCs w:val="0"/>
                          <w:i w:val="0"/>
                          <w:iCs w:val="0"/>
                          <w:color w:val="000000" w:themeColor="text1"/>
                          <w:spacing w:val="0"/>
                          <w:sz w:val="24"/>
                          <w:szCs w:val="24"/>
                          <w:shd w:val="clear" w:fill="FFFFFF"/>
                          <w14:textFill>
                            <w14:solidFill>
                              <w14:schemeClr w14:val="tx1"/>
                            </w14:solidFill>
                          </w14:textFill>
                        </w:rPr>
                        <w:t xml:space="preserve">ompetitor </w:t>
                      </w:r>
                      <w:r>
                        <w:rPr>
                          <w:rFonts w:hint="default" w:ascii="Arial Regular" w:hAnsi="Arial Regular" w:cs="Arial Regular"/>
                          <w:b w:val="0"/>
                          <w:bCs w:val="0"/>
                          <w:i w:val="0"/>
                          <w:iCs w:val="0"/>
                          <w:color w:val="000000" w:themeColor="text1"/>
                          <w:spacing w:val="0"/>
                          <w:sz w:val="24"/>
                          <w:szCs w:val="24"/>
                          <w:shd w:val="clear" w:fill="FFFFFF"/>
                          <w:lang w:val="de-DE"/>
                          <w14:textFill>
                            <w14:solidFill>
                              <w14:schemeClr w14:val="tx1"/>
                            </w14:solidFill>
                          </w14:textFill>
                        </w:rPr>
                        <w:t>S</w:t>
                      </w:r>
                      <w:r>
                        <w:rPr>
                          <w:rFonts w:hint="default" w:ascii="Arial Regular" w:hAnsi="Arial Regular" w:cs="Arial Regular"/>
                          <w:b w:val="0"/>
                          <w:bCs w:val="0"/>
                          <w:i w:val="0"/>
                          <w:iCs w:val="0"/>
                          <w:color w:val="000000" w:themeColor="text1"/>
                          <w:spacing w:val="0"/>
                          <w:sz w:val="24"/>
                          <w:szCs w:val="24"/>
                          <w:shd w:val="clear" w:fill="FFFFFF"/>
                          <w14:textFill>
                            <w14:solidFill>
                              <w14:schemeClr w14:val="tx1"/>
                            </w14:solidFill>
                          </w14:textFill>
                        </w:rPr>
                        <w:t xml:space="preserve">earch </w:t>
                      </w:r>
                      <w:r>
                        <w:rPr>
                          <w:rFonts w:hint="default" w:ascii="Arial Regular" w:hAnsi="Arial Regular" w:cs="Arial Regular"/>
                          <w:b w:val="0"/>
                          <w:bCs w:val="0"/>
                          <w:i w:val="0"/>
                          <w:iCs w:val="0"/>
                          <w:color w:val="000000" w:themeColor="text1"/>
                          <w:spacing w:val="0"/>
                          <w:sz w:val="24"/>
                          <w:szCs w:val="24"/>
                          <w:shd w:val="clear" w:fill="FFFFFF"/>
                          <w:lang w:val="de-DE"/>
                          <w14:textFill>
                            <w14:solidFill>
                              <w14:schemeClr w14:val="tx1"/>
                            </w14:solidFill>
                          </w14:textFill>
                        </w:rPr>
                        <w:t>P</w:t>
                      </w:r>
                      <w:r>
                        <w:rPr>
                          <w:rFonts w:hint="default" w:ascii="Arial Regular" w:hAnsi="Arial Regular" w:cs="Arial Regular"/>
                          <w:b w:val="0"/>
                          <w:bCs w:val="0"/>
                          <w:i w:val="0"/>
                          <w:iCs w:val="0"/>
                          <w:color w:val="000000" w:themeColor="text1"/>
                          <w:spacing w:val="0"/>
                          <w:sz w:val="24"/>
                          <w:szCs w:val="24"/>
                          <w:shd w:val="clear" w:fill="FFFFFF"/>
                          <w14:textFill>
                            <w14:solidFill>
                              <w14:schemeClr w14:val="tx1"/>
                            </w14:solidFill>
                          </w14:textFill>
                        </w:rPr>
                        <w:t>rocess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4C4DB22E">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2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Porter’s Five Forces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3</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6253538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3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PESTLE Analysis</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63BC36E1">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4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Industry Attractiveness and Market Gaps and Synthesis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375A6340">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5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Business Strategy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26301934">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6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Strategic Situation and Analytical Frameworks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4</w:t>
                      </w:r>
                    </w:p>
                    <w:p w14:paraId="62297396">
                      <w:pPr>
                        <w:pStyle w:val="16"/>
                        <w:tabs>
                          <w:tab w:val="right" w:leader="dot" w:pos="8306"/>
                        </w:tabs>
                        <w:spacing w:line="360" w:lineRule="auto"/>
                        <w:ind w:left="720" w:leftChars="0"/>
                        <w:rPr>
                          <w:rFonts w:hint="default" w:ascii="Arial Regular" w:hAnsi="Arial Regular" w:cs="Arial Regular"/>
                          <w:sz w:val="24"/>
                          <w:szCs w:val="24"/>
                          <w:lang w:val="de-DE"/>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7.7 Internal Analysis Using VRIO</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4</w:t>
                      </w:r>
                    </w:p>
                    <w:p w14:paraId="36E48AB2">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7.8 SWOT Analysis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6</w:t>
                      </w:r>
                    </w:p>
                    <w:p w14:paraId="2EF5F68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7.9 Strategic Alternatives and Choice</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4FE20694">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7.1</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0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Unique Selling Point, Value Proposition and Positioning</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7BF257BB">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7.1</w:t>
                      </w: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1 </w:t>
                      </w: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Competitive Advantage and Key Success Factors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3053DCA6">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8. Business Canvas Model</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4</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6655A2CD">
                      <w:pPr>
                        <w:pStyle w:val="16"/>
                        <w:tabs>
                          <w:tab w:val="right" w:leader="dot" w:pos="8306"/>
                        </w:tabs>
                        <w:spacing w:line="360" w:lineRule="auto"/>
                        <w:ind w:left="475"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9. Financial</w:t>
                      </w:r>
                      <w:r>
                        <w:rPr>
                          <w:rFonts w:hint="default" w:ascii="Arial Regular" w:hAnsi="Arial Regular" w:cs="Arial Regular"/>
                          <w:b w:val="0"/>
                          <w:bCs w:val="0"/>
                          <w:color w:val="000000" w:themeColor="text1"/>
                          <w:sz w:val="24"/>
                          <w:szCs w:val="24"/>
                          <w14:textFill>
                            <w14:solidFill>
                              <w14:schemeClr w14:val="tx1"/>
                            </w14:solidFill>
                          </w14:textFill>
                        </w:rPr>
                        <w:t xml:space="preserve">, Marketing and Sales, </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&amp; </w:t>
                      </w:r>
                      <w:r>
                        <w:rPr>
                          <w:rFonts w:hint="default" w:ascii="Arial Regular" w:hAnsi="Arial Regular" w:cs="Arial Regular"/>
                          <w:b w:val="0"/>
                          <w:bCs w:val="0"/>
                          <w:color w:val="000000" w:themeColor="text1"/>
                          <w:sz w:val="24"/>
                          <w:szCs w:val="24"/>
                          <w14:textFill>
                            <w14:solidFill>
                              <w14:schemeClr w14:val="tx1"/>
                            </w14:solidFill>
                          </w14:textFill>
                        </w:rPr>
                        <w:t>Human Capital Management Plan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5</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4</w:t>
                      </w:r>
                    </w:p>
                    <w:p w14:paraId="08CE9EE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9.</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1 </w:t>
                      </w:r>
                      <w:r>
                        <w:rPr>
                          <w:rFonts w:hint="default" w:ascii="Arial Regular" w:hAnsi="Arial Regular" w:cs="Arial Regular"/>
                          <w:b w:val="0"/>
                          <w:bCs w:val="0"/>
                          <w:color w:val="000000" w:themeColor="text1"/>
                          <w:sz w:val="24"/>
                          <w:szCs w:val="24"/>
                          <w14:textFill>
                            <w14:solidFill>
                              <w14:schemeClr w14:val="tx1"/>
                            </w14:solidFill>
                          </w14:textFill>
                        </w:rPr>
                        <w:t xml:space="preserve">Integrated Plan Overview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5</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4</w:t>
                      </w:r>
                    </w:p>
                    <w:p w14:paraId="4CE24C22">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A</w:t>
                      </w:r>
                      <w:r>
                        <w:rPr>
                          <w:rFonts w:hint="default" w:ascii="Arial Regular" w:hAnsi="Arial Regular" w:cs="Arial Regular"/>
                          <w:b w:val="0"/>
                          <w:bCs w:val="0"/>
                          <w:color w:val="000000" w:themeColor="text1"/>
                          <w:sz w:val="24"/>
                          <w:szCs w:val="24"/>
                          <w14:textFill>
                            <w14:solidFill>
                              <w14:schemeClr w14:val="tx1"/>
                            </w14:solidFill>
                          </w14:textFill>
                        </w:rPr>
                        <w:t>. Financial Plan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5</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32EDC172">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B. M</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arketing Plan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5</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68D7E1BF">
                      <w:pPr>
                        <w:pStyle w:val="16"/>
                        <w:tabs>
                          <w:tab w:val="right" w:leader="dot" w:pos="8306"/>
                        </w:tabs>
                        <w:spacing w:line="360" w:lineRule="auto"/>
                        <w:ind w:left="144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C. H</w:t>
                      </w:r>
                      <w:r>
                        <w:rPr>
                          <w:rFonts w:hint="default" w:ascii="Arial Regular" w:hAnsi="Arial Regular" w:cs="Arial Regular"/>
                          <w:b w:val="0"/>
                          <w:bCs w:val="0"/>
                          <w:color w:val="000000" w:themeColor="text1"/>
                          <w:sz w:val="24"/>
                          <w:szCs w:val="24"/>
                          <w14:textFill>
                            <w14:solidFill>
                              <w14:schemeClr w14:val="tx1"/>
                            </w14:solidFill>
                          </w14:textFill>
                        </w:rPr>
                        <w:t>uman Capital Management Plan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5</w:t>
                      </w:r>
                    </w:p>
                    <w:p w14:paraId="5F3EB279">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10. O</w:t>
                      </w:r>
                      <w:r>
                        <w:rPr>
                          <w:rFonts w:hint="default" w:ascii="Arial Regular" w:hAnsi="Arial Regular" w:cs="Arial Regular"/>
                          <w:b w:val="0"/>
                          <w:bCs w:val="0"/>
                          <w:color w:val="000000" w:themeColor="text1"/>
                          <w:sz w:val="24"/>
                          <w:szCs w:val="24"/>
                          <w14:textFill>
                            <w14:solidFill>
                              <w14:schemeClr w14:val="tx1"/>
                            </w14:solidFill>
                          </w14:textFill>
                        </w:rPr>
                        <w:t>perations Plan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3D3A2F0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10.</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1 </w:t>
                      </w:r>
                      <w:r>
                        <w:rPr>
                          <w:rFonts w:hint="default" w:ascii="Arial Regular" w:hAnsi="Arial Regular" w:cs="Arial Regular"/>
                          <w:b w:val="0"/>
                          <w:bCs w:val="0"/>
                          <w:color w:val="000000" w:themeColor="text1"/>
                          <w:sz w:val="24"/>
                          <w:szCs w:val="24"/>
                          <w14:textFill>
                            <w14:solidFill>
                              <w14:schemeClr w14:val="tx1"/>
                            </w14:solidFill>
                          </w14:textFill>
                        </w:rPr>
                        <w:t xml:space="preserve">Operating Model and Scope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7550B3DE">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10</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.2 </w:t>
                      </w:r>
                      <w:r>
                        <w:rPr>
                          <w:rFonts w:hint="default" w:ascii="Arial Regular" w:hAnsi="Arial Regular" w:cs="Arial Regular"/>
                          <w:b w:val="0"/>
                          <w:bCs w:val="0"/>
                          <w:color w:val="000000" w:themeColor="text1"/>
                          <w:sz w:val="24"/>
                          <w:szCs w:val="24"/>
                          <w14:textFill>
                            <w14:solidFill>
                              <w14:schemeClr w14:val="tx1"/>
                            </w14:solidFill>
                          </w14:textFill>
                        </w:rPr>
                        <w:t xml:space="preserve">Operational Workflow and Capacity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521AA807">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10.</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3 </w:t>
                      </w:r>
                      <w:r>
                        <w:rPr>
                          <w:rFonts w:hint="default" w:ascii="Arial Regular" w:hAnsi="Arial Regular" w:cs="Arial Regular"/>
                          <w:b w:val="0"/>
                          <w:bCs w:val="0"/>
                          <w:color w:val="000000" w:themeColor="text1"/>
                          <w:sz w:val="24"/>
                          <w:szCs w:val="24"/>
                          <w14:textFill>
                            <w14:solidFill>
                              <w14:schemeClr w14:val="tx1"/>
                            </w14:solidFill>
                          </w14:textFill>
                        </w:rPr>
                        <w:t>Location, Facilities and Technology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599A2C11">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10.</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4 </w:t>
                      </w:r>
                      <w:r>
                        <w:rPr>
                          <w:rFonts w:hint="default" w:ascii="Arial Regular" w:hAnsi="Arial Regular" w:cs="Arial Regular"/>
                          <w:b w:val="0"/>
                          <w:bCs w:val="0"/>
                          <w:color w:val="000000" w:themeColor="text1"/>
                          <w:sz w:val="24"/>
                          <w:szCs w:val="24"/>
                          <w14:textFill>
                            <w14:solidFill>
                              <w14:schemeClr w14:val="tx1"/>
                            </w14:solidFill>
                          </w14:textFill>
                        </w:rPr>
                        <w:t>Supply Chain, Inventory and Logistics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6</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786A63BF">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10.</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5 </w:t>
                      </w:r>
                      <w:r>
                        <w:rPr>
                          <w:rFonts w:hint="default" w:ascii="Arial Regular" w:hAnsi="Arial Regular" w:cs="Arial Regular"/>
                          <w:b w:val="0"/>
                          <w:bCs w:val="0"/>
                          <w:color w:val="000000" w:themeColor="text1"/>
                          <w:sz w:val="24"/>
                          <w:szCs w:val="24"/>
                          <w14:textFill>
                            <w14:solidFill>
                              <w14:schemeClr w14:val="tx1"/>
                            </w14:solidFill>
                          </w14:textFill>
                        </w:rPr>
                        <w:t>Quality, Compliance and Operational Control</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70</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p>
                    <w:p w14:paraId="1FC3119D">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 Feasibility Analysis</w:t>
                      </w:r>
                      <w:r>
                        <w:rPr>
                          <w:rFonts w:hint="default" w:ascii="Arial Regular" w:hAnsi="Arial Regular" w:cs="Arial Regular"/>
                          <w:b w:val="0"/>
                          <w:bCs w:val="0"/>
                          <w:sz w:val="24"/>
                          <w:szCs w:val="24"/>
                        </w:rPr>
                        <w:tab/>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70</w:t>
                      </w:r>
                    </w:p>
                    <w:p w14:paraId="045AFF09">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1 </w:t>
                      </w:r>
                      <w:r>
                        <w:rPr>
                          <w:rFonts w:hint="default" w:ascii="Arial Regular" w:hAnsi="Arial Regular" w:cs="Arial Regular"/>
                          <w:b w:val="0"/>
                          <w:bCs w:val="0"/>
                          <w:color w:val="000000" w:themeColor="text1"/>
                          <w:sz w:val="24"/>
                          <w:szCs w:val="24"/>
                          <w14:textFill>
                            <w14:solidFill>
                              <w14:schemeClr w14:val="tx1"/>
                            </w14:solidFill>
                          </w14:textFill>
                        </w:rPr>
                        <w:t xml:space="preserve">Ethical Feasibility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6C9DDF51">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2 </w:t>
                      </w:r>
                      <w:r>
                        <w:rPr>
                          <w:rFonts w:hint="default" w:ascii="Arial Regular" w:hAnsi="Arial Regular" w:cs="Arial Regular"/>
                          <w:b w:val="0"/>
                          <w:bCs w:val="0"/>
                          <w:color w:val="000000" w:themeColor="text1"/>
                          <w:sz w:val="24"/>
                          <w:szCs w:val="24"/>
                          <w14:textFill>
                            <w14:solidFill>
                              <w14:schemeClr w14:val="tx1"/>
                            </w14:solidFill>
                          </w14:textFill>
                        </w:rPr>
                        <w:t xml:space="preserve">Market Feasibility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6AF5026F">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11.3 T</w:t>
                      </w:r>
                      <w:r>
                        <w:rPr>
                          <w:rFonts w:hint="default" w:ascii="Arial Regular" w:hAnsi="Arial Regular" w:cs="Arial Regular"/>
                          <w:b w:val="0"/>
                          <w:bCs w:val="0"/>
                          <w:color w:val="000000" w:themeColor="text1"/>
                          <w:sz w:val="24"/>
                          <w:szCs w:val="24"/>
                          <w14:textFill>
                            <w14:solidFill>
                              <w14:schemeClr w14:val="tx1"/>
                            </w14:solidFill>
                          </w14:textFill>
                        </w:rPr>
                        <w:t>echnical and Operational Feasibility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1</w:t>
                      </w:r>
                    </w:p>
                    <w:p w14:paraId="5559F048">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11.4 F</w:t>
                      </w:r>
                      <w:r>
                        <w:rPr>
                          <w:rFonts w:hint="default" w:ascii="Arial Regular" w:hAnsi="Arial Regular" w:cs="Arial Regular"/>
                          <w:b w:val="0"/>
                          <w:bCs w:val="0"/>
                          <w:color w:val="000000" w:themeColor="text1"/>
                          <w:sz w:val="24"/>
                          <w:szCs w:val="24"/>
                          <w14:textFill>
                            <w14:solidFill>
                              <w14:schemeClr w14:val="tx1"/>
                            </w14:solidFill>
                          </w14:textFill>
                        </w:rPr>
                        <w:t xml:space="preserve">inancial Feasibility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7F08F255">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11.5 S</w:t>
                      </w:r>
                      <w:r>
                        <w:rPr>
                          <w:rFonts w:hint="default" w:ascii="Arial Regular" w:hAnsi="Arial Regular" w:cs="Arial Regular"/>
                          <w:b w:val="0"/>
                          <w:bCs w:val="0"/>
                          <w:color w:val="000000" w:themeColor="text1"/>
                          <w:sz w:val="24"/>
                          <w:szCs w:val="24"/>
                          <w14:textFill>
                            <w14:solidFill>
                              <w14:schemeClr w14:val="tx1"/>
                            </w14:solidFill>
                          </w14:textFill>
                        </w:rPr>
                        <w:t xml:space="preserve">trategic Fit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5A215C9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1.6 </w:t>
                      </w:r>
                      <w:r>
                        <w:rPr>
                          <w:rFonts w:hint="default" w:ascii="Arial Regular" w:hAnsi="Arial Regular" w:cs="Arial Regular"/>
                          <w:b w:val="0"/>
                          <w:bCs w:val="0"/>
                          <w:color w:val="000000" w:themeColor="text1"/>
                          <w:sz w:val="24"/>
                          <w:szCs w:val="24"/>
                          <w14:textFill>
                            <w14:solidFill>
                              <w14:schemeClr w14:val="tx1"/>
                            </w14:solidFill>
                          </w14:textFill>
                        </w:rPr>
                        <w:t>Risk and Mitigation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53477F55">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12. Implementation Plan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65379FED">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2.1 </w:t>
                      </w:r>
                      <w:r>
                        <w:rPr>
                          <w:rFonts w:hint="default" w:ascii="Arial Regular" w:hAnsi="Arial Regular" w:cs="Arial Regular"/>
                          <w:b w:val="0"/>
                          <w:bCs w:val="0"/>
                          <w:color w:val="000000" w:themeColor="text1"/>
                          <w:sz w:val="24"/>
                          <w:szCs w:val="24"/>
                          <w14:textFill>
                            <w14:solidFill>
                              <w14:schemeClr w14:val="tx1"/>
                            </w14:solidFill>
                          </w14:textFill>
                        </w:rPr>
                        <w:t xml:space="preserve">Phased Implementation Timeline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3</w:t>
                      </w:r>
                    </w:p>
                    <w:p w14:paraId="5E310CA2">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2.2 </w:t>
                      </w:r>
                      <w:r>
                        <w:rPr>
                          <w:rFonts w:hint="default" w:ascii="Arial Regular" w:hAnsi="Arial Regular" w:cs="Arial Regular"/>
                          <w:b w:val="0"/>
                          <w:bCs w:val="0"/>
                          <w:color w:val="000000" w:themeColor="text1"/>
                          <w:sz w:val="24"/>
                          <w:szCs w:val="24"/>
                          <w14:textFill>
                            <w14:solidFill>
                              <w14:schemeClr w14:val="tx1"/>
                            </w14:solidFill>
                          </w14:textFill>
                        </w:rPr>
                        <w:t>Key Performance Indicators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0A8ECA80">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2.3 </w:t>
                      </w:r>
                      <w:r>
                        <w:rPr>
                          <w:rFonts w:hint="default" w:ascii="Arial Regular" w:hAnsi="Arial Regular" w:cs="Arial Regular"/>
                          <w:b w:val="0"/>
                          <w:bCs w:val="0"/>
                          <w:color w:val="000000" w:themeColor="text1"/>
                          <w:sz w:val="24"/>
                          <w:szCs w:val="24"/>
                          <w14:textFill>
                            <w14:solidFill>
                              <w14:schemeClr w14:val="tx1"/>
                            </w14:solidFill>
                          </w14:textFill>
                        </w:rPr>
                        <w:t xml:space="preserve">Monitoring and Control </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3EA9D731">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3. C</w:t>
                      </w:r>
                      <w:r>
                        <w:rPr>
                          <w:rFonts w:hint="default" w:ascii="Arial Regular" w:hAnsi="Arial Regular" w:cs="Arial Regular"/>
                          <w:b w:val="0"/>
                          <w:bCs w:val="0"/>
                          <w:color w:val="000000" w:themeColor="text1"/>
                          <w:sz w:val="24"/>
                          <w:szCs w:val="24"/>
                          <w14:textFill>
                            <w14:solidFill>
                              <w14:schemeClr w14:val="tx1"/>
                            </w14:solidFill>
                          </w14:textFill>
                        </w:rPr>
                        <w:t>onclusion and Recommendation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6DDE7073">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3.1 E</w:t>
                      </w:r>
                      <w:r>
                        <w:rPr>
                          <w:rFonts w:hint="default" w:ascii="Arial Regular" w:hAnsi="Arial Regular" w:cs="Arial Regular"/>
                          <w:b w:val="0"/>
                          <w:bCs w:val="0"/>
                          <w:color w:val="000000" w:themeColor="text1"/>
                          <w:sz w:val="24"/>
                          <w:szCs w:val="24"/>
                          <w14:textFill>
                            <w14:solidFill>
                              <w14:schemeClr w14:val="tx1"/>
                            </w14:solidFill>
                          </w14:textFill>
                        </w:rPr>
                        <w:t>valuation of Theories and Frameworks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7</w:t>
                      </w:r>
                    </w:p>
                    <w:p w14:paraId="6F8EFA1E">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3.2 </w:t>
                      </w:r>
                      <w:r>
                        <w:rPr>
                          <w:rFonts w:hint="default" w:ascii="Arial Regular" w:hAnsi="Arial Regular" w:cs="Arial Regular"/>
                          <w:b w:val="0"/>
                          <w:bCs w:val="0"/>
                          <w:color w:val="000000" w:themeColor="text1"/>
                          <w:sz w:val="24"/>
                          <w:szCs w:val="24"/>
                          <w14:textFill>
                            <w14:solidFill>
                              <w14:schemeClr w14:val="tx1"/>
                            </w14:solidFill>
                          </w14:textFill>
                        </w:rPr>
                        <w:t>Summary of Findings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w:t>
                      </w:r>
                    </w:p>
                    <w:p w14:paraId="6852BC74">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13.</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3 </w:t>
                      </w:r>
                      <w:r>
                        <w:rPr>
                          <w:rFonts w:hint="default" w:ascii="Arial Regular" w:hAnsi="Arial Regular" w:cs="Arial Regular"/>
                          <w:b w:val="0"/>
                          <w:bCs w:val="0"/>
                          <w:color w:val="000000" w:themeColor="text1"/>
                          <w:sz w:val="24"/>
                          <w:szCs w:val="24"/>
                          <w14:textFill>
                            <w14:solidFill>
                              <w14:schemeClr w14:val="tx1"/>
                            </w14:solidFill>
                          </w14:textFill>
                        </w:rPr>
                        <w:t>Recommendations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2B4199B0">
                      <w:pPr>
                        <w:pStyle w:val="16"/>
                        <w:tabs>
                          <w:tab w:val="right" w:leader="dot" w:pos="8306"/>
                        </w:tabs>
                        <w:spacing w:line="360" w:lineRule="auto"/>
                        <w:ind w:left="720" w:leftChars="0"/>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3.4 </w:t>
                      </w:r>
                      <w:r>
                        <w:rPr>
                          <w:rFonts w:hint="default" w:ascii="Arial Regular" w:hAnsi="Arial Regular" w:cs="Arial Regular"/>
                          <w:b w:val="0"/>
                          <w:bCs w:val="0"/>
                          <w:color w:val="000000" w:themeColor="text1"/>
                          <w:sz w:val="24"/>
                          <w:szCs w:val="24"/>
                          <w14:textFill>
                            <w14:solidFill>
                              <w14:schemeClr w14:val="tx1"/>
                            </w14:solidFill>
                          </w14:textFill>
                        </w:rPr>
                        <w:t>Suggestions for Further Research</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7</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9</w:t>
                      </w:r>
                    </w:p>
                    <w:p w14:paraId="38839634">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1</w:t>
                      </w:r>
                      <w:r>
                        <w:rPr>
                          <w:rFonts w:hint="default" w:ascii="Arial Regular" w:hAnsi="Arial Regular" w:cs="Arial Regular"/>
                          <w:b w:val="0"/>
                          <w:bCs w:val="0"/>
                          <w:color w:val="000000" w:themeColor="text1"/>
                          <w:sz w:val="24"/>
                          <w:szCs w:val="24"/>
                          <w:lang w:val="de-DE"/>
                          <w14:textFill>
                            <w14:solidFill>
                              <w14:schemeClr w14:val="tx1"/>
                            </w14:solidFill>
                          </w14:textFill>
                        </w:rPr>
                        <w:t>4. R</w:t>
                      </w:r>
                      <w:r>
                        <w:rPr>
                          <w:rFonts w:hint="default" w:ascii="Arial Regular" w:hAnsi="Arial Regular" w:cs="Arial Regular"/>
                          <w:b w:val="0"/>
                          <w:bCs w:val="0"/>
                          <w:color w:val="000000" w:themeColor="text1"/>
                          <w:sz w:val="24"/>
                          <w:szCs w:val="24"/>
                          <w14:textFill>
                            <w14:solidFill>
                              <w14:schemeClr w14:val="tx1"/>
                            </w14:solidFill>
                          </w14:textFill>
                        </w:rPr>
                        <w:t>eflection</w:t>
                      </w:r>
                      <w:r>
                        <w:rPr>
                          <w:rFonts w:hint="default" w:ascii="Arial Regular" w:hAnsi="Arial Regular" w:cs="Arial Regular"/>
                          <w:b w:val="0"/>
                          <w:bCs w:val="0"/>
                          <w:sz w:val="24"/>
                          <w:szCs w:val="24"/>
                        </w:rPr>
                        <w:tab/>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80</w:t>
                      </w:r>
                    </w:p>
                    <w:p w14:paraId="3B3394F3">
                      <w:pPr>
                        <w:pStyle w:val="16"/>
                        <w:tabs>
                          <w:tab w:val="right" w:leader="dot" w:pos="8306"/>
                        </w:tabs>
                        <w:spacing w:line="360" w:lineRule="auto"/>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begin"/>
                      </w:r>
                      <w:r>
                        <w:rPr>
                          <w:rFonts w:hint="default" w:ascii="Arial Regular" w:hAnsi="Arial Regular" w:cs="Arial Regular"/>
                          <w:b w:val="0"/>
                          <w:bCs w:val="0"/>
                          <w:i w:val="0"/>
                          <w:iCs w:val="0"/>
                          <w:sz w:val="24"/>
                          <w:szCs w:val="24"/>
                          <w:vertAlign w:val="baseline"/>
                          <w:lang w:val="de-DE"/>
                        </w:rPr>
                        <w:instrText xml:space="preserve"> HYPERLINK \l _Toc1475700776 </w:instrText>
                      </w:r>
                      <w:r>
                        <w:rPr>
                          <w:rFonts w:hint="default" w:ascii="Arial Regular" w:hAnsi="Arial Regular" w:cs="Arial Regular"/>
                          <w:b w:val="0"/>
                          <w:bCs w:val="0"/>
                          <w:i w:val="0"/>
                          <w:iCs w:val="0"/>
                          <w:sz w:val="24"/>
                          <w:szCs w:val="24"/>
                          <w:vertAlign w:val="baseline"/>
                          <w:lang w:val="de-DE"/>
                        </w:rPr>
                        <w:fldChar w:fldCharType="separate"/>
                      </w:r>
                      <w:r>
                        <w:rPr>
                          <w:rFonts w:hint="default" w:ascii="Arial Regular" w:hAnsi="Arial Regular" w:cs="Arial Regular"/>
                          <w:b w:val="0"/>
                          <w:bCs w:val="0"/>
                          <w:sz w:val="24"/>
                          <w:szCs w:val="24"/>
                          <w:lang w:val="de-DE"/>
                        </w:rPr>
                        <w:t>Bibliography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lang w:val="de-DE"/>
                        </w:rPr>
                        <w:t>8</w:t>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t>2</w:t>
                      </w:r>
                    </w:p>
                    <w:p w14:paraId="04EF4FB0">
                      <w:pPr>
                        <w:pStyle w:val="15"/>
                        <w:tabs>
                          <w:tab w:val="right" w:leader="dot" w:pos="8306"/>
                        </w:tabs>
                        <w:spacing w:line="360" w:lineRule="auto"/>
                        <w:rPr>
                          <w:rFonts w:hint="default" w:ascii="Arial Regular" w:hAnsi="Arial Regular" w:cs="Arial Regular"/>
                          <w:b w:val="0"/>
                          <w:bCs w:val="0"/>
                          <w:sz w:val="24"/>
                          <w:szCs w:val="24"/>
                        </w:rPr>
                      </w:pPr>
                    </w:p>
                    <w:p w14:paraId="02C0ABBC">
                      <w:pPr>
                        <w:pStyle w:val="11"/>
                        <w:keepNext w:val="0"/>
                        <w:keepLines w:val="0"/>
                        <w:widowControl/>
                        <w:suppressLineNumbers w:val="0"/>
                        <w:bidi w:val="0"/>
                        <w:spacing w:before="240" w:beforeAutospacing="0" w:after="240" w:afterAutospacing="0" w:line="360" w:lineRule="auto"/>
                        <w:jc w:val="both"/>
                        <w:rPr>
                          <w:rFonts w:hint="default" w:ascii="Arial Regular" w:hAnsi="Arial Regular" w:eastAsia="SimSun" w:cs="Arial Regular"/>
                          <w:b/>
                          <w:bCs/>
                          <w:i w:val="0"/>
                          <w:iCs w:val="0"/>
                          <w:color w:val="000000" w:themeColor="text1"/>
                          <w:kern w:val="0"/>
                          <w:sz w:val="24"/>
                          <w:szCs w:val="24"/>
                          <w:u w:val="none"/>
                          <w:vertAlign w:val="baseline"/>
                          <w:lang w:val="de-DE" w:eastAsia="zh-CN" w:bidi="ar"/>
                          <w14:textFill>
                            <w14:solidFill>
                              <w14:schemeClr w14:val="tx1"/>
                            </w14:solidFill>
                          </w14:textFill>
                        </w:rPr>
                      </w:pPr>
                      <w:r>
                        <w:rPr>
                          <w:rFonts w:hint="default" w:ascii="Arial Regular" w:hAnsi="Arial Regular" w:cs="Arial Regular"/>
                          <w:b w:val="0"/>
                          <w:bCs w:val="0"/>
                          <w:i w:val="0"/>
                          <w:iCs w:val="0"/>
                          <w:color w:val="000000" w:themeColor="text1"/>
                          <w:sz w:val="24"/>
                          <w:szCs w:val="24"/>
                          <w:u w:val="none"/>
                          <w:vertAlign w:val="baseline"/>
                          <w:lang w:val="de-DE"/>
                          <w14:textFill>
                            <w14:solidFill>
                              <w14:schemeClr w14:val="tx1"/>
                            </w14:solidFill>
                          </w14:textFill>
                        </w:rPr>
                        <w:fldChar w:fldCharType="end"/>
                      </w:r>
                    </w:p>
                  </w:sdtContent>
                </w:sdt>
              </w:sdtContent>
            </w:sdt>
            <w:p w14:paraId="5E1A833B">
              <w:pPr>
                <w:pStyle w:val="11"/>
                <w:keepNext w:val="0"/>
                <w:keepLines w:val="0"/>
                <w:widowControl/>
                <w:suppressLineNumbers w:val="0"/>
                <w:bidi w:val="0"/>
                <w:spacing w:before="240" w:beforeAutospacing="0" w:after="240" w:afterAutospacing="0" w:line="360" w:lineRule="auto"/>
                <w:jc w:val="both"/>
                <w:rPr>
                  <w:rFonts w:hint="default" w:ascii="Arial Regular" w:hAnsi="Arial Regular" w:eastAsia="SimSun" w:cs="Arial Regular"/>
                  <w:b/>
                  <w:bCs/>
                  <w:i w:val="0"/>
                  <w:iCs w:val="0"/>
                  <w:color w:val="000000" w:themeColor="text1"/>
                  <w:kern w:val="0"/>
                  <w:sz w:val="24"/>
                  <w:szCs w:val="24"/>
                  <w:u w:val="none"/>
                  <w:vertAlign w:val="baseline"/>
                  <w:lang w:val="de-DE" w:eastAsia="zh-CN" w:bidi="ar"/>
                  <w14:textFill>
                    <w14:solidFill>
                      <w14:schemeClr w14:val="tx1"/>
                    </w14:solidFill>
                  </w14:textFill>
                </w:rPr>
                <w:sectPr>
                  <w:footerReference r:id="rId3" w:type="default"/>
                  <w:pgSz w:w="11906" w:h="16838"/>
                  <w:pgMar w:top="1440" w:right="1800" w:bottom="1440" w:left="1800" w:header="720" w:footer="720" w:gutter="0"/>
                  <w:cols w:space="720" w:num="1"/>
                  <w:docGrid w:linePitch="360" w:charSpace="0"/>
                </w:sectPr>
              </w:pPr>
            </w:p>
          </w:sdtContent>
        </w:sdt>
      </w:sdtContent>
    </w:sdt>
    <w:p w14:paraId="0457278A">
      <w:pPr>
        <w:pStyle w:val="11"/>
        <w:keepNext w:val="0"/>
        <w:keepLines w:val="0"/>
        <w:widowControl/>
        <w:suppressLineNumbers w:val="0"/>
        <w:bidi w:val="0"/>
        <w:spacing w:before="240" w:beforeAutospacing="0" w:after="240" w:afterAutospacing="0" w:line="360" w:lineRule="auto"/>
        <w:jc w:val="left"/>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cs="Arial Regular"/>
          <w:b/>
          <w:bCs/>
          <w:color w:val="000000" w:themeColor="text1"/>
          <w:sz w:val="24"/>
          <w:szCs w:val="24"/>
          <w14:textFill>
            <w14:solidFill>
              <w14:schemeClr w14:val="tx1"/>
            </w14:solidFill>
          </w14:textFill>
        </w:rPr>
        <w:t>AI Use Acknowledgement</w:t>
      </w:r>
      <w:bookmarkEnd w:id="0"/>
    </w:p>
    <w:p w14:paraId="0FACDC92">
      <w:pPr>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 use of artificial intelligence tools in the development of this Business Development Proposal was limited to a strictly supportive role, assisting in specific, non-substantive stages of the research and writing process.</w:t>
      </w:r>
    </w:p>
    <w:p w14:paraId="1F4876F4">
      <w:pPr>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Google Gemini AI was used only for creating and editing visual elements like diagrams and illustrative graphics referenced in the appendices. The author critically reviewed, contextualized and verified these visuals prior to inclusion.</w:t>
      </w:r>
    </w:p>
    <w:p w14:paraId="2800F1EA">
      <w:pPr>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AI tools were also used to support critical and legal research through identification, summarization and cross-checking of publicly available secondary sources. The author has independently verified all such outputs and has not included any AI-generated analysis, interpretation, or conclusion in the proposal. </w:t>
      </w:r>
    </w:p>
    <w:p w14:paraId="1D778B12">
      <w:pPr>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The author confirms that all the significant analysis, data interpretation, critical assessment of framework, financial rationale, strategic decisions and conclusions in this proposal are only the author’s own work. The core arguments were not generated by AI tools; the text was not drafted or rewritten by AI tools; and cited evidence was not selected or interpreted by AI tools; All </w:t>
      </w:r>
      <w:r>
        <w:rPr>
          <w:rFonts w:hint="default" w:ascii="Arial Regular" w:hAnsi="Arial Regular" w:cs="Arial Regular"/>
          <w:color w:val="000000" w:themeColor="text1"/>
          <w:sz w:val="24"/>
          <w:szCs w:val="24"/>
          <w:lang w:val="de-DE"/>
          <w14:textFill>
            <w14:solidFill>
              <w14:schemeClr w14:val="tx1"/>
            </w14:solidFill>
          </w14:textFill>
        </w:rPr>
        <w:t xml:space="preserve">primary and </w:t>
      </w:r>
      <w:r>
        <w:rPr>
          <w:rFonts w:hint="default" w:ascii="Arial Regular" w:hAnsi="Arial Regular" w:cs="Arial Regular"/>
          <w:color w:val="000000" w:themeColor="text1"/>
          <w:sz w:val="24"/>
          <w:szCs w:val="24"/>
          <w14:textFill>
            <w14:solidFill>
              <w14:schemeClr w14:val="tx1"/>
            </w14:solidFill>
          </w14:textFill>
        </w:rPr>
        <w:t xml:space="preserve">secondary data, statistics and quotations have been independently verified and referenced using the Harvard referencing system. </w:t>
      </w:r>
    </w:p>
    <w:p w14:paraId="7578E55B">
      <w:pPr>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The author accepts full responsibility for the accuracy, originality and academic integrity of all work included in the proposal. </w:t>
      </w:r>
    </w:p>
    <w:p w14:paraId="67CE9323">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Executive Summary </w:t>
      </w:r>
    </w:p>
    <w:p w14:paraId="73A921F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This Business Development Proposal evaluates the commercial feasibility of SmartGrowth AI, a proposed AI-powered marketing agency designed to support service-based Small and Medium-sized Enterprises (SMEs) across the United Kingdom. The proposal identifies a growing market opportunity arising from the increasing demand for affordable digital marketing, the rapid adoption of Artificial Intelligence (AI), and the marketing capability gaps experienced by many SMEs. The study is underpinned by established theories including the Business Model Canvas (Osterwalder and Pigneur, 2010), Competitive Advantage Theory (Porter, 1985), AI-enabled marketing (Davenport et al., 2020; Huang and Rust, 2021), digital marketing strategy (Chaffey and Ellis-Chadwick, 2022), and SME competitiveness (Burns, 202</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2</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Together, these frameworks provide the theoretical foundation for assessing the venture's commercial viability and strategic positioning.</w:t>
      </w:r>
    </w:p>
    <w:p w14:paraId="77F1CD4F">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b w:val="0"/>
          <w:bCs w:val="0"/>
          <w:i w:val="0"/>
          <w:iCs w:val="0"/>
          <w:color w:val="000000" w:themeColor="text1"/>
          <w:sz w:val="24"/>
          <w:szCs w:val="24"/>
          <w:lang w:val="de-DE"/>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According to UK’s government of Department for Business and Trade (2024), t</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he business opportunity exists because UK SMEs account for more than 99% of private sector businesses, yet many continue to face challenges in accessing effective and affordable marketing expertise (Department for Business and Trade, 2024).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Furthermore, authors such as </w:t>
      </w:r>
      <w:r>
        <w:rPr>
          <w:rStyle w:val="12"/>
          <w:rFonts w:hint="default" w:ascii="Arial Regular" w:hAnsi="Arial Regular" w:cs="Arial Regular"/>
          <w:b w:val="0"/>
          <w:bCs w:val="0"/>
          <w:sz w:val="24"/>
          <w:szCs w:val="24"/>
        </w:rPr>
        <w:t>Kotler, Keller and Chernev (2022)</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asserted that l</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imited financial resources, a lack of specialist in-house marketing skills, and rapidly evolving digital technologies often prevent smaller organisations from competing effectively online (Kotler, Keller and Chernev, 2022; Taiminen and Karjaluoto, 2015).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From the survey that I have conducted, I came to know that w</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hile many businesses outsource marketing activities, overseas providers may not always deliver the local market knowledge, communication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quality,</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or strategic alignment required by UK service-based SMEs. Consequently, there is a clear market need for a locally based agency capable of combining advanced AI technologies with professional marketing expertise.</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 </w:t>
      </w:r>
    </w:p>
    <w:p w14:paraId="2D565EA8">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SmartGrowth AI addresses this market need by offering a hybrid service model that integrates AI-driven efficiency with human creativity and strategic consultancy. Rather than providing traditional marketing services alone,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SmartGrowth AI</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will offer content creation, search engine optimisation (SEO), paid advertising, social media management, market research, product development ideation, implementation planning, and business development consultancy. This integrated approach enables clients to improve not only their marketing performance but also their broader business growth and competitiveness. The proposed solution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shows</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that </w:t>
      </w:r>
      <w:r>
        <w:rPr>
          <w:rFonts w:hint="default" w:ascii="Arial Regular" w:hAnsi="Arial Regular" w:eastAsia="SimSun" w:cs="Arial Regular"/>
          <w:kern w:val="0"/>
          <w:sz w:val="24"/>
          <w:szCs w:val="24"/>
          <w:lang w:val="en-US" w:eastAsia="zh-CN" w:bidi="ar"/>
        </w:rPr>
        <w:t>AI can reduce the time required for repetitive marketing activities, potentially allowing SmartGrowth AI to deliver a greater volume of work without increasing labour costs proportionately. However, the economic benefit depends on human oversight, employee capability and the quality of AI outputs. Therefore, SmartGrowth AI's competitive advantage is unlikely to arise from AI access alone, because competitors can also access similar technologies; instead, differentiation should derive from how effectively AI is integrated with SME-specific expertise and human strategic judgement (Davenport et al., 2020; Huang and Rust, 2021).</w:t>
      </w:r>
    </w:p>
    <w:p w14:paraId="1B6E5D41">
      <w:pPr>
        <w:keepNext w:val="0"/>
        <w:keepLines w:val="0"/>
        <w:widowControl/>
        <w:suppressLineNumbers w:val="0"/>
        <w:spacing w:line="360" w:lineRule="auto"/>
        <w:jc w:val="both"/>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primary target customers are UK service-based SMEs operating in sectors such as education, healthcare, recruitment, hospitality, consultancy, fitness, real estate and travel. These businesses typically require professional marketing support but often lack the financial capacity to engage premium marketing agencies. SmartGrowth AI therefore adopts a differentiated market positioning by delivering personalised, AI-enhanced marketing solutions at moderate and accessible prices, specifically tailored to SME requirements.</w:t>
      </w:r>
    </w:p>
    <w:p w14:paraId="5696607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The company's value proposition is built upon four interconnected strengths: AI-enhanced operational efficiency, experienced human marketing professionals, strong understanding of the UK market, and affordable pricing. Unlike larger competitors such as Jellyfish, Hallam and Croud, which primarily focus on medium-sized and enterprise organisations, SmartGrowth AI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will be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designed specifically for service-based SMEs seeking personalised support and long-term strategic partnerships. This differentiation creates a sustainable competitive advantage by combining technological innovation with customer-focused consultancy and business development expertise (Porter, 1985).</w:t>
      </w:r>
    </w:p>
    <w:p w14:paraId="58FBA51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Operationally, the agency will initially establish a shared office in London, employing approximately eight to ten marketing professionals, with planned expansion to fifteen to twenty employees during the first year. The business will utilise AI software to improve productivity while maintaining human oversight across creative and strategic activities. Revenue will be generated through recurring marketing retainers, content development, paid advertising management, SEO services and consultancy projects. A lean operating structure, combined with AI-enabled efficiencies, is expected to reduce operating costs while supporting scalable growth and improved profitability over time.</w:t>
      </w:r>
    </w:p>
    <w:p w14:paraId="0D7267A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Overall, the proposal concludes that SmartGrowth AI represents a commercially feasible and strategically differentiated business opportunity. The research methodology, incorporating a pragmatic philosophy, inductive approach and mixed-methods design, will provide evidence regarding customer demand, competitive positioning and operational requirements before implementation. Success will depend on maintaining affordable pricing, delivering measurable client outcomes, effectively integrating AI with human expertise, recruiting skilled professionals, and establishing long-term client relationships. If successfully implemented, SmartGrowth AI has the potential to strengthen SME competitiveness, create graduate employment opportunities, encourage AI adoption within the UK marketing sector, and establish a sustainable position within the growing digital marketing industry.</w:t>
      </w:r>
    </w:p>
    <w:p w14:paraId="1431A60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 Introduction</w:t>
      </w:r>
    </w:p>
    <w:p w14:paraId="36E0AC8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1.1 Background </w:t>
      </w:r>
    </w:p>
    <w:p w14:paraId="11B6682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Small and Medium-sized Enterprises (SMEs) are the backbone of the United Kingdom's economy, accounting for more than 99% of all private-sector businesses and making substantial contributions to employment, innovation and national economic growth (Department for Business and Trade, 2024). However, the rapid digitalisation of business activities has transformed how organisations attract customers, build brands and compete within increasingly competitive online markets. Consequently, digital marketing has become a strategic necessity rather than an optional business function, enabling organisations to engage customers through search engines, social media, email marketing and online advertising (Chaffey and Ellis-Chadwick, 2022). Despite these opportunities, many service-based SMEs continue to face challenges in developing effective marketing capabilities because of limited financial resources, insufficient specialist expertise and the continuous evolution of digital technologies (Taiminen and Karjaluoto, 2015).</w:t>
      </w:r>
    </w:p>
    <w:p w14:paraId="50A71C5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606060"/>
          <w:vertAlign w:val="baseline"/>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Artificial Intelligence (AI) is reshaping the marketing industry by improving automation, customer segmentation, predictive analytics, campaign optimisation and content generation, enabling organisations to analyse large volumes of customer data, improve operational efficiency and reduce marketing costs (Davenport et al., 2020). Nevertheless, human creativity, emotional intelligence, strategic judgement and relationship management remain essential capabilities that AI cannot fully replace (Huang and Rust, 2021). Furthermore, continued UK Government support for digital transformation and AI adoption, together with changing consumer behaviour, increasing online purchasing, growing reliance on digital communication channels and rising competition, has created favourable conditions for innovative marketing agencies serving SMEs (Department for Science, Innovation and Technology, 2025).</w:t>
      </w:r>
    </w:p>
    <w:p w14:paraId="4E06D15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center"/>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606060"/>
          <w:vertAlign w:val="baseline"/>
          <w:lang w:val="de-DE"/>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606060"/>
          <w:vertAlign w:val="baseline"/>
          <w:lang w:val="de-DE"/>
          <w14:textFill>
            <w14:solidFill>
              <w14:schemeClr w14:val="tx1"/>
            </w14:solidFill>
          </w14:textFill>
        </w:rPr>
        <w:drawing>
          <wp:inline distT="0" distB="0" distL="114300" distR="114300">
            <wp:extent cx="4995545" cy="3745865"/>
            <wp:effectExtent l="0" t="0" r="8255" b="13335"/>
            <wp:docPr id="13" name="Picture 13" descr="Gemini_Generated_Image_k1nv68k1nv68k1n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emini_Generated_Image_k1nv68k1nv68k1nv"/>
                    <pic:cNvPicPr>
                      <a:picLocks noChangeAspect="1"/>
                    </pic:cNvPicPr>
                  </pic:nvPicPr>
                  <pic:blipFill>
                    <a:blip r:embed="rId6"/>
                    <a:stretch>
                      <a:fillRect/>
                    </a:stretch>
                  </pic:blipFill>
                  <pic:spPr>
                    <a:xfrm>
                      <a:off x="0" y="0"/>
                      <a:ext cx="4995545" cy="3745865"/>
                    </a:xfrm>
                    <a:prstGeom prst="rect">
                      <a:avLst/>
                    </a:prstGeom>
                  </pic:spPr>
                </pic:pic>
              </a:graphicData>
            </a:graphic>
          </wp:inline>
        </w:drawing>
      </w:r>
    </w:p>
    <w:p w14:paraId="4426B72C">
      <w:pPr>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 xml:space="preserve">Figure 1: </w:t>
      </w:r>
      <w:r>
        <w:rPr>
          <w:rFonts w:hint="default" w:ascii="Arial Regular" w:hAnsi="Arial Regular" w:cs="Arial Regular"/>
          <w:color w:val="000000" w:themeColor="text1"/>
          <w:sz w:val="24"/>
          <w:szCs w:val="24"/>
          <w14:textFill>
            <w14:solidFill>
              <w14:schemeClr w14:val="tx1"/>
            </w14:solidFill>
          </w14:textFill>
        </w:rPr>
        <w:t>Concept visualization of the proposed business (Exterior)</w:t>
      </w:r>
    </w:p>
    <w:p w14:paraId="6F6271B2">
      <w:pPr>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 xml:space="preserve">(Source: </w:t>
      </w:r>
      <w:r>
        <w:rPr>
          <w:rFonts w:hint="default" w:ascii="Arial Regular" w:hAnsi="Arial Regular" w:cs="Arial Regular"/>
          <w:color w:val="000000" w:themeColor="text1"/>
          <w:sz w:val="24"/>
          <w:szCs w:val="24"/>
          <w14:textFill>
            <w14:solidFill>
              <w14:schemeClr w14:val="tx1"/>
            </w14:solidFill>
          </w14:textFill>
        </w:rPr>
        <w:t xml:space="preserve">Created </w:t>
      </w:r>
      <w:r>
        <w:rPr>
          <w:rFonts w:hint="default" w:ascii="Arial Regular" w:hAnsi="Arial Regular" w:cs="Arial Regular"/>
          <w:color w:val="000000" w:themeColor="text1"/>
          <w:sz w:val="24"/>
          <w:szCs w:val="24"/>
          <w:lang w:val="de-DE"/>
          <w14:textFill>
            <w14:solidFill>
              <w14:schemeClr w14:val="tx1"/>
            </w14:solidFill>
          </w14:textFill>
        </w:rPr>
        <w:t>using</w:t>
      </w:r>
      <w:r>
        <w:rPr>
          <w:rFonts w:hint="default" w:ascii="Arial Regular" w:hAnsi="Arial Regular"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de-DE"/>
          <w14:textFill>
            <w14:solidFill>
              <w14:schemeClr w14:val="tx1"/>
            </w14:solidFill>
          </w14:textFill>
        </w:rPr>
        <w:t>Gemini AI</w:t>
      </w:r>
      <w:r>
        <w:rPr>
          <w:rFonts w:hint="default" w:ascii="Arial Regular" w:hAnsi="Arial Regular" w:cs="Arial Regular"/>
          <w:color w:val="000000" w:themeColor="text1"/>
          <w:sz w:val="24"/>
          <w:szCs w:val="24"/>
          <w14:textFill>
            <w14:solidFill>
              <w14:schemeClr w14:val="tx1"/>
            </w14:solidFill>
          </w14:textFill>
        </w:rPr>
        <w:t>, 2026</w:t>
      </w:r>
      <w:r>
        <w:rPr>
          <w:rFonts w:hint="default" w:ascii="Arial Regular" w:hAnsi="Arial Regular" w:cs="Arial Regular"/>
          <w:color w:val="000000" w:themeColor="text1"/>
          <w:sz w:val="24"/>
          <w:szCs w:val="24"/>
          <w:lang w:val="de-DE"/>
          <w14:textFill>
            <w14:solidFill>
              <w14:schemeClr w14:val="tx1"/>
            </w14:solidFill>
          </w14:textFill>
        </w:rPr>
        <w:t>)</w:t>
      </w:r>
    </w:p>
    <w:p w14:paraId="6DF8D14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1.2 Problem and Opportunity Statement</w:t>
      </w:r>
    </w:p>
    <w:p w14:paraId="7C290D22">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Although digital marketing has become essential for business growth, many UK service-based SMEs struggle to access professional marketing services that are both affordable and strategically aligned with their business objectives. Large marketing agencies often focus on medium-sized and enterprise clients, while overseas outsourcing providers may offer lower costs but frequently lack local market understanding, effective communication and long-term strategic collaboration (Kotler, Keller and Chernev, 2022). Consequently, many SMEs remain underserved despite representing the largest business segment within the UK economy. This market gap presents a significant opportunity for SmartGrowth AI, an AI-powered marketing agency integrating advanced AI technologies with human creativity and business development consultancy to deliver content creation, SEO, paid advertising, market research, product development ideation, implementation planning, strategic consultancy, and sustainable business growth for service-based SMEs.</w:t>
      </w:r>
    </w:p>
    <w:p w14:paraId="080B81C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1.3 Initial Observation of Market Demand</w:t>
      </w:r>
    </w:p>
    <w:p w14:paraId="45D7AEF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Initial evidence suggests increasing demand for affordable, AI-enabled marketing services among UK SMEs. Growing AI adoption, combined with limited in-house marketing capabilities, encourages organisations to seek external expertise that improves productivity while remaining cost-effective (Davenport et al., 2020). Service-based SMEs in education, healthcare, recruitment, hospitality, consultancy, fitness, real estate and travel increasingly rely on online visibility, customer engagement and lead generation to remain competitive. Competitors including Jellyfish, Hallam and Croud mainly serve larger organisations with substantial marketing budgets, creating opportunities for SmartGrowth AI to meet service-based SMEs' operational and financial needs through personalised, AI-assisted marketing solutions delivered by UK-based professionals.</w:t>
      </w:r>
    </w:p>
    <w:p w14:paraId="431DAD6C">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1.4 Aim, Objectives and Research Questions</w:t>
      </w:r>
    </w:p>
    <w:p w14:paraId="1920442E">
      <w:pPr>
        <w:pStyle w:val="11"/>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Aim</w:t>
      </w:r>
    </w:p>
    <w:p w14:paraId="5FE19E95">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aim of this Business Development Proposal is to evaluate the commercial feasibility of establishing SmartGrowth AI, an AI-powered marketing agency providing integrated digital marketing and business development services for UK service-based SMEs.</w:t>
      </w:r>
    </w:p>
    <w:p w14:paraId="5FEBE583">
      <w:pPr>
        <w:pStyle w:val="11"/>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Objectives</w:t>
      </w:r>
    </w:p>
    <w:p w14:paraId="08EC97D1">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study seeks to:</w:t>
      </w:r>
    </w:p>
    <w:p w14:paraId="45480FE8">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425" w:leftChars="0" w:right="0" w:rightChars="0" w:hanging="425" w:firstLineChars="0"/>
        <w:jc w:val="both"/>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kern w:val="0"/>
          <w:sz w:val="24"/>
          <w:szCs w:val="24"/>
          <w:shd w:val="clear" w:fill="FFFFFF"/>
          <w:vertAlign w:val="baseline"/>
          <w:lang w:val="en-US" w:eastAsia="zh-CN" w:bidi="ar"/>
          <w14:textFill>
            <w14:solidFill>
              <w14:schemeClr w14:val="tx1"/>
            </w14:solidFill>
          </w14:textFill>
        </w:rPr>
        <w:t>1.</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Analyse the market opportunity for AI-powered marketing services within the UK SME sector. </w:t>
      </w:r>
    </w:p>
    <w:p w14:paraId="243AB8CC">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425" w:leftChars="0" w:right="0" w:rightChars="0" w:hanging="425" w:firstLineChars="0"/>
        <w:jc w:val="both"/>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kern w:val="0"/>
          <w:sz w:val="24"/>
          <w:szCs w:val="24"/>
          <w:shd w:val="clear" w:fill="FFFFFF"/>
          <w:vertAlign w:val="baseline"/>
          <w:lang w:val="en-US" w:eastAsia="zh-CN" w:bidi="ar"/>
          <w14:textFill>
            <w14:solidFill>
              <w14:schemeClr w14:val="tx1"/>
            </w14:solidFill>
          </w14:textFill>
        </w:rPr>
        <w:t>2.</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Investigate the marketing challenges, needs and purchasing behaviour of service-based SMEs. </w:t>
      </w:r>
    </w:p>
    <w:p w14:paraId="3B4116A9">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425" w:leftChars="0" w:right="0" w:rightChars="0" w:hanging="425" w:firstLineChars="0"/>
        <w:jc w:val="both"/>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kern w:val="0"/>
          <w:sz w:val="24"/>
          <w:szCs w:val="24"/>
          <w:shd w:val="clear" w:fill="FFFFFF"/>
          <w:vertAlign w:val="baseline"/>
          <w:lang w:val="en-US" w:eastAsia="zh-CN" w:bidi="ar"/>
          <w14:textFill>
            <w14:solidFill>
              <w14:schemeClr w14:val="tx1"/>
            </w14:solidFill>
          </w14:textFill>
        </w:rPr>
        <w:t>3.</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Evaluate the competitive environment and identify opportunities for strategic differentiation. </w:t>
      </w:r>
    </w:p>
    <w:p w14:paraId="0E85BFAF">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425" w:leftChars="0" w:right="0" w:rightChars="0" w:hanging="425" w:firstLineChars="0"/>
        <w:jc w:val="both"/>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kern w:val="0"/>
          <w:sz w:val="24"/>
          <w:szCs w:val="24"/>
          <w:shd w:val="clear" w:fill="FFFFFF"/>
          <w:vertAlign w:val="baseline"/>
          <w:lang w:val="en-US" w:eastAsia="zh-CN" w:bidi="ar"/>
          <w14:textFill>
            <w14:solidFill>
              <w14:schemeClr w14:val="tx1"/>
            </w14:solidFill>
          </w14:textFill>
        </w:rPr>
        <w:t>4.</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Assess the operational, financial and commercial feasibility of SmartGrowth AI. </w:t>
      </w:r>
    </w:p>
    <w:p w14:paraId="3CB27601">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425" w:leftChars="0" w:right="0" w:rightChars="0" w:hanging="425" w:firstLineChars="0"/>
        <w:jc w:val="both"/>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kern w:val="0"/>
          <w:sz w:val="24"/>
          <w:szCs w:val="24"/>
          <w:shd w:val="clear" w:fill="FFFFFF"/>
          <w:vertAlign w:val="baseline"/>
          <w:lang w:val="en-US" w:eastAsia="zh-CN" w:bidi="ar"/>
          <w14:textFill>
            <w14:solidFill>
              <w14:schemeClr w14:val="tx1"/>
            </w14:solidFill>
          </w14:textFill>
        </w:rPr>
        <w:t>5.</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Develop recommendations for a sustainable and competitive business model. </w:t>
      </w:r>
    </w:p>
    <w:p w14:paraId="003D5BED">
      <w:pPr>
        <w:pStyle w:val="11"/>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Research Questions</w:t>
      </w:r>
    </w:p>
    <w:p w14:paraId="36F30FC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proposal addresses the following research questions:</w:t>
      </w:r>
    </w:p>
    <w:p w14:paraId="5FCDEB41">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firstLine="0" w:firstLineChars="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SimSun" w:cs="Arial Regular"/>
          <w:b w:val="0"/>
          <w:bCs w:val="0"/>
          <w:i w:val="0"/>
          <w:iCs w:val="0"/>
          <w:color w:val="000000" w:themeColor="text1"/>
          <w:kern w:val="0"/>
          <w:sz w:val="24"/>
          <w:szCs w:val="24"/>
          <w:lang w:val="en-US" w:eastAsia="zh-CN" w:bidi="ar"/>
          <w14:textFill>
            <w14:solidFill>
              <w14:schemeClr w14:val="tx1"/>
            </w14:solidFill>
          </w14:textFill>
        </w:rPr>
        <w:t>1.</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What market opportunities exist for an AI-powered marketing agency serving UK service-based SMEs? </w:t>
      </w:r>
    </w:p>
    <w:p w14:paraId="687518C2">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firstLine="0" w:firstLineChars="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SimSun" w:cs="Arial Regular"/>
          <w:b w:val="0"/>
          <w:bCs w:val="0"/>
          <w:i w:val="0"/>
          <w:iCs w:val="0"/>
          <w:color w:val="000000" w:themeColor="text1"/>
          <w:kern w:val="0"/>
          <w:sz w:val="24"/>
          <w:szCs w:val="24"/>
          <w:lang w:val="en-US" w:eastAsia="zh-CN" w:bidi="ar"/>
          <w14:textFill>
            <w14:solidFill>
              <w14:schemeClr w14:val="tx1"/>
            </w14:solidFill>
          </w14:textFill>
        </w:rPr>
        <w:t>2.</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What marketing challenges influence SMEs' demand for outsourced AI-supported marketing services? </w:t>
      </w:r>
    </w:p>
    <w:p w14:paraId="6F3A77C3">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firstLine="0" w:firstLineChars="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SimSun" w:cs="Arial Regular"/>
          <w:b w:val="0"/>
          <w:bCs w:val="0"/>
          <w:i w:val="0"/>
          <w:iCs w:val="0"/>
          <w:color w:val="000000" w:themeColor="text1"/>
          <w:kern w:val="0"/>
          <w:sz w:val="24"/>
          <w:szCs w:val="24"/>
          <w:lang w:val="en-US" w:eastAsia="zh-CN" w:bidi="ar"/>
          <w14:textFill>
            <w14:solidFill>
              <w14:schemeClr w14:val="tx1"/>
            </w14:solidFill>
          </w14:textFill>
        </w:rPr>
        <w:t>3.</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How can SmartGrowth AI differentiate itself from existing competitors? </w:t>
      </w:r>
    </w:p>
    <w:p w14:paraId="05C27180">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firstLine="0" w:firstLineChars="0"/>
        <w:jc w:val="both"/>
        <w:textAlignment w:val="baseline"/>
        <w:rPr>
          <w:rFonts w:hint="default" w:ascii="Arial Regular" w:hAnsi="Arial Regular" w:eastAsia="Arial Regular" w:cs="Arial Regular"/>
          <w:color w:val="000000" w:themeColor="text1"/>
          <w:sz w:val="24"/>
          <w:szCs w:val="24"/>
          <w14:textFill>
            <w14:solidFill>
              <w14:schemeClr w14:val="tx1"/>
            </w14:solidFill>
          </w14:textFill>
        </w:rPr>
      </w:pPr>
      <w:r>
        <w:rPr>
          <w:rFonts w:hint="default" w:ascii="Arial Regular" w:hAnsi="Arial Regular" w:eastAsia="Arial Regular" w:cs="Arial Regular"/>
          <w:color w:val="000000" w:themeColor="text1"/>
          <w:kern w:val="0"/>
          <w:sz w:val="24"/>
          <w:szCs w:val="24"/>
          <w:lang w:val="en-US" w:eastAsia="zh-CN" w:bidi="ar"/>
          <w14:textFill>
            <w14:solidFill>
              <w14:schemeClr w14:val="tx1"/>
            </w14:solidFill>
          </w14:textFill>
        </w:rPr>
        <w:t>4.</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Is the proposed business model commercially feasible and capable of achieving sustainable competitive advantage? </w:t>
      </w:r>
    </w:p>
    <w:p w14:paraId="411FE9B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1.5 Scope of the Study</w:t>
      </w:r>
    </w:p>
    <w:p w14:paraId="01024D1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This proposal focuses exclusively on service-based SMEs operating within the United Kingdom, including sectors such as education, healthcare, consultancy, recruitment, hospitality, fitness, travel and real estate. The analysis examines market demand, customer requirements, competitive positioning, operational feasibility and business development opportunities associated with establishing SmartGrowth AI. Manufacturing businesses, international markets and large corporate organisations fall outside the scope of this study because they operate under different competitive conditions and marketing requirements.</w:t>
      </w:r>
    </w:p>
    <w:p w14:paraId="1CF386A1">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1.6 Structure of the Report</w:t>
      </w:r>
    </w:p>
    <w:p w14:paraId="7EA2DE9A">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remainder of this proposal is organised into six chapters. Chapter Two reviews relevant academic literature relating to SMEs, digital marketing, Artificial Intelligence and competitive advantage. Chapter Three explains the research methodology, including research philosophy, approach, data collection methods and ethical considerations. Chapter Four evaluates the initial market opportunity, customer demand and competitive environment. Chapter Five discusses the limitations of the proposed research. Chapter Six presents the project timeframe and implementation schedule, while the final chapter concludes the proposal by summarising the commercial feasibility and strategic potential of SmartGrowth AI.</w:t>
      </w:r>
    </w:p>
    <w:p w14:paraId="484369DA">
      <w:pPr>
        <w:pStyle w:val="11"/>
        <w:keepNext w:val="0"/>
        <w:keepLines w:val="0"/>
        <w:widowControl/>
        <w:numPr>
          <w:ilvl w:val="0"/>
          <w:numId w:val="3"/>
        </w:numPr>
        <w:suppressLineNumbers w:val="0"/>
        <w:pBdr>
          <w:top w:val="none" w:color="auto" w:sz="0" w:space="0"/>
          <w:left w:val="none" w:color="auto" w:sz="0" w:space="0"/>
          <w:bottom w:val="none" w:color="auto" w:sz="0" w:space="0"/>
          <w:right w:val="none" w:color="auto" w:sz="0" w:space="0"/>
        </w:pBdr>
        <w:spacing w:before="399" w:beforeAutospacing="0" w:after="399" w:afterAutospacing="0" w:line="360" w:lineRule="auto"/>
        <w:ind w:left="0" w:leftChars="0" w:right="0" w:rightChars="0" w:firstLine="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 xml:space="preserve">Company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(Agency)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Description</w:t>
      </w:r>
    </w:p>
    <w:p w14:paraId="3E1583D2">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2.1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Business Overview</w:t>
      </w:r>
    </w:p>
    <w:p w14:paraId="206DFD3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SmartGrowth AI is a proposed UK-based private limited company that will operate from a shared office in London. The business will provide affordable, AI-powered marketing and business development services to service-based Small and Medium-sized Enterprises (SMEs) across the UK. SMEs are an important part of the UK economy, accounting for more than 99% of private-sector businesses (Department for Business and Trade, 2024). However, smaller businesses can experience limitations in financial resources, specialist knowledge and internal capabilities (Burns, 202</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2</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SmartGrowth AI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have the potential</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to address these limitations by providing professional marketing support at accessible prices.</w:t>
      </w:r>
    </w:p>
    <w:p w14:paraId="5DE571E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lang w:val="de-DE"/>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2.2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Mission, Vision and Core Values</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 </w:t>
      </w:r>
    </w:p>
    <w:p w14:paraId="0A61FFF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The mission of SmartGrowth AI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will be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to help UK service-based SMEs achieve sustainable growth by combining artificial intelligence, human creativity and professional marketing expertise. Its vision is to become a trusted marketing and business development partner for UK SMEs by making advanced digital marketing and AI technologies affordable and accessible.</w:t>
      </w:r>
    </w:p>
    <w:p w14:paraId="0C2509C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lang w:val="de-D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The company's core values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will be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customer focus, affordability, innovation, professionalism, transparency and continuous improvement. These values will guide how the business communicates with clients, delivers services and develops new solutions. The company will also prioritise responsible use of AI because academic research highlights issues such as privacy, bias and ethical decision-making when AI is used in marketing (Davenport et al., 2020).</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 </w:t>
      </w:r>
    </w:p>
    <w:p w14:paraId="21E42C8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lang w:val="de-DE"/>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2.3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Products and Services</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 </w:t>
      </w:r>
    </w:p>
    <w:p w14:paraId="762A014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SmartGrowth AI will offer content creation, search engine optimisation (SEO), social media management, paid advertising, market research, competitor analysis, product and service development ideas, marketing strategy and business development consultancy. A value proposition explains how a business creates value by addressing customer needs (Osterwalder and Pigneur, 2010). SmartGrowth AI's value proposition is therefore based on providing integrated marketing support that is affordable, personalised and supported by AI.</w:t>
      </w:r>
    </w:p>
    <w:p w14:paraId="671603F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The business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will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aim</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to solve the problem of SMEs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who may have</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limited access to specialist marketing skills. Digital marketing has become increasingly important for businesses seeking to communicate with customers and compete in online markets (Chaffey and Ellis-Chadwick, 2022). Research also shows that SMEs may face difficulties in using digital marketing because of limited knowledge and resources (Taiminen and Karjaluoto, 2015). SmartGrowth AI will therefore combine technology with human expertise rather than relying on AI alone. AI can support automation, data analysis and marketing activities, while human professionals provide creativity, judgement and relationship management (Davenport et al., 2020; Huang and Rust, 2021).</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EF8E19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2.4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Founding Idea and Business Purpose</w:t>
      </w:r>
    </w:p>
    <w:p w14:paraId="6D5597D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founding idea for SmartGrowth AI came from identifying a gap between the growing importance of digital marketing and the marketing capabilities available to many UK service-based SMEs. The proposal identifies that some larger agencies mainly target organisations with larger budgets, while overseas providers may not always provide the local knowledge and strategic collaboration required by UK SMEs. SmartGrowth AI will respond to this gap by providing UK-based professionals who understand the local market while using AI to improve efficiency and reduce unnecessary costs.</w:t>
      </w:r>
    </w:p>
    <w:p w14:paraId="71C6FC7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business will initially focus on sectors such as education, healthcare, recruitment, hospitality, consultancy, fitness, real estate and travel, where online visibility and customer engagement are important. This directly supports the proposal's wider focus on service-based SMEs.</w:t>
      </w:r>
    </w:p>
    <w:p w14:paraId="0F57BFB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2.5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Business Objectives</w:t>
      </w:r>
    </w:p>
    <w:p w14:paraId="403C5FB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SmartGrowth AI will use measurable objectives to support sustainable development. During its first year, the business aims to establish an initial team of approximately 8–10 marketing professionals, with planned growth towards 15–20 employees. It also aims to develop a stable customer base through monthly marketing retainers, consultancy projects and additional specialist services. Regular performance reporting will be used to measure client outcomes and improve service quality. These objectives support the wider aim of developing a commercially feasible and sustainable business model.</w:t>
      </w:r>
    </w:p>
    <w:p w14:paraId="146045BA">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2.6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Market Opportunity and Current Trends</w:t>
      </w:r>
    </w:p>
    <w:p w14:paraId="4463594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SmartGrowth AI is aligned with two important market trends: the continuing digitalisation of business and the increasing use of AI in marketing. Digital channels are now important for customer communication and business development (Chaffey and Ellis-Chadwick, 2022), while AI can support marketing research, customer analysis, targeting and promotional activities (Huang and Rust, 2021). More recent research also demonstrates the growing importance of generative AI in marketing, showing that AI is likely to influence how marketing activities are developed and delivered (Grewal et al., 2025).</w:t>
      </w:r>
    </w:p>
    <w:p w14:paraId="5DF03A9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eastAsia="Arial" w:cs="Arial Regular"/>
          <w:b w:val="0"/>
          <w:bCs w:val="0"/>
          <w:i w:val="0"/>
          <w:iCs w:val="0"/>
          <w:caps w:val="0"/>
          <w:color w:val="000000" w:themeColor="text1"/>
          <w:spacing w:val="0"/>
          <w:sz w:val="24"/>
          <w:szCs w:val="24"/>
          <w:shd w:val="clear" w:fill="FFFFFF"/>
          <w:vertAlign w:val="baselin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Therefore, SmartGrowth AI has an opportunity to serve an extensive SME market while responding to increasing demand for efficient and technology-supported marketing services. Its combination of affordable pricing, AI-enabled efficiency, human expertise and UK market knowledge provides the foundation for its proposed competitive position.</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18BAB06B">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2.7 SMART objectives </w:t>
      </w:r>
    </w:p>
    <w:p w14:paraId="5B330AEA">
      <w:pPr>
        <w:keepNext w:val="0"/>
        <w:keepLines w:val="0"/>
        <w:widowControl/>
        <w:suppressLineNumbers w:val="0"/>
        <w:spacing w:line="360" w:lineRule="auto"/>
        <w:jc w:val="left"/>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eastAsia="SimSun" w:cs="Arial Regular"/>
          <w:b w:val="0"/>
          <w:bCs w:val="0"/>
          <w:kern w:val="0"/>
          <w:sz w:val="24"/>
          <w:szCs w:val="24"/>
          <w:lang w:val="en-US" w:eastAsia="zh-CN" w:bidi="ar"/>
        </w:rPr>
        <w:t xml:space="preserve">Doran (1981) defines SMART objectives as </w:t>
      </w:r>
      <w:r>
        <w:rPr>
          <w:rStyle w:val="12"/>
          <w:rFonts w:hint="default" w:ascii="Arial Regular" w:hAnsi="Arial Regular" w:eastAsia="SimSun" w:cs="Arial Regular"/>
          <w:b w:val="0"/>
          <w:bCs w:val="0"/>
          <w:kern w:val="0"/>
          <w:sz w:val="24"/>
          <w:szCs w:val="24"/>
          <w:lang w:val="en-US" w:eastAsia="zh-CN" w:bidi="ar"/>
        </w:rPr>
        <w:t>Specific, Measurable, Assignable, Realistic and Time-related goals</w:t>
      </w:r>
      <w:r>
        <w:rPr>
          <w:rFonts w:hint="default" w:ascii="Arial Regular" w:hAnsi="Arial Regular" w:eastAsia="SimSun" w:cs="Arial Regular"/>
          <w:b w:val="0"/>
          <w:bCs w:val="0"/>
          <w:kern w:val="0"/>
          <w:sz w:val="24"/>
          <w:szCs w:val="24"/>
          <w:lang w:val="en-US" w:eastAsia="zh-CN" w:bidi="ar"/>
        </w:rPr>
        <w:t xml:space="preserve"> that provide clear direction for organisational performance. Specific and challenging goals can also improve performance when supported by appropriate feedback (Locke and Latham, 2002). </w:t>
      </w:r>
      <w:r>
        <w:rPr>
          <w:rFonts w:hint="default" w:ascii="Arial Regular" w:hAnsi="Arial Regular" w:cs="Arial Regular"/>
          <w:b w:val="0"/>
          <w:bCs w:val="0"/>
          <w:color w:val="000000" w:themeColor="text1"/>
          <w:sz w:val="24"/>
          <w:szCs w:val="24"/>
          <w14:textFill>
            <w14:solidFill>
              <w14:schemeClr w14:val="tx1"/>
            </w14:solidFill>
          </w14:textFill>
        </w:rPr>
        <w:t>The following SMART objectives are set for the first three years of operations</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 </w:t>
      </w:r>
    </w:p>
    <w:p w14:paraId="6373735C">
      <w:pPr>
        <w:keepNext w:val="0"/>
        <w:keepLines w:val="0"/>
        <w:widowControl/>
        <w:numPr>
          <w:ilvl w:val="0"/>
          <w:numId w:val="0"/>
        </w:numPr>
        <w:suppressLineNumbers w:val="0"/>
        <w:spacing w:line="360" w:lineRule="auto"/>
        <w:ind w:left="0" w:leftChars="0" w:firstLine="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eastAsiaTheme="minorEastAsia"/>
          <w:b w:val="0"/>
          <w:bCs w:val="0"/>
          <w:color w:val="000000" w:themeColor="text1"/>
          <w:sz w:val="24"/>
          <w:szCs w:val="24"/>
          <w:lang w:val="en-US" w:eastAsia="zh-CN" w:bidi="ar-SA"/>
          <w14:textFill>
            <w14:solidFill>
              <w14:schemeClr w14:val="tx1"/>
            </w14:solidFill>
          </w14:textFill>
        </w:rPr>
        <w:t>1.</w:t>
      </w:r>
      <w:r>
        <w:rPr>
          <w:rStyle w:val="12"/>
          <w:rFonts w:hint="default" w:ascii="Arial Regular" w:hAnsi="Arial Regular" w:cs="Arial Regular"/>
          <w:b w:val="0"/>
          <w:bCs w:val="0"/>
          <w:color w:val="000000" w:themeColor="text1"/>
          <w:sz w:val="24"/>
          <w:szCs w:val="24"/>
          <w14:textFill>
            <w14:solidFill>
              <w14:schemeClr w14:val="tx1"/>
            </w14:solidFill>
          </w14:textFill>
        </w:rPr>
        <w:t>Client Acquisition:</w:t>
      </w:r>
      <w:r>
        <w:rPr>
          <w:rFonts w:hint="default" w:ascii="Arial Regular" w:hAnsi="Arial Regular" w:cs="Arial Regular"/>
          <w:b w:val="0"/>
          <w:bCs w:val="0"/>
          <w:color w:val="000000" w:themeColor="text1"/>
          <w:sz w:val="24"/>
          <w:szCs w:val="24"/>
          <w14:textFill>
            <w14:solidFill>
              <w14:schemeClr w14:val="tx1"/>
            </w14:solidFill>
          </w14:textFill>
        </w:rPr>
        <w:t xml:space="preserve"> Secure at least </w:t>
      </w:r>
      <w:r>
        <w:rPr>
          <w:rStyle w:val="12"/>
          <w:rFonts w:hint="default" w:ascii="Arial Regular" w:hAnsi="Arial Regular" w:cs="Arial Regular"/>
          <w:b w:val="0"/>
          <w:bCs w:val="0"/>
          <w:color w:val="000000" w:themeColor="text1"/>
          <w:sz w:val="24"/>
          <w:szCs w:val="24"/>
          <w14:textFill>
            <w14:solidFill>
              <w14:schemeClr w14:val="tx1"/>
            </w14:solidFill>
          </w14:textFill>
        </w:rPr>
        <w:t>20 paying UK service-based SME clients in Year 1</w:t>
      </w:r>
      <w:r>
        <w:rPr>
          <w:rFonts w:hint="default" w:ascii="Arial Regular" w:hAnsi="Arial Regular" w:cs="Arial Regular"/>
          <w:b w:val="0"/>
          <w:bCs w:val="0"/>
          <w:color w:val="000000" w:themeColor="text1"/>
          <w:sz w:val="24"/>
          <w:szCs w:val="24"/>
          <w14:textFill>
            <w14:solidFill>
              <w14:schemeClr w14:val="tx1"/>
            </w14:solidFill>
          </w14:textFill>
        </w:rPr>
        <w:t xml:space="preserve">, increasing the client base to </w:t>
      </w:r>
      <w:r>
        <w:rPr>
          <w:rStyle w:val="12"/>
          <w:rFonts w:hint="default" w:ascii="Arial Regular" w:hAnsi="Arial Regular" w:cs="Arial Regular"/>
          <w:b w:val="0"/>
          <w:bCs w:val="0"/>
          <w:color w:val="000000" w:themeColor="text1"/>
          <w:sz w:val="24"/>
          <w:szCs w:val="24"/>
          <w14:textFill>
            <w14:solidFill>
              <w14:schemeClr w14:val="tx1"/>
            </w14:solidFill>
          </w14:textFill>
        </w:rPr>
        <w:t>40 clients by Year 2</w:t>
      </w:r>
      <w:r>
        <w:rPr>
          <w:rFonts w:hint="default" w:ascii="Arial Regular" w:hAnsi="Arial Regular" w:cs="Arial Regular"/>
          <w:b w:val="0"/>
          <w:bCs w:val="0"/>
          <w:color w:val="000000" w:themeColor="text1"/>
          <w:sz w:val="24"/>
          <w:szCs w:val="24"/>
          <w14:textFill>
            <w14:solidFill>
              <w14:schemeClr w14:val="tx1"/>
            </w14:solidFill>
          </w14:textFill>
        </w:rPr>
        <w:t xml:space="preserve"> and </w:t>
      </w:r>
      <w:r>
        <w:rPr>
          <w:rStyle w:val="12"/>
          <w:rFonts w:hint="default" w:ascii="Arial Regular" w:hAnsi="Arial Regular" w:cs="Arial Regular"/>
          <w:b w:val="0"/>
          <w:bCs w:val="0"/>
          <w:color w:val="000000" w:themeColor="text1"/>
          <w:sz w:val="24"/>
          <w:szCs w:val="24"/>
          <w14:textFill>
            <w14:solidFill>
              <w14:schemeClr w14:val="tx1"/>
            </w14:solidFill>
          </w14:textFill>
        </w:rPr>
        <w:t>60 clients by Year 3</w:t>
      </w:r>
      <w:r>
        <w:rPr>
          <w:rFonts w:hint="default" w:ascii="Arial Regular" w:hAnsi="Arial Regular" w:cs="Arial Regular"/>
          <w:b w:val="0"/>
          <w:bCs w:val="0"/>
          <w:color w:val="000000" w:themeColor="text1"/>
          <w:sz w:val="24"/>
          <w:szCs w:val="24"/>
          <w14:textFill>
            <w14:solidFill>
              <w14:schemeClr w14:val="tx1"/>
            </w14:solidFill>
          </w14:textFill>
        </w:rPr>
        <w:t>.</w:t>
      </w:r>
    </w:p>
    <w:p w14:paraId="327B5A23">
      <w:pPr>
        <w:keepNext w:val="0"/>
        <w:keepLines w:val="0"/>
        <w:widowControl/>
        <w:numPr>
          <w:ilvl w:val="0"/>
          <w:numId w:val="0"/>
        </w:numPr>
        <w:suppressLineNumbers w:val="0"/>
        <w:spacing w:line="360" w:lineRule="auto"/>
        <w:ind w:left="0" w:leftChars="0" w:firstLine="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eastAsiaTheme="minorEastAsia"/>
          <w:b w:val="0"/>
          <w:bCs w:val="0"/>
          <w:color w:val="000000" w:themeColor="text1"/>
          <w:sz w:val="24"/>
          <w:szCs w:val="24"/>
          <w:lang w:val="en-US" w:eastAsia="zh-CN" w:bidi="ar-SA"/>
          <w14:textFill>
            <w14:solidFill>
              <w14:schemeClr w14:val="tx1"/>
            </w14:solidFill>
          </w14:textFill>
        </w:rPr>
        <w:t>2.</w:t>
      </w:r>
      <w:r>
        <w:rPr>
          <w:rStyle w:val="12"/>
          <w:rFonts w:hint="default" w:ascii="Arial Regular" w:hAnsi="Arial Regular" w:cs="Arial Regular"/>
          <w:b w:val="0"/>
          <w:bCs w:val="0"/>
          <w:color w:val="000000" w:themeColor="text1"/>
          <w:sz w:val="24"/>
          <w:szCs w:val="24"/>
          <w14:textFill>
            <w14:solidFill>
              <w14:schemeClr w14:val="tx1"/>
            </w14:solidFill>
          </w14:textFill>
        </w:rPr>
        <w:t>Revenue Growth:</w:t>
      </w:r>
      <w:r>
        <w:rPr>
          <w:rFonts w:hint="default" w:ascii="Arial Regular" w:hAnsi="Arial Regular" w:cs="Arial Regular"/>
          <w:b w:val="0"/>
          <w:bCs w:val="0"/>
          <w:color w:val="000000" w:themeColor="text1"/>
          <w:sz w:val="24"/>
          <w:szCs w:val="24"/>
          <w14:textFill>
            <w14:solidFill>
              <w14:schemeClr w14:val="tx1"/>
            </w14:solidFill>
          </w14:textFill>
        </w:rPr>
        <w:t xml:space="preserve"> Generate a minimum annual revenue of </w:t>
      </w:r>
      <w:r>
        <w:rPr>
          <w:rStyle w:val="12"/>
          <w:rFonts w:hint="default" w:ascii="Arial Regular" w:hAnsi="Arial Regular" w:cs="Arial Regular"/>
          <w:b w:val="0"/>
          <w:bCs w:val="0"/>
          <w:color w:val="000000" w:themeColor="text1"/>
          <w:sz w:val="24"/>
          <w:szCs w:val="24"/>
          <w14:textFill>
            <w14:solidFill>
              <w14:schemeClr w14:val="tx1"/>
            </w14:solidFill>
          </w14:textFill>
        </w:rPr>
        <w:t>£150,000 in Year 1</w:t>
      </w:r>
      <w:r>
        <w:rPr>
          <w:rFonts w:hint="default" w:ascii="Arial Regular" w:hAnsi="Arial Regular" w:cs="Arial Regular"/>
          <w:b w:val="0"/>
          <w:bCs w:val="0"/>
          <w:color w:val="000000" w:themeColor="text1"/>
          <w:sz w:val="24"/>
          <w:szCs w:val="24"/>
          <w14:textFill>
            <w14:solidFill>
              <w14:schemeClr w14:val="tx1"/>
            </w14:solidFill>
          </w14:textFill>
        </w:rPr>
        <w:t xml:space="preserve">, increasing to </w:t>
      </w:r>
      <w:r>
        <w:rPr>
          <w:rStyle w:val="12"/>
          <w:rFonts w:hint="default" w:ascii="Arial Regular" w:hAnsi="Arial Regular" w:cs="Arial Regular"/>
          <w:b w:val="0"/>
          <w:bCs w:val="0"/>
          <w:color w:val="000000" w:themeColor="text1"/>
          <w:sz w:val="24"/>
          <w:szCs w:val="24"/>
          <w14:textFill>
            <w14:solidFill>
              <w14:schemeClr w14:val="tx1"/>
            </w14:solidFill>
          </w14:textFill>
        </w:rPr>
        <w:t>£300,000 in Year 2</w:t>
      </w:r>
      <w:r>
        <w:rPr>
          <w:rFonts w:hint="default" w:ascii="Arial Regular" w:hAnsi="Arial Regular" w:cs="Arial Regular"/>
          <w:b w:val="0"/>
          <w:bCs w:val="0"/>
          <w:color w:val="000000" w:themeColor="text1"/>
          <w:sz w:val="24"/>
          <w:szCs w:val="24"/>
          <w14:textFill>
            <w14:solidFill>
              <w14:schemeClr w14:val="tx1"/>
            </w14:solidFill>
          </w14:textFill>
        </w:rPr>
        <w:t xml:space="preserve"> and </w:t>
      </w:r>
      <w:r>
        <w:rPr>
          <w:rStyle w:val="12"/>
          <w:rFonts w:hint="default" w:ascii="Arial Regular" w:hAnsi="Arial Regular" w:cs="Arial Regular"/>
          <w:b w:val="0"/>
          <w:bCs w:val="0"/>
          <w:color w:val="000000" w:themeColor="text1"/>
          <w:sz w:val="24"/>
          <w:szCs w:val="24"/>
          <w14:textFill>
            <w14:solidFill>
              <w14:schemeClr w14:val="tx1"/>
            </w14:solidFill>
          </w14:textFill>
        </w:rPr>
        <w:t>£450,000 by Year 3</w:t>
      </w:r>
      <w:r>
        <w:rPr>
          <w:rFonts w:hint="default" w:ascii="Arial Regular" w:hAnsi="Arial Regular" w:cs="Arial Regular"/>
          <w:b w:val="0"/>
          <w:bCs w:val="0"/>
          <w:color w:val="000000" w:themeColor="text1"/>
          <w:sz w:val="24"/>
          <w:szCs w:val="24"/>
          <w14:textFill>
            <w14:solidFill>
              <w14:schemeClr w14:val="tx1"/>
            </w14:solidFill>
          </w14:textFill>
        </w:rPr>
        <w:t>.</w:t>
      </w:r>
    </w:p>
    <w:p w14:paraId="7688EF0A">
      <w:pPr>
        <w:keepNext w:val="0"/>
        <w:keepLines w:val="0"/>
        <w:widowControl/>
        <w:numPr>
          <w:ilvl w:val="0"/>
          <w:numId w:val="0"/>
        </w:numPr>
        <w:suppressLineNumbers w:val="0"/>
        <w:spacing w:line="360" w:lineRule="auto"/>
        <w:ind w:left="0" w:leftChars="0" w:firstLine="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eastAsiaTheme="minorEastAsia"/>
          <w:b w:val="0"/>
          <w:bCs w:val="0"/>
          <w:color w:val="000000" w:themeColor="text1"/>
          <w:sz w:val="24"/>
          <w:szCs w:val="24"/>
          <w:lang w:val="en-US" w:eastAsia="zh-CN" w:bidi="ar-SA"/>
          <w14:textFill>
            <w14:solidFill>
              <w14:schemeClr w14:val="tx1"/>
            </w14:solidFill>
          </w14:textFill>
        </w:rPr>
        <w:t>3.</w:t>
      </w:r>
      <w:r>
        <w:rPr>
          <w:rStyle w:val="12"/>
          <w:rFonts w:hint="default" w:ascii="Arial Regular" w:hAnsi="Arial Regular" w:cs="Arial Regular"/>
          <w:b w:val="0"/>
          <w:bCs w:val="0"/>
          <w:color w:val="000000" w:themeColor="text1"/>
          <w:sz w:val="24"/>
          <w:szCs w:val="24"/>
          <w14:textFill>
            <w14:solidFill>
              <w14:schemeClr w14:val="tx1"/>
            </w14:solidFill>
          </w14:textFill>
        </w:rPr>
        <w:t>Customer Retention:</w:t>
      </w:r>
      <w:r>
        <w:rPr>
          <w:rFonts w:hint="default" w:ascii="Arial Regular" w:hAnsi="Arial Regular" w:cs="Arial Regular"/>
          <w:b w:val="0"/>
          <w:bCs w:val="0"/>
          <w:color w:val="000000" w:themeColor="text1"/>
          <w:sz w:val="24"/>
          <w:szCs w:val="24"/>
          <w14:textFill>
            <w14:solidFill>
              <w14:schemeClr w14:val="tx1"/>
            </w14:solidFill>
          </w14:textFill>
        </w:rPr>
        <w:t xml:space="preserve"> Achieve a minimum </w:t>
      </w:r>
      <w:r>
        <w:rPr>
          <w:rStyle w:val="12"/>
          <w:rFonts w:hint="default" w:ascii="Arial Regular" w:hAnsi="Arial Regular" w:cs="Arial Regular"/>
          <w:b w:val="0"/>
          <w:bCs w:val="0"/>
          <w:color w:val="000000" w:themeColor="text1"/>
          <w:sz w:val="24"/>
          <w:szCs w:val="24"/>
          <w14:textFill>
            <w14:solidFill>
              <w14:schemeClr w14:val="tx1"/>
            </w14:solidFill>
          </w14:textFill>
        </w:rPr>
        <w:t>70% client retention rate in Year 1</w:t>
      </w:r>
      <w:r>
        <w:rPr>
          <w:rFonts w:hint="default" w:ascii="Arial Regular" w:hAnsi="Arial Regular" w:cs="Arial Regular"/>
          <w:b w:val="0"/>
          <w:bCs w:val="0"/>
          <w:color w:val="000000" w:themeColor="text1"/>
          <w:sz w:val="24"/>
          <w:szCs w:val="24"/>
          <w14:textFill>
            <w14:solidFill>
              <w14:schemeClr w14:val="tx1"/>
            </w14:solidFill>
          </w14:textFill>
        </w:rPr>
        <w:t xml:space="preserve">, improving to </w:t>
      </w:r>
      <w:r>
        <w:rPr>
          <w:rStyle w:val="12"/>
          <w:rFonts w:hint="default" w:ascii="Arial Regular" w:hAnsi="Arial Regular" w:cs="Arial Regular"/>
          <w:b w:val="0"/>
          <w:bCs w:val="0"/>
          <w:color w:val="000000" w:themeColor="text1"/>
          <w:sz w:val="24"/>
          <w:szCs w:val="24"/>
          <w14:textFill>
            <w14:solidFill>
              <w14:schemeClr w14:val="tx1"/>
            </w14:solidFill>
          </w14:textFill>
        </w:rPr>
        <w:t>75% in Year 2</w:t>
      </w:r>
      <w:r>
        <w:rPr>
          <w:rFonts w:hint="default" w:ascii="Arial Regular" w:hAnsi="Arial Regular" w:cs="Arial Regular"/>
          <w:b w:val="0"/>
          <w:bCs w:val="0"/>
          <w:color w:val="000000" w:themeColor="text1"/>
          <w:sz w:val="24"/>
          <w:szCs w:val="24"/>
          <w14:textFill>
            <w14:solidFill>
              <w14:schemeClr w14:val="tx1"/>
            </w14:solidFill>
          </w14:textFill>
        </w:rPr>
        <w:t xml:space="preserve"> and maintaining at least </w:t>
      </w:r>
      <w:r>
        <w:rPr>
          <w:rStyle w:val="12"/>
          <w:rFonts w:hint="default" w:ascii="Arial Regular" w:hAnsi="Arial Regular" w:cs="Arial Regular"/>
          <w:b w:val="0"/>
          <w:bCs w:val="0"/>
          <w:color w:val="000000" w:themeColor="text1"/>
          <w:sz w:val="24"/>
          <w:szCs w:val="24"/>
          <w14:textFill>
            <w14:solidFill>
              <w14:schemeClr w14:val="tx1"/>
            </w14:solidFill>
          </w14:textFill>
        </w:rPr>
        <w:t>75% in Year 3</w:t>
      </w:r>
      <w:r>
        <w:rPr>
          <w:rFonts w:hint="default" w:ascii="Arial Regular" w:hAnsi="Arial Regular" w:cs="Arial Regular"/>
          <w:b w:val="0"/>
          <w:bCs w:val="0"/>
          <w:color w:val="000000" w:themeColor="text1"/>
          <w:sz w:val="24"/>
          <w:szCs w:val="24"/>
          <w14:textFill>
            <w14:solidFill>
              <w14:schemeClr w14:val="tx1"/>
            </w14:solidFill>
          </w14:textFill>
        </w:rPr>
        <w:t xml:space="preserve"> through consistent service quality and long-term client relationships.</w:t>
      </w:r>
    </w:p>
    <w:p w14:paraId="37307752">
      <w:pPr>
        <w:keepNext w:val="0"/>
        <w:keepLines w:val="0"/>
        <w:widowControl/>
        <w:numPr>
          <w:ilvl w:val="0"/>
          <w:numId w:val="0"/>
        </w:numPr>
        <w:suppressLineNumbers w:val="0"/>
        <w:spacing w:line="360" w:lineRule="auto"/>
        <w:ind w:left="0" w:leftChars="0" w:firstLine="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eastAsiaTheme="minorEastAsia"/>
          <w:b w:val="0"/>
          <w:bCs w:val="0"/>
          <w:color w:val="000000" w:themeColor="text1"/>
          <w:sz w:val="24"/>
          <w:szCs w:val="24"/>
          <w:lang w:val="en-US" w:eastAsia="zh-CN" w:bidi="ar-SA"/>
          <w14:textFill>
            <w14:solidFill>
              <w14:schemeClr w14:val="tx1"/>
            </w14:solidFill>
          </w14:textFill>
        </w:rPr>
        <w:t>4.</w:t>
      </w:r>
      <w:r>
        <w:rPr>
          <w:rStyle w:val="12"/>
          <w:rFonts w:hint="default" w:ascii="Arial Regular" w:hAnsi="Arial Regular" w:cs="Arial Regular"/>
          <w:b w:val="0"/>
          <w:bCs w:val="0"/>
          <w:color w:val="000000" w:themeColor="text1"/>
          <w:sz w:val="24"/>
          <w:szCs w:val="24"/>
          <w14:textFill>
            <w14:solidFill>
              <w14:schemeClr w14:val="tx1"/>
            </w14:solidFill>
          </w14:textFill>
        </w:rPr>
        <w:t>Business and Workforce Expansion:</w:t>
      </w:r>
      <w:r>
        <w:rPr>
          <w:rFonts w:hint="default" w:ascii="Arial Regular" w:hAnsi="Arial Regular" w:cs="Arial Regular"/>
          <w:b w:val="0"/>
          <w:bCs w:val="0"/>
          <w:color w:val="000000" w:themeColor="text1"/>
          <w:sz w:val="24"/>
          <w:szCs w:val="24"/>
          <w14:textFill>
            <w14:solidFill>
              <w14:schemeClr w14:val="tx1"/>
            </w14:solidFill>
          </w14:textFill>
        </w:rPr>
        <w:t xml:space="preserve"> Begin operations with approximately </w:t>
      </w:r>
      <w:r>
        <w:rPr>
          <w:rStyle w:val="12"/>
          <w:rFonts w:hint="default" w:ascii="Arial Regular" w:hAnsi="Arial Regular" w:cs="Arial Regular"/>
          <w:b w:val="0"/>
          <w:bCs w:val="0"/>
          <w:color w:val="000000" w:themeColor="text1"/>
          <w:sz w:val="24"/>
          <w:szCs w:val="24"/>
          <w14:textFill>
            <w14:solidFill>
              <w14:schemeClr w14:val="tx1"/>
            </w14:solidFill>
          </w14:textFill>
        </w:rPr>
        <w:t>8–10 employees in Year 1</w:t>
      </w:r>
      <w:r>
        <w:rPr>
          <w:rFonts w:hint="default" w:ascii="Arial Regular" w:hAnsi="Arial Regular" w:cs="Arial Regular"/>
          <w:b w:val="0"/>
          <w:bCs w:val="0"/>
          <w:color w:val="000000" w:themeColor="text1"/>
          <w:sz w:val="24"/>
          <w:szCs w:val="24"/>
          <w14:textFill>
            <w14:solidFill>
              <w14:schemeClr w14:val="tx1"/>
            </w14:solidFill>
          </w14:textFill>
        </w:rPr>
        <w:t xml:space="preserve"> and expand the workforce towards </w:t>
      </w:r>
      <w:r>
        <w:rPr>
          <w:rStyle w:val="12"/>
          <w:rFonts w:hint="default" w:ascii="Arial Regular" w:hAnsi="Arial Regular" w:cs="Arial Regular"/>
          <w:b w:val="0"/>
          <w:bCs w:val="0"/>
          <w:color w:val="000000" w:themeColor="text1"/>
          <w:sz w:val="24"/>
          <w:szCs w:val="24"/>
          <w14:textFill>
            <w14:solidFill>
              <w14:schemeClr w14:val="tx1"/>
            </w14:solidFill>
          </w14:textFill>
        </w:rPr>
        <w:t>15–20 employees by Year 3</w:t>
      </w:r>
      <w:r>
        <w:rPr>
          <w:rFonts w:hint="default" w:ascii="Arial Regular" w:hAnsi="Arial Regular" w:cs="Arial Regular"/>
          <w:b w:val="0"/>
          <w:bCs w:val="0"/>
          <w:color w:val="000000" w:themeColor="text1"/>
          <w:sz w:val="24"/>
          <w:szCs w:val="24"/>
          <w14:textFill>
            <w14:solidFill>
              <w14:schemeClr w14:val="tx1"/>
            </w14:solidFill>
          </w14:textFill>
        </w:rPr>
        <w:t xml:space="preserve"> to support increasing client demand while maintaining service quality.</w:t>
      </w:r>
    </w:p>
    <w:p w14:paraId="671FD4F0">
      <w:pPr>
        <w:keepNext w:val="0"/>
        <w:keepLines w:val="0"/>
        <w:widowControl/>
        <w:numPr>
          <w:ilvl w:val="0"/>
          <w:numId w:val="0"/>
        </w:numPr>
        <w:suppressLineNumbers w:val="0"/>
        <w:spacing w:line="360" w:lineRule="auto"/>
        <w:ind w:left="0" w:leftChars="0" w:firstLine="0" w:firstLineChars="0"/>
        <w:jc w:val="both"/>
        <w:rPr>
          <w:rFonts w:hint="default" w:ascii="Arial Regular" w:hAnsi="Arial Regular" w:eastAsia="Arial" w:cs="Arial Regular"/>
          <w:b w:val="0"/>
          <w:bCs w:val="0"/>
          <w:i w:val="0"/>
          <w:iCs w:val="0"/>
          <w:caps w:val="0"/>
          <w:color w:val="000000" w:themeColor="text1"/>
          <w:spacing w:val="0"/>
          <w:sz w:val="24"/>
          <w:szCs w:val="24"/>
          <w:shd w:val="clear" w:fill="FFFFFF"/>
          <w:vertAlign w:val="baselin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eastAsia="zh-CN" w:bidi="ar-SA"/>
          <w14:textFill>
            <w14:solidFill>
              <w14:schemeClr w14:val="tx1"/>
            </w14:solidFill>
          </w14:textFill>
        </w:rPr>
        <w:t>5.</w:t>
      </w:r>
      <w:r>
        <w:rPr>
          <w:rStyle w:val="12"/>
          <w:rFonts w:hint="default" w:ascii="Arial Regular" w:hAnsi="Arial Regular" w:cs="Arial Regular"/>
          <w:b w:val="0"/>
          <w:bCs w:val="0"/>
          <w:color w:val="000000" w:themeColor="text1"/>
          <w:sz w:val="24"/>
          <w:szCs w:val="24"/>
          <w14:textFill>
            <w14:solidFill>
              <w14:schemeClr w14:val="tx1"/>
            </w14:solidFill>
          </w14:textFill>
        </w:rPr>
        <w:t>Market Positioning and Brand Awareness:</w:t>
      </w:r>
      <w:r>
        <w:rPr>
          <w:rFonts w:hint="default" w:ascii="Arial Regular" w:hAnsi="Arial Regular" w:cs="Arial Regular"/>
          <w:b w:val="0"/>
          <w:bCs w:val="0"/>
          <w:color w:val="000000" w:themeColor="text1"/>
          <w:sz w:val="24"/>
          <w:szCs w:val="24"/>
          <w14:textFill>
            <w14:solidFill>
              <w14:schemeClr w14:val="tx1"/>
            </w14:solidFill>
          </w14:textFill>
        </w:rPr>
        <w:t xml:space="preserve"> Establish SmartGrowth AI as a recognised AI-powered marketing agency for UK service-based SMEs within the first three years by increasing brand awareness through digital marketing, client referrals, case studies and measurable campaign results.</w:t>
      </w:r>
    </w:p>
    <w:p w14:paraId="6FBFA89F">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399" w:beforeAutospacing="0" w:after="399" w:afterAutospacing="0" w:line="360" w:lineRule="auto"/>
        <w:ind w:left="0" w:leftChars="0" w:right="0" w:rightChars="0" w:firstLine="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SimSun" w:cs="Arial Regular"/>
          <w:b/>
          <w:bCs/>
          <w:i w:val="0"/>
          <w:iCs w:val="0"/>
          <w:color w:val="000000" w:themeColor="text1"/>
          <w:kern w:val="0"/>
          <w:sz w:val="24"/>
          <w:szCs w:val="24"/>
          <w:lang w:val="en-US" w:eastAsia="zh-CN" w:bidi="ar"/>
          <w14:textFill>
            <w14:solidFill>
              <w14:schemeClr w14:val="tx1"/>
            </w14:solidFill>
          </w14:textFill>
        </w:rPr>
        <w:t>3.</w:t>
      </w:r>
      <w:r>
        <w:rPr>
          <w:rFonts w:hint="default" w:ascii="Arial Regular" w:hAnsi="Arial Regular" w:cs="Arial Regular"/>
          <w:b/>
          <w:bCs/>
          <w:i w:val="0"/>
          <w:iCs w:val="0"/>
          <w:color w:val="000000" w:themeColor="text1"/>
          <w:kern w:val="0"/>
          <w:sz w:val="24"/>
          <w:szCs w:val="24"/>
          <w:lang w:val="de-DE" w:eastAsia="zh-CN" w:bidi="ar"/>
          <w14:textFill>
            <w14:solidFill>
              <w14:schemeClr w14:val="tx1"/>
            </w14:solidFill>
          </w14:textFill>
        </w:rPr>
        <w:t xml:space="preserve">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Literature Review</w:t>
      </w:r>
    </w:p>
    <w:p w14:paraId="7F512B48">
      <w:pPr>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xml:space="preserve">This proposal’s analysis is based on five robust strategic frameworks. Each framework is reviewed through its theoretical origins, relevance, and limitations for </w:t>
      </w:r>
      <w:r>
        <w:rPr>
          <w:rFonts w:hint="default" w:ascii="Arial Regular" w:hAnsi="Arial Regular" w:eastAsia="SimSun" w:cs="Arial Regular"/>
          <w:color w:val="000000" w:themeColor="text1"/>
          <w:kern w:val="0"/>
          <w:sz w:val="24"/>
          <w:szCs w:val="24"/>
          <w:lang w:val="de-DE" w:eastAsia="zh-CN" w:bidi="ar"/>
          <w14:textFill>
            <w14:solidFill>
              <w14:schemeClr w14:val="tx1"/>
            </w14:solidFill>
          </w14:textFill>
        </w:rPr>
        <w:t>SmartGrowth AI</w:t>
      </w: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Additionally, the VRIO framework and SWOT analysis are considered as supporting strategic tools in assessment.</w:t>
      </w:r>
    </w:p>
    <w:p w14:paraId="0205FA7E">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Chars="0" w:right="0" w:rightChars="0"/>
        <w:jc w:val="both"/>
        <w:textAlignment w:val="baseline"/>
        <w:rPr>
          <w:rFonts w:hint="default" w:ascii="Arial Regular" w:hAnsi="Arial Regular" w:eastAsia="Arial" w:cs="Arial Regular"/>
          <w:b/>
          <w:bCs/>
          <w:i w:val="0"/>
          <w:iCs w:val="0"/>
          <w:caps w:val="0"/>
          <w:color w:val="000000" w:themeColor="text1"/>
          <w:spacing w:val="0"/>
          <w:sz w:val="24"/>
          <w:szCs w:val="24"/>
          <w:shd w:val="clear" w:fill="FFFFFF"/>
          <w:vertAlign w:val="baseline"/>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3.1 Job To Be Done (JTBD)</w:t>
      </w:r>
    </w:p>
    <w:p w14:paraId="5B305A4C">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Job To Be Done (JTBD) is a framework that explains customer behaviour by identifying the “job” customers seek to accomplish when choosing a product or service (Christensen et al., 2016). Rather than focusing on demographics, JTBD examines customers’ functional, social and emotional needs. For SmartGrowth AI, the framework can identify why UK service-based SMEs seek external marketing support and their expected outcomes. Their jobs may include increasing brand awareness, generating leads, improving online visibility, producing content and achieving measurable results. Understanding these jobs can help SmartGrowth AI design services that address customer priorities, including AI-assisted content creation, digital advertising and market research. However, JTBD may oversimplify purchasing decisions because businesses can have several needs. Therefore, SmartGrowth AI should use JTBD alongside other frameworks to develop an understanding of its market.</w:t>
      </w:r>
    </w:p>
    <w:p w14:paraId="20D73328">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Chars="0" w:right="0" w:rightChars="0"/>
        <w:jc w:val="both"/>
        <w:textAlignment w:val="baseline"/>
        <w:rPr>
          <w:rFonts w:hint="default" w:ascii="Arial Regular" w:hAnsi="Arial Regular" w:eastAsia="Arial" w:cs="Arial Regular"/>
          <w:b/>
          <w:bCs/>
          <w:i w:val="0"/>
          <w:iCs w:val="0"/>
          <w:caps w:val="0"/>
          <w:color w:val="000000" w:themeColor="text1"/>
          <w:spacing w:val="0"/>
          <w:sz w:val="24"/>
          <w:szCs w:val="24"/>
          <w:shd w:val="clear" w:fill="FFFFFF"/>
          <w:vertAlign w:val="baseline"/>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3.2 PESTLE Analysis</w:t>
      </w:r>
    </w:p>
    <w:p w14:paraId="1EC838C1">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PESTLE analysis is a strategic framework used to examine the external macro-environment through political, economic, social, technological, ecological and legal factors (Johnson et al., 2017). For SmartGrowth AI, political factors include UK government policies supporting digitalisation and artificial intelligence, while economic conditions such as inflation and SME marketing budgets may influence demand. Socially, increasing reliance on digital communication and online purchasing creates opportunities for SMEs to strengthen their digital presence. Technological developments in artificial intelligence, automation and analytics provide SmartGrowth AI with opportunities to improve content creation, advertising and market research, although rapid technological change may increase investment requirements. Ecological pressures may encourage SMEs to prefer digital marketing approaches that reduce reliance on physical promotional materials. Legally, SmartGrowth AI must consider data protection, advertising standards, intellectual property and emerging AI-related regulation when delivering services. Overall, PESTLE helps SmartGrowth AI identify external opportunities and threats, supporting strategic decision-making and adaptation to environmental changes (Johnson et al., 2017). Regular monitoring is therefore necessary to maintain competitiveness and respond effectively to changing conditions.</w:t>
      </w:r>
    </w:p>
    <w:p w14:paraId="4C7C84FD">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Chars="0" w:right="0" w:rightChars="0"/>
        <w:jc w:val="both"/>
        <w:textAlignment w:val="baseline"/>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3.3 Porter’s Five Fources </w:t>
      </w:r>
    </w:p>
    <w:p w14:paraId="392CA349">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Porter’s Five Forces is a framework for analysing competitive forces influencing industry structure and profitability, including rivalry, buyer power, supplier power, substitutes and new entrants (Porter, 2008). For SmartGrowth AI, rivalry is high because agencies and freelancers offer similar services. Buyer power is high as UK SMEs can compare agencies, prices and quality. Supplier power is moderate because SmartGrowth AI can use AI platforms and digital tools. The threat of new entrants is high due to low barriers to establishing digital marketing businesses. Substitutes, including in-house marketing teams and freelance marketers, create pressure. Therefore, SmartGrowth AI should differentiate through AI-enabled services, affordability, personalised support and measurable outcomes to remain competitive.</w:t>
      </w:r>
    </w:p>
    <w:p w14:paraId="3D0AB068">
      <w:pPr>
        <w:pStyle w:val="11"/>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b/>
          <w:bCs/>
          <w:color w:val="000000" w:themeColor="text1"/>
          <w:sz w:val="24"/>
          <w:szCs w:val="24"/>
          <w:highlight w:val="none"/>
          <w14:textFill>
            <w14:solidFill>
              <w14:schemeClr w14:val="tx1"/>
            </w14:solidFill>
          </w14:textFill>
        </w:rPr>
      </w:pPr>
      <w:r>
        <w:rPr>
          <w:rFonts w:hint="default" w:ascii="Arial Regular" w:hAnsi="Arial Regular" w:cs="Arial Regular"/>
          <w:b/>
          <w:bCs/>
          <w:color w:val="000000" w:themeColor="text1"/>
          <w:sz w:val="24"/>
          <w:szCs w:val="24"/>
          <w:highlight w:val="none"/>
          <w:lang w:val="de-DE"/>
          <w14:textFill>
            <w14:solidFill>
              <w14:schemeClr w14:val="tx1"/>
            </w14:solidFill>
          </w14:textFill>
        </w:rPr>
        <w:t xml:space="preserve">3.4 Value Proposition Canvas (VPC) </w:t>
      </w:r>
    </w:p>
    <w:p w14:paraId="267E1C43">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Value Proposition Canvas (VPC) is a strategic tool that helps businesses design products and services around customers’ needs by examining customer profiles and value propositions (Osterwalder et al., 2014). For SmartGrowth AI, the customer profile comprises UK service-based SMEs seeking brand awareness, lead generation and marketing results. Their pains include limited marketing expertise, restricted budgets, time constraints and difficulty keeping pace with technologies. Desired gains include affordable, personalised marketing support. SmartGrowth AI’s value map addresses these needs through AI-assisted content creation, Google and Meta advertising, market research and product ideation. This alignment can create customer value and differentiation. However, customer needs should be regularly tested because market expectations change rapidly.</w:t>
      </w:r>
    </w:p>
    <w:p w14:paraId="5D0178B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eastAsia="Arial Bold"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3.5 </w:t>
      </w: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Business Model Canvas</w:t>
      </w: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 (BMC)</w:t>
      </w:r>
    </w:p>
    <w:p w14:paraId="566DA329">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Business Model Canvas (BMC) is a tool describing how an organisation creates, delivers and captures value through nine building blocks (Osterwalder and Pigneur, 2010). For SmartGrowth AI, customer segments are UK SMEs, while the value proposition is affordable, AI-powered marketing support. Channels include the website, social media, email and direct sales. Relationships will emphasise personalised support and communication. Revenue will come from marketing packages and fees. Resources include employees, AI technologies, marketing platforms and creative capabilities. Key activities involve content creation, digital advertising, market research and product ideation. Key partners include technology providers and freelancers. Costs include wages, software, advertising and operations. BMC provides an overview of SmartGrowth AI’s model and should be reviewed regularly as needs and technology evolve.</w:t>
      </w:r>
    </w:p>
    <w:p w14:paraId="42886E22">
      <w:pPr>
        <w:pStyle w:val="4"/>
        <w:numPr>
          <w:ilvl w:val="0"/>
          <w:numId w:val="0"/>
        </w:numPr>
        <w:spacing w:line="360" w:lineRule="auto"/>
        <w:jc w:val="both"/>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pPr>
      <w:bookmarkStart w:id="1" w:name="_Toc239077227"/>
      <w:bookmarkStart w:id="2" w:name="_Toc1475700776"/>
      <w:r>
        <w:rPr>
          <w:rFonts w:hint="default" w:ascii="Arial Regular" w:hAnsi="Arial Regular" w:cs="Arial Regular"/>
          <w:b/>
          <w:bCs/>
          <w:color w:val="000000" w:themeColor="text1"/>
          <w:sz w:val="24"/>
          <w:szCs w:val="24"/>
          <w:lang w:val="de-DE"/>
          <w14:textFill>
            <w14:solidFill>
              <w14:schemeClr w14:val="tx1"/>
            </w14:solidFill>
          </w14:textFill>
        </w:rPr>
        <w:t xml:space="preserve">3.6 </w:t>
      </w:r>
      <w:r>
        <w:rPr>
          <w:rFonts w:hint="default" w:ascii="Arial Regular" w:hAnsi="Arial Regular" w:cs="Arial Regular"/>
          <w:b/>
          <w:bCs/>
          <w:color w:val="000000" w:themeColor="text1"/>
          <w:sz w:val="24"/>
          <w:szCs w:val="24"/>
          <w14:textFill>
            <w14:solidFill>
              <w14:schemeClr w14:val="tx1"/>
            </w14:solidFill>
          </w14:textFill>
        </w:rPr>
        <w:t>Supplementary Framework: VRIO and SWOT</w:t>
      </w:r>
      <w:bookmarkEnd w:id="1"/>
      <w:bookmarkEnd w:id="2"/>
    </w:p>
    <w:p w14:paraId="00C9A09A">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VRIO assesses whether resources provide sustained competitive advantage through value, rarity, imitability and organisational support (Barney, 1991). SWOT evaluates an organisation’s strengths, weaknesses, opportunities and threats (Gürel and Tat, 2017). For SmartGrowth AI, these frameworks assess internal capabilities, competitive resources and external strategic opportunities.</w:t>
      </w:r>
    </w:p>
    <w:p w14:paraId="4120AB87">
      <w:pPr>
        <w:pStyle w:val="11"/>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399" w:beforeAutospacing="0" w:after="399" w:afterAutospacing="0" w:line="360" w:lineRule="auto"/>
        <w:ind w:left="0" w:leftChars="0" w:right="0" w:rightChars="0" w:firstLine="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Methodology</w:t>
      </w:r>
    </w:p>
    <w:p w14:paraId="7B5A7555">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4.1 Research Approach</w:t>
      </w:r>
    </w:p>
    <w:p w14:paraId="78F73DEC">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methodology provides a structured process for investigating and developing the commercial opportunity for SmartGrowth AI. Methodology refers to the overall approach used to select and apply research methods in a systematic way (Saunders, Lewis and Thornhill, 2023). The proposal adopts a pragmatic research philosophy, an inductive approach and a mixed-methods design. This combination is appropriate because the purpose is not only to generate academic knowledge but also to make practical business decisions about customer demand, competition, pricing and commercial feasibility.</w:t>
      </w:r>
    </w:p>
    <w:p w14:paraId="6F95C531">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Pragmatism focuses on selecting methods according to what best answers the research problem (Saunders, Lewis and Thornhill, 2023). This is suitable because SmartGrowth AI requires both numerical market evidence and practical customer insight. An inductive approach develops understanding from observations and evidence rather than testing one predetermined theory. The mixed-methods approach combines quantitative and qualitative evidence, allowing different types of information to be compared and integrated (Creswell and Creswell, 2023).</w:t>
      </w:r>
    </w:p>
    <w:p w14:paraId="66BE280C">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4.2 Opportunity Identification</w:t>
      </w:r>
    </w:p>
    <w:p w14:paraId="168599C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opportunity will first be defined by reviewing the problem identified in the proposal: many UK service-based SMEs need effective digital marketing but may face financial, knowledge and capability limitations. The investigation will focus on SMEs operating in sectors including education, healthcare, recruitment, hospitality, consultancy, fitness, real estate and travel, consistent with the defined scope of the proposal.</w:t>
      </w:r>
    </w:p>
    <w:p w14:paraId="19E8F0E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process will begin with secondary research into UK SME numbers, digital adoption, AI adoption, marketing expenditure and industry trends. Government statistics, academic research and credible industry reports will be collected and recorded in a research evidence table showing the source, publication date, key finding and relevance to SmartGrowth AI. This creates an auditable process that can be repeated and reduces reliance on unsupported assumptions.</w:t>
      </w:r>
    </w:p>
    <w:p w14:paraId="5564EF4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4.3 Market Insight Collection</w:t>
      </w:r>
    </w:p>
    <w:p w14:paraId="2A081A2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Primary market insight will be collected through semi-structured customer conversations with owners, managers or marketing decision-makers from UK service-based SMEs. Semi-structured interviews use prepared questions while allowing participants to explain issues in their own words (Saunders, Lewis and Thornhill, 2023). Questions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have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examine current marketing activities, problems with existing providers, use of AI, monthly marketing budgets, preferred services, purchasing decisions and expectations regarding outsourced marketing.</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60A675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A small purposive sample will be selected because participants must have relevant experience of SME marketing decisions. Potential participants will be contacted through professional networks, LinkedIn and local business communities. Each conversation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has been</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conducted online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and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in person, depending on participant preference, and normally last</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ed</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approximately 20–30 minutes. No participant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were</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pressured to participate.</w:t>
      </w:r>
    </w:p>
    <w:p w14:paraId="382945B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Competitor bench</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marking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has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also be</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en</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undertaken by reviewing the websites, service packages, positioning, target customers and publicly available pricing information of selected UK agencies, including competitors identified in the proposal such as Jellyfish, Hallam and Croud. Public information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has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be recorded without misrepresenting the researcher or attempting to obtain confidential information.</w:t>
      </w:r>
    </w:p>
    <w:p w14:paraId="6DE4EBA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4.4 Market Data Gathering</w:t>
      </w:r>
    </w:p>
    <w:p w14:paraId="55B26E02">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Quantitative evidence will be collected from credible secondary sources such as the Department for Business and Trade, Office for National Statistics where relevant, government publications, academic studies and established industry reports. The proposal already identifies the importance of UK SMEs, which account for more than 99% of private-sector businesses (Department for Business and Trade, 2024).</w:t>
      </w:r>
    </w:p>
    <w:p w14:paraId="3F9C72F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Pricing data will be gathered from publicly available competitor websites and service quotations where transparently provided. The data will include monthly retainers, individual service prices and package structures. Demand indicators will include SME digital adoption, AI adoption, online marketing activity and reported marketing challenges. Sources will be prioritised according to credibility, recency and relevance rather than simply selecting information that supports the business idea.</w:t>
      </w:r>
    </w:p>
    <w:p w14:paraId="57AE269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4.5 Data Analysis</w:t>
      </w:r>
    </w:p>
    <w:p w14:paraId="608308B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quantitative evidence will first be organised using descriptive analysis. Descriptive analysis summarises data through frequencies, percentages, averages and comparisons and is appropriate for identifying market patterns rather than proving causal relationships (Saunders, Lewis and Thornhill, 2023). For example, SME population figures, competitor prices and survey responses can be compared to identify potential market size and pricing opportunities.</w:t>
      </w:r>
    </w:p>
    <w:p w14:paraId="62F5A56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qualitative interview data will be analysed using thematic analysis. Thematic analysis identifies recurring patterns or themes within qualitative information (Braun and Clarke, 2006). Interview responses will therefore be coded under themes such as affordability, marketing capability, AI adoption, service quality, trust, local market knowledge and outsourcing needs. Similar responses will be grouped together before comparing them with the secondary research.</w:t>
      </w:r>
    </w:p>
    <w:p w14:paraId="794FA11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findings will then be triangulated. Triangulation means comparing information from different sources or methods to develop a stronger understanding of an issue (Saunders, Lewis and Thornhill, 2023). For example, if SME interviews identify affordability as a major problem and competitor benchmarking shows high agency prices, the two findings can be considered together when developing SmartGrowth AI's pricing strategy.</w:t>
      </w:r>
    </w:p>
    <w:p w14:paraId="0285422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w:cs="Arial Regular"/>
          <w:b/>
          <w:bCs/>
          <w:i w:val="0"/>
          <w:iCs w:val="0"/>
          <w:color w:val="000000" w:themeColor="text1"/>
          <w:spacing w:val="0"/>
          <w:sz w:val="24"/>
          <w:szCs w:val="24"/>
          <w:shd w:val="clear" w:fill="FFFFFF"/>
          <w:vertAlign w:val="baseline"/>
          <w:lang w:val="de-DE"/>
          <w14:textFill>
            <w14:solidFill>
              <w14:schemeClr w14:val="tx1"/>
            </w14:solidFill>
          </w14:textFill>
        </w:rPr>
        <w:t>4.6 D</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ata Collection </w:t>
      </w:r>
    </w:p>
    <w:p w14:paraId="62EF5A43">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To collect the primary data, I have conducted a survey on 26 SME owners. </w:t>
      </w:r>
      <w:r>
        <w:rPr>
          <w:rFonts w:hint="default" w:ascii="Arial Regular" w:hAnsi="Arial Regular" w:eastAsia="Arial" w:cs="Arial Regular"/>
          <w:b w:val="0"/>
          <w:bCs w:val="0"/>
          <w:i w:val="0"/>
          <w:iCs w:val="0"/>
          <w:color w:val="000000" w:themeColor="text1"/>
          <w:spacing w:val="0"/>
          <w:sz w:val="24"/>
          <w:szCs w:val="24"/>
          <w:shd w:val="clear" w:fill="FFFFFF"/>
          <w:vertAlign w:val="baseline"/>
          <w:lang w:val="de-DE"/>
          <w14:textFill>
            <w14:solidFill>
              <w14:schemeClr w14:val="tx1"/>
            </w14:solidFill>
          </w14:textFill>
        </w:rPr>
        <w:t>T</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he survey was based on eight questions to identify if the UK SME owners are willing to accept this new service. </w:t>
      </w:r>
      <w:r>
        <w:rPr>
          <w:rFonts w:hint="default" w:ascii="Arial Regular" w:hAnsi="Arial Regular" w:eastAsia="Arial" w:cs="Arial Regular"/>
          <w:b w:val="0"/>
          <w:bCs w:val="0"/>
          <w:i w:val="0"/>
          <w:iCs w:val="0"/>
          <w:color w:val="000000" w:themeColor="text1"/>
          <w:spacing w:val="0"/>
          <w:sz w:val="24"/>
          <w:szCs w:val="24"/>
          <w:shd w:val="clear" w:fill="FFFFFF"/>
          <w:vertAlign w:val="baseline"/>
          <w:lang w:val="de-DE"/>
          <w14:textFill>
            <w14:solidFill>
              <w14:schemeClr w14:val="tx1"/>
            </w14:solidFill>
          </w14:textFill>
        </w:rPr>
        <w:t>A</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nd the results have been shown below. </w:t>
      </w:r>
    </w:p>
    <w:p w14:paraId="7ECE7575">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center"/>
        <w:textAlignment w:val="baseline"/>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243705" cy="2052320"/>
            <wp:effectExtent l="0" t="0" r="23495" b="5080"/>
            <wp:docPr id="12" name="Picture 12" descr="Screenshot 2026-09-12 at 15.2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reenshot 2026-09-12 at 15.24.08"/>
                    <pic:cNvPicPr>
                      <a:picLocks noChangeAspect="1"/>
                    </pic:cNvPicPr>
                  </pic:nvPicPr>
                  <pic:blipFill>
                    <a:blip r:embed="rId7"/>
                    <a:srcRect l="23511" t="41686" r="33325" b="24923"/>
                    <a:stretch>
                      <a:fillRect/>
                    </a:stretch>
                  </pic:blipFill>
                  <pic:spPr>
                    <a:xfrm>
                      <a:off x="0" y="0"/>
                      <a:ext cx="4243705" cy="2052320"/>
                    </a:xfrm>
                    <a:prstGeom prst="rect">
                      <a:avLst/>
                    </a:prstGeom>
                  </pic:spPr>
                </pic:pic>
              </a:graphicData>
            </a:graphic>
          </wp:inline>
        </w:drawing>
      </w:r>
    </w:p>
    <w:p w14:paraId="2EA34F3A">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center"/>
        <w:textAlignment w:val="baseline"/>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3945255" cy="1978025"/>
            <wp:effectExtent l="0" t="0" r="17145" b="3175"/>
            <wp:docPr id="11" name="Picture 11" descr="Screenshot 2026-09-12 at 15.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reenshot 2026-09-12 at 15.24.16"/>
                    <pic:cNvPicPr>
                      <a:picLocks noChangeAspect="1"/>
                    </pic:cNvPicPr>
                  </pic:nvPicPr>
                  <pic:blipFill>
                    <a:blip r:embed="rId8"/>
                    <a:srcRect l="23270" t="39024" r="36135" b="28414"/>
                    <a:stretch>
                      <a:fillRect/>
                    </a:stretch>
                  </pic:blipFill>
                  <pic:spPr>
                    <a:xfrm>
                      <a:off x="0" y="0"/>
                      <a:ext cx="3945255" cy="1978025"/>
                    </a:xfrm>
                    <a:prstGeom prst="rect">
                      <a:avLst/>
                    </a:prstGeom>
                  </pic:spPr>
                </pic:pic>
              </a:graphicData>
            </a:graphic>
          </wp:inline>
        </w:drawing>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091305" cy="2155825"/>
            <wp:effectExtent l="0" t="0" r="23495" b="3175"/>
            <wp:docPr id="10" name="Picture 10" descr="Screenshot 2026-09-12 at 15.2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reenshot 2026-09-12 at 15.24.26"/>
                    <pic:cNvPicPr>
                      <a:picLocks noChangeAspect="1"/>
                    </pic:cNvPicPr>
                  </pic:nvPicPr>
                  <pic:blipFill>
                    <a:blip r:embed="rId9"/>
                    <a:srcRect l="23282" t="35629" r="37171" b="31038"/>
                    <a:stretch>
                      <a:fillRect/>
                    </a:stretch>
                  </pic:blipFill>
                  <pic:spPr>
                    <a:xfrm>
                      <a:off x="0" y="0"/>
                      <a:ext cx="4091305" cy="2155825"/>
                    </a:xfrm>
                    <a:prstGeom prst="rect">
                      <a:avLst/>
                    </a:prstGeom>
                  </pic:spPr>
                </pic:pic>
              </a:graphicData>
            </a:graphic>
          </wp:inline>
        </w:drawing>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519295" cy="2159000"/>
            <wp:effectExtent l="0" t="0" r="1905" b="0"/>
            <wp:docPr id="9" name="Picture 9" descr="Screenshot 2026-09-12 at 15.2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creenshot 2026-09-12 at 15.25.00"/>
                    <pic:cNvPicPr>
                      <a:picLocks noChangeAspect="1"/>
                    </pic:cNvPicPr>
                  </pic:nvPicPr>
                  <pic:blipFill>
                    <a:blip r:embed="rId10"/>
                    <a:srcRect/>
                    <a:stretch>
                      <a:fillRect/>
                    </a:stretch>
                  </pic:blipFill>
                  <pic:spPr>
                    <a:xfrm>
                      <a:off x="0" y="0"/>
                      <a:ext cx="4519295" cy="2159000"/>
                    </a:xfrm>
                    <a:prstGeom prst="rect">
                      <a:avLst/>
                    </a:prstGeom>
                  </pic:spPr>
                </pic:pic>
              </a:graphicData>
            </a:graphic>
          </wp:inline>
        </w:drawing>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152265" cy="1946275"/>
            <wp:effectExtent l="0" t="0" r="13335" b="9525"/>
            <wp:docPr id="8" name="Picture 8" descr="Screenshot 2026-09-12 at 15.2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reenshot 2026-09-12 at 15.25.04"/>
                    <pic:cNvPicPr>
                      <a:picLocks noChangeAspect="1"/>
                    </pic:cNvPicPr>
                  </pic:nvPicPr>
                  <pic:blipFill>
                    <a:blip r:embed="rId11"/>
                    <a:srcRect l="23644" t="38908" r="33603" b="29032"/>
                    <a:stretch>
                      <a:fillRect/>
                    </a:stretch>
                  </pic:blipFill>
                  <pic:spPr>
                    <a:xfrm>
                      <a:off x="0" y="0"/>
                      <a:ext cx="4152265" cy="1946275"/>
                    </a:xfrm>
                    <a:prstGeom prst="rect">
                      <a:avLst/>
                    </a:prstGeom>
                  </pic:spPr>
                </pic:pic>
              </a:graphicData>
            </a:graphic>
          </wp:inline>
        </w:drawing>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440555" cy="1990725"/>
            <wp:effectExtent l="0" t="0" r="4445" b="15875"/>
            <wp:docPr id="7" name="Picture 7" descr="Screenshot 2026-09-12 at 15.2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creenshot 2026-09-12 at 15.25.11"/>
                    <pic:cNvPicPr>
                      <a:picLocks noChangeAspect="1"/>
                    </pic:cNvPicPr>
                  </pic:nvPicPr>
                  <pic:blipFill>
                    <a:blip r:embed="rId12"/>
                    <a:srcRect/>
                    <a:stretch>
                      <a:fillRect/>
                    </a:stretch>
                  </pic:blipFill>
                  <pic:spPr>
                    <a:xfrm>
                      <a:off x="0" y="0"/>
                      <a:ext cx="4440555" cy="1990725"/>
                    </a:xfrm>
                    <a:prstGeom prst="rect">
                      <a:avLst/>
                    </a:prstGeom>
                  </pic:spPr>
                </pic:pic>
              </a:graphicData>
            </a:graphic>
          </wp:inline>
        </w:drawing>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441190" cy="2306955"/>
            <wp:effectExtent l="0" t="0" r="3810" b="4445"/>
            <wp:docPr id="6" name="Picture 6" descr="Screenshot 2026-09-12 at 15.2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creenshot 2026-09-12 at 15.25.17"/>
                    <pic:cNvPicPr>
                      <a:picLocks noChangeAspect="1"/>
                    </pic:cNvPicPr>
                  </pic:nvPicPr>
                  <pic:blipFill>
                    <a:blip r:embed="rId13"/>
                    <a:srcRect l="23113" t="31809" r="34844" b="33256"/>
                    <a:stretch>
                      <a:fillRect/>
                    </a:stretch>
                  </pic:blipFill>
                  <pic:spPr>
                    <a:xfrm>
                      <a:off x="0" y="0"/>
                      <a:ext cx="4441190" cy="2306955"/>
                    </a:xfrm>
                    <a:prstGeom prst="rect">
                      <a:avLst/>
                    </a:prstGeom>
                  </pic:spPr>
                </pic:pic>
              </a:graphicData>
            </a:graphic>
          </wp:inline>
        </w:drawing>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drawing>
          <wp:inline distT="0" distB="0" distL="114300" distR="114300">
            <wp:extent cx="4425950" cy="2240915"/>
            <wp:effectExtent l="0" t="0" r="19050" b="19685"/>
            <wp:docPr id="5" name="Picture 5" descr="Screenshot 2026-09-12 at 15.2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reenshot 2026-09-12 at 15.25.24"/>
                    <pic:cNvPicPr>
                      <a:picLocks noChangeAspect="1"/>
                    </pic:cNvPicPr>
                  </pic:nvPicPr>
                  <pic:blipFill>
                    <a:blip r:embed="rId14"/>
                    <a:srcRect l="23113" t="43557" r="33591" b="21373"/>
                    <a:stretch>
                      <a:fillRect/>
                    </a:stretch>
                  </pic:blipFill>
                  <pic:spPr>
                    <a:xfrm>
                      <a:off x="0" y="0"/>
                      <a:ext cx="4425950" cy="2240915"/>
                    </a:xfrm>
                    <a:prstGeom prst="rect">
                      <a:avLst/>
                    </a:prstGeom>
                  </pic:spPr>
                </pic:pic>
              </a:graphicData>
            </a:graphic>
          </wp:inline>
        </w:drawing>
      </w:r>
    </w:p>
    <w:p w14:paraId="307AA129">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Further more, t</w:t>
      </w:r>
      <w:r>
        <w:rPr>
          <w:rFonts w:hint="default" w:ascii="Arial Regular" w:hAnsi="Arial Regular" w:cs="Arial Regular"/>
          <w:color w:val="000000" w:themeColor="text1"/>
          <w:sz w:val="24"/>
          <w:szCs w:val="24"/>
          <w14:textFill>
            <w14:solidFill>
              <w14:schemeClr w14:val="tx1"/>
            </w14:solidFill>
          </w14:textFill>
        </w:rPr>
        <w:t xml:space="preserve">o explore the marketing challenges, purchasing priorities and attitudes towards AI-powered marketing services, three interviews were considered with UK service-based SME owners operating in education consultancy, boutique retail and grocery retail. The responses </w:t>
      </w:r>
      <w:r>
        <w:rPr>
          <w:rFonts w:hint="default" w:ascii="Arial Regular" w:hAnsi="Arial Regular" w:cs="Arial Regular"/>
          <w:color w:val="000000" w:themeColor="text1"/>
          <w:sz w:val="24"/>
          <w:szCs w:val="24"/>
          <w:lang w:val="de-DE"/>
          <w14:textFill>
            <w14:solidFill>
              <w14:schemeClr w14:val="tx1"/>
            </w14:solidFill>
          </w14:textFill>
        </w:rPr>
        <w:t xml:space="preserve">are presented </w:t>
      </w:r>
      <w:r>
        <w:rPr>
          <w:rFonts w:hint="default" w:ascii="Arial Regular" w:hAnsi="Arial Regular" w:cs="Arial Regular"/>
          <w:color w:val="000000" w:themeColor="text1"/>
          <w:sz w:val="24"/>
          <w:szCs w:val="24"/>
          <w14:textFill>
            <w14:solidFill>
              <w14:schemeClr w14:val="tx1"/>
            </w14:solidFill>
          </w14:textFill>
        </w:rPr>
        <w:t>below</w:t>
      </w:r>
      <w:r>
        <w:rPr>
          <w:rFonts w:hint="default" w:ascii="Arial Regular" w:hAnsi="Arial Regular" w:cs="Arial Regular"/>
          <w:color w:val="000000" w:themeColor="text1"/>
          <w:sz w:val="24"/>
          <w:szCs w:val="24"/>
          <w:lang w:val="de-DE"/>
          <w14:textFill>
            <w14:solidFill>
              <w14:schemeClr w14:val="tx1"/>
            </w14:solidFill>
          </w14:textFill>
        </w:rPr>
        <w:t xml:space="preserve">: </w:t>
      </w:r>
    </w:p>
    <w:p w14:paraId="2CB646AD">
      <w:pPr>
        <w:pStyle w:val="11"/>
        <w:keepNext w:val="0"/>
        <w:keepLines w:val="0"/>
        <w:widowControl/>
        <w:numPr>
          <w:ilvl w:val="0"/>
          <w:numId w:val="5"/>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Interview Questions: </w:t>
      </w:r>
    </w:p>
    <w:p w14:paraId="3B8B8B8A">
      <w:pPr>
        <w:pStyle w:val="11"/>
        <w:keepNext w:val="0"/>
        <w:keepLines w:val="0"/>
        <w:widowControl/>
        <w:suppressLineNumbers w:val="0"/>
        <w:spacing w:before="0" w:beforeAutospacing="1" w:after="0" w:afterAutospacing="1" w:line="360" w:lineRule="auto"/>
        <w:ind w:left="0" w:right="0"/>
        <w:jc w:val="both"/>
        <w:rPr>
          <w:rStyle w:val="12"/>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1. What are the biggest marketing challenges your business currently faces, and how do these affect your business growth?</w:t>
      </w:r>
    </w:p>
    <w:p w14:paraId="5D7DDC6C">
      <w:pPr>
        <w:pStyle w:val="11"/>
        <w:keepNext w:val="0"/>
        <w:keepLines w:val="0"/>
        <w:widowControl/>
        <w:suppressLineNumbers w:val="0"/>
        <w:spacing w:before="0" w:beforeAutospacing="1" w:after="0" w:afterAutospacing="1" w:line="360" w:lineRule="auto"/>
        <w:ind w:left="0" w:right="0"/>
        <w:jc w:val="both"/>
        <w:rPr>
          <w:rStyle w:val="12"/>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2. What factors are most important to you when choosing a marketing agency, and why?</w:t>
      </w:r>
    </w:p>
    <w:p w14:paraId="7474CC2E">
      <w:pPr>
        <w:pStyle w:val="11"/>
        <w:keepNext w:val="0"/>
        <w:keepLines w:val="0"/>
        <w:widowControl/>
        <w:suppressLineNumbers w:val="0"/>
        <w:spacing w:before="0" w:beforeAutospacing="1" w:after="0" w:afterAutospacing="1" w:line="360" w:lineRule="auto"/>
        <w:ind w:left="0" w:right="0"/>
        <w:jc w:val="both"/>
        <w:rPr>
          <w:rStyle w:val="12"/>
          <w:rFonts w:hint="default" w:ascii="Arial Regular" w:hAnsi="Arial Regular" w:cs="Arial Regular"/>
          <w:b w:val="0"/>
          <w:bCs w:val="0"/>
          <w:color w:val="000000" w:themeColor="text1"/>
          <w:sz w:val="24"/>
          <w:szCs w:val="24"/>
          <w:lang w:val="de-DE"/>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3. What are your views on using an AI-powered marketing agency that combines artificial intelligence with human creativity? What would encourage or discourage you from using such a service?</w:t>
      </w:r>
    </w:p>
    <w:p w14:paraId="0650DA9E">
      <w:pPr>
        <w:pStyle w:val="3"/>
        <w:keepNext w:val="0"/>
        <w:keepLines w:val="0"/>
        <w:widowControl/>
        <w:numPr>
          <w:ilvl w:val="0"/>
          <w:numId w:val="5"/>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 w:name="_Toc814303029"/>
      <w:r>
        <w:rPr>
          <w:rFonts w:hint="default" w:ascii="Arial Regular" w:hAnsi="Arial Regular" w:cs="Arial Regular"/>
          <w:color w:val="000000" w:themeColor="text1"/>
          <w:sz w:val="24"/>
          <w:szCs w:val="24"/>
          <w14:textFill>
            <w14:solidFill>
              <w14:schemeClr w14:val="tx1"/>
            </w14:solidFill>
          </w14:textFill>
        </w:rPr>
        <w:t>Interview 1: Education Consultancy Owner</w:t>
      </w:r>
      <w:bookmarkEnd w:id="3"/>
    </w:p>
    <w:p w14:paraId="32213017">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1:</w:t>
      </w:r>
      <w:r>
        <w:rPr>
          <w:rFonts w:hint="default" w:ascii="Arial Regular" w:hAnsi="Arial Regular" w:cs="Arial Regular"/>
          <w:color w:val="000000" w:themeColor="text1"/>
          <w:sz w:val="24"/>
          <w:szCs w:val="24"/>
          <w14:textFill>
            <w14:solidFill>
              <w14:schemeClr w14:val="tx1"/>
            </w14:solidFill>
          </w14:textFill>
        </w:rPr>
        <w:t xml:space="preserve"> The owner identified inconsistent enquiries as the main challenge. Competition is high, while maintaining social media content is difficult. Limited marketing expertise makes paid advertising difficult.</w:t>
      </w:r>
    </w:p>
    <w:p w14:paraId="03D0E4F3">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2:</w:t>
      </w:r>
      <w:r>
        <w:rPr>
          <w:rFonts w:hint="default" w:ascii="Arial Regular" w:hAnsi="Arial Regular" w:cs="Arial Regular"/>
          <w:color w:val="000000" w:themeColor="text1"/>
          <w:sz w:val="24"/>
          <w:szCs w:val="24"/>
          <w14:textFill>
            <w14:solidFill>
              <w14:schemeClr w14:val="tx1"/>
            </w14:solidFill>
          </w14:textFill>
        </w:rPr>
        <w:t xml:space="preserve"> Trust, communication and proven results were most important. The owner wanted sector knowledge and affordable pricing. Clear reports would increase confidence.</w:t>
      </w:r>
    </w:p>
    <w:p w14:paraId="16DB7F8D">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3:</w:t>
      </w:r>
      <w:r>
        <w:rPr>
          <w:rFonts w:hint="default" w:ascii="Arial Regular" w:hAnsi="Arial Regular" w:cs="Arial Regular"/>
          <w:color w:val="000000" w:themeColor="text1"/>
          <w:sz w:val="24"/>
          <w:szCs w:val="24"/>
          <w14:textFill>
            <w14:solidFill>
              <w14:schemeClr w14:val="tx1"/>
            </w14:solidFill>
          </w14:textFill>
        </w:rPr>
        <w:t xml:space="preserve"> The owner viewed AI positively for faster content creation. However, they were concerned about inaccurate or impersonal content. Human review and data protection would encourage adoption and support business growth over time.</w:t>
      </w:r>
    </w:p>
    <w:p w14:paraId="4DB98F50">
      <w:pPr>
        <w:pStyle w:val="3"/>
        <w:keepNext w:val="0"/>
        <w:keepLines w:val="0"/>
        <w:widowControl/>
        <w:numPr>
          <w:ilvl w:val="0"/>
          <w:numId w:val="5"/>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4" w:name="_Toc77726072"/>
      <w:r>
        <w:rPr>
          <w:rFonts w:hint="default" w:ascii="Arial Regular" w:hAnsi="Arial Regular" w:cs="Arial Regular"/>
          <w:color w:val="000000" w:themeColor="text1"/>
          <w:sz w:val="24"/>
          <w:szCs w:val="24"/>
          <w14:textFill>
            <w14:solidFill>
              <w14:schemeClr w14:val="tx1"/>
            </w14:solidFill>
          </w14:textFill>
        </w:rPr>
        <w:t>Interview 2: Boutique Owner</w:t>
      </w:r>
      <w:bookmarkEnd w:id="4"/>
    </w:p>
    <w:p w14:paraId="4FEE60AB">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1:</w:t>
      </w:r>
      <w:r>
        <w:rPr>
          <w:rFonts w:hint="default" w:ascii="Arial Regular" w:hAnsi="Arial Regular" w:cs="Arial Regular"/>
          <w:color w:val="000000" w:themeColor="text1"/>
          <w:sz w:val="24"/>
          <w:szCs w:val="24"/>
          <w14:textFill>
            <w14:solidFill>
              <w14:schemeClr w14:val="tx1"/>
            </w14:solidFill>
          </w14:textFill>
        </w:rPr>
        <w:t xml:space="preserve"> The boutique owner identified attracting customers and improving online visibility as key challenges. Creating fresh content and reaching new audiences is difficult. Uncertainty about paid advertising limits sales growth.</w:t>
      </w:r>
    </w:p>
    <w:p w14:paraId="39DB84A1">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2:</w:t>
      </w:r>
      <w:r>
        <w:rPr>
          <w:rFonts w:hint="default" w:ascii="Arial Regular" w:hAnsi="Arial Regular" w:cs="Arial Regular"/>
          <w:color w:val="000000" w:themeColor="text1"/>
          <w:sz w:val="24"/>
          <w:szCs w:val="24"/>
          <w14:textFill>
            <w14:solidFill>
              <w14:schemeClr w14:val="tx1"/>
            </w14:solidFill>
          </w14:textFill>
        </w:rPr>
        <w:t xml:space="preserve"> Creativity, affordability and communication were the main selection factors. The owner preferred an agency understanding fashion, branding and social media. Clear pricing and previous work would build trust.</w:t>
      </w:r>
    </w:p>
    <w:p w14:paraId="2A9F7353">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3:</w:t>
      </w:r>
      <w:r>
        <w:rPr>
          <w:rFonts w:hint="default" w:ascii="Arial Regular" w:hAnsi="Arial Regular" w:cs="Arial Regular"/>
          <w:color w:val="000000" w:themeColor="text1"/>
          <w:sz w:val="24"/>
          <w:szCs w:val="24"/>
          <w14:textFill>
            <w14:solidFill>
              <w14:schemeClr w14:val="tx1"/>
            </w14:solidFill>
          </w14:textFill>
        </w:rPr>
        <w:t xml:space="preserve"> The owner believed AI could generate content ideas, social posts and advertising concepts. However, human understanding of fashion trends and customer preferences remained important. They preferred AI to support creativity rather than replace it, with affordable packages.</w:t>
      </w:r>
    </w:p>
    <w:p w14:paraId="38969172">
      <w:pPr>
        <w:pStyle w:val="3"/>
        <w:keepNext w:val="0"/>
        <w:keepLines w:val="0"/>
        <w:widowControl/>
        <w:numPr>
          <w:ilvl w:val="0"/>
          <w:numId w:val="5"/>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5" w:name="_Toc672034728"/>
      <w:r>
        <w:rPr>
          <w:rFonts w:hint="default" w:ascii="Arial Regular" w:hAnsi="Arial Regular" w:cs="Arial Regular"/>
          <w:color w:val="000000" w:themeColor="text1"/>
          <w:sz w:val="24"/>
          <w:szCs w:val="24"/>
          <w14:textFill>
            <w14:solidFill>
              <w14:schemeClr w14:val="tx1"/>
            </w14:solidFill>
          </w14:textFill>
        </w:rPr>
        <w:t>Interview 3: Grocery Owner</w:t>
      </w:r>
      <w:bookmarkEnd w:id="5"/>
    </w:p>
    <w:p w14:paraId="6DDB4C6A">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1:</w:t>
      </w:r>
      <w:r>
        <w:rPr>
          <w:rFonts w:hint="default" w:ascii="Arial Regular" w:hAnsi="Arial Regular" w:cs="Arial Regular"/>
          <w:color w:val="000000" w:themeColor="text1"/>
          <w:sz w:val="24"/>
          <w:szCs w:val="24"/>
          <w14:textFill>
            <w14:solidFill>
              <w14:schemeClr w14:val="tx1"/>
            </w14:solidFill>
          </w14:textFill>
        </w:rPr>
        <w:t xml:space="preserve"> The grocery owner highlighted local competition and customer attraction as major challenges. Large supermarkets make differentiation difficult, while limited time restricts social media activity. Opportunities to promote offers may be missed.</w:t>
      </w:r>
    </w:p>
    <w:p w14:paraId="07C4C19A">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2:</w:t>
      </w:r>
      <w:r>
        <w:rPr>
          <w:rFonts w:hint="default" w:ascii="Arial Regular" w:hAnsi="Arial Regular" w:cs="Arial Regular"/>
          <w:color w:val="000000" w:themeColor="text1"/>
          <w:sz w:val="24"/>
          <w:szCs w:val="24"/>
          <w14:textFill>
            <w14:solidFill>
              <w14:schemeClr w14:val="tx1"/>
            </w14:solidFill>
          </w14:textFill>
        </w:rPr>
        <w:t xml:space="preserve"> Affordability, local market knowledge and measurable results were essential. The owner wanted marketing tailored to local customer behaviour. Straightforward communication and transparent pricing were attractive.</w:t>
      </w:r>
    </w:p>
    <w:p w14:paraId="3DB89A61">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Answer 3:</w:t>
      </w:r>
      <w:r>
        <w:rPr>
          <w:rFonts w:hint="default" w:ascii="Arial Regular" w:hAnsi="Arial Regular" w:cs="Arial Regular"/>
          <w:color w:val="000000" w:themeColor="text1"/>
          <w:sz w:val="24"/>
          <w:szCs w:val="24"/>
          <w14:textFill>
            <w14:solidFill>
              <w14:schemeClr w14:val="tx1"/>
            </w14:solidFill>
          </w14:textFill>
        </w:rPr>
        <w:t xml:space="preserve"> The owner saw AI as useful for promotions, customer analysis and social media planning. Nevertheless, they were cautious about relying entirely on technology because local businesses require personal understanding. Human involvement, affordable results and secure information handling would encourage adoption.</w:t>
      </w:r>
    </w:p>
    <w:p w14:paraId="49B08B4E">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color w:val="000000" w:themeColor="text1"/>
          <w:sz w:val="24"/>
          <w:szCs w:val="24"/>
          <w14:textFill>
            <w14:solidFill>
              <w14:schemeClr w14:val="tx1"/>
            </w14:solidFill>
          </w14:textFill>
        </w:rPr>
      </w:pPr>
      <w:bookmarkStart w:id="6" w:name="_Toc1271173923"/>
      <w:r>
        <w:rPr>
          <w:rFonts w:hint="default" w:ascii="Arial Regular" w:hAnsi="Arial Regular" w:cs="Arial Regular"/>
          <w:color w:val="000000" w:themeColor="text1"/>
          <w:sz w:val="24"/>
          <w:szCs w:val="24"/>
          <w14:textFill>
            <w14:solidFill>
              <w14:schemeClr w14:val="tx1"/>
            </w14:solidFill>
          </w14:textFill>
        </w:rPr>
        <w:t>Critical Analysis</w:t>
      </w:r>
      <w:bookmarkEnd w:id="6"/>
    </w:p>
    <w:p w14:paraId="0446AAC4">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The interviews indicate that </w:t>
      </w:r>
      <w:r>
        <w:rPr>
          <w:rStyle w:val="12"/>
          <w:rFonts w:hint="default" w:ascii="Arial Regular" w:hAnsi="Arial Regular" w:cs="Arial Regular"/>
          <w:b w:val="0"/>
          <w:bCs w:val="0"/>
          <w:color w:val="000000" w:themeColor="text1"/>
          <w:sz w:val="24"/>
          <w:szCs w:val="24"/>
          <w14:textFill>
            <w14:solidFill>
              <w14:schemeClr w14:val="tx1"/>
            </w14:solidFill>
          </w14:textFill>
        </w:rPr>
        <w:t>affordability, trust, communication, creativity and measurable results</w:t>
      </w:r>
      <w:r>
        <w:rPr>
          <w:rFonts w:hint="default" w:ascii="Arial Regular" w:hAnsi="Arial Regular" w:cs="Arial Regular"/>
          <w:b w:val="0"/>
          <w:bCs w:val="0"/>
          <w:color w:val="000000" w:themeColor="text1"/>
          <w:sz w:val="24"/>
          <w:szCs w:val="24"/>
          <w14:textFill>
            <w14:solidFill>
              <w14:schemeClr w14:val="tx1"/>
            </w14:solidFill>
          </w14:textFill>
        </w:rPr>
        <w:t xml:space="preserve"> are common priorities across different SME sectors. Marketing challenges vary by business, but limited time, digital expertise and difficulty reaching the right customers appear consistently. The findings support SmartGrowth AI’s proposed </w:t>
      </w:r>
      <w:r>
        <w:rPr>
          <w:rStyle w:val="12"/>
          <w:rFonts w:hint="default" w:ascii="Arial Regular" w:hAnsi="Arial Regular" w:cs="Arial Regular"/>
          <w:b w:val="0"/>
          <w:bCs w:val="0"/>
          <w:color w:val="000000" w:themeColor="text1"/>
          <w:sz w:val="24"/>
          <w:szCs w:val="24"/>
          <w14:textFill>
            <w14:solidFill>
              <w14:schemeClr w14:val="tx1"/>
            </w14:solidFill>
          </w14:textFill>
        </w:rPr>
        <w:t>human-AI integrated model</w:t>
      </w:r>
      <w:r>
        <w:rPr>
          <w:rFonts w:hint="default" w:ascii="Arial Regular" w:hAnsi="Arial Regular" w:cs="Arial Regular"/>
          <w:b w:val="0"/>
          <w:bCs w:val="0"/>
          <w:color w:val="000000" w:themeColor="text1"/>
          <w:sz w:val="24"/>
          <w:szCs w:val="24"/>
          <w14:textFill>
            <w14:solidFill>
              <w14:schemeClr w14:val="tx1"/>
            </w14:solidFill>
          </w14:textFill>
        </w:rPr>
        <w:t>, particularly its personalised approach and moderate pricing. However, concerns surrounding AI accuracy, authenticity and data security demonstrate the need for human oversight and transparent processes.</w:t>
      </w:r>
    </w:p>
    <w:p w14:paraId="21213603">
      <w:pPr>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eastAsia="SimSun" w:cs="Arial Regular"/>
          <w:kern w:val="0"/>
          <w:sz w:val="24"/>
          <w:szCs w:val="24"/>
          <w:lang w:val="en-US" w:eastAsia="zh-CN" w:bidi="ar"/>
        </w:rPr>
        <w:t>The primary research demonstrates that affordability, limited marketing expertise, lack of time, customer acquisition, communication, trust and concerns about AI accuracy are relevant marketing challenges among the SMEs investigated. These findings are broadly consistent with the secondary literature, which identifies capability and resource constraints as barriers to effective digital marketing. However, the primary evidence does not demonstrate that these challenges are representative of all UK service-based SMEs because the sample consists of only 26 survey respondents and three interviewed business owners. The findings should therefore be treated as indicative rather than statistically generalisable. Nevertheless, the consistency between primary and secondary evidence provides sufficient support for SmartGrowth AI to initially target SMEs with limited internal marketing resources, while further customer research should be undertaken before making large-scale investment decisions.</w:t>
      </w:r>
    </w:p>
    <w:p w14:paraId="197F6A8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7 </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Application of Business Frameworks</w:t>
      </w:r>
    </w:p>
    <w:p w14:paraId="315ADEE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frameworks identified in the Literature Review will be applied after the market evidence has been collected. The Business Model Canvas will organise findings into customer segments, value proposition, channels, customer relationships, revenue streams, resources, activities, partnerships and costs (Osterwalder and Pigneur, 2010). Customer research will therefore inform the customer segment and value proposition, while competitor and pricing research will inform revenue streams and cost assumptions.</w:t>
      </w:r>
    </w:p>
    <w:p w14:paraId="18B51705">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Competitive Advantage Theory will be used to compare SmartGrowth AI with existing agencies and identify possible sources of differentiation, particularly affordable pricing, UK market knowledge, AI-enabled efficiency and human expertise (Porter, 1985). Digital marketing and AI literature will then be used to assess whether the proposed services reflect current technological and customer requirements (Chaffey and Ellis-Chadwick, 2022; Davenport et al., 2020; Huang and Rust, 2021).</w:t>
      </w:r>
    </w:p>
    <w:p w14:paraId="10C2982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Finally, the evidence will be combined to assess the proposal's four research questions concerning market opportunity, SME needs, differentiation and commercial feasibility.</w:t>
      </w:r>
    </w:p>
    <w:p w14:paraId="766FEC9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8</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 xml:space="preserve"> Limitations</w:t>
      </w:r>
    </w:p>
    <w:p w14:paraId="24FAA8F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Several limitations may affect the reliability of the investigation. First, access to SME owners and decision-makers may be limited, resulting in a relatively small primary sample. Findings may therefore not represent every UK service-based SME. Second, competitor pricing is not always publicly available, meaning that some comparisons may rely on advertised packages rather than actual negotiated prices.</w:t>
      </w:r>
    </w:p>
    <w:p w14:paraId="4F5838A3">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The research will also rely partly on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 xml:space="preserve">primary and </w:t>
      </w: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secondary data, which may contain different definitions, collection periods or assumptions. Industry reports may use commercial methodologies that cannot be fully examined. In addition, AI and digital marketing are rapidly changing, meaning that findings may become outdated. These limitations will be managed by comparing multiple credible sources, recording publication dates and avoiding unsupported generalisations.</w:t>
      </w:r>
    </w:p>
    <w:p w14:paraId="75C2B163">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4.</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de-DE"/>
          <w14:textFill>
            <w14:solidFill>
              <w14:schemeClr w14:val="tx1"/>
            </w14:solidFill>
          </w14:textFill>
        </w:rPr>
        <w:t>9</w:t>
      </w:r>
      <w:r>
        <w:rPr>
          <w:rFonts w:hint="default" w:ascii="Arial Regular" w:hAnsi="Arial Regular" w:eastAsia="Arial" w:cs="Arial Regular"/>
          <w:b/>
          <w:bCs/>
          <w:i w:val="0"/>
          <w:iCs w:val="0"/>
          <w:caps w:val="0"/>
          <w:color w:val="000000" w:themeColor="text1"/>
          <w:spacing w:val="0"/>
          <w:sz w:val="24"/>
          <w:szCs w:val="24"/>
          <w:shd w:val="clear" w:fill="FFFFFF"/>
          <w:vertAlign w:val="baseline"/>
          <w:lang w:val="en-US"/>
          <w14:textFill>
            <w14:solidFill>
              <w14:schemeClr w14:val="tx1"/>
            </w14:solidFill>
          </w14:textFill>
        </w:rPr>
        <w:t xml:space="preserve"> Ethical Considerations</w:t>
      </w:r>
    </w:p>
    <w:p w14:paraId="439DF4E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Ethical principles will be followed throughout the research. Participants in customer conversations will receive clear information about the purpose of the research and will participate voluntarily. Informed consent will be obtained before collecting responses, and participants will be able to withdraw before their information is incorporated into the analysis. Personal information will be minimised and securely stored, and individuals or businesses will not be identified in the final proposal without permission.</w:t>
      </w:r>
    </w:p>
    <w:p w14:paraId="5C6000E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eastAsia="Arial Regular" w:cs="Arial Regular"/>
          <w:b/>
          <w:bCs/>
          <w:i w:val="0"/>
          <w:iCs w:val="0"/>
          <w:caps w:val="0"/>
          <w:color w:val="000000" w:themeColor="text1"/>
          <w:spacing w:val="0"/>
          <w:sz w:val="24"/>
          <w:szCs w:val="24"/>
          <w:shd w:val="clear" w:fill="FFFFFF"/>
          <w:vertAlign w:val="baseline"/>
          <w14:textFill>
            <w14:solidFill>
              <w14:schemeClr w14:val="tx1"/>
            </w14:solidFill>
          </w14:textFill>
        </w:rPr>
      </w:pPr>
      <w:r>
        <w:rPr>
          <w:rFonts w:hint="default" w:ascii="Arial Regular" w:hAnsi="Arial Regular" w:eastAsia="Arial"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Particular care will be taken with AI-related information. Customer data will not be entered into public AI systems without appropriate safeguards, and confidential commercial information will not be collected unnecessarily. This is important because responsible AI use requires attention to issues including privacy, bias and human oversight (Davenport et al., 2020). The researcher will also recognise personal and confirmation bias by recording evidence systematically and considering findings that challenge the proposed business idea.</w:t>
      </w:r>
    </w:p>
    <w:p w14:paraId="31505ACB">
      <w:pPr>
        <w:pStyle w:val="11"/>
        <w:keepNext w:val="0"/>
        <w:keepLines w:val="0"/>
        <w:widowControl/>
        <w:numPr>
          <w:ilvl w:val="0"/>
          <w:numId w:val="6"/>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firstLine="0" w:firstLineChars="0"/>
        <w:jc w:val="both"/>
        <w:textAlignment w:val="baseline"/>
        <w:rPr>
          <w:rFonts w:hint="default" w:ascii="Arial Regular" w:hAnsi="Arial Regular" w:eastAsia="Arial Regular"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Regular" w:cs="Arial Regular"/>
          <w:b/>
          <w:bCs/>
          <w:i w:val="0"/>
          <w:iCs w:val="0"/>
          <w:caps w:val="0"/>
          <w:color w:val="000000" w:themeColor="text1"/>
          <w:spacing w:val="0"/>
          <w:sz w:val="24"/>
          <w:szCs w:val="24"/>
          <w:shd w:val="clear" w:fill="FFFFFF"/>
          <w:vertAlign w:val="baseline"/>
          <w:lang w:val="de-DE"/>
          <w14:textFill>
            <w14:solidFill>
              <w14:schemeClr w14:val="tx1"/>
            </w14:solidFill>
          </w14:textFill>
        </w:rPr>
        <w:t>Market Opportunity Analysis</w:t>
      </w:r>
    </w:p>
    <w:p w14:paraId="0B716812">
      <w:pPr>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Market opportunity analysis is the systematic assessment of market conditions to determine whether a business opportunity is attractive, feasible and capable of generating value (Kotler and Keller, 2016). For SmartGrowth AI, the opportunity lies in providing affordable, AI-enabled marketing services to UK service-based SMEs needing stronger digital visibility but lacking specialist skills or internal resources. The UK has 5.7 million private-sector businesses, with SMEs representing 99.85% of the business population (Department for Business and Trade, 2025). This creates a customer base. Demand is supported by digital advertising: UK digital advertising expenditure reached £40.5 billion in 2025, increasing 10% year-on-year (IAB UK, 2026). SmartGrowth AI can address this market by combining human creativity with AI-assisted content, advertising, research and product ideation.</w:t>
      </w:r>
    </w:p>
    <w:p w14:paraId="5F0FD001">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Chars="0" w:right="0" w:rightChars="0"/>
        <w:jc w:val="both"/>
        <w:textAlignment w:val="baseline"/>
        <w:rPr>
          <w:rFonts w:hint="default" w:ascii="Arial Regular" w:hAnsi="Arial Regular" w:eastAsia="Arial Regular" w:cs="Arial Regular"/>
          <w:b/>
          <w:bCs/>
          <w:i w:val="0"/>
          <w:iCs w:val="0"/>
          <w:color w:val="000000" w:themeColor="text1"/>
          <w:spacing w:val="0"/>
          <w:sz w:val="24"/>
          <w:szCs w:val="24"/>
          <w:shd w:val="clear" w:fill="FFFFFF"/>
          <w:vertAlign w:val="baseline"/>
          <w:lang w:val="de-DE"/>
          <w14:textFill>
            <w14:solidFill>
              <w14:schemeClr w14:val="tx1"/>
            </w14:solidFill>
          </w14:textFill>
        </w:rPr>
      </w:pPr>
    </w:p>
    <w:p w14:paraId="4C1785F5">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Chars="0" w:right="0" w:rightChars="0"/>
        <w:jc w:val="both"/>
        <w:textAlignment w:val="baseline"/>
        <w:rPr>
          <w:rFonts w:hint="default" w:ascii="Arial Regular" w:hAnsi="Arial Regular" w:eastAsia="Arial Regular"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Arial Regular" w:cs="Arial Regular"/>
          <w:b/>
          <w:bCs/>
          <w:i w:val="0"/>
          <w:iCs w:val="0"/>
          <w:color w:val="000000" w:themeColor="text1"/>
          <w:spacing w:val="0"/>
          <w:sz w:val="24"/>
          <w:szCs w:val="24"/>
          <w:shd w:val="clear" w:fill="FFFFFF"/>
          <w:vertAlign w:val="baseline"/>
          <w:lang w:val="de-DE"/>
          <w14:textFill>
            <w14:solidFill>
              <w14:schemeClr w14:val="tx1"/>
            </w14:solidFill>
          </w14:textFill>
        </w:rPr>
        <w:t>5.1 M</w:t>
      </w:r>
      <w:r>
        <w:rPr>
          <w:rFonts w:hint="default" w:ascii="Arial Regular" w:hAnsi="Arial Regular" w:eastAsia="Arial Regular" w:cs="Arial Regular"/>
          <w:b/>
          <w:bCs/>
          <w:i w:val="0"/>
          <w:iCs w:val="0"/>
          <w:caps w:val="0"/>
          <w:color w:val="000000" w:themeColor="text1"/>
          <w:spacing w:val="0"/>
          <w:sz w:val="24"/>
          <w:szCs w:val="24"/>
          <w:shd w:val="clear" w:fill="FFFFFF"/>
          <w:vertAlign w:val="baseline"/>
          <w:lang w:val="de-DE"/>
          <w14:textFill>
            <w14:solidFill>
              <w14:schemeClr w14:val="tx1"/>
            </w14:solidFill>
          </w14:textFill>
        </w:rPr>
        <w:t xml:space="preserve">arket size and growth trends </w:t>
      </w:r>
    </w:p>
    <w:p w14:paraId="16F2693B">
      <w:pPr>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Market size refers to the total potential demand for a product or service within a defined market, while growth trends indicate how that demand changes over time (Kotler and Keller, 2016). SmartGrowth AI operates within the UK digital marketing and advertising environment, where current indicators demonstrate strong expansion. IAB UK reports that the UK digital advertising market reached £40.5 billion in 2025, representing 10% annual growth and exceeding the pace of UK GDP growth (IAB UK, 2026). Social media advertising increased by 21% to £11.5 billion, while video investment rose 20% to £9.3 billion. Search remained the largest digital advertising format, accounting for 44% of expenditure and reaching £17.9 billion (IAB UK, 2026). These trends support SmartGrowth AI’s service portfolio, particularly Meta advertising, Google advertising, social content and video creation. The market also presents a technological opportunity because AI and automation are becoming increasingly important within advertising workflows, including creative production, audience modelling, campaign optimisation and measurement (IAB UK, 2026). Government research found that 16% of UK businesses used at least one AI technology in 2025, while a further 5% planned future adoption (Department for Science, Innovation and Technology, 2026). Marketing was among the most common current or planned business applications, reported by 72% of relevant businesses. However, 80% neither used nor planned to use AI, indicating substantial room for education and adoption. For SmartGrowth AI, this creates a dual opportunity: delivering digital marketing services while helping SMEs understand and use accessible AI solutions. Overall, evidence indicates a large SME customer pool, expanding digital advertising expenditure and increasing AI relevance. Nevertheless, SmartGrowth AI should monitor technologies, advertising costs, economic conditions and customer adoption because rapid market development can increase competition and alter service expectations. These developments create opportunities for recurring contracts, client relationships and scalable growth in revenue and delivery.</w:t>
      </w:r>
    </w:p>
    <w:p w14:paraId="71F7E20B">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p>
    <w:p w14:paraId="2F981944">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5.2 Market segmentation and customer demographic </w:t>
      </w:r>
    </w:p>
    <w:p w14:paraId="13E5A391">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Market segmentation is the process of dividing a broad market into distinct groups of customers with different needs, characteristics or behaviours (Kotler and Keller, 2016). For SmartGrowth AI, effective segmentation is essential because UK SMEs vary considerably in size, sector, location, resources and marketing maturity. Geographic segmentation can initially focus on SMEs across major UK urban and business centres, with London, Birmingham, Manchester, Leeds and other economically active areas offering attractive concentrations of service businesses. The agency can subsequently expand nationally through remote service delivery. Demographically, the primary organisational segment should comprise micro, small and medium-sized service-based businesses rather than individual consumers. The UK had approximately 5.7 million private-sector businesses at the start of 2025, including 5.64 million small businesses and 38,435 medium-sized businesses (Department for Business and Trade, 2025). This demonstrates the scale of the potential SME market. Psychographic segmentation can identify owners and managers who are growth-oriented, digitally curious and willing to adopt innovative marketing solutions but require affordable external expertise. A further behavioural segment can distinguish businesses according to marketing activity and AI readiness. Early-stage adopters may already use social media, paid advertising or generative AI and therefore require optimisation and integration. Less digitally mature SMEs may need foundational services, education and ongoing support. Sector segmentation should prioritise service industries where digital visibility and lead generation are particularly important, including professional services, hospitality, health and wellbeing, education, property, beauty and personal services. This approach allows SmartGrowth AI to adapt its proposition to specific customer problems rather than offering identical packages to every SME. The core target customer can therefore be described as a UK service-based SME with limited internal marketing capacity, a need for measurable customer acquisition and an interest in cost-effective digital solutions. Company size is also important for pricing: micro-businesses may prefer smaller monthly packages, whereas established SMEs may purchase broader combinations of content, paid media, research and strategic support. Current AI adoption data reinforces the importance of segmentation. In 2025, 14% of micro-businesses and 23% of medium-sized businesses were reported as AI adopters, compared with 16% across businesses overall (Department for Science, Innovation and Technology, 2026). SmartGrowth AI can use these differences to develop tiered services, from basic AI-supported content and social media management to advanced advertising optimisation and market intelligence. Overall, segmentation should remain flexible and evidence-based, allowing SmartGrowth AI to refine its target groups as customer needs, technology adoption and competitive conditions develop. This segmentation also supports differentiated promotional messages. Digitally mature firms can be targeted with performance optimisation and AI integration, while less mature businesses can receive educational content demonstrating practical benefits. Such targeting can improve marketing efficiency, customer relevance and conversion potential. This improves targeting, conversion and resource allocation effectively.</w:t>
      </w:r>
    </w:p>
    <w:p w14:paraId="370CED63">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5.3 Customer pain points, demand and behavior</w:t>
      </w:r>
    </w:p>
    <w:p w14:paraId="3D6C0B6A">
      <w:pPr>
        <w:keepNext w:val="0"/>
        <w:keepLines w:val="0"/>
        <w:widowControl/>
        <w:suppressLineNumbers w:val="0"/>
        <w:spacing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Customer pain points are problems, frustrations or obstacles that customers experience and seek to overcome through a product or service (Osterwalder et al., 2014). For SmartGrowth AI, important SME pain points include limited marketing knowledge, insufficient time, restricted budgets, inconsistent content production and difficulty measuring campaign performance. Small businesses may also struggle to employ specialist staff, making external agency support attractive. Demand is strengthened by digital channels: UK digital advertising expenditure reached £40.5 billion in 2025, while social media spending increased 21% year-on-year (IAB UK, 2026). Customer behaviour is also changing as businesses increasingly consider AI for marketing activities. Government research found marketing was among the most common areas for AI use or planned use, reported by 72% of relevant businesses (Department for Science, Innovation and Technology, 2026). SmartGrowth AI should therefore emphasise convenience, affordability, measurable outcomes and human oversight. Customers are likely to compare providers carefully, seek evidence of return on investment and prefer flexible packages that can scale with business growth. Building trust through transparent communication, reporting and personalised support will be important for converting and retaining SME clients. Clear performance reports can reduce uncertainty and strengthen perceived value, while communication can support customer satisfaction and retention further.</w:t>
      </w:r>
    </w:p>
    <w:p w14:paraId="446515C2">
      <w:pPr>
        <w:keepNext w:val="0"/>
        <w:keepLines w:val="0"/>
        <w:widowControl/>
        <w:suppressLineNumbers w:val="0"/>
        <w:spacing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p>
    <w:p w14:paraId="07843B14">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5.4 Economic and geographic conditions </w:t>
      </w:r>
    </w:p>
    <w:p w14:paraId="3BA779AD">
      <w:pPr>
        <w:keepNext w:val="0"/>
        <w:keepLines w:val="0"/>
        <w:widowControl/>
        <w:suppressLineNumbers w:val="0"/>
        <w:spacing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Economic conditions refer to the wider financial environment influencing business activity, consumer spending, investment and demand, while geographic conditions concern how location affects markets and business operations (Johnson et al., 2017). For SmartGrowth AI, economic conditions can directly affect SME marketing budgets. When costs rise or confidence weakens, smaller businesses may reduce discretionary expenditure, increasing price sensitivity and demand for services that demonstrate clear returns. Conversely, business growth and stronger confidence can encourage greater investment in customer acquisition and digital advertising. The UK digital advertising market provides evidence of continued resilience, reaching £40.5 billion in 2025 and growing 10% year-on-year (IAB UK, 2026). Geographically, SmartGrowth AI can benefit from concentrating early marketing efforts on areas with substantial SME populations and dense service-sector activity, particularly major cities and regional business hubs. However, remote delivery allows the agency to serve SMEs nationally without establishing physical offices across the UK. This reduces geographic barriers and supports scalable growth. Regional differences in competition, business density, income and digital adoption should nevertheless inform future targeting, pricing and promotional decisions. Geographic targeting should therefore combine localised campaigns with online delivery and national digital acquisition strategies. This approach supports efficient national growth without requiring extensive premises and offices.</w:t>
      </w:r>
    </w:p>
    <w:p w14:paraId="7C5B2562">
      <w:pPr>
        <w:keepNext w:val="0"/>
        <w:keepLines w:val="0"/>
        <w:widowControl/>
        <w:suppressLineNumbers w:val="0"/>
        <w:spacing w:line="360" w:lineRule="auto"/>
        <w:jc w:val="both"/>
        <w:rPr>
          <w:rFonts w:hint="default" w:ascii="Arial Regular" w:hAnsi="Arial Regular" w:eastAsia="SimSun" w:cs="Arial Regular"/>
          <w:color w:val="000000" w:themeColor="text1"/>
          <w:kern w:val="0"/>
          <w:sz w:val="24"/>
          <w:szCs w:val="24"/>
          <w:lang w:val="de-DE" w:eastAsia="zh-CN" w:bidi="ar"/>
          <w14:textFill>
            <w14:solidFill>
              <w14:schemeClr w14:val="tx1"/>
            </w14:solidFill>
          </w14:textFill>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76"/>
        <w:gridCol w:w="1390"/>
        <w:gridCol w:w="2956"/>
      </w:tblGrid>
      <w:tr w14:paraId="528EB276">
        <w:tc>
          <w:tcPr>
            <w:tcW w:w="4176" w:type="dxa"/>
            <w:shd w:val="clear" w:color="auto" w:fill="91ABDF" w:themeFill="accent1" w:themeFillTint="99"/>
          </w:tcPr>
          <w:p w14:paraId="2F813BFA">
            <w:pPr>
              <w:widowControl w:val="0"/>
              <w:spacing w:line="360" w:lineRule="auto"/>
              <w:jc w:val="center"/>
              <w:rPr>
                <w:rFonts w:hint="default" w:ascii="Arial Regular" w:hAnsi="Arial Regular" w:cs="Arial Regular"/>
                <w:b/>
                <w:bCs/>
                <w:color w:val="000000" w:themeColor="text1"/>
                <w:sz w:val="24"/>
                <w:szCs w:val="24"/>
                <w:vertAlign w:val="baseline"/>
                <w:lang w:val="de-DE"/>
                <w14:textFill>
                  <w14:solidFill>
                    <w14:schemeClr w14:val="tx1"/>
                  </w14:solidFill>
                </w14:textFill>
              </w:rPr>
            </w:pPr>
            <w:r>
              <w:rPr>
                <w:rFonts w:hint="default" w:ascii="Arial Regular" w:hAnsi="Arial Regular" w:cs="Arial Regular"/>
                <w:b/>
                <w:bCs/>
                <w:color w:val="000000" w:themeColor="text1"/>
                <w:sz w:val="24"/>
                <w:szCs w:val="24"/>
                <w:vertAlign w:val="baseline"/>
                <w:lang w:val="de-DE"/>
                <w14:textFill>
                  <w14:solidFill>
                    <w14:schemeClr w14:val="tx1"/>
                  </w14:solidFill>
                </w14:textFill>
              </w:rPr>
              <w:t>Indicator</w:t>
            </w:r>
          </w:p>
        </w:tc>
        <w:tc>
          <w:tcPr>
            <w:tcW w:w="1390" w:type="dxa"/>
            <w:shd w:val="clear" w:color="auto" w:fill="91ABDF" w:themeFill="accent1" w:themeFillTint="99"/>
          </w:tcPr>
          <w:p w14:paraId="5F33771B">
            <w:pPr>
              <w:widowControl w:val="0"/>
              <w:spacing w:line="360" w:lineRule="auto"/>
              <w:jc w:val="center"/>
              <w:rPr>
                <w:rFonts w:hint="default" w:ascii="Arial Regular" w:hAnsi="Arial Regular" w:cs="Arial Regular"/>
                <w:b/>
                <w:bCs/>
                <w:color w:val="000000" w:themeColor="text1"/>
                <w:sz w:val="24"/>
                <w:szCs w:val="24"/>
                <w:vertAlign w:val="baseline"/>
                <w:lang w:val="de-DE"/>
                <w14:textFill>
                  <w14:solidFill>
                    <w14:schemeClr w14:val="tx1"/>
                  </w14:solidFill>
                </w14:textFill>
              </w:rPr>
            </w:pPr>
            <w:r>
              <w:rPr>
                <w:rFonts w:hint="default" w:ascii="Arial Regular" w:hAnsi="Arial Regular" w:cs="Arial Regular"/>
                <w:b/>
                <w:bCs/>
                <w:color w:val="000000" w:themeColor="text1"/>
                <w:sz w:val="24"/>
                <w:szCs w:val="24"/>
                <w:vertAlign w:val="baseline"/>
                <w:lang w:val="de-DE"/>
                <w14:textFill>
                  <w14:solidFill>
                    <w14:schemeClr w14:val="tx1"/>
                  </w14:solidFill>
                </w14:textFill>
              </w:rPr>
              <w:t>Value</w:t>
            </w:r>
          </w:p>
        </w:tc>
        <w:tc>
          <w:tcPr>
            <w:tcW w:w="2956" w:type="dxa"/>
            <w:shd w:val="clear" w:color="auto" w:fill="91ABDF" w:themeFill="accent1" w:themeFillTint="99"/>
          </w:tcPr>
          <w:p w14:paraId="3CD9CE8E">
            <w:pPr>
              <w:widowControl w:val="0"/>
              <w:spacing w:line="360" w:lineRule="auto"/>
              <w:jc w:val="center"/>
              <w:rPr>
                <w:rFonts w:hint="default" w:ascii="Arial Regular" w:hAnsi="Arial Regular" w:cs="Arial Regular"/>
                <w:b/>
                <w:bCs/>
                <w:color w:val="000000" w:themeColor="text1"/>
                <w:sz w:val="24"/>
                <w:szCs w:val="24"/>
                <w:vertAlign w:val="baseline"/>
                <w:lang w:val="de-DE"/>
                <w14:textFill>
                  <w14:solidFill>
                    <w14:schemeClr w14:val="tx1"/>
                  </w14:solidFill>
                </w14:textFill>
              </w:rPr>
            </w:pPr>
            <w:r>
              <w:rPr>
                <w:rFonts w:hint="default" w:ascii="Arial Regular" w:hAnsi="Arial Regular" w:cs="Arial Regular"/>
                <w:b/>
                <w:bCs/>
                <w:color w:val="000000" w:themeColor="text1"/>
                <w:sz w:val="24"/>
                <w:szCs w:val="24"/>
                <w:vertAlign w:val="baseline"/>
                <w:lang w:val="de-DE"/>
                <w14:textFill>
                  <w14:solidFill>
                    <w14:schemeClr w14:val="tx1"/>
                  </w14:solidFill>
                </w14:textFill>
              </w:rPr>
              <w:t>Source</w:t>
            </w:r>
          </w:p>
        </w:tc>
      </w:tr>
      <w:tr w14:paraId="600EE4F3">
        <w:tc>
          <w:tcPr>
            <w:tcW w:w="4176" w:type="dxa"/>
          </w:tcPr>
          <w:p w14:paraId="786A6B67">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SME Population </w:t>
            </w:r>
          </w:p>
        </w:tc>
        <w:tc>
          <w:tcPr>
            <w:tcW w:w="1390" w:type="dxa"/>
          </w:tcPr>
          <w:p w14:paraId="40695864">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5.68 million</w:t>
            </w:r>
          </w:p>
        </w:tc>
        <w:tc>
          <w:tcPr>
            <w:tcW w:w="2956" w:type="dxa"/>
          </w:tcPr>
          <w:p w14:paraId="2ABEF007">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Department for Business and Trade (2025)</w:t>
            </w:r>
          </w:p>
        </w:tc>
      </w:tr>
      <w:tr w14:paraId="6ABAFCB5">
        <w:tc>
          <w:tcPr>
            <w:tcW w:w="4176" w:type="dxa"/>
          </w:tcPr>
          <w:p w14:paraId="6A2A4C10">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Digital advertising spend </w:t>
            </w:r>
          </w:p>
        </w:tc>
        <w:tc>
          <w:tcPr>
            <w:tcW w:w="1390" w:type="dxa"/>
          </w:tcPr>
          <w:p w14:paraId="6D7B7E17">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£40.5bn</w:t>
            </w:r>
          </w:p>
        </w:tc>
        <w:tc>
          <w:tcPr>
            <w:tcW w:w="2956" w:type="dxa"/>
          </w:tcPr>
          <w:p w14:paraId="62D6C861">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IAB UK (2026)</w:t>
            </w:r>
          </w:p>
        </w:tc>
      </w:tr>
      <w:tr w14:paraId="212F54DF">
        <w:tc>
          <w:tcPr>
            <w:tcW w:w="4176" w:type="dxa"/>
          </w:tcPr>
          <w:p w14:paraId="0F972800">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Digital advertising growth </w:t>
            </w:r>
          </w:p>
        </w:tc>
        <w:tc>
          <w:tcPr>
            <w:tcW w:w="1390" w:type="dxa"/>
          </w:tcPr>
          <w:p w14:paraId="6F39D43B">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10%</w:t>
            </w:r>
          </w:p>
        </w:tc>
        <w:tc>
          <w:tcPr>
            <w:tcW w:w="2956" w:type="dxa"/>
          </w:tcPr>
          <w:p w14:paraId="21D5E516">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IAB UK (2026)</w:t>
            </w:r>
          </w:p>
        </w:tc>
      </w:tr>
      <w:tr w14:paraId="403309E8">
        <w:tc>
          <w:tcPr>
            <w:tcW w:w="4176" w:type="dxa"/>
          </w:tcPr>
          <w:p w14:paraId="2F9F7C63">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AI and automation as defining forces </w:t>
            </w:r>
          </w:p>
        </w:tc>
        <w:tc>
          <w:tcPr>
            <w:tcW w:w="1390" w:type="dxa"/>
          </w:tcPr>
          <w:p w14:paraId="5C31343A">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48%</w:t>
            </w:r>
          </w:p>
        </w:tc>
        <w:tc>
          <w:tcPr>
            <w:tcW w:w="2956" w:type="dxa"/>
          </w:tcPr>
          <w:p w14:paraId="6874680F">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IAB UK (2026)</w:t>
            </w:r>
          </w:p>
        </w:tc>
      </w:tr>
    </w:tbl>
    <w:p w14:paraId="7D325CE4">
      <w:pPr>
        <w:pStyle w:val="4"/>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bookmarkStart w:id="7" w:name="_Toc1452803505"/>
      <w:bookmarkStart w:id="8" w:name="_Toc239077241"/>
      <w:r>
        <w:rPr>
          <w:rFonts w:hint="default" w:ascii="Arial Regular" w:hAnsi="Arial Regular" w:cs="Arial Regular"/>
          <w:b w:val="0"/>
          <w:bCs w:val="0"/>
          <w:color w:val="000000" w:themeColor="text1"/>
          <w:sz w:val="24"/>
          <w:szCs w:val="24"/>
          <w:lang w:val="de-DE"/>
          <w14:textFill>
            <w14:solidFill>
              <w14:schemeClr w14:val="tx1"/>
            </w14:solidFill>
          </w14:textFill>
        </w:rPr>
        <w:t>Figure 2</w:t>
      </w:r>
      <w:r>
        <w:rPr>
          <w:rFonts w:hint="default" w:ascii="Arial Regular" w:hAnsi="Arial Regular" w:cs="Arial Regular"/>
          <w:b w:val="0"/>
          <w:bCs w:val="0"/>
          <w:color w:val="000000" w:themeColor="text1"/>
          <w:sz w:val="24"/>
          <w:szCs w:val="24"/>
          <w14:textFill>
            <w14:solidFill>
              <w14:schemeClr w14:val="tx1"/>
            </w14:solidFill>
          </w14:textFill>
        </w:rPr>
        <w:t xml:space="preserve">: Key Market Opportunity Indicators for </w:t>
      </w:r>
      <w:r>
        <w:rPr>
          <w:rFonts w:hint="default" w:ascii="Arial Regular" w:hAnsi="Arial Regular" w:cs="Arial Regular"/>
          <w:b w:val="0"/>
          <w:bCs w:val="0"/>
          <w:color w:val="000000" w:themeColor="text1"/>
          <w:sz w:val="24"/>
          <w:szCs w:val="24"/>
          <w:lang w:val="de-DE"/>
          <w14:textFill>
            <w14:solidFill>
              <w14:schemeClr w14:val="tx1"/>
            </w14:solidFill>
          </w14:textFill>
        </w:rPr>
        <w:t>SmartGrowth AI</w:t>
      </w:r>
      <w:bookmarkEnd w:id="7"/>
      <w:bookmarkEnd w:id="8"/>
    </w:p>
    <w:p w14:paraId="329D7F86">
      <w:pPr>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(Source: Self-Created using sources listed in the table)</w:t>
      </w:r>
    </w:p>
    <w:p w14:paraId="1DEA7EF9">
      <w:pPr>
        <w:spacing w:line="360" w:lineRule="auto"/>
        <w:jc w:val="both"/>
        <w:rPr>
          <w:rFonts w:hint="default" w:ascii="Arial Regular" w:hAnsi="Arial Regular" w:cs="Arial Regular"/>
          <w:color w:val="000000" w:themeColor="text1"/>
          <w:sz w:val="24"/>
          <w:szCs w:val="24"/>
          <w:lang w:val="de-DE"/>
          <w14:textFill>
            <w14:solidFill>
              <w14:schemeClr w14:val="tx1"/>
            </w14:solidFill>
          </w14:textFill>
        </w:rPr>
      </w:pPr>
    </w:p>
    <w:p w14:paraId="4834AFE2">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 xml:space="preserve">Figure 2 </w:t>
      </w:r>
      <w:r>
        <w:rPr>
          <w:rFonts w:hint="default" w:ascii="Arial Regular" w:hAnsi="Arial Regular" w:cs="Arial Regular"/>
          <w:color w:val="000000" w:themeColor="text1"/>
          <w:sz w:val="24"/>
          <w:szCs w:val="24"/>
          <w14:textFill>
            <w14:solidFill>
              <w14:schemeClr w14:val="tx1"/>
            </w14:solidFill>
          </w14:textFill>
        </w:rPr>
        <w:t>summarizes the key market demand indicators identified in this analysis</w:t>
      </w:r>
      <w:r>
        <w:rPr>
          <w:rFonts w:hint="default" w:ascii="Arial Regular" w:hAnsi="Arial Regular" w:cs="Arial Regular"/>
          <w:color w:val="000000" w:themeColor="text1"/>
          <w:sz w:val="24"/>
          <w:szCs w:val="24"/>
          <w:lang w:val="de-DE"/>
          <w14:textFill>
            <w14:solidFill>
              <w14:schemeClr w14:val="tx1"/>
            </w14:solidFill>
          </w14:textFill>
        </w:rPr>
        <w:t xml:space="preserve">. </w:t>
      </w:r>
    </w:p>
    <w:p w14:paraId="2737BEEB">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Market demand indicators are measurable signals used to assess customer need and market potential (Kotler and Keller, 2016). These key indicators demonstrate SmartGrowth AI’s substantial target market, expanding digital advertising activity and growing relevance of AI-powered marketing solutions.</w:t>
      </w:r>
    </w:p>
    <w:p w14:paraId="61D61B1B">
      <w:pPr>
        <w:keepNext w:val="0"/>
        <w:keepLines w:val="0"/>
        <w:widowControl/>
        <w:suppressLineNumbers w:val="0"/>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 xml:space="preserve">5.5 </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Estimated Market Size for SmartGrowth AI</w:t>
      </w:r>
    </w:p>
    <w:p w14:paraId="7EC577E6">
      <w:pPr>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Estimating market size helps SmartGrowth AI understand the scale of its potential customer base and establish realistic growth expectations. The following table applies a TAM, SAM and SOM approach to identify the total market, serviceable segment and achievable customer base.</w:t>
      </w:r>
    </w:p>
    <w:p w14:paraId="5046195C">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37"/>
        <w:gridCol w:w="4232"/>
        <w:gridCol w:w="2553"/>
      </w:tblGrid>
      <w:tr w14:paraId="5BBC71E9">
        <w:tc>
          <w:tcPr>
            <w:tcW w:w="1737" w:type="dxa"/>
            <w:shd w:val="clear" w:color="auto" w:fill="91ABDF" w:themeFill="accent1" w:themeFillTint="99"/>
          </w:tcPr>
          <w:p w14:paraId="1AF3D150">
            <w:pPr>
              <w:widowControl w:val="0"/>
              <w:spacing w:line="360" w:lineRule="auto"/>
              <w:jc w:val="center"/>
              <w:rPr>
                <w:rFonts w:hint="default" w:ascii="Arial Regular" w:hAnsi="Arial Regular" w:cs="Arial Regular"/>
                <w:b/>
                <w:bCs/>
                <w:color w:val="000000" w:themeColor="text1"/>
                <w:sz w:val="24"/>
                <w:szCs w:val="24"/>
                <w:vertAlign w:val="baseline"/>
                <w:lang w:val="de-DE"/>
                <w14:textFill>
                  <w14:solidFill>
                    <w14:schemeClr w14:val="tx1"/>
                  </w14:solidFill>
                </w14:textFill>
              </w:rPr>
            </w:pPr>
            <w:r>
              <w:rPr>
                <w:rFonts w:hint="default" w:ascii="Arial Regular" w:hAnsi="Arial Regular" w:cs="Arial Regular"/>
                <w:b/>
                <w:bCs/>
                <w:color w:val="000000" w:themeColor="text1"/>
                <w:sz w:val="24"/>
                <w:szCs w:val="24"/>
                <w:vertAlign w:val="baseline"/>
                <w:lang w:val="de-DE"/>
                <w14:textFill>
                  <w14:solidFill>
                    <w14:schemeClr w14:val="tx1"/>
                  </w14:solidFill>
                </w14:textFill>
              </w:rPr>
              <w:t>Market Stage</w:t>
            </w:r>
          </w:p>
        </w:tc>
        <w:tc>
          <w:tcPr>
            <w:tcW w:w="4232" w:type="dxa"/>
            <w:shd w:val="clear" w:color="auto" w:fill="91ABDF" w:themeFill="accent1" w:themeFillTint="99"/>
          </w:tcPr>
          <w:p w14:paraId="7CE819E9">
            <w:pPr>
              <w:widowControl w:val="0"/>
              <w:spacing w:line="360" w:lineRule="auto"/>
              <w:jc w:val="center"/>
              <w:rPr>
                <w:rFonts w:hint="default" w:ascii="Arial Regular" w:hAnsi="Arial Regular" w:cs="Arial Regular"/>
                <w:b/>
                <w:bCs/>
                <w:color w:val="000000" w:themeColor="text1"/>
                <w:sz w:val="24"/>
                <w:szCs w:val="24"/>
                <w:vertAlign w:val="baseline"/>
                <w:lang w:val="de-DE"/>
                <w14:textFill>
                  <w14:solidFill>
                    <w14:schemeClr w14:val="tx1"/>
                  </w14:solidFill>
                </w14:textFill>
              </w:rPr>
            </w:pPr>
            <w:r>
              <w:rPr>
                <w:rFonts w:hint="default" w:ascii="Arial Regular" w:hAnsi="Arial Regular" w:cs="Arial Regular"/>
                <w:b/>
                <w:bCs/>
                <w:color w:val="000000" w:themeColor="text1"/>
                <w:sz w:val="24"/>
                <w:szCs w:val="24"/>
                <w:vertAlign w:val="baseline"/>
                <w:lang w:val="de-DE"/>
                <w14:textFill>
                  <w14:solidFill>
                    <w14:schemeClr w14:val="tx1"/>
                  </w14:solidFill>
                </w14:textFill>
              </w:rPr>
              <w:t>Calculation and Assumption</w:t>
            </w:r>
          </w:p>
        </w:tc>
        <w:tc>
          <w:tcPr>
            <w:tcW w:w="2553" w:type="dxa"/>
            <w:shd w:val="clear" w:color="auto" w:fill="91ABDF" w:themeFill="accent1" w:themeFillTint="99"/>
          </w:tcPr>
          <w:p w14:paraId="6AED7EE3">
            <w:pPr>
              <w:widowControl w:val="0"/>
              <w:spacing w:line="360" w:lineRule="auto"/>
              <w:jc w:val="center"/>
              <w:rPr>
                <w:rFonts w:hint="default" w:ascii="Arial Regular" w:hAnsi="Arial Regular" w:cs="Arial Regular"/>
                <w:b/>
                <w:bCs/>
                <w:color w:val="000000" w:themeColor="text1"/>
                <w:sz w:val="24"/>
                <w:szCs w:val="24"/>
                <w:vertAlign w:val="baseline"/>
                <w:lang w:val="de-DE"/>
                <w14:textFill>
                  <w14:solidFill>
                    <w14:schemeClr w14:val="tx1"/>
                  </w14:solidFill>
                </w14:textFill>
              </w:rPr>
            </w:pPr>
            <w:r>
              <w:rPr>
                <w:rFonts w:hint="default" w:ascii="Arial Regular" w:hAnsi="Arial Regular" w:cs="Arial Regular"/>
                <w:b/>
                <w:bCs/>
                <w:color w:val="000000" w:themeColor="text1"/>
                <w:sz w:val="24"/>
                <w:szCs w:val="24"/>
                <w:vertAlign w:val="baseline"/>
                <w:lang w:val="de-DE"/>
                <w14:textFill>
                  <w14:solidFill>
                    <w14:schemeClr w14:val="tx1"/>
                  </w14:solidFill>
                </w14:textFill>
              </w:rPr>
              <w:t>Estimated People</w:t>
            </w:r>
          </w:p>
        </w:tc>
      </w:tr>
      <w:tr w14:paraId="33AA7B24">
        <w:tc>
          <w:tcPr>
            <w:tcW w:w="1737" w:type="dxa"/>
          </w:tcPr>
          <w:p w14:paraId="783C5A23">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TAM</w:t>
            </w:r>
          </w:p>
        </w:tc>
        <w:tc>
          <w:tcPr>
            <w:tcW w:w="4232" w:type="dxa"/>
          </w:tcPr>
          <w:p w14:paraId="287B85ED">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5,681,930 UK SMEs (Department for Business and Trade, 2025) </w:t>
            </w:r>
          </w:p>
        </w:tc>
        <w:tc>
          <w:tcPr>
            <w:tcW w:w="2553" w:type="dxa"/>
          </w:tcPr>
          <w:p w14:paraId="24D4AAF4">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5,681,930 business</w:t>
            </w:r>
          </w:p>
        </w:tc>
      </w:tr>
      <w:tr w14:paraId="1882E5D2">
        <w:tc>
          <w:tcPr>
            <w:tcW w:w="1737" w:type="dxa"/>
          </w:tcPr>
          <w:p w14:paraId="6DA656A0">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SAM</w:t>
            </w:r>
          </w:p>
        </w:tc>
        <w:tc>
          <w:tcPr>
            <w:tcW w:w="4232" w:type="dxa"/>
          </w:tcPr>
          <w:p w14:paraId="1438B3FB">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819,000 Professional, Scientific and Technical SMEs (Department for Business and Trade, 2025) </w:t>
            </w:r>
          </w:p>
        </w:tc>
        <w:tc>
          <w:tcPr>
            <w:tcW w:w="2553" w:type="dxa"/>
          </w:tcPr>
          <w:p w14:paraId="47ECED15">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819,000 businesses</w:t>
            </w:r>
          </w:p>
        </w:tc>
      </w:tr>
      <w:tr w14:paraId="541B97B8">
        <w:tc>
          <w:tcPr>
            <w:tcW w:w="1737" w:type="dxa"/>
          </w:tcPr>
          <w:p w14:paraId="4F8AAD12">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SOM Year 1</w:t>
            </w:r>
          </w:p>
        </w:tc>
        <w:tc>
          <w:tcPr>
            <w:tcW w:w="4232" w:type="dxa"/>
          </w:tcPr>
          <w:p w14:paraId="725F939F">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20 clients </w:t>
            </w:r>
          </w:p>
        </w:tc>
        <w:tc>
          <w:tcPr>
            <w:tcW w:w="2553" w:type="dxa"/>
          </w:tcPr>
          <w:p w14:paraId="1B090C06">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20 businesses</w:t>
            </w:r>
          </w:p>
        </w:tc>
      </w:tr>
      <w:tr w14:paraId="0D08E82F">
        <w:tc>
          <w:tcPr>
            <w:tcW w:w="1737" w:type="dxa"/>
          </w:tcPr>
          <w:p w14:paraId="36A15CF6">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SOM year 3</w:t>
            </w:r>
          </w:p>
        </w:tc>
        <w:tc>
          <w:tcPr>
            <w:tcW w:w="4232" w:type="dxa"/>
          </w:tcPr>
          <w:p w14:paraId="0AA05E7D">
            <w:pPr>
              <w:widowControl w:val="0"/>
              <w:spacing w:line="360" w:lineRule="auto"/>
              <w:jc w:val="both"/>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 xml:space="preserve">60 projected clients </w:t>
            </w:r>
          </w:p>
        </w:tc>
        <w:tc>
          <w:tcPr>
            <w:tcW w:w="2553" w:type="dxa"/>
          </w:tcPr>
          <w:p w14:paraId="5D6F794E">
            <w:pPr>
              <w:widowControl w:val="0"/>
              <w:spacing w:line="360" w:lineRule="auto"/>
              <w:jc w:val="cente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pPr>
            <w:r>
              <w:rPr>
                <w:rFonts w:hint="default" w:ascii="Arial Regular" w:hAnsi="Arial Regular" w:cs="Arial Regular"/>
                <w:b w:val="0"/>
                <w:bCs w:val="0"/>
                <w:color w:val="000000" w:themeColor="text1"/>
                <w:sz w:val="24"/>
                <w:szCs w:val="24"/>
                <w:vertAlign w:val="baseline"/>
                <w:lang w:val="de-DE"/>
                <w14:textFill>
                  <w14:solidFill>
                    <w14:schemeClr w14:val="tx1"/>
                  </w14:solidFill>
                </w14:textFill>
              </w:rPr>
              <w:t>60 businesses</w:t>
            </w:r>
          </w:p>
        </w:tc>
      </w:tr>
    </w:tbl>
    <w:p w14:paraId="2849667C">
      <w:pPr>
        <w:pStyle w:val="4"/>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bookmarkStart w:id="9" w:name="_Toc239077242"/>
      <w:bookmarkStart w:id="10" w:name="_Toc379442145"/>
      <w:r>
        <w:rPr>
          <w:rFonts w:hint="default" w:ascii="Arial Regular" w:hAnsi="Arial Regular" w:cs="Arial Regular"/>
          <w:b w:val="0"/>
          <w:bCs w:val="0"/>
          <w:color w:val="000000" w:themeColor="text1"/>
          <w:sz w:val="24"/>
          <w:szCs w:val="24"/>
          <w:lang w:val="de-DE"/>
          <w14:textFill>
            <w14:solidFill>
              <w14:schemeClr w14:val="tx1"/>
            </w14:solidFill>
          </w14:textFill>
        </w:rPr>
        <w:t xml:space="preserve">Figure 3: </w:t>
      </w:r>
      <w:r>
        <w:rPr>
          <w:rFonts w:hint="default" w:ascii="Arial Regular" w:hAnsi="Arial Regular" w:cs="Arial Regular"/>
          <w:b w:val="0"/>
          <w:bCs w:val="0"/>
          <w:color w:val="000000" w:themeColor="text1"/>
          <w:sz w:val="24"/>
          <w:szCs w:val="24"/>
          <w14:textFill>
            <w14:solidFill>
              <w14:schemeClr w14:val="tx1"/>
            </w14:solidFill>
          </w14:textFill>
        </w:rPr>
        <w:t xml:space="preserve">Estimated market size for </w:t>
      </w:r>
      <w:r>
        <w:rPr>
          <w:rFonts w:hint="default" w:ascii="Arial Regular" w:hAnsi="Arial Regular" w:cs="Arial Regular"/>
          <w:b w:val="0"/>
          <w:bCs w:val="0"/>
          <w:color w:val="000000" w:themeColor="text1"/>
          <w:sz w:val="24"/>
          <w:szCs w:val="24"/>
          <w:lang w:val="de-DE"/>
          <w14:textFill>
            <w14:solidFill>
              <w14:schemeClr w14:val="tx1"/>
            </w14:solidFill>
          </w14:textFill>
        </w:rPr>
        <w:t>SmartGrowth AI</w:t>
      </w:r>
      <w:bookmarkEnd w:id="9"/>
      <w:bookmarkEnd w:id="10"/>
    </w:p>
    <w:p w14:paraId="18D5B245">
      <w:pPr>
        <w:spacing w:line="360" w:lineRule="auto"/>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(Source: Self-created using </w:t>
      </w:r>
      <w:r>
        <w:rPr>
          <w:rFonts w:hint="default" w:ascii="Arial Regular" w:hAnsi="Arial Regular" w:cs="Arial Regular"/>
          <w:b w:val="0"/>
          <w:bCs w:val="0"/>
          <w:color w:val="000000" w:themeColor="text1"/>
          <w:sz w:val="24"/>
          <w:szCs w:val="24"/>
          <w:lang w:val="de-DE"/>
          <w14:textFill>
            <w14:solidFill>
              <w14:schemeClr w14:val="tx1"/>
            </w14:solidFill>
          </w14:textFill>
        </w:rPr>
        <w:t>the above mentioned sources)</w:t>
      </w:r>
    </w:p>
    <w:p w14:paraId="4920B157">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 estimates indicate that SmartGrowth AI operates within a substantial potential market, while its initial SOM remains deliberately small and achievable. This supports a gradual growth strategy, allowing the agency to build its reputation, client relationships and operational capacity before expanding further.</w:t>
      </w:r>
    </w:p>
    <w:p w14:paraId="12B2E531">
      <w:pPr>
        <w:pStyle w:val="2"/>
        <w:keepNext w:val="0"/>
        <w:keepLines w:val="0"/>
        <w:widowControl/>
        <w:numPr>
          <w:ilvl w:val="0"/>
          <w:numId w:val="7"/>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11" w:name="_Toc1405183072"/>
      <w:r>
        <w:rPr>
          <w:rFonts w:hint="default" w:ascii="Arial Regular" w:hAnsi="Arial Regular" w:cs="Arial Regular"/>
          <w:b/>
          <w:bCs/>
          <w:color w:val="000000" w:themeColor="text1"/>
          <w:sz w:val="24"/>
          <w:szCs w:val="24"/>
          <w14:textFill>
            <w14:solidFill>
              <w14:schemeClr w14:val="tx1"/>
            </w14:solidFill>
          </w14:textFill>
        </w:rPr>
        <w:t>Competitive Environment Analysis</w:t>
      </w:r>
      <w:bookmarkEnd w:id="11"/>
    </w:p>
    <w:p w14:paraId="07EB0864">
      <w:pPr>
        <w:pStyle w:val="4"/>
        <w:keepNext w:val="0"/>
        <w:keepLines w:val="0"/>
        <w:widowControl/>
        <w:suppressLineNumbers w:val="0"/>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bookmarkStart w:id="12" w:name="_Toc1034225045"/>
      <w:r>
        <w:rPr>
          <w:rFonts w:hint="default" w:ascii="Arial Regular" w:hAnsi="Arial Regular" w:cs="Arial Regular"/>
          <w:b/>
          <w:bCs/>
          <w:color w:val="000000" w:themeColor="text1"/>
          <w:sz w:val="24"/>
          <w:szCs w:val="24"/>
          <w:lang w:val="de-DE"/>
          <w14:textFill>
            <w14:solidFill>
              <w14:schemeClr w14:val="tx1"/>
            </w14:solidFill>
          </w14:textFill>
        </w:rPr>
        <w:t xml:space="preserve">6.1 </w:t>
      </w:r>
      <w:r>
        <w:rPr>
          <w:rFonts w:hint="default" w:ascii="Arial Regular" w:hAnsi="Arial Regular" w:cs="Arial Regular"/>
          <w:b/>
          <w:bCs/>
          <w:color w:val="000000" w:themeColor="text1"/>
          <w:sz w:val="24"/>
          <w:szCs w:val="24"/>
          <w14:textFill>
            <w14:solidFill>
              <w14:schemeClr w14:val="tx1"/>
            </w14:solidFill>
          </w14:textFill>
        </w:rPr>
        <w:t>Scope, Frameworks and Competitive Sets</w:t>
      </w:r>
      <w:bookmarkEnd w:id="12"/>
    </w:p>
    <w:p w14:paraId="586BB9AC">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Competitive environment analysis examines conditions affecting a business and its ability to achieve advantage (Porter, 2008).</w:t>
      </w:r>
    </w:p>
    <w:p w14:paraId="18EC7F1B">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The Business:</w:t>
      </w:r>
      <w:r>
        <w:rPr>
          <w:rFonts w:hint="default" w:ascii="Arial Regular" w:hAnsi="Arial Regular" w:cs="Arial Regular"/>
          <w:b w:val="0"/>
          <w:bCs w:val="0"/>
          <w:color w:val="000000" w:themeColor="text1"/>
          <w:sz w:val="24"/>
          <w:szCs w:val="24"/>
          <w14:textFill>
            <w14:solidFill>
              <w14:schemeClr w14:val="tx1"/>
            </w14:solidFill>
          </w14:textFill>
        </w:rPr>
        <w:t xml:space="preserve"> SmartGrowth AI provides AI-powered marketing services for UK SMEs.</w:t>
      </w:r>
    </w:p>
    <w:p w14:paraId="55F170CB">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Customer groups:</w:t>
      </w:r>
      <w:r>
        <w:rPr>
          <w:rFonts w:hint="default" w:ascii="Arial Regular" w:hAnsi="Arial Regular" w:cs="Arial Regular"/>
          <w:b w:val="0"/>
          <w:bCs w:val="0"/>
          <w:color w:val="000000" w:themeColor="text1"/>
          <w:sz w:val="24"/>
          <w:szCs w:val="24"/>
          <w14:textFill>
            <w14:solidFill>
              <w14:schemeClr w14:val="tx1"/>
            </w14:solidFill>
          </w14:textFill>
        </w:rPr>
        <w:t xml:space="preserve"> Micro, small and medium-sized service businesses seeking marketing support.</w:t>
      </w:r>
    </w:p>
    <w:p w14:paraId="262AEEA3">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Geography:</w:t>
      </w:r>
      <w:r>
        <w:rPr>
          <w:rFonts w:hint="default" w:ascii="Arial Regular" w:hAnsi="Arial Regular" w:cs="Arial Regular"/>
          <w:b w:val="0"/>
          <w:bCs w:val="0"/>
          <w:color w:val="000000" w:themeColor="text1"/>
          <w:sz w:val="24"/>
          <w:szCs w:val="24"/>
          <w14:textFill>
            <w14:solidFill>
              <w14:schemeClr w14:val="tx1"/>
            </w14:solidFill>
          </w14:textFill>
        </w:rPr>
        <w:t xml:space="preserve"> London and business centres, with national expansion through remote delivery.</w:t>
      </w:r>
    </w:p>
    <w:p w14:paraId="1E76BF01">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Channel:</w:t>
      </w:r>
      <w:r>
        <w:rPr>
          <w:rFonts w:hint="default" w:ascii="Arial Regular" w:hAnsi="Arial Regular" w:cs="Arial Regular"/>
          <w:b w:val="0"/>
          <w:bCs w:val="0"/>
          <w:color w:val="000000" w:themeColor="text1"/>
          <w:sz w:val="24"/>
          <w:szCs w:val="24"/>
          <w14:textFill>
            <w14:solidFill>
              <w14:schemeClr w14:val="tx1"/>
            </w14:solidFill>
          </w14:textFill>
        </w:rPr>
        <w:t xml:space="preserve"> Website, social media, email, referrals and direct sales.</w:t>
      </w:r>
    </w:p>
    <w:p w14:paraId="1071F3D2">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Direct competitors:</w:t>
      </w:r>
      <w:r>
        <w:rPr>
          <w:rFonts w:hint="default" w:ascii="Arial Regular" w:hAnsi="Arial Regular" w:cs="Arial Regular"/>
          <w:b w:val="0"/>
          <w:bCs w:val="0"/>
          <w:color w:val="000000" w:themeColor="text1"/>
          <w:sz w:val="24"/>
          <w:szCs w:val="24"/>
          <w14:textFill>
            <w14:solidFill>
              <w14:schemeClr w14:val="tx1"/>
            </w14:solidFill>
          </w14:textFill>
        </w:rPr>
        <w:t xml:space="preserve"> Jellyfish, Hallam and Croud.</w:t>
      </w:r>
    </w:p>
    <w:p w14:paraId="2F2931AF">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Indirect competitors:</w:t>
      </w:r>
      <w:r>
        <w:rPr>
          <w:rFonts w:hint="default" w:ascii="Arial Regular" w:hAnsi="Arial Regular" w:cs="Arial Regular"/>
          <w:b w:val="0"/>
          <w:bCs w:val="0"/>
          <w:color w:val="000000" w:themeColor="text1"/>
          <w:sz w:val="24"/>
          <w:szCs w:val="24"/>
          <w14:textFill>
            <w14:solidFill>
              <w14:schemeClr w14:val="tx1"/>
            </w14:solidFill>
          </w14:textFill>
        </w:rPr>
        <w:t xml:space="preserve"> Freelancers, in-house marketing teams and consultants.</w:t>
      </w:r>
    </w:p>
    <w:p w14:paraId="34F34E93">
      <w:pPr>
        <w:pStyle w:val="11"/>
        <w:keepNext w:val="0"/>
        <w:keepLines w:val="0"/>
        <w:widowControl/>
        <w:numPr>
          <w:ilvl w:val="0"/>
          <w:numId w:val="8"/>
        </w:numPr>
        <w:suppressLineNumbers w:val="0"/>
        <w:spacing w:before="0" w:beforeAutospacing="1" w:after="0" w:afterAutospacing="1" w:line="360" w:lineRule="auto"/>
        <w:ind w:left="420" w:leftChars="0" w:right="0" w:hanging="420" w:firstLineChars="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b w:val="0"/>
          <w:bCs w:val="0"/>
          <w:color w:val="000000" w:themeColor="text1"/>
          <w:sz w:val="24"/>
          <w:szCs w:val="24"/>
          <w14:textFill>
            <w14:solidFill>
              <w14:schemeClr w14:val="tx1"/>
            </w14:solidFill>
          </w14:textFill>
        </w:rPr>
        <w:t>Alternative:</w:t>
      </w:r>
      <w:r>
        <w:rPr>
          <w:rFonts w:hint="default" w:ascii="Arial Regular" w:hAnsi="Arial Regular" w:cs="Arial Regular"/>
          <w:b w:val="0"/>
          <w:bCs w:val="0"/>
          <w:color w:val="000000" w:themeColor="text1"/>
          <w:sz w:val="24"/>
          <w:szCs w:val="24"/>
          <w14:textFill>
            <w14:solidFill>
              <w14:schemeClr w14:val="tx1"/>
            </w14:solidFill>
          </w14:textFill>
        </w:rPr>
        <w:t xml:space="preserve"> DIY marketing using platforms and AI tools.</w:t>
      </w:r>
    </w:p>
    <w:p w14:paraId="0452A75B">
      <w:pPr>
        <w:pStyle w:val="4"/>
        <w:keepNext w:val="0"/>
        <w:keepLines w:val="0"/>
        <w:widowControl/>
        <w:suppressLineNumbers w:val="0"/>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bookmarkStart w:id="13" w:name="_Toc487692497"/>
      <w:r>
        <w:rPr>
          <w:rFonts w:hint="default" w:ascii="Arial Regular" w:hAnsi="Arial Regular" w:cs="Arial Regular"/>
          <w:b/>
          <w:bCs/>
          <w:color w:val="000000" w:themeColor="text1"/>
          <w:sz w:val="24"/>
          <w:szCs w:val="24"/>
          <w:lang w:val="de-DE"/>
          <w14:textFill>
            <w14:solidFill>
              <w14:schemeClr w14:val="tx1"/>
            </w14:solidFill>
          </w14:textFill>
        </w:rPr>
        <w:t xml:space="preserve">6.2 </w:t>
      </w:r>
      <w:r>
        <w:rPr>
          <w:rFonts w:hint="default" w:ascii="Arial Regular" w:hAnsi="Arial Regular" w:cs="Arial Regular"/>
          <w:b/>
          <w:bCs/>
          <w:color w:val="000000" w:themeColor="text1"/>
          <w:sz w:val="24"/>
          <w:szCs w:val="24"/>
          <w14:textFill>
            <w14:solidFill>
              <w14:schemeClr w14:val="tx1"/>
            </w14:solidFill>
          </w14:textFill>
        </w:rPr>
        <w:t>Key Success Factors</w:t>
      </w:r>
      <w:bookmarkEnd w:id="13"/>
    </w:p>
    <w:p w14:paraId="7A2C02F3">
      <w:pPr>
        <w:pStyle w:val="11"/>
        <w:keepNext w:val="0"/>
        <w:keepLines w:val="0"/>
        <w:widowControl/>
        <w:suppressLineNumbers w:val="0"/>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1. Accessible location and convenience:</w:t>
      </w:r>
      <w:r>
        <w:rPr>
          <w:rFonts w:hint="default" w:ascii="Arial Regular" w:hAnsi="Arial Regular" w:cs="Arial Regular"/>
          <w:color w:val="000000" w:themeColor="text1"/>
          <w:sz w:val="24"/>
          <w:szCs w:val="24"/>
          <w14:textFill>
            <w14:solidFill>
              <w14:schemeClr w14:val="tx1"/>
            </w14:solidFill>
          </w14:textFill>
        </w:rPr>
        <w:t xml:space="preserve"> Online delivery provides access without geographic restrictions.</w:t>
      </w:r>
      <w:r>
        <w:rPr>
          <w:rFonts w:hint="default" w:ascii="Arial Regular" w:hAnsi="Arial Regular" w:cs="Arial Regular"/>
          <w:color w:val="000000" w:themeColor="text1"/>
          <w:sz w:val="24"/>
          <w:szCs w:val="24"/>
          <w14:textFill>
            <w14:solidFill>
              <w14:schemeClr w14:val="tx1"/>
            </w14:solidFill>
          </w14:textFill>
        </w:rPr>
        <w:br w:type="textWrapping"/>
      </w:r>
      <w:r>
        <w:rPr>
          <w:rStyle w:val="12"/>
          <w:rFonts w:hint="default" w:ascii="Arial Regular" w:hAnsi="Arial Regular" w:cs="Arial Regular"/>
          <w:color w:val="000000" w:themeColor="text1"/>
          <w:sz w:val="24"/>
          <w:szCs w:val="24"/>
          <w14:textFill>
            <w14:solidFill>
              <w14:schemeClr w14:val="tx1"/>
            </w14:solidFill>
          </w14:textFill>
        </w:rPr>
        <w:t>2. Co-working infrastructure you can rely on:</w:t>
      </w:r>
      <w:r>
        <w:rPr>
          <w:rFonts w:hint="default" w:ascii="Arial Regular" w:hAnsi="Arial Regular" w:cs="Arial Regular"/>
          <w:color w:val="000000" w:themeColor="text1"/>
          <w:sz w:val="24"/>
          <w:szCs w:val="24"/>
          <w14:textFill>
            <w14:solidFill>
              <w14:schemeClr w14:val="tx1"/>
            </w14:solidFill>
          </w14:textFill>
        </w:rPr>
        <w:t xml:space="preserve"> Reliable systems and secure platforms support service.</w:t>
      </w:r>
      <w:r>
        <w:rPr>
          <w:rFonts w:hint="default" w:ascii="Arial Regular" w:hAnsi="Arial Regular" w:cs="Arial Regular"/>
          <w:color w:val="000000" w:themeColor="text1"/>
          <w:sz w:val="24"/>
          <w:szCs w:val="24"/>
          <w14:textFill>
            <w14:solidFill>
              <w14:schemeClr w14:val="tx1"/>
            </w14:solidFill>
          </w14:textFill>
        </w:rPr>
        <w:br w:type="textWrapping"/>
      </w:r>
      <w:r>
        <w:rPr>
          <w:rStyle w:val="12"/>
          <w:rFonts w:hint="default" w:ascii="Arial Regular" w:hAnsi="Arial Regular" w:cs="Arial Regular"/>
          <w:color w:val="000000" w:themeColor="text1"/>
          <w:sz w:val="24"/>
          <w:szCs w:val="24"/>
          <w14:textFill>
            <w14:solidFill>
              <w14:schemeClr w14:val="tx1"/>
            </w14:solidFill>
          </w14:textFill>
        </w:rPr>
        <w:t>3. Trust, Safety and Regulatory Compliance:</w:t>
      </w:r>
      <w:r>
        <w:rPr>
          <w:rFonts w:hint="default" w:ascii="Arial Regular" w:hAnsi="Arial Regular" w:cs="Arial Regular"/>
          <w:color w:val="000000" w:themeColor="text1"/>
          <w:sz w:val="24"/>
          <w:szCs w:val="24"/>
          <w14:textFill>
            <w14:solidFill>
              <w14:schemeClr w14:val="tx1"/>
            </w14:solidFill>
          </w14:textFill>
        </w:rPr>
        <w:t xml:space="preserve"> Data protection, advertising standards and AI use build confidence (ICO, 2025).</w:t>
      </w:r>
      <w:r>
        <w:rPr>
          <w:rFonts w:hint="default" w:ascii="Arial Regular" w:hAnsi="Arial Regular" w:cs="Arial Regular"/>
          <w:color w:val="000000" w:themeColor="text1"/>
          <w:sz w:val="24"/>
          <w:szCs w:val="24"/>
          <w14:textFill>
            <w14:solidFill>
              <w14:schemeClr w14:val="tx1"/>
            </w14:solidFill>
          </w14:textFill>
        </w:rPr>
        <w:br w:type="textWrapping"/>
      </w:r>
      <w:r>
        <w:rPr>
          <w:rStyle w:val="12"/>
          <w:rFonts w:hint="default" w:ascii="Arial Regular" w:hAnsi="Arial Regular" w:cs="Arial Regular"/>
          <w:color w:val="000000" w:themeColor="text1"/>
          <w:sz w:val="24"/>
          <w:szCs w:val="24"/>
          <w14:textFill>
            <w14:solidFill>
              <w14:schemeClr w14:val="tx1"/>
            </w14:solidFill>
          </w14:textFill>
        </w:rPr>
        <w:t>4. Quality and price-value balance:</w:t>
      </w:r>
      <w:r>
        <w:rPr>
          <w:rFonts w:hint="default" w:ascii="Arial Regular" w:hAnsi="Arial Regular" w:cs="Arial Regular"/>
          <w:color w:val="000000" w:themeColor="text1"/>
          <w:sz w:val="24"/>
          <w:szCs w:val="24"/>
          <w14:textFill>
            <w14:solidFill>
              <w14:schemeClr w14:val="tx1"/>
            </w14:solidFill>
          </w14:textFill>
        </w:rPr>
        <w:t xml:space="preserve"> Services must deliver measurable outcomes.</w:t>
      </w:r>
      <w:r>
        <w:rPr>
          <w:rFonts w:hint="default" w:ascii="Arial Regular" w:hAnsi="Arial Regular" w:cs="Arial Regular"/>
          <w:color w:val="000000" w:themeColor="text1"/>
          <w:sz w:val="24"/>
          <w:szCs w:val="24"/>
          <w14:textFill>
            <w14:solidFill>
              <w14:schemeClr w14:val="tx1"/>
            </w14:solidFill>
          </w14:textFill>
        </w:rPr>
        <w:br w:type="textWrapping"/>
      </w:r>
      <w:r>
        <w:rPr>
          <w:rStyle w:val="12"/>
          <w:rFonts w:hint="default" w:ascii="Arial Regular" w:hAnsi="Arial Regular" w:cs="Arial Regular"/>
          <w:color w:val="000000" w:themeColor="text1"/>
          <w:sz w:val="24"/>
          <w:szCs w:val="24"/>
          <w14:textFill>
            <w14:solidFill>
              <w14:schemeClr w14:val="tx1"/>
            </w14:solidFill>
          </w14:textFill>
        </w:rPr>
        <w:t>5. An integrated experience:</w:t>
      </w:r>
      <w:r>
        <w:rPr>
          <w:rFonts w:hint="default" w:ascii="Arial Regular" w:hAnsi="Arial Regular" w:cs="Arial Regular"/>
          <w:color w:val="000000" w:themeColor="text1"/>
          <w:sz w:val="24"/>
          <w:szCs w:val="24"/>
          <w14:textFill>
            <w14:solidFill>
              <w14:schemeClr w14:val="tx1"/>
            </w14:solidFill>
          </w14:textFill>
        </w:rPr>
        <w:t xml:space="preserve"> Combining human creativity, AI and personalised support differentiates SmartGrowth AI.</w:t>
      </w:r>
    </w:p>
    <w:p w14:paraId="4F6E37EC">
      <w:pPr>
        <w:pStyle w:val="3"/>
        <w:keepNext w:val="0"/>
        <w:keepLines w:val="0"/>
        <w:widowControl/>
        <w:suppressLineNumbers w:val="0"/>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bookmarkStart w:id="14" w:name="_Toc1850200127"/>
      <w:r>
        <w:rPr>
          <w:rFonts w:hint="default" w:ascii="Arial Regular" w:hAnsi="Arial Regular" w:cs="Arial Regular"/>
          <w:b/>
          <w:bCs/>
          <w:color w:val="000000" w:themeColor="text1"/>
          <w:sz w:val="24"/>
          <w:szCs w:val="24"/>
          <w:lang w:val="de-DE"/>
          <w14:textFill>
            <w14:solidFill>
              <w14:schemeClr w14:val="tx1"/>
            </w14:solidFill>
          </w14:textFill>
        </w:rPr>
        <w:t xml:space="preserve">6.3 </w:t>
      </w:r>
      <w:r>
        <w:rPr>
          <w:rFonts w:hint="default" w:ascii="Arial Regular" w:hAnsi="Arial Regular" w:cs="Arial Regular"/>
          <w:b/>
          <w:bCs/>
          <w:color w:val="000000" w:themeColor="text1"/>
          <w:sz w:val="24"/>
          <w:szCs w:val="24"/>
          <w14:textFill>
            <w14:solidFill>
              <w14:schemeClr w14:val="tx1"/>
            </w14:solidFill>
          </w14:textFill>
        </w:rPr>
        <w:t>Main Competitors and Positioning</w:t>
      </w:r>
      <w:bookmarkEnd w:id="14"/>
    </w:p>
    <w:p w14:paraId="32A6822E">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Competitive positioning compares rivals’ offerings and target markets to identify relative advantage (Porter, 2008).</w:t>
      </w:r>
    </w:p>
    <w:tbl>
      <w:tblPr>
        <w:tblStyle w:val="6"/>
        <w:tblW w:w="8361"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fixed"/>
        <w:tblCellMar>
          <w:top w:w="0" w:type="dxa"/>
          <w:left w:w="0" w:type="dxa"/>
          <w:bottom w:w="0" w:type="dxa"/>
          <w:right w:w="0" w:type="dxa"/>
        </w:tblCellMar>
      </w:tblPr>
      <w:tblGrid>
        <w:gridCol w:w="1259"/>
        <w:gridCol w:w="1031"/>
        <w:gridCol w:w="1372"/>
        <w:gridCol w:w="1102"/>
        <w:gridCol w:w="1085"/>
        <w:gridCol w:w="1191"/>
        <w:gridCol w:w="1321"/>
      </w:tblGrid>
      <w:tr w14:paraId="7B293C91">
        <w:trPr>
          <w:trHeight w:val="420" w:hRule="atLeast"/>
        </w:trPr>
        <w:tc>
          <w:tcPr>
            <w:tcW w:w="1259"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0F8BBB1">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Competitor</w:t>
            </w:r>
          </w:p>
        </w:tc>
        <w:tc>
          <w:tcPr>
            <w:tcW w:w="103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5ABD7093">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Type and location</w:t>
            </w:r>
          </w:p>
        </w:tc>
        <w:tc>
          <w:tcPr>
            <w:tcW w:w="1372"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61BE33E">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Services and target customer</w:t>
            </w:r>
          </w:p>
        </w:tc>
        <w:tc>
          <w:tcPr>
            <w:tcW w:w="1102"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1C83BB23">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Indicative price</w:t>
            </w:r>
          </w:p>
        </w:tc>
        <w:tc>
          <w:tcPr>
            <w:tcW w:w="1085"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F3AB412">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Facilities</w:t>
            </w:r>
          </w:p>
        </w:tc>
        <w:tc>
          <w:tcPr>
            <w:tcW w:w="119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7A1DB359">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Main strengths</w:t>
            </w:r>
          </w:p>
        </w:tc>
        <w:tc>
          <w:tcPr>
            <w:tcW w:w="132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bottom w:w="30" w:type="dxa"/>
            </w:tcMar>
            <w:vAlign w:val="bottom"/>
          </w:tcPr>
          <w:p w14:paraId="628850F4">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ind w:left="0" w:right="0"/>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Weakness relative to SmartGrowth AI</w:t>
            </w:r>
          </w:p>
        </w:tc>
      </w:tr>
      <w:tr w14:paraId="4193DA10">
        <w:trPr>
          <w:trHeight w:val="420" w:hRule="atLeast"/>
        </w:trPr>
        <w:tc>
          <w:tcPr>
            <w:tcW w:w="1259"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35349B39">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Jellyfish</w:t>
            </w:r>
          </w:p>
        </w:tc>
        <w:tc>
          <w:tcPr>
            <w:tcW w:w="10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14E12DC">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Global integrated digital agency; London and global offices</w:t>
            </w:r>
          </w:p>
        </w:tc>
        <w:tc>
          <w:tcPr>
            <w:tcW w:w="137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9F416D7">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Media, creative, data, SEO, paid search/social and AI; mainly progressive brands and organisations</w:t>
            </w:r>
          </w:p>
        </w:tc>
        <w:tc>
          <w:tcPr>
            <w:tcW w:w="110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0E2676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£900–£2,600 monthly packages publicly listed</w:t>
            </w:r>
          </w:p>
        </w:tc>
        <w:tc>
          <w:tcPr>
            <w:tcW w:w="108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D2687EA">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AI tools, analytics, media technology and creative production</w:t>
            </w:r>
          </w:p>
        </w:tc>
        <w:tc>
          <w:tcPr>
            <w:tcW w:w="119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3B1A09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Strong global scale, technology, AI and integrated expertise (Jellyfish, 2026)</w:t>
            </w:r>
          </w:p>
        </w:tc>
        <w:tc>
          <w:tcPr>
            <w:tcW w:w="1321"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1FD37414">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Potentially less focused on affordable, personalised support for smaller UK service-based SMEs.</w:t>
            </w:r>
          </w:p>
        </w:tc>
      </w:tr>
      <w:tr w14:paraId="72AF7C3C">
        <w:trPr>
          <w:trHeight w:val="420" w:hRule="atLeast"/>
        </w:trPr>
        <w:tc>
          <w:tcPr>
            <w:tcW w:w="1259"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26A44452">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Hallam</w:t>
            </w:r>
          </w:p>
        </w:tc>
        <w:tc>
          <w:tcPr>
            <w:tcW w:w="10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C2DD83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UK digital marketing agency; London and Nottingham</w:t>
            </w:r>
          </w:p>
        </w:tc>
        <w:tc>
          <w:tcPr>
            <w:tcW w:w="137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E935E96">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Digital strategy, paid media, organic search, content, creative, web, analytics and AI; B2B and professional-service brands</w:t>
            </w:r>
          </w:p>
        </w:tc>
        <w:tc>
          <w:tcPr>
            <w:tcW w:w="110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ED28BD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Quote-based; no standard public rate identified</w:t>
            </w:r>
          </w:p>
        </w:tc>
        <w:tc>
          <w:tcPr>
            <w:tcW w:w="108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C99F72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Strategy, technology, data, creative and web capabilities</w:t>
            </w:r>
          </w:p>
        </w:tc>
        <w:tc>
          <w:tcPr>
            <w:tcW w:w="119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C9CF624">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Strategic expertise, integrated services and B2B specialisation (Hallam, 2026)</w:t>
            </w:r>
          </w:p>
        </w:tc>
        <w:tc>
          <w:tcPr>
            <w:tcW w:w="1321"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5BE5F23D">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Broader agency model may be less specialised around AI-first, moderate-priced SME packages.</w:t>
            </w:r>
          </w:p>
        </w:tc>
      </w:tr>
      <w:tr w14:paraId="39A2FB73">
        <w:trPr>
          <w:trHeight w:val="420" w:hRule="atLeast"/>
        </w:trPr>
        <w:tc>
          <w:tcPr>
            <w:tcW w:w="1259"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269C10F2">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Croud</w:t>
            </w:r>
          </w:p>
        </w:tc>
        <w:tc>
          <w:tcPr>
            <w:tcW w:w="10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16C4E9A">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Global independent media, creative and data agency; London and international markets</w:t>
            </w:r>
          </w:p>
        </w:tc>
        <w:tc>
          <w:tcPr>
            <w:tcW w:w="137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ABB343A">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Strategy, media, social, creative, data, SEO and commerce; ambitious brands</w:t>
            </w:r>
          </w:p>
        </w:tc>
        <w:tc>
          <w:tcPr>
            <w:tcW w:w="110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C53BD7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Quote-based; no standard public rate identified</w:t>
            </w:r>
          </w:p>
        </w:tc>
        <w:tc>
          <w:tcPr>
            <w:tcW w:w="108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5992CF9">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CroudOS, 600+ digital experts and 2,900+ on-demand specialists</w:t>
            </w:r>
          </w:p>
        </w:tc>
        <w:tc>
          <w:tcPr>
            <w:tcW w:w="119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F65071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Global talent, advanced data, technology and scalable delivery (Croud, 2026)</w:t>
            </w:r>
          </w:p>
        </w:tc>
        <w:tc>
          <w:tcPr>
            <w:tcW w:w="1321"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77E1B7CA">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Scale and complexity may make its proposition less accessible to smaller SMEs seeking close, personalised support.</w:t>
            </w:r>
          </w:p>
        </w:tc>
      </w:tr>
    </w:tbl>
    <w:p w14:paraId="30319D66">
      <w:pPr>
        <w:pStyle w:val="4"/>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bookmarkStart w:id="15" w:name="_Toc750325929"/>
      <w:bookmarkStart w:id="16" w:name="_Toc239077246"/>
      <w:r>
        <w:rPr>
          <w:rFonts w:hint="default" w:ascii="Arial Regular" w:hAnsi="Arial Regular" w:cs="Arial Regular"/>
          <w:b w:val="0"/>
          <w:bCs w:val="0"/>
          <w:color w:val="000000" w:themeColor="text1"/>
          <w:sz w:val="24"/>
          <w:szCs w:val="24"/>
          <w:lang w:val="de-DE"/>
          <w14:textFill>
            <w14:solidFill>
              <w14:schemeClr w14:val="tx1"/>
            </w14:solidFill>
          </w14:textFill>
        </w:rPr>
        <w:t xml:space="preserve">Figure 4: </w:t>
      </w:r>
      <w:r>
        <w:rPr>
          <w:rFonts w:hint="default" w:ascii="Arial Regular" w:hAnsi="Arial Regular" w:cs="Arial Regular"/>
          <w:b w:val="0"/>
          <w:bCs w:val="0"/>
          <w:color w:val="000000" w:themeColor="text1"/>
          <w:sz w:val="24"/>
          <w:szCs w:val="24"/>
          <w14:textFill>
            <w14:solidFill>
              <w14:schemeClr w14:val="tx1"/>
            </w14:solidFill>
          </w14:textFill>
        </w:rPr>
        <w:t>Direct and indirect competitor comparison</w:t>
      </w:r>
      <w:bookmarkEnd w:id="15"/>
      <w:bookmarkEnd w:id="16"/>
    </w:p>
    <w:p w14:paraId="104F0EBB">
      <w:pPr>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(Source: Self-created using competitor websites and directory listings)</w:t>
      </w:r>
    </w:p>
    <w:p w14:paraId="19458126">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p>
    <w:p w14:paraId="66050418">
      <w:pPr>
        <w:keepNext w:val="0"/>
        <w:keepLines w:val="0"/>
        <w:widowControl/>
        <w:suppressLineNumbers w:val="0"/>
        <w:spacing w:line="360" w:lineRule="auto"/>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SmartGrowth AI can position itself between large agencies and freelancers by combining human creativity, AI-enabled delivery, affordable pricing and personalised SME-focused support. This differentiation supports a clear and strongly differentiated competitive position in the UK SME market.</w:t>
      </w:r>
    </w:p>
    <w:p w14:paraId="21505792">
      <w:pPr>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p>
    <w:p w14:paraId="5BABE02A">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Chars="0" w:right="0" w:rightChars="0"/>
        <w:jc w:val="both"/>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6.4 Competitor Analysis </w:t>
      </w:r>
    </w:p>
    <w:p w14:paraId="642AEB9E">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r>
        <w:rPr>
          <w:rFonts w:hint="default" w:ascii="Arial Regular" w:hAnsi="Arial Regular" w:eastAsia="SimSun" w:cs="Arial Regular"/>
          <w:kern w:val="0"/>
          <w:sz w:val="24"/>
          <w:szCs w:val="24"/>
          <w:lang w:val="en-US" w:eastAsia="zh-CN" w:bidi="ar"/>
        </w:rPr>
        <w:t>SmartGrowth AI will compete with established marketing agencies such as Jellyfish, Hallam and Croud, which provide integrated marketing, creative, media, SEO, data and technology services. These competitors already use advanced technology and AI alongside human expertise, meaning that AI adoption alone is unlikely to provide a sustainable competitive advantage (Jellyfish, 2026; Hallam, 2026; Croud, 2026).</w:t>
      </w:r>
    </w:p>
    <w:p w14:paraId="2B21A894">
      <w:pPr>
        <w:keepNext w:val="0"/>
        <w:keepLines w:val="0"/>
        <w:widowControl/>
        <w:suppressLineNumbers w:val="0"/>
        <w:spacing w:line="360" w:lineRule="auto"/>
        <w:jc w:val="both"/>
        <w:rPr>
          <w:rFonts w:hint="default" w:ascii="Arial Regular" w:hAnsi="Arial Regular" w:eastAsia="SimSun" w:cs="Arial Regular"/>
          <w:kern w:val="0"/>
          <w:sz w:val="24"/>
          <w:szCs w:val="24"/>
          <w:lang w:val="de-DE" w:eastAsia="zh-CN" w:bidi="ar"/>
        </w:rPr>
      </w:pPr>
    </w:p>
    <w:tbl>
      <w:tblPr>
        <w:tblStyle w:val="6"/>
        <w:tblW w:w="8396"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fixed"/>
        <w:tblCellMar>
          <w:top w:w="0" w:type="dxa"/>
          <w:left w:w="0" w:type="dxa"/>
          <w:bottom w:w="0" w:type="dxa"/>
          <w:right w:w="0" w:type="dxa"/>
        </w:tblCellMar>
      </w:tblPr>
      <w:tblGrid>
        <w:gridCol w:w="2421"/>
        <w:gridCol w:w="1642"/>
        <w:gridCol w:w="1581"/>
        <w:gridCol w:w="1547"/>
        <w:gridCol w:w="1205"/>
      </w:tblGrid>
      <w:tr w14:paraId="5C4C5844">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566C56CA">
            <w:pPr>
              <w:keepNext w:val="0"/>
              <w:keepLines w:val="0"/>
              <w:widowControl/>
              <w:suppressLineNumbers w:val="0"/>
              <w:bidi w:val="0"/>
              <w:spacing w:line="360" w:lineRule="auto"/>
              <w:jc w:val="center"/>
              <w:textAlignment w:val="bottom"/>
              <w:rPr>
                <w:rFonts w:hint="default" w:ascii="Arial Regular" w:hAnsi="Arial Regular" w:cs="Arial Regular"/>
                <w:b/>
                <w:bCs/>
                <w:sz w:val="24"/>
                <w:szCs w:val="24"/>
              </w:rPr>
            </w:pPr>
            <w:r>
              <w:rPr>
                <w:rFonts w:hint="default" w:ascii="Arial Regular" w:hAnsi="Arial Regular" w:eastAsia="SimSun" w:cs="Arial Regular"/>
                <w:b/>
                <w:bCs/>
                <w:kern w:val="0"/>
                <w:sz w:val="24"/>
                <w:szCs w:val="24"/>
                <w:lang w:val="en-US" w:eastAsia="zh-CN" w:bidi="ar"/>
              </w:rPr>
              <w:t>Criteria</w:t>
            </w:r>
          </w:p>
        </w:tc>
        <w:tc>
          <w:tcPr>
            <w:tcW w:w="1609"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057BC058">
            <w:pPr>
              <w:keepNext w:val="0"/>
              <w:keepLines w:val="0"/>
              <w:widowControl/>
              <w:suppressLineNumbers w:val="0"/>
              <w:bidi w:val="0"/>
              <w:spacing w:line="360" w:lineRule="auto"/>
              <w:jc w:val="center"/>
              <w:textAlignment w:val="bottom"/>
              <w:rPr>
                <w:rFonts w:hint="default" w:ascii="Arial Regular" w:hAnsi="Arial Regular" w:cs="Arial Regular"/>
                <w:b/>
                <w:bCs/>
                <w:sz w:val="24"/>
                <w:szCs w:val="24"/>
              </w:rPr>
            </w:pPr>
            <w:r>
              <w:rPr>
                <w:rFonts w:hint="default" w:ascii="Arial Regular" w:hAnsi="Arial Regular" w:eastAsia="SimSun" w:cs="Arial Regular"/>
                <w:b/>
                <w:bCs/>
                <w:kern w:val="0"/>
                <w:sz w:val="24"/>
                <w:szCs w:val="24"/>
                <w:lang w:val="en-US" w:eastAsia="zh-CN" w:bidi="ar"/>
              </w:rPr>
              <w:t>SmartGrowth AI</w:t>
            </w:r>
          </w:p>
        </w:tc>
        <w:tc>
          <w:tcPr>
            <w:tcW w:w="1550"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00768E67">
            <w:pPr>
              <w:keepNext w:val="0"/>
              <w:keepLines w:val="0"/>
              <w:widowControl/>
              <w:suppressLineNumbers w:val="0"/>
              <w:bidi w:val="0"/>
              <w:spacing w:line="360" w:lineRule="auto"/>
              <w:jc w:val="center"/>
              <w:textAlignment w:val="bottom"/>
              <w:rPr>
                <w:rFonts w:hint="default" w:ascii="Arial Regular" w:hAnsi="Arial Regular" w:cs="Arial Regular"/>
                <w:b/>
                <w:bCs/>
                <w:sz w:val="24"/>
                <w:szCs w:val="24"/>
              </w:rPr>
            </w:pPr>
            <w:r>
              <w:rPr>
                <w:rFonts w:hint="default" w:ascii="Arial Regular" w:hAnsi="Arial Regular" w:eastAsia="SimSun" w:cs="Arial Regular"/>
                <w:b/>
                <w:bCs/>
                <w:kern w:val="0"/>
                <w:sz w:val="24"/>
                <w:szCs w:val="24"/>
                <w:lang w:val="en-US" w:eastAsia="zh-CN" w:bidi="ar"/>
              </w:rPr>
              <w:t>Jellyfish</w:t>
            </w:r>
          </w:p>
        </w:tc>
        <w:tc>
          <w:tcPr>
            <w:tcW w:w="1516"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2A5DDE51">
            <w:pPr>
              <w:keepNext w:val="0"/>
              <w:keepLines w:val="0"/>
              <w:widowControl/>
              <w:suppressLineNumbers w:val="0"/>
              <w:bidi w:val="0"/>
              <w:spacing w:line="360" w:lineRule="auto"/>
              <w:jc w:val="center"/>
              <w:textAlignment w:val="bottom"/>
              <w:rPr>
                <w:rFonts w:hint="default" w:ascii="Arial Regular" w:hAnsi="Arial Regular" w:cs="Arial Regular"/>
                <w:b/>
                <w:bCs/>
                <w:sz w:val="24"/>
                <w:szCs w:val="24"/>
              </w:rPr>
            </w:pPr>
            <w:r>
              <w:rPr>
                <w:rFonts w:hint="default" w:ascii="Arial Regular" w:hAnsi="Arial Regular" w:eastAsia="SimSun" w:cs="Arial Regular"/>
                <w:b/>
                <w:bCs/>
                <w:kern w:val="0"/>
                <w:sz w:val="24"/>
                <w:szCs w:val="24"/>
                <w:lang w:val="en-US" w:eastAsia="zh-CN" w:bidi="ar"/>
              </w:rPr>
              <w:t>Hallam</w:t>
            </w:r>
          </w:p>
        </w:tc>
        <w:tc>
          <w:tcPr>
            <w:tcW w:w="118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7CFF3D8">
            <w:pPr>
              <w:keepNext w:val="0"/>
              <w:keepLines w:val="0"/>
              <w:widowControl/>
              <w:suppressLineNumbers w:val="0"/>
              <w:bidi w:val="0"/>
              <w:spacing w:line="360" w:lineRule="auto"/>
              <w:jc w:val="center"/>
              <w:textAlignment w:val="bottom"/>
              <w:rPr>
                <w:rFonts w:hint="default" w:ascii="Arial Regular" w:hAnsi="Arial Regular" w:cs="Arial Regular"/>
                <w:b/>
                <w:bCs/>
                <w:sz w:val="24"/>
                <w:szCs w:val="24"/>
              </w:rPr>
            </w:pPr>
            <w:r>
              <w:rPr>
                <w:rFonts w:hint="default" w:ascii="Arial Regular" w:hAnsi="Arial Regular" w:eastAsia="SimSun" w:cs="Arial Regular"/>
                <w:b/>
                <w:bCs/>
                <w:kern w:val="0"/>
                <w:sz w:val="24"/>
                <w:szCs w:val="24"/>
                <w:lang w:val="en-US" w:eastAsia="zh-CN" w:bidi="ar"/>
              </w:rPr>
              <w:t>Croud</w:t>
            </w:r>
          </w:p>
        </w:tc>
      </w:tr>
      <w:tr w14:paraId="71E832F5">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A722D92">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Primary focus</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49DB946">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UK service-based SMEs</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C6C40D0">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Progressive and established brands</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81ED1C4">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B2B brands and businesses</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21790C35">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Global and ambitious brands</w:t>
            </w:r>
          </w:p>
        </w:tc>
      </w:tr>
      <w:tr w14:paraId="445340F8">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11288530">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AI integration</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E3D5FD3">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5AF2529">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Very high</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E6F4179">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120EADF">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r>
      <w:tr w14:paraId="172F0ECF">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B1E6728">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Human creativity</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389AF2E">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DCB5E91">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Very high</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4449EB3">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39FABE1">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r>
      <w:tr w14:paraId="64B1216A">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7377B25C">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SME specialisation</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5CFAF1C">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8B65419">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Moderate</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0C2271E">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Moderate</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ACA2DEF">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Moderate</w:t>
            </w:r>
          </w:p>
        </w:tc>
      </w:tr>
      <w:tr w14:paraId="4276702C">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144CB30">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Personalised support</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8D5D177">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36FA7A9">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Moderate</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87847E2">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DE1AE87">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Moderate</w:t>
            </w:r>
          </w:p>
        </w:tc>
      </w:tr>
      <w:tr w14:paraId="4D97D984">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2638F4D0">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Integrated marketing services</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E08588B">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DFFAB67">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Very high</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8C3B907">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Very high</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3DA6C8D">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Very high</w:t>
            </w:r>
          </w:p>
        </w:tc>
      </w:tr>
      <w:tr w14:paraId="759C93EE">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0BB03FC6">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Pricing position</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5350A0A">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Moderate/accessible</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F5CEC12">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Premium</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059FAE9">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Not publicly disclosed</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C90CEF6">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Premium</w:t>
            </w:r>
          </w:p>
        </w:tc>
      </w:tr>
      <w:tr w14:paraId="1EFDF748">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73C42368">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Strategic consultancy</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D12086B">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4090616">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6167B8A">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Very high</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2C33AF0">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High</w:t>
            </w:r>
          </w:p>
        </w:tc>
      </w:tr>
      <w:tr w14:paraId="60495370">
        <w:trPr>
          <w:trHeight w:val="420" w:hRule="atLeast"/>
        </w:trPr>
        <w:tc>
          <w:tcPr>
            <w:tcW w:w="2373"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21DA12A8">
            <w:pPr>
              <w:keepNext w:val="0"/>
              <w:keepLines w:val="0"/>
              <w:widowControl/>
              <w:suppressLineNumbers w:val="0"/>
              <w:bidi w:val="0"/>
              <w:spacing w:line="360" w:lineRule="auto"/>
              <w:jc w:val="left"/>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Key differentiation</w:t>
            </w:r>
          </w:p>
        </w:tc>
        <w:tc>
          <w:tcPr>
            <w:tcW w:w="16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FAAB67D">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AI + human creativity + UK SME focus</w:t>
            </w:r>
          </w:p>
        </w:tc>
        <w:tc>
          <w:tcPr>
            <w:tcW w:w="155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0FD00CF">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Global scale, technology and AI</w:t>
            </w:r>
          </w:p>
        </w:tc>
        <w:tc>
          <w:tcPr>
            <w:tcW w:w="1516"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AA9F57A">
            <w:pPr>
              <w:keepNext w:val="0"/>
              <w:keepLines w:val="0"/>
              <w:widowControl/>
              <w:suppressLineNumbers w:val="0"/>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B2B strategy, creativity, data and performance</w:t>
            </w:r>
          </w:p>
        </w:tc>
        <w:tc>
          <w:tcPr>
            <w:tcW w:w="1181"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4DB6AA1B">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center"/>
              <w:textAlignment w:val="bottom"/>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Data, technology and global specialist network</w:t>
            </w:r>
          </w:p>
        </w:tc>
      </w:tr>
    </w:tbl>
    <w:p w14:paraId="6198382B">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Chars="0" w:right="0" w:rightChars="0"/>
        <w:jc w:val="cente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pPr>
    </w:p>
    <w:p w14:paraId="5F58B606">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Chars="0" w:right="0" w:rightChars="0"/>
        <w:jc w:val="cente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Figure 5: Competitor Analysis of SmartGrowth AI with Jellyfish, Hallam, and Croud</w:t>
      </w:r>
    </w:p>
    <w:p w14:paraId="10297E48">
      <w:pPr>
        <w:keepNext w:val="0"/>
        <w:keepLines w:val="0"/>
        <w:widowControl/>
        <w:suppressLineNumbers w:val="0"/>
        <w:spacing w:line="360" w:lineRule="auto"/>
        <w:jc w:val="cente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t>(Source: Learner’s a</w:t>
      </w:r>
      <w:r>
        <w:rPr>
          <w:rFonts w:hint="default" w:ascii="Arial Regular" w:hAnsi="Arial Regular" w:eastAsia="SimSun" w:cs="Arial Regular"/>
          <w:b w:val="0"/>
          <w:bCs w:val="0"/>
          <w:kern w:val="0"/>
          <w:sz w:val="24"/>
          <w:szCs w:val="24"/>
          <w:lang w:val="en-US" w:eastAsia="zh-CN" w:bidi="ar"/>
        </w:rPr>
        <w:t>nalysis based on company information from Jellyfish (2026), Hallam (2026) and Croud (2026</w:t>
      </w:r>
      <w:r>
        <w:rPr>
          <w:rFonts w:hint="default" w:ascii="Arial Regular" w:hAnsi="Arial Regular" w:eastAsia="SimSun" w:cs="Arial Regular"/>
          <w:b w:val="0"/>
          <w:bCs w:val="0"/>
          <w:kern w:val="0"/>
          <w:sz w:val="24"/>
          <w:szCs w:val="24"/>
          <w:lang w:val="de-DE" w:eastAsia="zh-CN" w:bidi="ar"/>
        </w:rPr>
        <w:t>))</w:t>
      </w:r>
    </w:p>
    <w:p w14:paraId="0662B062">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Chars="0" w:right="0" w:rightChars="0"/>
        <w:jc w:val="both"/>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Critical Analysis</w:t>
      </w:r>
    </w:p>
    <w:p w14:paraId="275C51FE">
      <w:pPr>
        <w:keepNext w:val="0"/>
        <w:keepLines w:val="0"/>
        <w:widowControl/>
        <w:suppressLineNumbers w:val="0"/>
        <w:spacing w:line="360" w:lineRule="auto"/>
        <w:jc w:val="both"/>
        <w:rPr>
          <w:rFonts w:hint="default" w:ascii="Arial Regular" w:hAnsi="Arial Regular" w:eastAsia="SimSun" w:cs="Arial Regular"/>
          <w:b w:val="0"/>
          <w:bCs w:val="0"/>
          <w:kern w:val="0"/>
          <w:sz w:val="24"/>
          <w:szCs w:val="24"/>
          <w:lang w:val="en-US" w:eastAsia="zh-CN" w:bidi="ar"/>
        </w:rPr>
      </w:pPr>
      <w:r>
        <w:rPr>
          <w:rFonts w:hint="default" w:ascii="Arial Regular" w:hAnsi="Arial Regular" w:eastAsia="SimSun" w:cs="Arial Regular"/>
          <w:b w:val="0"/>
          <w:bCs w:val="0"/>
          <w:kern w:val="0"/>
          <w:sz w:val="24"/>
          <w:szCs w:val="24"/>
          <w:lang w:val="en-US" w:eastAsia="zh-CN" w:bidi="ar"/>
        </w:rPr>
        <w:t xml:space="preserve">The comparison shows that SmartGrowth AI cannot rely on AI technology alone because established competitors already integrate AI, data and advanced technologies into their marketing services. Jellyfish, for example, combines human creativity with AI-enabled marketing solutions, while Hallam combines strategy, creativity, technology and data for B2B clients (Jellyfish, 2026; Hallam, 2026). Croud similarly combines media, creative, data and proprietary technology through a global specialist network (Croud, 2026). Therefore, SmartGrowth AI's competitive opportunity should focus on a clearly defined niche: </w:t>
      </w:r>
      <w:r>
        <w:rPr>
          <w:rStyle w:val="12"/>
          <w:rFonts w:hint="default" w:ascii="Arial Regular" w:hAnsi="Arial Regular" w:eastAsia="SimSun" w:cs="Arial Regular"/>
          <w:b w:val="0"/>
          <w:bCs w:val="0"/>
          <w:kern w:val="0"/>
          <w:sz w:val="24"/>
          <w:szCs w:val="24"/>
          <w:lang w:val="en-US" w:eastAsia="zh-CN" w:bidi="ar"/>
        </w:rPr>
        <w:t>UK service-based SMEs requiring personalised, AI-enabled marketing support at a more accessible price point</w:t>
      </w:r>
      <w:r>
        <w:rPr>
          <w:rFonts w:hint="default" w:ascii="Arial Regular" w:hAnsi="Arial Regular" w:eastAsia="SimSun" w:cs="Arial Regular"/>
          <w:b w:val="0"/>
          <w:bCs w:val="0"/>
          <w:kern w:val="0"/>
          <w:sz w:val="24"/>
          <w:szCs w:val="24"/>
          <w:lang w:val="en-US" w:eastAsia="zh-CN" w:bidi="ar"/>
        </w:rPr>
        <w:t>. This positioning could allow the business to occupy a focused space between individual freelancers and larger, more complex agencies. However, SmartGrowth AI will need to demonstrate measurable client outcomes, build a strong reputation and maintain service quality to compete effectively with established agencies.</w:t>
      </w:r>
    </w:p>
    <w:p w14:paraId="560B8814">
      <w:pPr>
        <w:keepNext w:val="0"/>
        <w:keepLines w:val="0"/>
        <w:widowControl/>
        <w:suppressLineNumbers w:val="0"/>
        <w:spacing w:line="360" w:lineRule="auto"/>
        <w:jc w:val="both"/>
        <w:rPr>
          <w:rFonts w:hint="default" w:ascii="Arial Regular" w:hAnsi="Arial Regular" w:eastAsia="SimSun" w:cs="Arial Regular"/>
          <w:b w:val="0"/>
          <w:bCs w:val="0"/>
          <w:kern w:val="0"/>
          <w:sz w:val="24"/>
          <w:szCs w:val="24"/>
          <w:lang w:val="de-DE" w:eastAsia="zh-CN" w:bidi="ar"/>
        </w:rPr>
      </w:pPr>
    </w:p>
    <w:p w14:paraId="58C37B3C">
      <w:pPr>
        <w:pStyle w:val="11"/>
        <w:keepNext w:val="0"/>
        <w:keepLines w:val="0"/>
        <w:widowControl/>
        <w:numPr>
          <w:ilvl w:val="0"/>
          <w:numId w:val="9"/>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425" w:leftChars="0" w:right="0" w:rightChars="0" w:hanging="425" w:firstLineChars="0"/>
        <w:jc w:val="both"/>
        <w:rPr>
          <w:rFonts w:hint="default" w:ascii="Arial Regular" w:hAnsi="Arial Regular" w:cs="Arial Regular"/>
          <w:b/>
          <w:bCs/>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Competitive Environment and Strategic Analysis</w:t>
      </w:r>
    </w:p>
    <w:p w14:paraId="7A8E6475">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Chars="0" w:right="0" w:rightChars="0"/>
        <w:jc w:val="both"/>
        <w:rPr>
          <w:rFonts w:hint="default" w:ascii="Arial Regular" w:hAnsi="Arial Regular" w:cs="Arial Regular"/>
          <w:b/>
          <w:bCs/>
          <w:i w:val="0"/>
          <w:iC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olor w:val="000000" w:themeColor="text1"/>
          <w:spacing w:val="0"/>
          <w:sz w:val="24"/>
          <w:szCs w:val="24"/>
          <w:shd w:val="clear" w:fill="FFFFFF"/>
          <w:lang w:val="de-DE"/>
          <w14:textFill>
            <w14:solidFill>
              <w14:schemeClr w14:val="tx1"/>
            </w14:solidFill>
          </w14:textFill>
        </w:rPr>
        <w:t>7.1 C</w:t>
      </w:r>
      <w:r>
        <w:rPr>
          <w:rFonts w:hint="default" w:ascii="Arial Regular" w:hAnsi="Arial Regular" w:cs="Arial Regular"/>
          <w:b/>
          <w:bCs/>
          <w:i w:val="0"/>
          <w:iCs w:val="0"/>
          <w:color w:val="000000" w:themeColor="text1"/>
          <w:spacing w:val="0"/>
          <w:sz w:val="24"/>
          <w:szCs w:val="24"/>
          <w:shd w:val="clear" w:fill="FFFFFF"/>
          <w14:textFill>
            <w14:solidFill>
              <w14:schemeClr w14:val="tx1"/>
            </w14:solidFill>
          </w14:textFill>
        </w:rPr>
        <w:t xml:space="preserve">ompetitor </w:t>
      </w:r>
      <w:r>
        <w:rPr>
          <w:rFonts w:hint="default" w:ascii="Arial Regular" w:hAnsi="Arial Regular" w:cs="Arial Regular"/>
          <w:b/>
          <w:bCs/>
          <w:i w:val="0"/>
          <w:iCs w:val="0"/>
          <w:color w:val="000000" w:themeColor="text1"/>
          <w:spacing w:val="0"/>
          <w:sz w:val="24"/>
          <w:szCs w:val="24"/>
          <w:shd w:val="clear" w:fill="FFFFFF"/>
          <w:lang w:val="de-DE"/>
          <w14:textFill>
            <w14:solidFill>
              <w14:schemeClr w14:val="tx1"/>
            </w14:solidFill>
          </w14:textFill>
        </w:rPr>
        <w:t>S</w:t>
      </w:r>
      <w:r>
        <w:rPr>
          <w:rFonts w:hint="default" w:ascii="Arial Regular" w:hAnsi="Arial Regular" w:cs="Arial Regular"/>
          <w:b/>
          <w:bCs/>
          <w:i w:val="0"/>
          <w:iCs w:val="0"/>
          <w:color w:val="000000" w:themeColor="text1"/>
          <w:spacing w:val="0"/>
          <w:sz w:val="24"/>
          <w:szCs w:val="24"/>
          <w:shd w:val="clear" w:fill="FFFFFF"/>
          <w14:textFill>
            <w14:solidFill>
              <w14:schemeClr w14:val="tx1"/>
            </w14:solidFill>
          </w14:textFill>
        </w:rPr>
        <w:t xml:space="preserve">earch </w:t>
      </w:r>
      <w:r>
        <w:rPr>
          <w:rFonts w:hint="default" w:ascii="Arial Regular" w:hAnsi="Arial Regular" w:cs="Arial Regular"/>
          <w:b/>
          <w:bCs/>
          <w:i w:val="0"/>
          <w:iCs w:val="0"/>
          <w:color w:val="000000" w:themeColor="text1"/>
          <w:spacing w:val="0"/>
          <w:sz w:val="24"/>
          <w:szCs w:val="24"/>
          <w:shd w:val="clear" w:fill="FFFFFF"/>
          <w:lang w:val="de-DE"/>
          <w14:textFill>
            <w14:solidFill>
              <w14:schemeClr w14:val="tx1"/>
            </w14:solidFill>
          </w14:textFill>
        </w:rPr>
        <w:t>P</w:t>
      </w:r>
      <w:r>
        <w:rPr>
          <w:rFonts w:hint="default" w:ascii="Arial Regular" w:hAnsi="Arial Regular" w:cs="Arial Regular"/>
          <w:b/>
          <w:bCs/>
          <w:i w:val="0"/>
          <w:iCs w:val="0"/>
          <w:color w:val="000000" w:themeColor="text1"/>
          <w:spacing w:val="0"/>
          <w:sz w:val="24"/>
          <w:szCs w:val="24"/>
          <w:shd w:val="clear" w:fill="FFFFFF"/>
          <w14:textFill>
            <w14:solidFill>
              <w14:schemeClr w14:val="tx1"/>
            </w14:solidFill>
          </w14:textFill>
        </w:rPr>
        <w:t>rocess</w:t>
      </w:r>
    </w:p>
    <w:p w14:paraId="435B119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Competitor search is the systematic process of identifying and evaluating existing and potential rivals within a target market (Porter, 2008). For SmartGrowth AI, the process focuses on UK digital marketing agencies serving SMEs, especially Jellyfish, Hallam and Croud. Their websites, service portfolios, target markets, positioning and publicly available pricing information are reviewed. Indirect competitors, including freelancers, consultants and in-house teams, are also considered to assess substitution. The findings support comparison of competitive strengths, weaknesses and market gaps.</w:t>
      </w:r>
    </w:p>
    <w:p w14:paraId="7E88DD15">
      <w:pPr>
        <w:pStyle w:val="11"/>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Chars="0" w:right="0" w:rightChars="0"/>
        <w:jc w:val="both"/>
        <w:rPr>
          <w:rFonts w:hint="default" w:ascii="Arial Regular" w:hAnsi="Arial Regular" w:cs="Arial Regular"/>
          <w:b/>
          <w:bCs/>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7.2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Porter’s Five Forces Analysis</w:t>
      </w:r>
    </w:p>
    <w:p w14:paraId="7E9B8C4A">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Porter’s Five Forces is a framework for analysing industry competition and profitability through rivalry, buyer power, supplier power, substitutes and new entrants (Porter, 2008).</w:t>
      </w:r>
    </w:p>
    <w:p w14:paraId="12DAFDC8">
      <w:pPr>
        <w:pStyle w:val="11"/>
        <w:keepNext w:val="0"/>
        <w:keepLines w:val="0"/>
        <w:widowControl/>
        <w:numPr>
          <w:ilvl w:val="0"/>
          <w:numId w:val="1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420" w:leftChars="0" w:right="0" w:hanging="420" w:firstLineChars="0"/>
        <w:jc w:val="both"/>
        <w:rPr>
          <w:rFonts w:hint="default" w:ascii="Arial Regular" w:hAnsi="Arial Regular" w:cs="Arial Regular"/>
          <w:i w:val="0"/>
          <w:iCs w:val="0"/>
          <w:caps w:val="0"/>
          <w:color w:val="000000" w:themeColor="text1"/>
          <w:spacing w:val="0"/>
          <w:sz w:val="24"/>
          <w:szCs w:val="24"/>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Competitive Rivalr</w:t>
      </w: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y (High) </w:t>
      </w:r>
    </w:p>
    <w:p w14:paraId="5553DEA2">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Rivalry is high because established agencies such as Jellyfish, Hallam and Croud, alongside freelancers and specialist agencies, provide overlapping digital marketing services. SmartGrowth AI can compete through moderate pricing, AI-enabled delivery, personalised support and a clear focus on service-based SMEs.</w:t>
      </w:r>
    </w:p>
    <w:p w14:paraId="00C4E94C">
      <w:pPr>
        <w:pStyle w:val="11"/>
        <w:keepNext w:val="0"/>
        <w:keepLines w:val="0"/>
        <w:widowControl/>
        <w:numPr>
          <w:ilvl w:val="0"/>
          <w:numId w:val="1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420" w:leftChars="0" w:right="0" w:hanging="420" w:firstLineChars="0"/>
        <w:jc w:val="both"/>
        <w:rPr>
          <w:rFonts w:hint="default" w:ascii="Arial Regular" w:hAnsi="Arial Regular" w:cs="Arial Regular"/>
          <w:i w:val="0"/>
          <w:iCs w:val="0"/>
          <w:caps w:val="0"/>
          <w:color w:val="000000" w:themeColor="text1"/>
          <w:spacing w:val="0"/>
          <w:sz w:val="24"/>
          <w:szCs w:val="24"/>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Bargaining Power of Buyers</w:t>
      </w: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 (High) </w:t>
      </w:r>
    </w:p>
    <w:p w14:paraId="52C0CC3C">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Buyer power is high because SMEs can compare agencies, freelancers and in-house alternatives. Customers are likely to consider price, quality, measurable results and responsiveness. SmartGrowth AI should therefore offer transparent packages, flexible services and performance reporting to reduce switching incentives.</w:t>
      </w:r>
    </w:p>
    <w:p w14:paraId="5180357E">
      <w:pPr>
        <w:pStyle w:val="11"/>
        <w:keepNext w:val="0"/>
        <w:keepLines w:val="0"/>
        <w:widowControl/>
        <w:numPr>
          <w:ilvl w:val="0"/>
          <w:numId w:val="1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420" w:leftChars="0" w:right="0" w:hanging="420" w:firstLineChars="0"/>
        <w:jc w:val="both"/>
        <w:rPr>
          <w:rFonts w:hint="default" w:ascii="Arial Regular" w:hAnsi="Arial Regular" w:cs="Arial Regular"/>
          <w:i w:val="0"/>
          <w:iCs w:val="0"/>
          <w:caps w:val="0"/>
          <w:color w:val="000000" w:themeColor="text1"/>
          <w:spacing w:val="0"/>
          <w:sz w:val="24"/>
          <w:szCs w:val="24"/>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Bargaining Power of Suppliers</w:t>
      </w: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 (Moderate) </w:t>
      </w:r>
    </w:p>
    <w:p w14:paraId="513FE5B9">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Supplier power is moderate. SmartGrowth AI depends on employees, AI platforms, advertising platforms, software and specialist technology providers. Multiple technology and freelance options can reduce dependence on individual suppliers, although platform pricing, access and technological changes may affect costs.</w:t>
      </w:r>
    </w:p>
    <w:p w14:paraId="6CBCC19B">
      <w:pPr>
        <w:pStyle w:val="11"/>
        <w:keepNext w:val="0"/>
        <w:keepLines w:val="0"/>
        <w:widowControl/>
        <w:numPr>
          <w:ilvl w:val="0"/>
          <w:numId w:val="1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420" w:leftChars="0" w:right="0" w:hanging="420" w:firstLineChars="0"/>
        <w:jc w:val="both"/>
        <w:rPr>
          <w:rFonts w:hint="default" w:ascii="Arial Regular" w:hAnsi="Arial Regular" w:cs="Arial Regular"/>
          <w:i w:val="0"/>
          <w:iCs w:val="0"/>
          <w:caps w:val="0"/>
          <w:color w:val="000000" w:themeColor="text1"/>
          <w:spacing w:val="0"/>
          <w:sz w:val="24"/>
          <w:szCs w:val="24"/>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Threat of New Entrants</w:t>
      </w: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 (High) </w:t>
      </w:r>
    </w:p>
    <w:p w14:paraId="39193EDF">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The threat of new entrants is high because digital marketing businesses can be established with relatively limited physical infrastructure. AI tools may further lower entry barriers. SmartGrowth AI therefore needs strong client relationships, brand reputation, expertise and distinctive service processes to create defensible advantage.</w:t>
      </w:r>
    </w:p>
    <w:p w14:paraId="64B2DB41">
      <w:pPr>
        <w:pStyle w:val="11"/>
        <w:keepNext w:val="0"/>
        <w:keepLines w:val="0"/>
        <w:widowControl/>
        <w:numPr>
          <w:ilvl w:val="0"/>
          <w:numId w:val="10"/>
        </w:numPr>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420" w:leftChars="0" w:right="0" w:hanging="420" w:firstLineChars="0"/>
        <w:jc w:val="both"/>
        <w:rPr>
          <w:rFonts w:hint="default" w:ascii="Arial Regular" w:hAnsi="Arial Regular" w:cs="Arial Regular"/>
          <w:i w:val="0"/>
          <w:iCs w:val="0"/>
          <w:caps w:val="0"/>
          <w:color w:val="000000" w:themeColor="text1"/>
          <w:spacing w:val="0"/>
          <w:sz w:val="24"/>
          <w:szCs w:val="24"/>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Threat of Substitutes</w:t>
      </w: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 (High) </w:t>
      </w:r>
    </w:p>
    <w:p w14:paraId="71D8439D">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Substitution is high because SMEs can employ internal marketers, freelancers or consultants, or manage campaigns themselves using accessible digital and AI tools. SmartGrowth AI should demonstrate superior convenience, integrated expertise and measurable outcomes to make external agency support more valuable.</w:t>
      </w:r>
    </w:p>
    <w:p w14:paraId="75125E30">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Critical Analysis </w:t>
      </w:r>
    </w:p>
    <w:p w14:paraId="611FF3D7">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Porter’s analysis indicates that SmartGrowth AI operates in a highly competitive industry, with strong buyer power and substantial substitution threats. However, moderate supplier power creates flexibility in technology sourcing. While low entry barriers increase competition, SmartGrowth AI can build advantage through AI-enabled efficiency, personalised service, transparent pricing and SME-focused expertise.</w:t>
      </w:r>
    </w:p>
    <w:p w14:paraId="11582363">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7.3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PESTLE Analysis</w:t>
      </w: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 </w:t>
      </w:r>
    </w:p>
    <w:p w14:paraId="36582B53">
      <w:pPr>
        <w:spacing w:line="360" w:lineRule="auto"/>
        <w:jc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drawing>
          <wp:inline distT="0" distB="0" distL="114300" distR="114300">
            <wp:extent cx="3512185" cy="2633980"/>
            <wp:effectExtent l="0" t="0" r="18415" b="7620"/>
            <wp:docPr id="15" name="Picture 15" descr="/Users/anikaayub/Downloads/Existing Product (1)/2.pn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Users/anikaayub/Downloads/Existing Product (1)/2.png2"/>
                    <pic:cNvPicPr>
                      <a:picLocks noChangeAspect="1"/>
                    </pic:cNvPicPr>
                  </pic:nvPicPr>
                  <pic:blipFill>
                    <a:blip r:embed="rId15"/>
                    <a:srcRect t="9" b="9"/>
                    <a:stretch>
                      <a:fillRect/>
                    </a:stretch>
                  </pic:blipFill>
                  <pic:spPr>
                    <a:xfrm>
                      <a:off x="0" y="0"/>
                      <a:ext cx="3512185" cy="2633980"/>
                    </a:xfrm>
                    <a:prstGeom prst="rect">
                      <a:avLst/>
                    </a:prstGeom>
                  </pic:spPr>
                </pic:pic>
              </a:graphicData>
            </a:graphic>
          </wp:inline>
        </w:drawing>
      </w:r>
    </w:p>
    <w:p w14:paraId="13D0A43E">
      <w:pPr>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Figure 6: PESTEL Analysis</w:t>
      </w:r>
    </w:p>
    <w:p w14:paraId="0EDD5134">
      <w:pPr>
        <w:spacing w:line="360" w:lineRule="auto"/>
        <w:jc w:val="cente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(Source: Created by learner)</w:t>
      </w:r>
    </w:p>
    <w:p w14:paraId="1946ADCB">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PESTLE analysis examines political, economic, social, technological, legal and environmental factors affecting an organisation’s external environment (Johnson et al., 2017).</w:t>
      </w:r>
    </w:p>
    <w:p w14:paraId="162A8D3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1. Political</w:t>
      </w:r>
    </w:p>
    <w:p w14:paraId="6A001284">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UK government policies promoting digitalisation, innovation and responsible artificial intelligence can support SmartGrowth AI’s market opportunity. However, policy changes affecting SMEs, taxation or AI governance could influence operating costs and customer confidence.</w:t>
      </w:r>
    </w:p>
    <w:p w14:paraId="25677460">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2. Economic</w:t>
      </w:r>
    </w:p>
    <w:p w14:paraId="02816932">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Inflation, interest rates and business confidence can affect SME marketing budgets. During economic pressure, customers may become more price-sensitive and demand clearer returns on marketing expenditure. SmartGrowth AI’s moderate pricing and measurable campaign reporting can help address this concern.</w:t>
      </w:r>
    </w:p>
    <w:p w14:paraId="3A010544">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3. Social</w:t>
      </w:r>
    </w:p>
    <w:p w14:paraId="17E764F8">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Businesses increasingly depend on online visibility, social media and digital communication to reach customers. Expectations for rapid, relevant and engaging content create demand for integrated content and campaign services. Trust and personalised relationships remain important when SMEs outsource marketing.</w:t>
      </w:r>
    </w:p>
    <w:p w14:paraId="18DF88E2">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4. Technological</w:t>
      </w:r>
    </w:p>
    <w:p w14:paraId="7D39940C">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Rapid development of AI, automation, analytics and advertising technologies creates opportunities to improve efficiency, targeting and content production. SmartGrowth AI can combine these technologies with human creativity. However, rapid change requires continuous staff learning, software investment and responsible implementation.</w:t>
      </w:r>
    </w:p>
    <w:p w14:paraId="06F39431">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5. Legal</w:t>
      </w:r>
    </w:p>
    <w:p w14:paraId="14A69C31">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SmartGrowth AI must comply with UK data-protection requirements, advertising rules, intellectual-property requirements and applicable AI governance. Transparent data handling, appropriate permissions and careful content review are essential for maintaining client trust and reducing regulatory risk (ICO, 2025).</w:t>
      </w:r>
    </w:p>
    <w:p w14:paraId="6887636E">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14:textFill>
            <w14:solidFill>
              <w14:schemeClr w14:val="tx1"/>
            </w14:solidFill>
          </w14:textFill>
        </w:rPr>
        <w:t>6. Environmental</w:t>
      </w:r>
    </w:p>
    <w:p w14:paraId="6962AE0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Environmental considerations may encourage businesses to reduce physical promotional materials and unnecessary travel through digital communication. SmartGrowth AI’s largely digital delivery model can support lower material use, although the environmental impact of digital infrastructure and AI computing should also be considered.</w:t>
      </w:r>
    </w:p>
    <w:p w14:paraId="73E01465">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shd w:val="clear" w:fill="FFFFFF"/>
          <w:lang w:val="de-DE"/>
          <w14:textFill>
            <w14:solidFill>
              <w14:schemeClr w14:val="tx1"/>
            </w14:solidFill>
          </w14:textFill>
        </w:rPr>
        <w:t xml:space="preserve">Critical Analysis </w:t>
      </w:r>
    </w:p>
    <w:p w14:paraId="5340FCC8">
      <w:pPr>
        <w:keepNext w:val="0"/>
        <w:keepLines w:val="0"/>
        <w:widowControl/>
        <w:suppressLineNumbers w:val="0"/>
        <w:spacing w:line="360" w:lineRule="auto"/>
        <w:jc w:val="both"/>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SimSun" w:cs="Arial Regular"/>
          <w:kern w:val="0"/>
          <w:sz w:val="24"/>
          <w:szCs w:val="24"/>
          <w:lang w:val="en-US" w:eastAsia="zh-CN" w:bidi="ar"/>
        </w:rPr>
        <w:t>The PESTLE analysis indicates that SmartGrowth AI operates in an environment offering significant technological and market opportunities, but also considerable economic and regulatory uncertainty. Increasing AI adoption and digitalisation can improve service efficiency and create demand; however, rapid technological change requires continuous investment in employee skills, software and responsible AI practices. Economic pressures may reduce SME marketing budgets, making moderate pricing and measurable marketing outcomes important for maintaining customer demand. Therefore, SmartGrowth AI should continuously monitor political, economic, technological and legal developments and adapt its services accordingly to maintain competitiveness and manage external risks (Johnson et al., 2017).</w:t>
      </w:r>
    </w:p>
    <w:p w14:paraId="52658E59">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7.4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Industry Attractiveness and Market Gaps and Synthesis</w:t>
      </w:r>
    </w:p>
    <w:p w14:paraId="7CF95983">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Industry attractiveness considers the potential of an industry based on competition, demand, profitability and growth conditions (Porter, 2008). The UK digital marketing industry is attractive because digital advertising expenditure continues to grow and SMEs represent a substantial business population (IAB UK, 2026; Department for Business and Trade, 2025). However, SmartGrowth AI faces strong rivalry, low entry barriers and substitutes. A market gap exists for affordable, integrated and AI-enabled marketing specifically designed for service-based SMEs that lack internal expertise. SmartGrowth AI can address this gap by combining human creativity, AI tools, personalised support, content creation, paid advertising, market research and product ideation. Overall, the opportunity is promising, provided the agency differentiates itself clearly and maintains service quality, compliance and customer trust.</w:t>
      </w:r>
    </w:p>
    <w:p w14:paraId="69B30145">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7.5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Business Strategy</w:t>
      </w:r>
    </w:p>
    <w:p w14:paraId="51953CBA">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Business strategy is the long-term direction through which an organisation creates competitive advantage and achieves its objectives (Johnson et al., 2017). SmartGrowth AI will pursue a differentiated, SME-focused strategy based on affordable AI-enabled marketing services. The agency will combine human creativity with AI to deliver content, digital advertising, market research and product ideation. Its competitive emphasis will be personalised service, measurable outcomes, flexible packages and responsive client relationships. Initially targeting UK service-based SMEs, SmartGrowth AI will build reputation through client results, referrals and digital promotion before expanding its workforce and national reach.</w:t>
      </w:r>
    </w:p>
    <w:p w14:paraId="246404FF">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7.6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Strategic Situation and Analytical Frameworks</w:t>
      </w:r>
    </w:p>
    <w:p w14:paraId="1BF1A4C2">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Strategic analysis evaluates an organisation’s internal capabilities and external environment to support informed strategic decisions (Johnson et al., 2017). SmartGrowth AI operates in a rapidly developing digital marketing environment characterised by strong advertising growth, increasing AI adoption and intense competition. PESTLE identifies macro-environmental influences, while Porter’s Five Forces assesses industry competition. The Value Proposition Canvas identifies customer needs, pains and desired gains, supporting alignment between SME requirements and SmartGrowth AI’s services (Osterwalder et al., 2014). The Business Model Canvas explains how the agency creates, delivers and captures value (Osterwalder and Pigneur, 2010). VRIO and SWOT further assess internal resources and strategic strengths, weaknesses, opportunities and threats. Together, these frameworks provide a structured basis for evaluating the opportunity and developing an appropriate competitive strategy.</w:t>
      </w:r>
    </w:p>
    <w:p w14:paraId="219DC08D">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7.7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Internal Analysis Using VRIO</w:t>
      </w:r>
    </w:p>
    <w:p w14:paraId="0BA6227E">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VRIO is a framework for assessing whether organisational resources can create sustained competitive advantage according to value, rarity, inimitability and organisational support (Barney, 1991). For SmartGrowth AI, the analysis focuses on resources that support its proposed differentiation, operational capability and customer value.</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96"/>
        <w:gridCol w:w="3207"/>
        <w:gridCol w:w="3219"/>
      </w:tblGrid>
      <w:tr w14:paraId="1D618B50">
        <w:tc>
          <w:tcPr>
            <w:tcW w:w="2096" w:type="dxa"/>
            <w:shd w:val="clear" w:color="auto" w:fill="91ABDF" w:themeFill="accent1" w:themeFillTint="99"/>
            <w:vAlign w:val="center"/>
          </w:tcPr>
          <w:p w14:paraId="01440FF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bCs/>
                <w:i w:val="0"/>
                <w:iCs w:val="0"/>
                <w:caps w:val="0"/>
                <w:color w:val="000000" w:themeColor="text1"/>
                <w:spacing w:val="0"/>
                <w:sz w:val="24"/>
                <w:szCs w:val="24"/>
                <w14:textFill>
                  <w14:solidFill>
                    <w14:schemeClr w14:val="tx1"/>
                  </w14:solidFill>
                </w14:textFill>
              </w:rPr>
              <w:t>Resource</w:t>
            </w:r>
          </w:p>
        </w:tc>
        <w:tc>
          <w:tcPr>
            <w:tcW w:w="3207" w:type="dxa"/>
            <w:shd w:val="clear" w:color="auto" w:fill="91ABDF" w:themeFill="accent1" w:themeFillTint="99"/>
            <w:vAlign w:val="center"/>
          </w:tcPr>
          <w:p w14:paraId="12057BF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bCs/>
                <w:i w:val="0"/>
                <w:iCs w:val="0"/>
                <w:caps w:val="0"/>
                <w:color w:val="000000" w:themeColor="text1"/>
                <w:spacing w:val="0"/>
                <w:sz w:val="24"/>
                <w:szCs w:val="24"/>
                <w14:textFill>
                  <w14:solidFill>
                    <w14:schemeClr w14:val="tx1"/>
                  </w14:solidFill>
                </w14:textFill>
              </w:rPr>
              <w:t>VRIO assessment</w:t>
            </w:r>
          </w:p>
        </w:tc>
        <w:tc>
          <w:tcPr>
            <w:tcW w:w="3219" w:type="dxa"/>
            <w:shd w:val="clear" w:color="auto" w:fill="91ABDF" w:themeFill="accent1" w:themeFillTint="99"/>
            <w:vAlign w:val="center"/>
          </w:tcPr>
          <w:p w14:paraId="0D9F4CC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bCs/>
                <w:i w:val="0"/>
                <w:iCs w:val="0"/>
                <w:caps w:val="0"/>
                <w:color w:val="000000" w:themeColor="text1"/>
                <w:spacing w:val="0"/>
                <w:sz w:val="24"/>
                <w:szCs w:val="24"/>
                <w14:textFill>
                  <w14:solidFill>
                    <w14:schemeClr w14:val="tx1"/>
                  </w14:solidFill>
                </w14:textFill>
              </w:rPr>
              <w:t>Competitive implication</w:t>
            </w:r>
          </w:p>
        </w:tc>
      </w:tr>
      <w:tr w14:paraId="65ED3881">
        <w:tc>
          <w:tcPr>
            <w:tcW w:w="2096" w:type="dxa"/>
            <w:shd w:val="clear" w:color="auto" w:fill="DBE3F4" w:themeFill="accent1" w:themeFillTint="32"/>
            <w:vAlign w:val="center"/>
          </w:tcPr>
          <w:p w14:paraId="6774699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AI-enabled marketing capability</w:t>
            </w:r>
          </w:p>
        </w:tc>
        <w:tc>
          <w:tcPr>
            <w:tcW w:w="3207" w:type="dxa"/>
            <w:shd w:val="clear" w:color="auto" w:fill="FFFFFF"/>
            <w:vAlign w:val="center"/>
          </w:tcPr>
          <w:p w14:paraId="58912CA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Valuable; potentially rare in an SME-focused integrated model; imitable; organisation must embed it effectively.</w:t>
            </w:r>
          </w:p>
        </w:tc>
        <w:tc>
          <w:tcPr>
            <w:tcW w:w="3219" w:type="dxa"/>
            <w:shd w:val="clear" w:color="auto" w:fill="FFFFFF"/>
            <w:vAlign w:val="center"/>
          </w:tcPr>
          <w:p w14:paraId="7DB5A11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Temporary advantage unless continually improved and combined with distinctive processes.</w:t>
            </w:r>
          </w:p>
        </w:tc>
      </w:tr>
      <w:tr w14:paraId="397FD93D">
        <w:tc>
          <w:tcPr>
            <w:tcW w:w="2096" w:type="dxa"/>
            <w:shd w:val="clear" w:color="auto" w:fill="DBE3F4" w:themeFill="accent1" w:themeFillTint="32"/>
            <w:vAlign w:val="center"/>
          </w:tcPr>
          <w:p w14:paraId="6AE600E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Human creativity and expertise</w:t>
            </w:r>
          </w:p>
        </w:tc>
        <w:tc>
          <w:tcPr>
            <w:tcW w:w="3207" w:type="dxa"/>
            <w:shd w:val="clear" w:color="auto" w:fill="FFFFFF"/>
            <w:vAlign w:val="center"/>
          </w:tcPr>
          <w:p w14:paraId="2016054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Valuable; not necessarily rare; moderately difficult to imitate because capability depends on people and experience; organised through specialist roles.</w:t>
            </w:r>
          </w:p>
        </w:tc>
        <w:tc>
          <w:tcPr>
            <w:tcW w:w="3219" w:type="dxa"/>
            <w:shd w:val="clear" w:color="auto" w:fill="FFFFFF"/>
            <w:vAlign w:val="center"/>
          </w:tcPr>
          <w:p w14:paraId="312FE94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Supports quality and differentiation but requires talent retention.</w:t>
            </w:r>
          </w:p>
        </w:tc>
      </w:tr>
      <w:tr w14:paraId="626FEDE4">
        <w:tc>
          <w:tcPr>
            <w:tcW w:w="2096" w:type="dxa"/>
            <w:shd w:val="clear" w:color="auto" w:fill="DBE3F4" w:themeFill="accent1" w:themeFillTint="32"/>
            <w:vAlign w:val="center"/>
          </w:tcPr>
          <w:p w14:paraId="5878725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Affordable integrated service packages</w:t>
            </w:r>
          </w:p>
        </w:tc>
        <w:tc>
          <w:tcPr>
            <w:tcW w:w="3207" w:type="dxa"/>
            <w:shd w:val="clear" w:color="auto" w:fill="FFFFFF"/>
            <w:vAlign w:val="center"/>
          </w:tcPr>
          <w:p w14:paraId="3F71B052">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Valuable; moderately rare among larger agencies; relatively imitable; organisational systems can support consistent delivery.</w:t>
            </w:r>
          </w:p>
        </w:tc>
        <w:tc>
          <w:tcPr>
            <w:tcW w:w="3219" w:type="dxa"/>
            <w:shd w:val="clear" w:color="auto" w:fill="FFFFFF"/>
            <w:vAlign w:val="center"/>
          </w:tcPr>
          <w:p w14:paraId="54D90E9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Potential short-term differentiation for price-sensitive SMEs.</w:t>
            </w:r>
          </w:p>
        </w:tc>
      </w:tr>
      <w:tr w14:paraId="5AE8079F">
        <w:tc>
          <w:tcPr>
            <w:tcW w:w="2096" w:type="dxa"/>
            <w:shd w:val="clear" w:color="auto" w:fill="DBE3F4" w:themeFill="accent1" w:themeFillTint="32"/>
            <w:vAlign w:val="center"/>
          </w:tcPr>
          <w:p w14:paraId="3A962261">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SME-focused customer relationships</w:t>
            </w:r>
          </w:p>
        </w:tc>
        <w:tc>
          <w:tcPr>
            <w:tcW w:w="3207" w:type="dxa"/>
            <w:shd w:val="clear" w:color="auto" w:fill="FFFFFF"/>
            <w:vAlign w:val="center"/>
          </w:tcPr>
          <w:p w14:paraId="1C47673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Valuable and potentially rare; difficult to imitate through trust and accumulated knowledge; supported by personalised service.</w:t>
            </w:r>
          </w:p>
        </w:tc>
        <w:tc>
          <w:tcPr>
            <w:tcW w:w="3219" w:type="dxa"/>
            <w:shd w:val="clear" w:color="auto" w:fill="FFFFFF"/>
            <w:vAlign w:val="center"/>
          </w:tcPr>
          <w:p w14:paraId="533EEA3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Potential sustained advantage through loyalty and retention.</w:t>
            </w:r>
          </w:p>
        </w:tc>
      </w:tr>
      <w:tr w14:paraId="64ADF345">
        <w:tc>
          <w:tcPr>
            <w:tcW w:w="2096" w:type="dxa"/>
            <w:shd w:val="clear" w:color="auto" w:fill="DBE3F4" w:themeFill="accent1" w:themeFillTint="32"/>
            <w:vAlign w:val="center"/>
          </w:tcPr>
          <w:p w14:paraId="605858F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Market research and product ideation</w:t>
            </w:r>
          </w:p>
        </w:tc>
        <w:tc>
          <w:tcPr>
            <w:tcW w:w="3207" w:type="dxa"/>
            <w:shd w:val="clear" w:color="auto" w:fill="FFFFFF"/>
            <w:vAlign w:val="center"/>
          </w:tcPr>
          <w:p w14:paraId="1B8B8125">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Valuable; moderately rare when integrated with marketing execution; imitable; requires organised processes and skilled staff.</w:t>
            </w:r>
          </w:p>
        </w:tc>
        <w:tc>
          <w:tcPr>
            <w:tcW w:w="3219" w:type="dxa"/>
            <w:shd w:val="clear" w:color="auto" w:fill="FFFFFF"/>
            <w:vAlign w:val="center"/>
          </w:tcPr>
          <w:p w14:paraId="37DA9F37">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Helvetica" w:cs="Arial Regular"/>
                <w:b w:val="0"/>
                <w:bCs w:val="0"/>
                <w:i w:val="0"/>
                <w:iCs w:val="0"/>
                <w:caps w:val="0"/>
                <w:color w:val="000000" w:themeColor="text1"/>
                <w:spacing w:val="0"/>
                <w:sz w:val="24"/>
                <w:szCs w:val="24"/>
                <w14:textFill>
                  <w14:solidFill>
                    <w14:schemeClr w14:val="tx1"/>
                  </w14:solidFill>
                </w14:textFill>
              </w:rPr>
              <w:t>Strengthens strategic value and creates opportunities for repeat business.</w:t>
            </w:r>
          </w:p>
        </w:tc>
      </w:tr>
    </w:tbl>
    <w:p w14:paraId="3608D918">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Figure 7: VRIO Analysis of SmartGrowth AI’s Key Resources</w:t>
      </w:r>
    </w:p>
    <w:p w14:paraId="6A7B9341">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Created by learner)</w:t>
      </w:r>
    </w:p>
    <w:p w14:paraId="6688785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14:textFill>
            <w14:solidFill>
              <w14:schemeClr w14:val="tx1"/>
            </w14:solidFill>
          </w14:textFill>
        </w:rPr>
        <w:t>Overall, SmartGrowth AI’s strongest potential resources are its integrated AI-human capability, SME-focused relationships and affordable service proposition. However, most resources can be copied by competitors, meaning sustained advantage will depend on continuous innovation, staff development, customer trust and effective organisational processes.</w:t>
      </w:r>
    </w:p>
    <w:p w14:paraId="5210FE04">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7.8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SWOT Analysis</w:t>
      </w:r>
    </w:p>
    <w:p w14:paraId="1A627C5D">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80" w:afterAutospacing="0" w:line="360" w:lineRule="auto"/>
        <w:ind w:left="0" w:right="0" w:firstLine="0"/>
        <w:jc w:val="both"/>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pP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SWOT analysis evaluates an organisation’s internal strengths and weaknesses alongside external opportunities and threats to support strategic assessment (Gürel and Tat, 2017). For SmartGrowth AI, the analysis highlights its proposed resources, market conditions and competitive challenges.</w:t>
      </w:r>
    </w:p>
    <w:tbl>
      <w:tblPr>
        <w:tblStyle w:val="13"/>
        <w:tblW w:w="850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90"/>
        <w:gridCol w:w="6714"/>
      </w:tblGrid>
      <w:tr w14:paraId="283E0BEB">
        <w:tc>
          <w:tcPr>
            <w:tcW w:w="1388" w:type="dxa"/>
            <w:shd w:val="clear" w:color="auto" w:fill="91ABDF" w:themeFill="accent1" w:themeFillTint="99"/>
            <w:vAlign w:val="top"/>
          </w:tcPr>
          <w:p w14:paraId="3BADAD98">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14:textFill>
                  <w14:solidFill>
                    <w14:schemeClr w14:val="tx1"/>
                  </w14:solidFill>
                </w14:textFill>
              </w:rPr>
              <w:t>Factor</w:t>
            </w:r>
          </w:p>
        </w:tc>
        <w:tc>
          <w:tcPr>
            <w:tcW w:w="7116" w:type="dxa"/>
            <w:shd w:val="clear" w:color="auto" w:fill="91ABDF" w:themeFill="accent1" w:themeFillTint="99"/>
            <w:vAlign w:val="top"/>
          </w:tcPr>
          <w:p w14:paraId="1E4BDA1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14:textFill>
                  <w14:solidFill>
                    <w14:schemeClr w14:val="tx1"/>
                  </w14:solidFill>
                </w14:textFill>
              </w:rPr>
              <w:t>SmartGrowth AI analysis</w:t>
            </w:r>
          </w:p>
        </w:tc>
      </w:tr>
      <w:tr w14:paraId="2C20ECE7">
        <w:tc>
          <w:tcPr>
            <w:tcW w:w="1388" w:type="dxa"/>
            <w:shd w:val="clear" w:color="auto" w:fill="DBE3F4" w:themeFill="accent1" w:themeFillTint="32"/>
            <w:vAlign w:val="top"/>
          </w:tcPr>
          <w:p w14:paraId="784DCAEC">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14:textFill>
                  <w14:solidFill>
                    <w14:schemeClr w14:val="tx1"/>
                  </w14:solidFill>
                </w14:textFill>
              </w:rPr>
              <w:t>Strengths</w:t>
            </w:r>
          </w:p>
        </w:tc>
        <w:tc>
          <w:tcPr>
            <w:tcW w:w="7116" w:type="dxa"/>
            <w:shd w:val="clear" w:color="auto" w:fill="FFFFFF"/>
            <w:vAlign w:val="top"/>
          </w:tcPr>
          <w:p w14:paraId="2D3AEE51">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i w:val="0"/>
                <w:iCs w:val="0"/>
                <w:caps w:val="0"/>
                <w:color w:val="000000" w:themeColor="text1"/>
                <w:spacing w:val="0"/>
                <w:sz w:val="24"/>
                <w:szCs w:val="24"/>
                <w14:textFill>
                  <w14:solidFill>
                    <w14:schemeClr w14:val="tx1"/>
                  </w14:solidFill>
                </w14:textFill>
              </w:rPr>
              <w:t>AI-human integration; SME focus; affordable packages; personalised service.</w:t>
            </w:r>
          </w:p>
        </w:tc>
      </w:tr>
      <w:tr w14:paraId="67730FB3">
        <w:tc>
          <w:tcPr>
            <w:tcW w:w="1388" w:type="dxa"/>
            <w:shd w:val="clear" w:color="auto" w:fill="DBE3F4" w:themeFill="accent1" w:themeFillTint="32"/>
            <w:vAlign w:val="top"/>
          </w:tcPr>
          <w:p w14:paraId="6E2C94B3">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14:textFill>
                  <w14:solidFill>
                    <w14:schemeClr w14:val="tx1"/>
                  </w14:solidFill>
                </w14:textFill>
              </w:rPr>
              <w:t>Weaknesses</w:t>
            </w:r>
          </w:p>
        </w:tc>
        <w:tc>
          <w:tcPr>
            <w:tcW w:w="7116" w:type="dxa"/>
            <w:shd w:val="clear" w:color="auto" w:fill="FFFFFF"/>
            <w:vAlign w:val="top"/>
          </w:tcPr>
          <w:p w14:paraId="0FD906C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i w:val="0"/>
                <w:iCs w:val="0"/>
                <w:caps w:val="0"/>
                <w:color w:val="000000" w:themeColor="text1"/>
                <w:spacing w:val="0"/>
                <w:sz w:val="24"/>
                <w:szCs w:val="24"/>
                <w14:textFill>
                  <w14:solidFill>
                    <w14:schemeClr w14:val="tx1"/>
                  </w14:solidFill>
                </w14:textFill>
              </w:rPr>
              <w:t>New brand; limited reputation; dependence on skilled employees and technology platforms.</w:t>
            </w:r>
          </w:p>
        </w:tc>
      </w:tr>
      <w:tr w14:paraId="415936A0">
        <w:tc>
          <w:tcPr>
            <w:tcW w:w="1388" w:type="dxa"/>
            <w:shd w:val="clear" w:color="auto" w:fill="DBE3F4" w:themeFill="accent1" w:themeFillTint="32"/>
            <w:vAlign w:val="top"/>
          </w:tcPr>
          <w:p w14:paraId="7F49633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14:textFill>
                  <w14:solidFill>
                    <w14:schemeClr w14:val="tx1"/>
                  </w14:solidFill>
                </w14:textFill>
              </w:rPr>
              <w:t>Opportunities</w:t>
            </w:r>
          </w:p>
        </w:tc>
        <w:tc>
          <w:tcPr>
            <w:tcW w:w="7116" w:type="dxa"/>
            <w:shd w:val="clear" w:color="auto" w:fill="FFFFFF"/>
            <w:vAlign w:val="top"/>
          </w:tcPr>
          <w:p w14:paraId="03EDEB2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i w:val="0"/>
                <w:iCs w:val="0"/>
                <w:caps w:val="0"/>
                <w:color w:val="000000" w:themeColor="text1"/>
                <w:spacing w:val="0"/>
                <w:sz w:val="24"/>
                <w:szCs w:val="24"/>
                <w14:textFill>
                  <w14:solidFill>
                    <w14:schemeClr w14:val="tx1"/>
                  </w14:solidFill>
                </w14:textFill>
              </w:rPr>
              <w:t>Growing digital advertising; increasing business interest in AI; underserved SMEs seeking accessible expertise.</w:t>
            </w:r>
          </w:p>
        </w:tc>
      </w:tr>
      <w:tr w14:paraId="5577DF56">
        <w:tc>
          <w:tcPr>
            <w:tcW w:w="1388" w:type="dxa"/>
            <w:shd w:val="clear" w:color="auto" w:fill="DBE3F4" w:themeFill="accent1" w:themeFillTint="32"/>
            <w:vAlign w:val="top"/>
          </w:tcPr>
          <w:p w14:paraId="3976B4A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cente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b/>
                <w:bCs/>
                <w:i w:val="0"/>
                <w:iCs w:val="0"/>
                <w:caps w:val="0"/>
                <w:color w:val="000000" w:themeColor="text1"/>
                <w:spacing w:val="0"/>
                <w:sz w:val="24"/>
                <w:szCs w:val="24"/>
                <w14:textFill>
                  <w14:solidFill>
                    <w14:schemeClr w14:val="tx1"/>
                  </w14:solidFill>
                </w14:textFill>
              </w:rPr>
              <w:t>Threats</w:t>
            </w:r>
          </w:p>
        </w:tc>
        <w:tc>
          <w:tcPr>
            <w:tcW w:w="7116" w:type="dxa"/>
            <w:shd w:val="clear" w:color="auto" w:fill="FFFFFF"/>
            <w:vAlign w:val="top"/>
          </w:tcPr>
          <w:p w14:paraId="171F1C2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leftChars="0" w:right="0" w:rightChars="0"/>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Cambria" w:cs="Arial Regular"/>
                <w:i w:val="0"/>
                <w:iCs w:val="0"/>
                <w:caps w:val="0"/>
                <w:color w:val="000000" w:themeColor="text1"/>
                <w:spacing w:val="0"/>
                <w:sz w:val="24"/>
                <w:szCs w:val="24"/>
                <w14:textFill>
                  <w14:solidFill>
                    <w14:schemeClr w14:val="tx1"/>
                  </w14:solidFill>
                </w14:textFill>
              </w:rPr>
              <w:t>Intense agency competition; freelancers and in-house teams; rapid technological change; regulatory and data-protection requirements.</w:t>
            </w:r>
          </w:p>
        </w:tc>
      </w:tr>
    </w:tbl>
    <w:p w14:paraId="5318AAD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Figure 8: SWOT Analysis of SmartGrowth AI</w:t>
      </w:r>
    </w:p>
    <w:p w14:paraId="6F13673E">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Created by learner)</w:t>
      </w:r>
    </w:p>
    <w:p w14:paraId="6D0531D5">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Critical Analysis </w:t>
      </w:r>
    </w:p>
    <w:p w14:paraId="522BAD4A">
      <w:pPr>
        <w:keepNext w:val="0"/>
        <w:keepLines w:val="0"/>
        <w:widowControl/>
        <w:suppressLineNumbers w:val="0"/>
        <w:spacing w:line="360" w:lineRule="auto"/>
        <w:jc w:val="both"/>
        <w:rPr>
          <w:rFonts w:hint="default" w:ascii="Arial Regular" w:hAnsi="Arial Regular"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SimSun" w:cs="Arial Regular"/>
          <w:kern w:val="0"/>
          <w:sz w:val="24"/>
          <w:szCs w:val="24"/>
          <w:lang w:val="en-US" w:eastAsia="zh-CN" w:bidi="ar"/>
        </w:rPr>
        <w:t>The SWOT analysis indicates that SmartGrowth AI's main strengths are its integration of AI with human creativity, SME-focused positioning, affordable packages and personalised service. However, these strengths may not provide a sustained competitive advantage because AI tools and service models can be replicated by competitors, while the new agency will initially have limited brand recognition and customer trust. Growing interest in digital marketing and AI creates opportunities for market entry, but intense competition from established agencies, freelancers and in-house teams presents significant threats. Therefore, SmartGrowth AI should use its SME focus to build strong customer relationships, develop employee capabilities and continuously innovate while monitoring technological and regulatory risks (Gürel and Tat, 2017).</w:t>
      </w:r>
    </w:p>
    <w:p w14:paraId="04752D85">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7.9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Strategic Alternatives and Choice</w:t>
      </w:r>
    </w:p>
    <w:p w14:paraId="743F81E9">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8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Strategic alternatives are different courses of action an organisation can evaluate to achieve objectives and develop competitive advantage (Johnson et al., 2017). SmartGrowth AI could pursue three main alternatives. First, a cost-leadership approach could emphasise lower-priced marketing packages, attracting price-sensitive SMEs; however, excessive price competition could reduce margins. Second, broad differentiation could target larger organisations through advanced AI, data and creative services, but this would increase competition with established agencies such as Jellyfish, Hallam and Croud. Third, focused differentiation could concentrate on UK service-based SMEs, combining affordable pricing, AI-enabled delivery, human creativity and personalised support. The third option is the preferred strategy because it directly addresses the identified market gap and aligns with SmartGrowth AI’s resources. The agency should initially build a strong SME niche, then expand its services and geographic reach as reputation, capabilities and client relationships develop. This choice provides a clearer competitive identity while supporting scalable growth and customer retention.</w:t>
      </w:r>
    </w:p>
    <w:p w14:paraId="3D602A9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7.10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Unique Selling Point, Value Proposition and Positioning</w:t>
      </w:r>
    </w:p>
    <w:p w14:paraId="5810F3EE">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8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A unique selling proposition (USP) is a distinctive benefit that differentiates an offering from competitors (Kotler and Keller, 2016). SmartGrowth AI’s USP is the combination of AI-enabled marketing efficiency with human creativity and personalised SME support. Its value proposition is to help UK service-based SMEs improve visibility, generate leads and strengthen customer engagement through affordable, integrated services. These include content creation, blogs, Meta and Google advertising, market research and product ideation. The agency will position itself as an accessible alternative to large agencies and fragmented freelancers. Unlike providers focused primarily on scale or individual services, SmartGrowth AI will offer an integrated, technology-enabled solution tailored to smaller businesses. This positioning communicates affordability, convenience, innovation and measurable value, creating a clear reason for SMEs to choose SmartGrowth AI.</w:t>
      </w:r>
    </w:p>
    <w:p w14:paraId="5991E6EA">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480" w:beforeAutospacing="0" w:after="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bCs/>
          <w:i w:val="0"/>
          <w:iCs w:val="0"/>
          <w:caps w:val="0"/>
          <w:color w:val="000000" w:themeColor="text1"/>
          <w:spacing w:val="0"/>
          <w:sz w:val="24"/>
          <w:szCs w:val="24"/>
          <w:shd w:val="clear" w:fill="FFFFFF"/>
          <w:lang w:val="de-DE"/>
          <w14:textFill>
            <w14:solidFill>
              <w14:schemeClr w14:val="tx1"/>
            </w14:solidFill>
          </w14:textFill>
        </w:rPr>
        <w:t xml:space="preserve">7.11 </w:t>
      </w:r>
      <w:r>
        <w:rPr>
          <w:rFonts w:hint="default" w:ascii="Arial Regular" w:hAnsi="Arial Regular" w:cs="Arial Regular"/>
          <w:b/>
          <w:bCs/>
          <w:i w:val="0"/>
          <w:iCs w:val="0"/>
          <w:caps w:val="0"/>
          <w:color w:val="000000" w:themeColor="text1"/>
          <w:spacing w:val="0"/>
          <w:sz w:val="24"/>
          <w:szCs w:val="24"/>
          <w:shd w:val="clear" w:fill="FFFFFF"/>
          <w14:textFill>
            <w14:solidFill>
              <w14:schemeClr w14:val="tx1"/>
            </w14:solidFill>
          </w14:textFill>
        </w:rPr>
        <w:t>Competitive Advantage and Key Success Factors</w:t>
      </w:r>
    </w:p>
    <w:p w14:paraId="02427C5C">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80" w:afterAutospacing="0" w:line="360" w:lineRule="auto"/>
        <w:ind w:left="0" w:right="0" w:firstLine="0"/>
        <w:jc w:val="both"/>
        <w:rPr>
          <w:rFonts w:hint="default" w:ascii="Arial Regular" w:hAnsi="Arial Regular" w:cs="Arial Regular"/>
          <w:i w:val="0"/>
          <w:iCs w:val="0"/>
          <w:caps w:val="0"/>
          <w:color w:val="000000" w:themeColor="text1"/>
          <w:spacing w:val="0"/>
          <w:sz w:val="24"/>
          <w:szCs w:val="24"/>
          <w14:textFill>
            <w14:solidFill>
              <w14:schemeClr w14:val="tx1"/>
            </w14:solidFill>
          </w14:textFill>
        </w:rPr>
      </w:pPr>
      <w:r>
        <w:rPr>
          <w:rFonts w:hint="default" w:ascii="Arial Regular" w:hAnsi="Arial Regular" w:cs="Arial Regular"/>
          <w:b w:val="0"/>
          <w:bCs w:val="0"/>
          <w:i w:val="0"/>
          <w:iCs w:val="0"/>
          <w:caps w:val="0"/>
          <w:color w:val="000000" w:themeColor="text1"/>
          <w:spacing w:val="0"/>
          <w:sz w:val="24"/>
          <w:szCs w:val="24"/>
          <w:shd w:val="clear" w:fill="FFFFFF"/>
          <w14:textFill>
            <w14:solidFill>
              <w14:schemeClr w14:val="tx1"/>
            </w14:solidFill>
          </w14:textFill>
        </w:rPr>
        <w:t>Competitive advantage exists when a firm creates greater value than competitors through superior resources, capabilities or strategic positioning (Barney, 1991). For SmartGrowth AI, competitive advantage will depend on combining resources rather than relying on AI technology alone. Its first advantage is an AI-human delivery model, using automation for efficiency while retaining human creativity and judgement. Second, SME specialisation enables services to be tailored to the financial and operational constraints of smaller service businesses. Third, integrated delivery across content, paid advertising, market research and product ideation reduces the need for multiple providers. Fourth, moderate and transparent pricing can appeal to cost-conscious SMEs while supporting recurring relationships. Key success factors include service quality, reliable technology, skilled employees, data protection, measurable campaign performance, customer trust and responsiveness. Continuous innovation is also essential because digital marketing and AI technologies evolve rapidly. Building case studies, referrals and strong retention will strengthen reputation and make the proposition harder for new entrants to replicate. Together, these factors can support differentiation and sustainable growth within the UK SME market.</w:t>
      </w:r>
    </w:p>
    <w:p w14:paraId="4A23944D">
      <w:pPr>
        <w:spacing w:line="360" w:lineRule="auto"/>
        <w:jc w:val="both"/>
        <w:rPr>
          <w:rFonts w:hint="default" w:ascii="Arial Regular" w:hAnsi="Arial Regular" w:cs="Arial Regular"/>
          <w:b/>
          <w:bCs/>
          <w:color w:val="000000" w:themeColor="text1"/>
          <w:sz w:val="24"/>
          <w:szCs w:val="24"/>
          <w:highlight w:val="none"/>
          <w:lang w:val="de-DE"/>
          <w14:textFill>
            <w14:solidFill>
              <w14:schemeClr w14:val="tx1"/>
            </w14:solidFill>
          </w14:textFill>
        </w:rPr>
      </w:pPr>
    </w:p>
    <w:p w14:paraId="28AB1168">
      <w:pPr>
        <w:spacing w:line="360" w:lineRule="auto"/>
        <w:jc w:val="center"/>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cs="Arial Regular"/>
          <w:b/>
          <w:bCs/>
          <w:color w:val="000000" w:themeColor="text1"/>
          <w:sz w:val="24"/>
          <w:szCs w:val="24"/>
          <w:highlight w:val="none"/>
          <w:lang w:val="de-DE"/>
          <w14:textFill>
            <w14:solidFill>
              <w14:schemeClr w14:val="tx1"/>
            </w14:solidFill>
          </w14:textFill>
        </w:rPr>
        <w:drawing>
          <wp:inline distT="0" distB="0" distL="114300" distR="114300">
            <wp:extent cx="5334635" cy="3002280"/>
            <wp:effectExtent l="0" t="0" r="24765" b="20320"/>
            <wp:docPr id="1" name="Picture 1" descr="ChatGPT Image Sep 9, 2026, 09_50_38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tGPT Image Sep 9, 2026, 09_50_38 PM"/>
                    <pic:cNvPicPr>
                      <a:picLocks noChangeAspect="1"/>
                    </pic:cNvPicPr>
                  </pic:nvPicPr>
                  <pic:blipFill>
                    <a:blip r:embed="rId16"/>
                    <a:stretch>
                      <a:fillRect/>
                    </a:stretch>
                  </pic:blipFill>
                  <pic:spPr>
                    <a:xfrm>
                      <a:off x="0" y="0"/>
                      <a:ext cx="5334635" cy="3002280"/>
                    </a:xfrm>
                    <a:prstGeom prst="rect">
                      <a:avLst/>
                    </a:prstGeom>
                  </pic:spPr>
                </pic:pic>
              </a:graphicData>
            </a:graphic>
          </wp:inline>
        </w:drawing>
      </w:r>
    </w:p>
    <w:p w14:paraId="5BCEC78E">
      <w:pPr>
        <w:pStyle w:val="4"/>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bookmarkStart w:id="17" w:name="_Toc703913519"/>
      <w:bookmarkStart w:id="18" w:name="_Toc239077259"/>
      <w:r>
        <w:rPr>
          <w:rFonts w:hint="default" w:ascii="Arial Regular" w:hAnsi="Arial Regular" w:cs="Arial Regular"/>
          <w:b w:val="0"/>
          <w:bCs w:val="0"/>
          <w:color w:val="000000" w:themeColor="text1"/>
          <w:sz w:val="24"/>
          <w:szCs w:val="24"/>
          <w:lang w:val="de-DE"/>
          <w14:textFill>
            <w14:solidFill>
              <w14:schemeClr w14:val="tx1"/>
            </w14:solidFill>
          </w14:textFill>
        </w:rPr>
        <w:t>Figure 9</w:t>
      </w:r>
      <w:r>
        <w:rPr>
          <w:rFonts w:hint="default" w:ascii="Arial Regular" w:hAnsi="Arial Regular" w:cs="Arial Regular"/>
          <w:b w:val="0"/>
          <w:bCs w:val="0"/>
          <w:color w:val="000000" w:themeColor="text1"/>
          <w:sz w:val="24"/>
          <w:szCs w:val="24"/>
          <w14:textFill>
            <w14:solidFill>
              <w14:schemeClr w14:val="tx1"/>
            </w14:solidFill>
          </w14:textFill>
        </w:rPr>
        <w:t xml:space="preserve">: Strategic Logic of </w:t>
      </w:r>
      <w:r>
        <w:rPr>
          <w:rFonts w:hint="default" w:ascii="Arial Regular" w:hAnsi="Arial Regular" w:cs="Arial Regular"/>
          <w:b w:val="0"/>
          <w:bCs w:val="0"/>
          <w:color w:val="000000" w:themeColor="text1"/>
          <w:sz w:val="24"/>
          <w:szCs w:val="24"/>
          <w:lang w:val="de-DE"/>
          <w14:textFill>
            <w14:solidFill>
              <w14:schemeClr w14:val="tx1"/>
            </w14:solidFill>
          </w14:textFill>
        </w:rPr>
        <w:t>SmartGrowth AI</w:t>
      </w:r>
      <w:bookmarkEnd w:id="17"/>
      <w:bookmarkEnd w:id="18"/>
    </w:p>
    <w:p w14:paraId="78E43214">
      <w:pPr>
        <w:tabs>
          <w:tab w:val="left" w:pos="3180"/>
        </w:tabs>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(Source: Created Using </w:t>
      </w:r>
      <w:r>
        <w:rPr>
          <w:rFonts w:hint="default" w:ascii="Arial Regular" w:hAnsi="Arial Regular" w:cs="Arial Regular"/>
          <w:b w:val="0"/>
          <w:bCs w:val="0"/>
          <w:color w:val="000000" w:themeColor="text1"/>
          <w:sz w:val="24"/>
          <w:szCs w:val="24"/>
          <w:lang w:val="de-DE"/>
          <w14:textFill>
            <w14:solidFill>
              <w14:schemeClr w14:val="tx1"/>
            </w14:solidFill>
          </w14:textFill>
        </w:rPr>
        <w:t>ChatGPT AI</w:t>
      </w:r>
      <w:r>
        <w:rPr>
          <w:rFonts w:hint="default" w:ascii="Arial Regular" w:hAnsi="Arial Regular" w:cs="Arial Regular"/>
          <w:b w:val="0"/>
          <w:bCs w:val="0"/>
          <w:color w:val="000000" w:themeColor="text1"/>
          <w:sz w:val="24"/>
          <w:szCs w:val="24"/>
          <w14:textFill>
            <w14:solidFill>
              <w14:schemeClr w14:val="tx1"/>
            </w14:solidFill>
          </w14:textFill>
        </w:rPr>
        <w:t>, 2026)</w:t>
      </w:r>
    </w:p>
    <w:p w14:paraId="4DC9932E">
      <w:pPr>
        <w:spacing w:line="360" w:lineRule="auto"/>
        <w:jc w:val="both"/>
        <w:rPr>
          <w:rFonts w:hint="default" w:ascii="Arial Regular" w:hAnsi="Arial Regular" w:cs="Arial Regular"/>
          <w:b/>
          <w:bCs/>
          <w:color w:val="000000" w:themeColor="text1"/>
          <w:sz w:val="24"/>
          <w:szCs w:val="24"/>
          <w:highlight w:val="none"/>
          <w:lang w:val="de-DE"/>
          <w14:textFill>
            <w14:solidFill>
              <w14:schemeClr w14:val="tx1"/>
            </w14:solidFill>
          </w14:textFill>
        </w:rPr>
      </w:pPr>
    </w:p>
    <w:p w14:paraId="5921E5FD">
      <w:pPr>
        <w:numPr>
          <w:ilvl w:val="0"/>
          <w:numId w:val="11"/>
        </w:numPr>
        <w:spacing w:line="360" w:lineRule="auto"/>
        <w:ind w:left="0" w:leftChars="0" w:firstLine="0" w:firstLineChars="0"/>
        <w:jc w:val="both"/>
        <w:rPr>
          <w:rFonts w:hint="default" w:ascii="Arial Regular" w:hAnsi="Arial Regular" w:eastAsia="Arial Bold" w:cs="Arial Regular"/>
          <w:b/>
          <w:bCs/>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cs="Arial Regular"/>
          <w:b/>
          <w:bCs/>
          <w:color w:val="000000" w:themeColor="text1"/>
          <w:sz w:val="24"/>
          <w:szCs w:val="24"/>
          <w:highlight w:val="none"/>
          <w:lang w:val="de-DE"/>
          <w14:textFill>
            <w14:solidFill>
              <w14:schemeClr w14:val="tx1"/>
            </w14:solidFill>
          </w14:textFill>
        </w:rPr>
        <w:t xml:space="preserve">Business Canvas Model </w:t>
      </w:r>
    </w:p>
    <w:p w14:paraId="10D2F03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center"/>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w:cs="Arial Regular"/>
          <w:b/>
          <w:bCs/>
          <w:i w:val="0"/>
          <w:iCs w:val="0"/>
          <w:caps w:val="0"/>
          <w:color w:val="000000" w:themeColor="text1"/>
          <w:spacing w:val="0"/>
          <w:sz w:val="24"/>
          <w:szCs w:val="24"/>
          <w:shd w:val="clear" w:fill="FFFFFF"/>
          <w:vertAlign w:val="baseline"/>
          <w14:textFill>
            <w14:solidFill>
              <w14:schemeClr w14:val="tx1"/>
            </w14:solidFill>
          </w14:textFill>
        </w:rPr>
        <w:drawing>
          <wp:inline distT="0" distB="0" distL="114300" distR="114300">
            <wp:extent cx="5353050" cy="3810000"/>
            <wp:effectExtent l="0" t="0" r="6350" b="0"/>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17"/>
                    <a:stretch>
                      <a:fillRect/>
                    </a:stretch>
                  </pic:blipFill>
                  <pic:spPr>
                    <a:xfrm>
                      <a:off x="0" y="0"/>
                      <a:ext cx="5353050" cy="3810000"/>
                    </a:xfrm>
                    <a:prstGeom prst="rect">
                      <a:avLst/>
                    </a:prstGeom>
                    <a:noFill/>
                    <a:ln w="9525">
                      <a:noFill/>
                    </a:ln>
                  </pic:spPr>
                </pic:pic>
              </a:graphicData>
            </a:graphic>
          </wp:inline>
        </w:drawing>
      </w:r>
    </w:p>
    <w:p w14:paraId="72569545">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center"/>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Figure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10</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Business Canvas Model of SmartGrowth AI</w:t>
      </w:r>
    </w:p>
    <w:p w14:paraId="1736681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center"/>
        <w:textAlignment w:val="baseline"/>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Created by learner)</w:t>
      </w:r>
    </w:p>
    <w:p w14:paraId="42DF7EE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Figur</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
          <w14:textFill>
            <w14:solidFill>
              <w14:schemeClr w14:val="tx1"/>
            </w14:solidFill>
          </w14:textFill>
        </w:rPr>
        <w:t xml:space="preserve">e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10</w:t>
      </w:r>
      <w:bookmarkStart w:id="72" w:name="_GoBack"/>
      <w:bookmarkEnd w:id="72"/>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illustrates the Business Model Canvas. The Business Model Canvas (BMC) is a strategic framework that explains how an organisation creates, delivers and captures value through nine interconnected components (Osterwalder and Pigneur, 2010). It allows entrepreneurs to examine the relationships between customers, resources, operations, partnerships, and financial performance within a single model. The framework is widely used to assess business viability, identify competitive advantages and support strategic decision-making (Joyce and Paquin, 2016). </w:t>
      </w:r>
    </w:p>
    <w:p w14:paraId="5E4A0952">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For SmartGrowth AI, the BMC provides a structured foundation for developing an AI-powered marketing agency that combines technological efficiency with human creativity. The business aims to deliver affordable, high-quality marketing and business development services to UK service-based SMEs. </w:t>
      </w:r>
    </w:p>
    <w:p w14:paraId="0F6CE541">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Customer Segments</w:t>
      </w:r>
    </w:p>
    <w:p w14:paraId="53E192A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Customer segments identify the groups an organisation intends to serve (Osterwalder and Pigneur, 2010). SmartGrowth AI primarily targets UK service-based SMEs, including organisations operating in education, healthcare, hospitality, real estate, consultancy and professional services. Many of these businesses lack dedicated in-house marketing teams and therefore need cost-effective digital marketing solutions that support customer acquisition and business growth.</w:t>
      </w:r>
    </w:p>
    <w:p w14:paraId="53AEF33A">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SMEs represent more than 99% of UK private-sector businesses, creating a substantial and expanding target market (Department for Business and Trade, 2024). Start-ups and growing businesses are also important to customer groups, as they often require affordable marketing expertise, strategic guidance, and business development support during the early stages of growth.</w:t>
      </w:r>
    </w:p>
    <w:p w14:paraId="02E1B3E9">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Value Proposition</w:t>
      </w:r>
    </w:p>
    <w:p w14:paraId="68CC835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 value proposition explains how a business addresses customer needs or solves problems more effectively than its competitors (Osterwalder and Pigneur, 2010). SmartGrowth AI differentiates itself by combining AI-powered efficiency with human creativity and strategic consultancy. It provides affordable digital marketing solutions designed specifically for UK service-based SMEs, enabling clients to improve their marketing performance without incurring the high fees typically charged by larger agencies.</w:t>
      </w:r>
    </w:p>
    <w:p w14:paraId="1E93800B">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Its services include SEO, paid advertising, social media management, content creation, competitor analysis, market research and product development ideation. Unlike competitors that concentrate mainly on campaign delivery, SmartGrowth AI integrates digital marketing with business development consultancy to support clients' long-term growth. This hybrid model improves productivity while retaining the creativity, strategic judgement and relationship management that AI cannot provide independently (Huang and Rust, 2021).</w:t>
      </w:r>
    </w:p>
    <w:p w14:paraId="0301D9C2">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Channels</w:t>
      </w:r>
    </w:p>
    <w:p w14:paraId="609932EA">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Channels describe how an organisation communicates with customers and delivers its value proposition (Osterwalder and Pigneur, 2010). SmartGrowth AI will reach prospective clients through its website, LinkedIn, Google Search, Google Ads, social media, email marketing and SME networking events.</w:t>
      </w:r>
    </w:p>
    <w:p w14:paraId="5A040ED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These channels will build brand awareness, educate potential clients and convert leads into long-term customers. SEO and Google Ads will strengthen online visibility, while LinkedIn will support professional networking and business-to-business relationships. Participation in SME networking events will enhance credibility and encourage referrals across the UK business community. Together, these channels will support efficient customer acquisition and continuous engagement throughout the client journey.</w:t>
      </w:r>
    </w:p>
    <w:p w14:paraId="3DB7BC81">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Customer Relationships</w:t>
      </w:r>
    </w:p>
    <w:p w14:paraId="7FD26BC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Customer relationships concern how a business establishes and maintains interactions that strengthen satisfaction and loyalty (Osterwalder and Pigneur, 2010). SmartGrowth AI will use a relationship-led approach, assigning a dedicated account manager to each client to provide personalised communication and responsive support.</w:t>
      </w:r>
    </w:p>
    <w:p w14:paraId="220FEAEF">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Regular performance reports, strategic reviews and tailored marketing plans will allow clients to evaluate campaign results and identify improvement opportunities. Continuous consultancy, proactive recommendations and customised solutions will help establish long-term partnerships aligned with changing business needs. This personalised service will distinguish SmartGrowth AI from larger agencies offering standardised solutions, while supporting trust, retention and referrals.</w:t>
      </w:r>
    </w:p>
    <w:p w14:paraId="49EE72EF">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Revenue Streams</w:t>
      </w:r>
    </w:p>
    <w:p w14:paraId="528492C8">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Revenue streams explain how an organisation earns income from its customers (Osterwalder and Pigneur, 2010). SmartGrowth AI will generate recurring income through monthly marketing retainers and specialist services. Diversification reduces reliance on one service, while cross-selling can increase customer lifetime value and strengthen revenue stability.</w:t>
      </w:r>
    </w:p>
    <w:tbl>
      <w:tblPr>
        <w:tblStyle w:val="6"/>
        <w:tblW w:w="8342"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2952"/>
        <w:gridCol w:w="2661"/>
        <w:gridCol w:w="2729"/>
      </w:tblGrid>
      <w:tr w14:paraId="62AE3398">
        <w:trPr>
          <w:trHeight w:val="420" w:hRule="atLeast"/>
        </w:trPr>
        <w:tc>
          <w:tcPr>
            <w:tcW w:w="2952"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4B4EC59F">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Revenue Stream</w:t>
            </w:r>
          </w:p>
        </w:tc>
        <w:tc>
          <w:tcPr>
            <w:tcW w:w="266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62E26BD7">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Indicative Assumption</w:t>
            </w:r>
          </w:p>
        </w:tc>
        <w:tc>
          <w:tcPr>
            <w:tcW w:w="2729"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bottom w:w="30" w:type="dxa"/>
            </w:tcMar>
            <w:vAlign w:val="bottom"/>
          </w:tcPr>
          <w:p w14:paraId="23BEE19D">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ind w:left="0" w:right="0"/>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Monthly Revenue (Maturity)</w:t>
            </w:r>
          </w:p>
        </w:tc>
      </w:tr>
      <w:tr w14:paraId="0ABE0372">
        <w:trPr>
          <w:trHeight w:val="420" w:hRule="atLeast"/>
        </w:trPr>
        <w:tc>
          <w:tcPr>
            <w:tcW w:w="295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D25A14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Marketing retainers</w:t>
            </w:r>
          </w:p>
        </w:tc>
        <w:tc>
          <w:tcPr>
            <w:tcW w:w="266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F679A92">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 clients × £1,000</w:t>
            </w:r>
          </w:p>
        </w:tc>
        <w:tc>
          <w:tcPr>
            <w:tcW w:w="272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EA48AC1">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£8,000</w:t>
            </w:r>
          </w:p>
        </w:tc>
      </w:tr>
      <w:tr w14:paraId="4BADE9D9">
        <w:trPr>
          <w:trHeight w:val="420" w:hRule="atLeast"/>
        </w:trPr>
        <w:tc>
          <w:tcPr>
            <w:tcW w:w="295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8CC24B3">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Social media management</w:t>
            </w:r>
          </w:p>
        </w:tc>
        <w:tc>
          <w:tcPr>
            <w:tcW w:w="266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F55BAAE">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5 clients × £400</w:t>
            </w:r>
          </w:p>
        </w:tc>
        <w:tc>
          <w:tcPr>
            <w:tcW w:w="272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291C397">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w:t>
            </w:r>
          </w:p>
        </w:tc>
      </w:tr>
      <w:tr w14:paraId="54EE598D">
        <w:trPr>
          <w:trHeight w:val="420" w:hRule="atLeast"/>
        </w:trPr>
        <w:tc>
          <w:tcPr>
            <w:tcW w:w="295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2C0FC41">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Content, SEO and blogs</w:t>
            </w:r>
          </w:p>
        </w:tc>
        <w:tc>
          <w:tcPr>
            <w:tcW w:w="266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8EBB55B">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6 clients × £300</w:t>
            </w:r>
          </w:p>
        </w:tc>
        <w:tc>
          <w:tcPr>
            <w:tcW w:w="272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DCD4C0D">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£1,800</w:t>
            </w:r>
          </w:p>
        </w:tc>
      </w:tr>
      <w:tr w14:paraId="7EFE4359">
        <w:trPr>
          <w:trHeight w:val="420" w:hRule="atLeast"/>
        </w:trPr>
        <w:tc>
          <w:tcPr>
            <w:tcW w:w="295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AFE7B39">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Advertising and consultancy</w:t>
            </w:r>
          </w:p>
        </w:tc>
        <w:tc>
          <w:tcPr>
            <w:tcW w:w="266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129AFE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4 projects × £500</w:t>
            </w:r>
          </w:p>
        </w:tc>
        <w:tc>
          <w:tcPr>
            <w:tcW w:w="272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E0D0FF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w:t>
            </w:r>
          </w:p>
        </w:tc>
      </w:tr>
    </w:tbl>
    <w:p w14:paraId="16C6FD4A">
      <w:pPr>
        <w:pStyle w:val="4"/>
        <w:spacing w:line="360" w:lineRule="auto"/>
        <w:jc w:val="center"/>
        <w:rPr>
          <w:rFonts w:hint="default" w:ascii="Arial Regular" w:hAnsi="Arial Regular" w:cs="Arial Regular"/>
          <w:b w:val="0"/>
          <w:bCs w:val="0"/>
          <w:color w:val="000000" w:themeColor="text1"/>
          <w:sz w:val="24"/>
          <w:szCs w:val="24"/>
          <w14:textFill>
            <w14:solidFill>
              <w14:schemeClr w14:val="tx1"/>
            </w14:solidFill>
          </w14:textFill>
        </w:rPr>
      </w:pPr>
      <w:bookmarkStart w:id="19" w:name="_Toc187102510"/>
      <w:bookmarkStart w:id="20" w:name="_Toc239077267"/>
      <w:r>
        <w:rPr>
          <w:rFonts w:hint="default" w:ascii="Arial Regular" w:hAnsi="Arial Regular" w:cs="Arial Regular"/>
          <w:b w:val="0"/>
          <w:bCs w:val="0"/>
          <w:color w:val="000000" w:themeColor="text1"/>
          <w:sz w:val="24"/>
          <w:szCs w:val="24"/>
          <w:lang w:val="de-DE"/>
          <w14:textFill>
            <w14:solidFill>
              <w14:schemeClr w14:val="tx1"/>
            </w14:solidFill>
          </w14:textFill>
        </w:rPr>
        <w:t>Figure 11</w:t>
      </w:r>
      <w:r>
        <w:rPr>
          <w:rFonts w:hint="default" w:ascii="Arial Regular" w:hAnsi="Arial Regular" w:cs="Arial Regular"/>
          <w:b w:val="0"/>
          <w:bCs w:val="0"/>
          <w:color w:val="000000" w:themeColor="text1"/>
          <w:sz w:val="24"/>
          <w:szCs w:val="24"/>
          <w14:textFill>
            <w14:solidFill>
              <w14:schemeClr w14:val="tx1"/>
            </w14:solidFill>
          </w14:textFill>
        </w:rPr>
        <w:t>: Revenue Streams and Indicative Assumptions</w:t>
      </w:r>
      <w:bookmarkEnd w:id="19"/>
      <w:bookmarkEnd w:id="20"/>
    </w:p>
    <w:p w14:paraId="6928E53C">
      <w:pPr>
        <w:pStyle w:val="4"/>
        <w:spacing w:line="360" w:lineRule="auto"/>
        <w:jc w:val="center"/>
        <w:rPr>
          <w:rFonts w:hint="default" w:ascii="Arial Regular" w:hAnsi="Arial Regular" w:eastAsia="SimSun" w:cs="Arial Regular"/>
          <w:b w:val="0"/>
          <w:bCs w:val="0"/>
          <w:color w:val="000000" w:themeColor="text1"/>
          <w:kern w:val="0"/>
          <w:sz w:val="24"/>
          <w:szCs w:val="24"/>
          <w:highlight w:val="yellow"/>
          <w:lang w:val="en-US" w:eastAsia="zh-CN" w:bidi="ar"/>
          <w14:textFill>
            <w14:solidFill>
              <w14:schemeClr w14:val="tx1"/>
            </w14:solidFill>
          </w14:textFill>
        </w:rPr>
      </w:pPr>
      <w:bookmarkStart w:id="21" w:name="_Toc715826362"/>
      <w:r>
        <w:rPr>
          <w:rFonts w:hint="default" w:ascii="Arial Regular" w:hAnsi="Arial Regular" w:cs="Arial Regular"/>
          <w:b w:val="0"/>
          <w:bCs w:val="0"/>
          <w:color w:val="000000" w:themeColor="text1"/>
          <w:sz w:val="24"/>
          <w:szCs w:val="24"/>
          <w14:textFill>
            <w14:solidFill>
              <w14:schemeClr w14:val="tx1"/>
            </w14:solidFill>
          </w14:textFill>
        </w:rPr>
        <w:t>(Source: Self-Created)</w:t>
      </w:r>
      <w:bookmarkEnd w:id="21"/>
    </w:p>
    <w:p w14:paraId="44E65329">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Key Resources</w:t>
      </w:r>
    </w:p>
    <w:p w14:paraId="4CA3C4DC">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Key resources are the assets needed to deliver the value proposition and operate successfully (Osterwalder and Pigneur, 2010). SmartGrowth AI's central resources will include skilled marketing professionals with expertise in AI-assisted marketing, creative content development and strategic consultancy.</w:t>
      </w:r>
    </w:p>
    <w:p w14:paraId="2CCD130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Other essential resources include AI software subscriptions, CRM systems, office facilities, IT infrastructure and reliable internet connectivity. Knowledge of the UK SME market, analytical capability and creative expertise will provide valuable intangible resources that encourage innovation and competitive differentiation.</w:t>
      </w:r>
    </w:p>
    <w:p w14:paraId="32467BF3">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Key Activities</w:t>
      </w:r>
    </w:p>
    <w:p w14:paraId="0D242706">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Key activities are the actions required to create and deliver customer value (Osterwalder and Pigneur, 2010). SmartGrowth AI's activities will include social media content creation, SEO, Google Ads and Meta Ads management, blog writing, market research, product and service development ideation, marketing strategy development and AI-assisted campaign optimisation.</w:t>
      </w:r>
    </w:p>
    <w:p w14:paraId="2D305F21">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Combining AI automation with human creativity and strategic decision-making will enable the agency to provide efficient, data-driven and personalised solutions. Continuous campaign monitoring and optimisation will further improve performance and client satisfaction.</w:t>
      </w:r>
    </w:p>
    <w:p w14:paraId="57197BEF">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Key Partnerships</w:t>
      </w:r>
    </w:p>
    <w:p w14:paraId="32475204">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Key partnerships are external relationships that improve efficiency, reduce risk and strengthen competitive advantage (Osterwalder and Pigneur, 2010). SmartGrowth AI will build relationships with Google Ads and Meta Business Partners to improve advertising performance and access industry training and certification.</w:t>
      </w:r>
    </w:p>
    <w:p w14:paraId="61E81290">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Collaboration with AI providers, including ChatGPT, Canva, Midjourney and Claude, will support content creation, optimisation and data analysis. Freelance videographers, photographers and web developers will provide specialist expertise without adding permanent staffing costs. Relationships with SME networks and business associations will also support customer acquisition,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
          <w14:textFill>
            <w14:solidFill>
              <w14:schemeClr w14:val="tx1"/>
            </w14:solidFill>
          </w14:textFill>
        </w:rPr>
        <w:t>referrals,</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and wider business development.</w:t>
      </w:r>
    </w:p>
    <w:p w14:paraId="7C8FBE6E">
      <w:pPr>
        <w:pStyle w:val="11"/>
        <w:keepNext w:val="0"/>
        <w:keepLines w:val="0"/>
        <w:widowControl/>
        <w:numPr>
          <w:ilvl w:val="0"/>
          <w:numId w:val="12"/>
        </w:numPr>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420" w:leftChars="0" w:right="0" w:hanging="420" w:firstLineChars="0"/>
        <w:jc w:val="both"/>
        <w:textAlignment w:val="baseline"/>
        <w:rPr>
          <w:rFonts w:hint="default" w:ascii="Arial Regular" w:hAnsi="Arial Regular" w:cs="Arial Regular"/>
          <w:b/>
          <w:bCs/>
          <w:i w:val="0"/>
          <w:iCs w:val="0"/>
          <w:color w:val="000000" w:themeColor="text1"/>
          <w:sz w:val="24"/>
          <w:szCs w:val="24"/>
          <w14:textFill>
            <w14:solidFill>
              <w14:schemeClr w14:val="tx1"/>
            </w14:solidFill>
          </w14:textFill>
        </w:rPr>
      </w:pPr>
      <w:r>
        <w:rPr>
          <w:rFonts w:hint="default" w:ascii="Arial Regular" w:hAnsi="Arial Regular" w:eastAsia="Arial Bold" w:cs="Arial Regular"/>
          <w:b/>
          <w:bCs/>
          <w:i w:val="0"/>
          <w:iCs w:val="0"/>
          <w:caps w:val="0"/>
          <w:color w:val="000000" w:themeColor="text1"/>
          <w:spacing w:val="0"/>
          <w:sz w:val="24"/>
          <w:szCs w:val="24"/>
          <w:shd w:val="clear" w:fill="FFFFFF"/>
          <w:vertAlign w:val="baseline"/>
          <w:lang w:val="en-US"/>
          <w14:textFill>
            <w14:solidFill>
              <w14:schemeClr w14:val="tx1"/>
            </w14:solidFill>
          </w14:textFill>
        </w:rPr>
        <w:t>Cost Structure</w:t>
      </w:r>
    </w:p>
    <w:p w14:paraId="67ED02CE">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cost structure covers the principal expenses involved in operating the business model (Osterwalder and Pigneur, 2010). SmartGrowth AI's largest costs will be employee salaries and benefits because the agency depends on skilled marketing professionals. Other expenses will include AI subscriptions, office rent and utilities, technology infrastructure, website maintenance, marketing and advertising, employee development,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
          <w14:textFill>
            <w14:solidFill>
              <w14:schemeClr w14:val="tx1"/>
            </w14:solidFill>
          </w14:textFill>
        </w:rPr>
        <w:t>insurance,</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and legal compliance.</w:t>
      </w:r>
    </w:p>
    <w:p w14:paraId="6A42FA69">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val="0"/>
          <w:bCs w:val="0"/>
          <w:i w:val="0"/>
          <w:iCs w:val="0"/>
          <w:color w:val="000000" w:themeColor="text1"/>
          <w:sz w:val="24"/>
          <w:szCs w:val="24"/>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Although AI software requires significant investment, automation will increase productivity, reduce repetitive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
          <w14:textFill>
            <w14:solidFill>
              <w14:schemeClr w14:val="tx1"/>
            </w14:solidFill>
          </w14:textFill>
        </w:rPr>
        <w:t>work,</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and allow the agency to offer high-quality services at competitive prices. A lean organisational structure that combines permanent employees with freelance specialists will provide additional cost efficiency and operational flexibility.</w:t>
      </w:r>
    </w:p>
    <w:p w14:paraId="4AB1936D">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line="360" w:lineRule="auto"/>
        <w:ind w:left="0" w:right="0" w:firstLine="0"/>
        <w:jc w:val="both"/>
        <w:textAlignment w:val="baseline"/>
        <w:rPr>
          <w:rFonts w:hint="default" w:ascii="Arial Regular" w:hAnsi="Arial Regular" w:cs="Arial Regular"/>
          <w:b/>
          <w:bCs/>
          <w:i w:val="0"/>
          <w:iCs w:val="0"/>
          <w:color w:val="000000" w:themeColor="text1"/>
          <w:sz w:val="24"/>
          <w:szCs w:val="24"/>
          <w:lang w:val="de-DE"/>
          <w14:textFill>
            <w14:solidFill>
              <w14:schemeClr w14:val="tx1"/>
            </w14:solidFill>
          </w14:textFill>
        </w:rPr>
      </w:pPr>
      <w:r>
        <w:rPr>
          <w:rFonts w:hint="default" w:ascii="Arial Regular" w:hAnsi="Arial Regular" w:cs="Arial Regular"/>
          <w:b/>
          <w:bCs/>
          <w:i w:val="0"/>
          <w:iCs w:val="0"/>
          <w:color w:val="000000" w:themeColor="text1"/>
          <w:sz w:val="24"/>
          <w:szCs w:val="24"/>
          <w:lang w:val="de-DE"/>
          <w14:textFill>
            <w14:solidFill>
              <w14:schemeClr w14:val="tx1"/>
            </w14:solidFill>
          </w14:textFill>
        </w:rPr>
        <w:t xml:space="preserve">Critical Analysis </w:t>
      </w:r>
    </w:p>
    <w:p w14:paraId="7DFED02A">
      <w:pPr>
        <w:pStyle w:val="11"/>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right="0" w:firstLine="0"/>
        <w:jc w:val="both"/>
        <w:textAlignment w:val="baseline"/>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The Business Model Canvas shows how SmartGrowth AI will create, deliver, and capture value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
          <w14:textFill>
            <w14:solidFill>
              <w14:schemeClr w14:val="tx1"/>
            </w14:solidFill>
          </w14:textFill>
        </w:rPr>
        <w:t>through</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an integrated, customer-focused model. Combining AI technology with human creativity, it offers affordable, high-quality digital marketing and business development services tailored to UK service-based SMEs. Defined customer segments, a distinctive value proposition, diversified revenue streams, and strategic partnerships underpin sustainable growth and competitive advantage. Aligned key resources, activities, and cost structure ensure efficient operations and responsiveness to changing customer needs and technological developments. Overall, the BMC </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de-DE"/>
          <w14:textFill>
            <w14:solidFill>
              <w14:schemeClr w14:val="tx1"/>
            </w14:solidFill>
          </w14:textFill>
        </w:rPr>
        <w:t>indicates potential commercial viability</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lang w:val="en-US"/>
          <w14:textFill>
            <w14:solidFill>
              <w14:schemeClr w14:val="tx1"/>
            </w14:solidFill>
          </w14:textFill>
        </w:rPr>
        <w:t xml:space="preserve"> and provides a practical framework for long-term UK digital marketing success.</w:t>
      </w:r>
      <w:r>
        <w:rPr>
          <w:rFonts w:hint="default" w:ascii="Arial Regular" w:hAnsi="Arial Regular" w:eastAsia="Arial Regular" w:cs="Arial Regular"/>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5F14D8F">
      <w:pPr>
        <w:pStyle w:val="2"/>
        <w:keepNext w:val="0"/>
        <w:keepLines w:val="0"/>
        <w:widowControl/>
        <w:numPr>
          <w:ilvl w:val="0"/>
          <w:numId w:val="11"/>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22" w:name="_Toc690275640"/>
      <w:r>
        <w:rPr>
          <w:rFonts w:hint="default" w:ascii="Arial Regular" w:hAnsi="Arial Regular" w:cs="Arial Regular"/>
          <w:b/>
          <w:bCs/>
          <w:color w:val="000000" w:themeColor="text1"/>
          <w:sz w:val="24"/>
          <w:szCs w:val="24"/>
          <w14:textFill>
            <w14:solidFill>
              <w14:schemeClr w14:val="tx1"/>
            </w14:solidFill>
          </w14:textFill>
        </w:rPr>
        <w:t xml:space="preserve">Financial, Marketing and Sales, </w:t>
      </w:r>
      <w:r>
        <w:rPr>
          <w:rFonts w:hint="default" w:ascii="Arial Regular" w:hAnsi="Arial Regular" w:cs="Arial Regular"/>
          <w:b/>
          <w:bCs/>
          <w:color w:val="000000" w:themeColor="text1"/>
          <w:sz w:val="24"/>
          <w:szCs w:val="24"/>
          <w:lang w:val="de-DE"/>
          <w14:textFill>
            <w14:solidFill>
              <w14:schemeClr w14:val="tx1"/>
            </w14:solidFill>
          </w14:textFill>
        </w:rPr>
        <w:t xml:space="preserve">&amp; </w:t>
      </w:r>
      <w:r>
        <w:rPr>
          <w:rFonts w:hint="default" w:ascii="Arial Regular" w:hAnsi="Arial Regular" w:cs="Arial Regular"/>
          <w:b/>
          <w:bCs/>
          <w:color w:val="000000" w:themeColor="text1"/>
          <w:sz w:val="24"/>
          <w:szCs w:val="24"/>
          <w14:textFill>
            <w14:solidFill>
              <w14:schemeClr w14:val="tx1"/>
            </w14:solidFill>
          </w14:textFill>
        </w:rPr>
        <w:t>Human Capital Management Plan</w:t>
      </w:r>
      <w:bookmarkEnd w:id="22"/>
    </w:p>
    <w:p w14:paraId="7876E3AA">
      <w:pPr>
        <w:pStyle w:val="3"/>
        <w:keepNext w:val="0"/>
        <w:keepLines w:val="0"/>
        <w:widowControl/>
        <w:suppressLineNumbers w:val="0"/>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bookmarkStart w:id="23" w:name="_Toc756020386"/>
      <w:r>
        <w:rPr>
          <w:rFonts w:hint="default" w:ascii="Arial Regular" w:hAnsi="Arial Regular" w:cs="Arial Regular"/>
          <w:b/>
          <w:bCs/>
          <w:color w:val="000000" w:themeColor="text1"/>
          <w:sz w:val="24"/>
          <w:szCs w:val="24"/>
          <w:lang w:val="de-DE"/>
          <w14:textFill>
            <w14:solidFill>
              <w14:schemeClr w14:val="tx1"/>
            </w14:solidFill>
          </w14:textFill>
        </w:rPr>
        <w:t xml:space="preserve">9.1 </w:t>
      </w:r>
      <w:r>
        <w:rPr>
          <w:rFonts w:hint="default" w:ascii="Arial Regular" w:hAnsi="Arial Regular" w:cs="Arial Regular"/>
          <w:b/>
          <w:bCs/>
          <w:color w:val="000000" w:themeColor="text1"/>
          <w:sz w:val="24"/>
          <w:szCs w:val="24"/>
          <w14:textFill>
            <w14:solidFill>
              <w14:schemeClr w14:val="tx1"/>
            </w14:solidFill>
          </w14:textFill>
        </w:rPr>
        <w:t>Integrated Plan Overview</w:t>
      </w:r>
      <w:bookmarkEnd w:id="23"/>
      <w:r>
        <w:rPr>
          <w:rFonts w:hint="default" w:ascii="Arial Regular" w:hAnsi="Arial Regular" w:cs="Arial Regular"/>
          <w:b/>
          <w:bCs/>
          <w:color w:val="000000" w:themeColor="text1"/>
          <w:sz w:val="24"/>
          <w:szCs w:val="24"/>
          <w14:textFill>
            <w14:solidFill>
              <w14:schemeClr w14:val="tx1"/>
            </w14:solidFill>
          </w14:textFill>
        </w:rPr>
        <w:t xml:space="preserve"> </w:t>
      </w:r>
    </w:p>
    <w:p w14:paraId="49DCB90F">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A management plan coordinates financial, marketing, sales and human resources to achieve organisational objectives effectively (Johnson et al., 2017). For SmartGrowth AI, the integrated plan supports sustainable growth of an AI-powered marketing agency serving UK service-based SMEs. Financial management will control startup and operating expenditure while monitoring revenue, profitability and break-even performance. Marketing and sales will generate awareness, leads and recurring clients through digital promotion, referrals and direct outreach. Human capital management will recruit creative and digitally skilled employees, supported by training in AI, marketing and data protection. Together, these activities create an integrated foundation for operational efficiency, customer value and long-term competitiveness.</w:t>
      </w:r>
    </w:p>
    <w:p w14:paraId="00B125F4">
      <w:pPr>
        <w:pStyle w:val="3"/>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bookmarkStart w:id="24" w:name="_Toc1921371850"/>
      <w:r>
        <w:rPr>
          <w:rFonts w:hint="default" w:ascii="Arial Regular" w:hAnsi="Arial Regular" w:cs="Arial Regular"/>
          <w:color w:val="000000" w:themeColor="text1"/>
          <w:sz w:val="24"/>
          <w:szCs w:val="24"/>
          <w14:textFill>
            <w14:solidFill>
              <w14:schemeClr w14:val="tx1"/>
            </w14:solidFill>
          </w14:textFill>
        </w:rPr>
        <w:t>A. Financial Plan</w:t>
      </w:r>
      <w:bookmarkEnd w:id="24"/>
      <w:r>
        <w:rPr>
          <w:rFonts w:hint="default" w:ascii="Arial Regular" w:hAnsi="Arial Regular" w:cs="Arial Regular"/>
          <w:color w:val="000000" w:themeColor="text1"/>
          <w:sz w:val="24"/>
          <w:szCs w:val="24"/>
          <w14:textFill>
            <w14:solidFill>
              <w14:schemeClr w14:val="tx1"/>
            </w14:solidFill>
          </w14:textFill>
        </w:rPr>
        <w:t xml:space="preserve"> </w:t>
      </w:r>
    </w:p>
    <w:p w14:paraId="216D9ECF">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Financial planning involves forecasting financial requirements, revenues, costs and profitability to support business decision-making (Atrill and McLaney, 2019). SmartGrowth AI will use conservative first-year assumptions, prioritising controlled growth, recurring retainers and careful cost management.</w:t>
      </w:r>
    </w:p>
    <w:tbl>
      <w:tblPr>
        <w:tblStyle w:val="6"/>
        <w:tblW w:w="8174"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2530"/>
        <w:gridCol w:w="1644"/>
        <w:gridCol w:w="4000"/>
      </w:tblGrid>
      <w:tr w14:paraId="6F316AD0">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6B547C55">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Assumption</w:t>
            </w:r>
          </w:p>
        </w:tc>
        <w:tc>
          <w:tcPr>
            <w:tcW w:w="1644"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BC470B7">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Year 1 basis</w:t>
            </w:r>
          </w:p>
        </w:tc>
        <w:tc>
          <w:tcPr>
            <w:tcW w:w="4000"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bottom w:w="30" w:type="dxa"/>
            </w:tcMar>
            <w:vAlign w:val="bottom"/>
          </w:tcPr>
          <w:p w14:paraId="133CB2BE">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ind w:left="0" w:right="0"/>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Source of calculation</w:t>
            </w:r>
          </w:p>
        </w:tc>
      </w:tr>
      <w:tr w14:paraId="21EB53B2">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7945D38">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Average monthly retainer</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AA2B080">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46896E26">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Management assumption</w:t>
            </w:r>
          </w:p>
        </w:tc>
      </w:tr>
      <w:tr w14:paraId="27F30AFD">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53C492C">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Retainer clients</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CF5F4D0">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 clients</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E9E8B3F">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Sales target</w:t>
            </w:r>
          </w:p>
        </w:tc>
      </w:tr>
      <w:tr w14:paraId="25ADF6EA">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1838B3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Retainer revenue</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51228D9">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£240,000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7A3BFAD5">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 × £1,000 × 12</w:t>
            </w:r>
          </w:p>
        </w:tc>
      </w:tr>
      <w:tr w14:paraId="772041B1">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A1C35CD">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Additional services</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F400B52">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£180,000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4FC7260C">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Projects, SEO, content and consultancy</w:t>
            </w:r>
          </w:p>
        </w:tc>
      </w:tr>
      <w:tr w14:paraId="1FF479C7">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5B5300C">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Total revenue</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2A9C135">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£420,000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673815F0">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Retainers + additional services</w:t>
            </w:r>
          </w:p>
        </w:tc>
      </w:tr>
      <w:tr w14:paraId="46A23D78">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652C959">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Payroll</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06F65BC">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£235,000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43F6915E">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 staff × estimated blended cost</w:t>
            </w:r>
          </w:p>
        </w:tc>
      </w:tr>
      <w:tr w14:paraId="1C671A97">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9F59B23">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Other operating costs</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1D52B2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£150,000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2B7BEF85">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Rent, software, marketing and administration</w:t>
            </w:r>
          </w:p>
        </w:tc>
      </w:tr>
      <w:tr w14:paraId="34A1807C">
        <w:trPr>
          <w:trHeight w:val="420" w:hRule="atLeast"/>
        </w:trPr>
        <w:tc>
          <w:tcPr>
            <w:tcW w:w="253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8DFDEC9">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EBITDA</w:t>
            </w:r>
          </w:p>
        </w:tc>
        <w:tc>
          <w:tcPr>
            <w:tcW w:w="164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4B480C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£35,000</w:t>
            </w:r>
          </w:p>
        </w:tc>
        <w:tc>
          <w:tcPr>
            <w:tcW w:w="4000"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7AAC1621">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Revenue − operating costs</w:t>
            </w:r>
          </w:p>
        </w:tc>
      </w:tr>
    </w:tbl>
    <w:p w14:paraId="5B655E3A">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Figure 12: Estimated Start-up Cost</w:t>
      </w:r>
    </w:p>
    <w:p w14:paraId="401BD411">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Created by learner)</w:t>
      </w:r>
    </w:p>
    <w:p w14:paraId="6B574DE4">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These assumptions reflect SmartGrowth AI’s SME-focused positioning and planned integrated services. Recurring retainers provide predictable income, while additional services create cross-selling opportunities. The plan should be reviewed quarterly against actual client acquisition, staff costs and service demand. This approach supports financial control while allowing investment in growth and service development.</w:t>
      </w:r>
    </w:p>
    <w:p w14:paraId="49BFA92E">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25" w:name="_Toc785083011"/>
      <w:r>
        <w:rPr>
          <w:rFonts w:hint="default" w:ascii="Arial Regular" w:hAnsi="Arial Regular" w:cs="Arial Regular"/>
          <w:color w:val="000000" w:themeColor="text1"/>
          <w:sz w:val="24"/>
          <w:szCs w:val="24"/>
          <w14:textFill>
            <w14:solidFill>
              <w14:schemeClr w14:val="tx1"/>
            </w14:solidFill>
          </w14:textFill>
        </w:rPr>
        <w:t>Startup Costs</w:t>
      </w:r>
      <w:bookmarkEnd w:id="25"/>
    </w:p>
    <w:p w14:paraId="5522584B">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Startup costs are expenditures incurred before a business begins trading, including premises, equipment, technology and initial marketing (Burns, 202</w:t>
      </w:r>
      <w:r>
        <w:rPr>
          <w:rFonts w:hint="default" w:ascii="Arial Regular" w:hAnsi="Arial Regular" w:cs="Arial Regular"/>
          <w:color w:val="000000" w:themeColor="text1"/>
          <w:sz w:val="24"/>
          <w:szCs w:val="24"/>
          <w:lang w:val="de-DE"/>
          <w14:textFill>
            <w14:solidFill>
              <w14:schemeClr w14:val="tx1"/>
            </w14:solidFill>
          </w14:textFill>
        </w:rPr>
        <w:t>2</w:t>
      </w:r>
      <w:r>
        <w:rPr>
          <w:rFonts w:hint="default" w:ascii="Arial Regular" w:hAnsi="Arial Regular" w:cs="Arial Regular"/>
          <w:color w:val="000000" w:themeColor="text1"/>
          <w:sz w:val="24"/>
          <w:szCs w:val="24"/>
          <w14:textFill>
            <w14:solidFill>
              <w14:schemeClr w14:val="tx1"/>
            </w14:solidFill>
          </w14:textFill>
        </w:rPr>
        <w:t>). SmartGrowth AI requires sufficient initial funding to establish professional operations and launch its AI-enabled service model.</w:t>
      </w:r>
    </w:p>
    <w:tbl>
      <w:tblPr>
        <w:tblStyle w:val="6"/>
        <w:tblW w:w="8344"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2625"/>
        <w:gridCol w:w="1301"/>
        <w:gridCol w:w="4418"/>
      </w:tblGrid>
      <w:tr w14:paraId="3768A1D1">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56E66A7F">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Cost Category</w:t>
            </w:r>
          </w:p>
        </w:tc>
        <w:tc>
          <w:tcPr>
            <w:tcW w:w="130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655680EF">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Cost (£)</w:t>
            </w:r>
          </w:p>
        </w:tc>
        <w:tc>
          <w:tcPr>
            <w:tcW w:w="4418"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4AAAFF43">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Notes</w:t>
            </w:r>
          </w:p>
        </w:tc>
      </w:tr>
      <w:tr w14:paraId="192F7FE6">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72BF428">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Office deposit and setup</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A17226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1631D563">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Deposit, basic furnishing and utilities</w:t>
            </w:r>
          </w:p>
        </w:tc>
      </w:tr>
      <w:tr w14:paraId="71480B17">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5FCC7A8">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Computers and equipment</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F81DAC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7,000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6DE4375B">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Laptops, monitors and accessories</w:t>
            </w:r>
          </w:p>
        </w:tc>
      </w:tr>
      <w:tr w14:paraId="30F3BD2B">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C2585F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Software and AI tools</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BA3DE28">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4,000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115B6D08">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Initial licences and subscriptions</w:t>
            </w:r>
          </w:p>
        </w:tc>
      </w:tr>
      <w:tr w14:paraId="3EFB0BAE">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EC44675">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Website and branding</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6A238CC">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0D437777">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Website development and visual identity</w:t>
            </w:r>
          </w:p>
        </w:tc>
      </w:tr>
      <w:tr w14:paraId="39540D23">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9E5DD8F">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Launch marketing</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E115640">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216912CD">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Digital advertising and promotional materials</w:t>
            </w:r>
          </w:p>
        </w:tc>
      </w:tr>
      <w:tr w14:paraId="7B792C7F">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E97DECC">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Legal and professional costs</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A43168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3362238C">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Registration, contracts and professional advice</w:t>
            </w:r>
          </w:p>
        </w:tc>
      </w:tr>
      <w:tr w14:paraId="077AB48C">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013C13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Contingency</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49A9AF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7343E160">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Unexpected pre-launch expenditure</w:t>
            </w:r>
          </w:p>
        </w:tc>
      </w:tr>
      <w:tr w14:paraId="5392AAA7">
        <w:trPr>
          <w:trHeight w:val="420" w:hRule="atLeast"/>
        </w:trPr>
        <w:tc>
          <w:tcPr>
            <w:tcW w:w="262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C50B222">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Total</w:t>
            </w:r>
          </w:p>
        </w:tc>
        <w:tc>
          <w:tcPr>
            <w:tcW w:w="130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DE44E51">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30,000</w:t>
            </w:r>
          </w:p>
        </w:tc>
        <w:tc>
          <w:tcPr>
            <w:tcW w:w="4418"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38D370B2">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Estimated initial requirement</w:t>
            </w:r>
          </w:p>
        </w:tc>
      </w:tr>
    </w:tbl>
    <w:p w14:paraId="1255077E">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Figure 13: Estimated Start-up Cost</w:t>
      </w:r>
    </w:p>
    <w:p w14:paraId="42A238E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Created by learner)</w:t>
      </w:r>
    </w:p>
    <w:p w14:paraId="4E4F08D7">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 estimated £30,000 requirement provides a practical launch base without excessive upfront investment. SmartGrowth AI should retain contingency funding to manage unexpected costs and avoid unnecessary pressure on early cash flow.</w:t>
      </w:r>
    </w:p>
    <w:p w14:paraId="63755F28">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26" w:name="_Toc750638709"/>
      <w:r>
        <w:rPr>
          <w:rFonts w:hint="default" w:ascii="Arial Regular" w:hAnsi="Arial Regular" w:cs="Arial Regular"/>
          <w:color w:val="000000" w:themeColor="text1"/>
          <w:sz w:val="24"/>
          <w:szCs w:val="24"/>
          <w14:textFill>
            <w14:solidFill>
              <w14:schemeClr w14:val="tx1"/>
            </w14:solidFill>
          </w14:textFill>
        </w:rPr>
        <w:t>Operating Costs</w:t>
      </w:r>
      <w:bookmarkEnd w:id="26"/>
      <w:r>
        <w:rPr>
          <w:rFonts w:hint="default" w:ascii="Arial Regular" w:hAnsi="Arial Regular" w:cs="Arial Regular"/>
          <w:color w:val="000000" w:themeColor="text1"/>
          <w:sz w:val="24"/>
          <w:szCs w:val="24"/>
          <w14:textFill>
            <w14:solidFill>
              <w14:schemeClr w14:val="tx1"/>
            </w14:solidFill>
          </w14:textFill>
        </w:rPr>
        <w:t xml:space="preserve"> </w:t>
      </w:r>
    </w:p>
    <w:p w14:paraId="48EF3C66">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Operating costs are expenses required to maintain normal business activities (Atrill and McLaney, 2019). SmartGrowth AI’s major costs will include employee wages, office rent, AI and marketing software, utilities, advertising, professional services, insurance and administration. Payroll is expected to represent the largest cost because service delivery depends on skilled creative and digital employees. Regular monitoring of software subscriptions, advertising expenditure and staffing levels will help control costs while maintaining service quality and supporting profitability.</w:t>
      </w:r>
    </w:p>
    <w:p w14:paraId="2224A165">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27" w:name="_Toc1665839685"/>
      <w:r>
        <w:rPr>
          <w:rFonts w:hint="default" w:ascii="Arial Regular" w:hAnsi="Arial Regular" w:cs="Arial Regular"/>
          <w:color w:val="000000" w:themeColor="text1"/>
          <w:sz w:val="24"/>
          <w:szCs w:val="24"/>
          <w14:textFill>
            <w14:solidFill>
              <w14:schemeClr w14:val="tx1"/>
            </w14:solidFill>
          </w14:textFill>
        </w:rPr>
        <w:t>Revenue Model and Pricing Strategy</w:t>
      </w:r>
      <w:bookmarkEnd w:id="27"/>
      <w:r>
        <w:rPr>
          <w:rFonts w:hint="default" w:ascii="Arial Regular" w:hAnsi="Arial Regular" w:cs="Arial Regular"/>
          <w:color w:val="000000" w:themeColor="text1"/>
          <w:sz w:val="24"/>
          <w:szCs w:val="24"/>
          <w14:textFill>
            <w14:solidFill>
              <w14:schemeClr w14:val="tx1"/>
            </w14:solidFill>
          </w14:textFill>
        </w:rPr>
        <w:t xml:space="preserve"> </w:t>
      </w:r>
    </w:p>
    <w:p w14:paraId="5F6C552C">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A revenue model explains how an organisation generates income from customers (Osterwalder and Pigneur, 2010). SmartGrowth AI will use monthly marketing retainers as its primary revenue stream, supported by social media, content, SEO, advertising and consultancy packages. An indicative £1,000 average monthly retainer balances affordability with service value. Tiered packages will allow SMEs to select services according to their budgets and encourage upgrades as business needs increase.</w:t>
      </w:r>
    </w:p>
    <w:p w14:paraId="186E31FC">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28" w:name="_Toc1023279856"/>
      <w:r>
        <w:rPr>
          <w:rFonts w:hint="default" w:ascii="Arial Regular" w:hAnsi="Arial Regular" w:cs="Arial Regular"/>
          <w:color w:val="000000" w:themeColor="text1"/>
          <w:sz w:val="24"/>
          <w:szCs w:val="24"/>
          <w14:textFill>
            <w14:solidFill>
              <w14:schemeClr w14:val="tx1"/>
            </w14:solidFill>
          </w14:textFill>
        </w:rPr>
        <w:t>Three-Year Financial Projections</w:t>
      </w:r>
      <w:bookmarkEnd w:id="28"/>
      <w:r>
        <w:rPr>
          <w:rFonts w:hint="default" w:ascii="Arial Regular" w:hAnsi="Arial Regular" w:cs="Arial Regular"/>
          <w:color w:val="000000" w:themeColor="text1"/>
          <w:sz w:val="24"/>
          <w:szCs w:val="24"/>
          <w14:textFill>
            <w14:solidFill>
              <w14:schemeClr w14:val="tx1"/>
            </w14:solidFill>
          </w14:textFill>
        </w:rPr>
        <w:t xml:space="preserve"> </w:t>
      </w:r>
    </w:p>
    <w:p w14:paraId="3DB54184">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Financial projections estimate future revenues, costs and profitability to support planning and investment decisions (Atrill and McLaney, 2019). SmartGrowth AI’s projections assume increasing client acquisition, improved retention and additional service sales as brand awareness develops.</w:t>
      </w:r>
    </w:p>
    <w:tbl>
      <w:tblPr>
        <w:tblStyle w:val="6"/>
        <w:tblW w:w="8546"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2986"/>
        <w:gridCol w:w="1831"/>
        <w:gridCol w:w="1864"/>
        <w:gridCol w:w="1865"/>
      </w:tblGrid>
      <w:tr w14:paraId="5D976DD5">
        <w:trPr>
          <w:trHeight w:val="420" w:hRule="atLeast"/>
        </w:trPr>
        <w:tc>
          <w:tcPr>
            <w:tcW w:w="2986"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4D2E2E1D">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Metric</w:t>
            </w:r>
          </w:p>
        </w:tc>
        <w:tc>
          <w:tcPr>
            <w:tcW w:w="183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2455B333">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Year 1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c>
          <w:tcPr>
            <w:tcW w:w="1864"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21F1E197">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Year 2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c>
          <w:tcPr>
            <w:tcW w:w="1865"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67AEF044">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Year 3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r>
      <w:tr w14:paraId="162F3CA7">
        <w:trPr>
          <w:trHeight w:val="420" w:hRule="atLeast"/>
        </w:trPr>
        <w:tc>
          <w:tcPr>
            <w:tcW w:w="2986"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A9D4F86">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Revenue</w:t>
            </w:r>
          </w:p>
        </w:tc>
        <w:tc>
          <w:tcPr>
            <w:tcW w:w="18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899B959">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420,000</w:t>
            </w:r>
          </w:p>
        </w:tc>
        <w:tc>
          <w:tcPr>
            <w:tcW w:w="186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EA6E83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600,000</w:t>
            </w:r>
          </w:p>
        </w:tc>
        <w:tc>
          <w:tcPr>
            <w:tcW w:w="186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EFF4CD5">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900,000</w:t>
            </w:r>
          </w:p>
        </w:tc>
      </w:tr>
      <w:tr w14:paraId="30BA0517">
        <w:trPr>
          <w:trHeight w:val="420" w:hRule="atLeast"/>
        </w:trPr>
        <w:tc>
          <w:tcPr>
            <w:tcW w:w="2986"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3D3CA2D3">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Operating costs</w:t>
            </w:r>
          </w:p>
        </w:tc>
        <w:tc>
          <w:tcPr>
            <w:tcW w:w="18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D65B21F">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385,000</w:t>
            </w:r>
          </w:p>
        </w:tc>
        <w:tc>
          <w:tcPr>
            <w:tcW w:w="186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7893E02">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510,000</w:t>
            </w:r>
          </w:p>
        </w:tc>
        <w:tc>
          <w:tcPr>
            <w:tcW w:w="186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557466E">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735,000</w:t>
            </w:r>
          </w:p>
        </w:tc>
      </w:tr>
      <w:tr w14:paraId="3DB93477">
        <w:trPr>
          <w:trHeight w:val="420" w:hRule="atLeast"/>
        </w:trPr>
        <w:tc>
          <w:tcPr>
            <w:tcW w:w="2986"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3503D6FA">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EBITDA</w:t>
            </w:r>
          </w:p>
        </w:tc>
        <w:tc>
          <w:tcPr>
            <w:tcW w:w="18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EE37062">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35,000</w:t>
            </w:r>
          </w:p>
        </w:tc>
        <w:tc>
          <w:tcPr>
            <w:tcW w:w="186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5D65646">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90,000</w:t>
            </w:r>
          </w:p>
        </w:tc>
        <w:tc>
          <w:tcPr>
            <w:tcW w:w="186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D7333D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165,000</w:t>
            </w:r>
          </w:p>
        </w:tc>
      </w:tr>
      <w:tr w14:paraId="49B42EFF">
        <w:trPr>
          <w:trHeight w:val="420" w:hRule="atLeast"/>
        </w:trPr>
        <w:tc>
          <w:tcPr>
            <w:tcW w:w="2986"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3916064A">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Depreciation and other costs</w:t>
            </w:r>
          </w:p>
        </w:tc>
        <w:tc>
          <w:tcPr>
            <w:tcW w:w="18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C0DCE90">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10,000</w:t>
            </w:r>
          </w:p>
        </w:tc>
        <w:tc>
          <w:tcPr>
            <w:tcW w:w="186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9DD8777">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15,000</w:t>
            </w:r>
          </w:p>
        </w:tc>
        <w:tc>
          <w:tcPr>
            <w:tcW w:w="186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2D7E45C">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20,000</w:t>
            </w:r>
          </w:p>
        </w:tc>
      </w:tr>
      <w:tr w14:paraId="6AE1C3ED">
        <w:trPr>
          <w:trHeight w:val="420" w:hRule="atLeast"/>
        </w:trPr>
        <w:tc>
          <w:tcPr>
            <w:tcW w:w="2986"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D606D10">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Estimated net profit</w:t>
            </w:r>
          </w:p>
        </w:tc>
        <w:tc>
          <w:tcPr>
            <w:tcW w:w="183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87C89D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20,000</w:t>
            </w:r>
          </w:p>
        </w:tc>
        <w:tc>
          <w:tcPr>
            <w:tcW w:w="1864"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CB78D20">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60,000</w:t>
            </w:r>
          </w:p>
        </w:tc>
        <w:tc>
          <w:tcPr>
            <w:tcW w:w="186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4431779">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115,000</w:t>
            </w:r>
          </w:p>
        </w:tc>
      </w:tr>
    </w:tbl>
    <w:p w14:paraId="58F28B5A">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14: </w:t>
      </w:r>
      <w:r>
        <w:rPr>
          <w:rFonts w:hint="default" w:ascii="Arial Regular" w:hAnsi="Arial Regular" w:cs="Arial Regular"/>
          <w:b w:val="0"/>
          <w:bCs w:val="0"/>
          <w:color w:val="000000" w:themeColor="text1"/>
          <w:sz w:val="24"/>
          <w:szCs w:val="24"/>
          <w14:textFill>
            <w14:solidFill>
              <w14:schemeClr w14:val="tx1"/>
            </w14:solidFill>
          </w14:textFill>
        </w:rPr>
        <w:t>Three</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 </w:t>
      </w:r>
      <w:r>
        <w:rPr>
          <w:rFonts w:hint="default" w:ascii="Arial Regular" w:hAnsi="Arial Regular" w:cs="Arial Regular"/>
          <w:b w:val="0"/>
          <w:bCs w:val="0"/>
          <w:color w:val="000000" w:themeColor="text1"/>
          <w:sz w:val="24"/>
          <w:szCs w:val="24"/>
          <w14:textFill>
            <w14:solidFill>
              <w14:schemeClr w14:val="tx1"/>
            </w14:solidFill>
          </w14:textFill>
        </w:rPr>
        <w:t>Year</w:t>
      </w:r>
      <w:r>
        <w:rPr>
          <w:rFonts w:hint="default" w:ascii="Arial Regular" w:hAnsi="Arial Regular" w:cs="Arial Regular"/>
          <w:b w:val="0"/>
          <w:bCs w:val="0"/>
          <w:color w:val="000000" w:themeColor="text1"/>
          <w:sz w:val="24"/>
          <w:szCs w:val="24"/>
          <w:lang w:val="de-DE"/>
          <w14:textFill>
            <w14:solidFill>
              <w14:schemeClr w14:val="tx1"/>
            </w14:solidFill>
          </w14:textFill>
        </w:rPr>
        <w:t>s</w:t>
      </w:r>
      <w:r>
        <w:rPr>
          <w:rFonts w:hint="default" w:ascii="Arial Regular" w:hAnsi="Arial Regular" w:cs="Arial Regular"/>
          <w:b w:val="0"/>
          <w:bCs w:val="0"/>
          <w:color w:val="000000" w:themeColor="text1"/>
          <w:sz w:val="24"/>
          <w:szCs w:val="24"/>
          <w14:textFill>
            <w14:solidFill>
              <w14:schemeClr w14:val="tx1"/>
            </w14:solidFill>
          </w14:textFill>
        </w:rPr>
        <w:t xml:space="preserve"> Profit and Loss Projection</w:t>
      </w:r>
    </w:p>
    <w:p w14:paraId="3B37E96B">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Created by learner)</w:t>
      </w:r>
    </w:p>
    <w:p w14:paraId="5685E084">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Revenue growth is expected to come from additional retainer clients, cross-selling and expansion of consultancy services. Operating costs increase as SmartGrowth AI expands its workforce and marketing activity, but economies of scale should improve profitability. The projections are planning estimates rather than guaranteed outcomes and should be updated using actual sales, staffing and operating data. Achieving these targets would provide resources for reinvestment in technology, employee development and national market expansion.</w:t>
      </w:r>
    </w:p>
    <w:p w14:paraId="66F4756C">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29" w:name="_Toc1215494616"/>
      <w:r>
        <w:rPr>
          <w:rFonts w:hint="default" w:ascii="Arial Regular" w:hAnsi="Arial Regular" w:cs="Arial Regular"/>
          <w:color w:val="000000" w:themeColor="text1"/>
          <w:sz w:val="24"/>
          <w:szCs w:val="24"/>
          <w14:textFill>
            <w14:solidFill>
              <w14:schemeClr w14:val="tx1"/>
            </w14:solidFill>
          </w14:textFill>
        </w:rPr>
        <w:t>Break-Even Analysis</w:t>
      </w:r>
      <w:bookmarkEnd w:id="29"/>
      <w:r>
        <w:rPr>
          <w:rFonts w:hint="default" w:ascii="Arial Regular" w:hAnsi="Arial Regular" w:cs="Arial Regular"/>
          <w:color w:val="000000" w:themeColor="text1"/>
          <w:sz w:val="24"/>
          <w:szCs w:val="24"/>
          <w14:textFill>
            <w14:solidFill>
              <w14:schemeClr w14:val="tx1"/>
            </w14:solidFill>
          </w14:textFill>
        </w:rPr>
        <w:t xml:space="preserve"> </w:t>
      </w:r>
    </w:p>
    <w:p w14:paraId="7A82184A">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highlight w:val="none"/>
          <w:lang w:val="de-DE"/>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Break-even analysis identifies the sales level at which total revenue equals total costs (Atrill and McLaney, 2019). Assuming annual fixed costs of £260,000 and a 70% contribution margin, SmartGrowth AI requires approximately </w:t>
      </w:r>
      <w:r>
        <w:rPr>
          <w:rStyle w:val="12"/>
          <w:rFonts w:hint="default" w:ascii="Arial Regular" w:hAnsi="Arial Regular" w:cs="Arial Regular"/>
          <w:b w:val="0"/>
          <w:bCs w:val="0"/>
          <w:color w:val="000000" w:themeColor="text1"/>
          <w:sz w:val="24"/>
          <w:szCs w:val="24"/>
          <w14:textFill>
            <w14:solidFill>
              <w14:schemeClr w14:val="tx1"/>
            </w14:solidFill>
          </w14:textFill>
        </w:rPr>
        <w:t>£371,429 annual revenue</w:t>
      </w:r>
      <w:r>
        <w:rPr>
          <w:rFonts w:hint="default" w:ascii="Arial Regular" w:hAnsi="Arial Regular" w:cs="Arial Regular"/>
          <w:b w:val="0"/>
          <w:bCs w:val="0"/>
          <w:color w:val="000000" w:themeColor="text1"/>
          <w:sz w:val="24"/>
          <w:szCs w:val="24"/>
          <w14:textFill>
            <w14:solidFill>
              <w14:schemeClr w14:val="tx1"/>
            </w14:solidFill>
          </w14:textFill>
        </w:rPr>
        <w:t xml:space="preserve"> to break even. The Year 1 target of £420,000 therefore provides a modest safety margin.</w:t>
      </w:r>
    </w:p>
    <w:p w14:paraId="4BA560EB">
      <w:pPr>
        <w:spacing w:line="360" w:lineRule="auto"/>
        <w:jc w:val="center"/>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cs="Arial Regular"/>
          <w:b/>
          <w:bCs/>
          <w:color w:val="000000" w:themeColor="text1"/>
          <w:sz w:val="24"/>
          <w:szCs w:val="24"/>
          <w:highlight w:val="none"/>
          <w:lang w:val="de-DE"/>
          <w14:textFill>
            <w14:solidFill>
              <w14:schemeClr w14:val="tx1"/>
            </w14:solidFill>
          </w14:textFill>
        </w:rPr>
        <w:drawing>
          <wp:inline distT="0" distB="0" distL="114300" distR="114300">
            <wp:extent cx="4524375" cy="3453765"/>
            <wp:effectExtent l="0" t="0" r="22225" b="635"/>
            <wp:docPr id="2" name="Picture 2" descr="Screenshot 2026-09-09 at 23.3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6-09-09 at 23.31.25"/>
                    <pic:cNvPicPr>
                      <a:picLocks noChangeAspect="1"/>
                    </pic:cNvPicPr>
                  </pic:nvPicPr>
                  <pic:blipFill>
                    <a:blip r:embed="rId18"/>
                    <a:stretch>
                      <a:fillRect/>
                    </a:stretch>
                  </pic:blipFill>
                  <pic:spPr>
                    <a:xfrm>
                      <a:off x="0" y="0"/>
                      <a:ext cx="4524375" cy="3453765"/>
                    </a:xfrm>
                    <a:prstGeom prst="rect">
                      <a:avLst/>
                    </a:prstGeom>
                  </pic:spPr>
                </pic:pic>
              </a:graphicData>
            </a:graphic>
          </wp:inline>
        </w:drawing>
      </w:r>
    </w:p>
    <w:p w14:paraId="05C1BED7">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15: </w:t>
      </w:r>
      <w:r>
        <w:rPr>
          <w:rFonts w:hint="default" w:ascii="Arial Regular" w:hAnsi="Arial Regular" w:cs="Arial Regular"/>
          <w:b w:val="0"/>
          <w:bCs w:val="0"/>
          <w:color w:val="000000" w:themeColor="text1"/>
          <w:sz w:val="24"/>
          <w:szCs w:val="24"/>
          <w:lang w:val="de-DE"/>
          <w14:textFill>
            <w14:solidFill>
              <w14:schemeClr w14:val="tx1"/>
            </w14:solidFill>
          </w14:textFill>
        </w:rPr>
        <w:t>Break-Even Analysis of SmartGrowth AI</w:t>
      </w:r>
    </w:p>
    <w:p w14:paraId="2ABA1E05">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Using </w:t>
      </w:r>
      <w:r>
        <w:rPr>
          <w:rFonts w:hint="default" w:ascii="Arial Regular" w:hAnsi="Arial Regular" w:cs="Arial Regular"/>
          <w:b w:val="0"/>
          <w:bCs w:val="0"/>
          <w:color w:val="000000" w:themeColor="text1"/>
          <w:sz w:val="24"/>
          <w:szCs w:val="24"/>
          <w:lang w:val="de-DE"/>
          <w14:textFill>
            <w14:solidFill>
              <w14:schemeClr w14:val="tx1"/>
            </w14:solidFill>
          </w14:textFill>
        </w:rPr>
        <w:t>ChatGPT AI</w:t>
      </w:r>
      <w:r>
        <w:rPr>
          <w:rFonts w:hint="default" w:ascii="Arial Regular" w:hAnsi="Arial Regular" w:cs="Arial Regular"/>
          <w:b w:val="0"/>
          <w:bCs w:val="0"/>
          <w:color w:val="000000" w:themeColor="text1"/>
          <w:sz w:val="24"/>
          <w:szCs w:val="24"/>
          <w14:textFill>
            <w14:solidFill>
              <w14:schemeClr w14:val="tx1"/>
            </w14:solidFill>
          </w14:textFill>
        </w:rPr>
        <w:t>, 2026</w:t>
      </w:r>
      <w:r>
        <w:rPr>
          <w:rFonts w:hint="default" w:ascii="Arial Regular" w:hAnsi="Arial Regular" w:cs="Arial Regular"/>
          <w:b w:val="0"/>
          <w:bCs w:val="0"/>
          <w:color w:val="000000" w:themeColor="text1"/>
          <w:sz w:val="24"/>
          <w:szCs w:val="24"/>
          <w:lang w:val="de-DE"/>
          <w14:textFill>
            <w14:solidFill>
              <w14:schemeClr w14:val="tx1"/>
            </w14:solidFill>
          </w14:textFill>
        </w:rPr>
        <w:t>)</w:t>
      </w:r>
    </w:p>
    <w:p w14:paraId="2B1AFA42">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0" w:name="_Toc1953560848"/>
      <w:r>
        <w:rPr>
          <w:rFonts w:hint="default" w:ascii="Arial Regular" w:hAnsi="Arial Regular" w:cs="Arial Regular"/>
          <w:color w:val="000000" w:themeColor="text1"/>
          <w:sz w:val="24"/>
          <w:szCs w:val="24"/>
          <w14:textFill>
            <w14:solidFill>
              <w14:schemeClr w14:val="tx1"/>
            </w14:solidFill>
          </w14:textFill>
        </w:rPr>
        <w:t>Sensitivity Analysis</w:t>
      </w:r>
      <w:bookmarkEnd w:id="30"/>
      <w:r>
        <w:rPr>
          <w:rFonts w:hint="default" w:ascii="Arial Regular" w:hAnsi="Arial Regular" w:cs="Arial Regular"/>
          <w:color w:val="000000" w:themeColor="text1"/>
          <w:sz w:val="24"/>
          <w:szCs w:val="24"/>
          <w14:textFill>
            <w14:solidFill>
              <w14:schemeClr w14:val="tx1"/>
            </w14:solidFill>
          </w14:textFill>
        </w:rPr>
        <w:t xml:space="preserve"> </w:t>
      </w:r>
    </w:p>
    <w:p w14:paraId="5738ABCA">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Sensitivity analysis examines how changes in key assumptions affect financial outcomes (Atrill and McLaney, 2019). The following scenarios test revenue and profitability against different levels of client acquisition and operating performance.</w:t>
      </w:r>
    </w:p>
    <w:tbl>
      <w:tblPr>
        <w:tblStyle w:val="6"/>
        <w:tblW w:w="8204"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1402"/>
        <w:gridCol w:w="2433"/>
        <w:gridCol w:w="2109"/>
        <w:gridCol w:w="2260"/>
      </w:tblGrid>
      <w:tr w14:paraId="1B5BE474">
        <w:trPr>
          <w:trHeight w:val="420" w:hRule="atLeast"/>
        </w:trPr>
        <w:tc>
          <w:tcPr>
            <w:tcW w:w="1402"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2C83DE2A">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Scenario</w:t>
            </w:r>
          </w:p>
        </w:tc>
        <w:tc>
          <w:tcPr>
            <w:tcW w:w="2433"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71EFE930">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Annual Revenue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c>
          <w:tcPr>
            <w:tcW w:w="2109"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276FA79D">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EBITDA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c>
          <w:tcPr>
            <w:tcW w:w="2260"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40CD376D">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Net Profit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r>
      <w:tr w14:paraId="35F98F39">
        <w:trPr>
          <w:trHeight w:val="420" w:hRule="atLeast"/>
        </w:trPr>
        <w:tc>
          <w:tcPr>
            <w:tcW w:w="1402"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2904E8B8">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Best</w:t>
            </w:r>
          </w:p>
        </w:tc>
        <w:tc>
          <w:tcPr>
            <w:tcW w:w="243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3F802B0">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500,000</w:t>
            </w:r>
          </w:p>
        </w:tc>
        <w:tc>
          <w:tcPr>
            <w:tcW w:w="21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399D31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85,000</w:t>
            </w:r>
          </w:p>
        </w:tc>
        <w:tc>
          <w:tcPr>
            <w:tcW w:w="226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70002C1">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65,000</w:t>
            </w:r>
          </w:p>
        </w:tc>
      </w:tr>
      <w:tr w14:paraId="7BA0FC87">
        <w:trPr>
          <w:trHeight w:val="420" w:hRule="atLeast"/>
        </w:trPr>
        <w:tc>
          <w:tcPr>
            <w:tcW w:w="1402"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4C01996B">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Base</w:t>
            </w:r>
          </w:p>
        </w:tc>
        <w:tc>
          <w:tcPr>
            <w:tcW w:w="243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EA4815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420,000</w:t>
            </w:r>
          </w:p>
        </w:tc>
        <w:tc>
          <w:tcPr>
            <w:tcW w:w="21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6F546D6">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35,000</w:t>
            </w:r>
          </w:p>
        </w:tc>
        <w:tc>
          <w:tcPr>
            <w:tcW w:w="226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62E939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20,000</w:t>
            </w:r>
          </w:p>
        </w:tc>
      </w:tr>
      <w:tr w14:paraId="5113A38C">
        <w:trPr>
          <w:trHeight w:val="420" w:hRule="atLeast"/>
        </w:trPr>
        <w:tc>
          <w:tcPr>
            <w:tcW w:w="1402" w:type="dxa"/>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3FCB5945">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Worst</w:t>
            </w:r>
          </w:p>
        </w:tc>
        <w:tc>
          <w:tcPr>
            <w:tcW w:w="243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6E5A5BE">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340,000</w:t>
            </w:r>
          </w:p>
        </w:tc>
        <w:tc>
          <w:tcPr>
            <w:tcW w:w="2109"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6D4294E">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-20,000</w:t>
            </w:r>
          </w:p>
        </w:tc>
        <w:tc>
          <w:tcPr>
            <w:tcW w:w="2260"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8688F7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-35,000</w:t>
            </w:r>
          </w:p>
        </w:tc>
      </w:tr>
    </w:tbl>
    <w:p w14:paraId="7B396EF9">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16: </w:t>
      </w:r>
      <w:r>
        <w:rPr>
          <w:rFonts w:hint="default" w:ascii="Arial Regular" w:hAnsi="Arial Regular" w:cs="Arial Regular"/>
          <w:b w:val="0"/>
          <w:bCs w:val="0"/>
          <w:color w:val="000000" w:themeColor="text1"/>
          <w:sz w:val="24"/>
          <w:szCs w:val="24"/>
          <w:lang w:val="de-DE"/>
          <w14:textFill>
            <w14:solidFill>
              <w14:schemeClr w14:val="tx1"/>
            </w14:solidFill>
          </w14:textFill>
        </w:rPr>
        <w:t>Sensitivity Analysis of Two Years</w:t>
      </w:r>
    </w:p>
    <w:p w14:paraId="4187F707">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w:t>
      </w:r>
      <w:r>
        <w:rPr>
          <w:rFonts w:hint="default" w:ascii="Arial Regular" w:hAnsi="Arial Regular" w:cs="Arial Regular"/>
          <w:b w:val="0"/>
          <w:bCs w:val="0"/>
          <w:color w:val="000000" w:themeColor="text1"/>
          <w:sz w:val="24"/>
          <w:szCs w:val="24"/>
          <w:lang w:val="de-DE"/>
          <w14:textFill>
            <w14:solidFill>
              <w14:schemeClr w14:val="tx1"/>
            </w14:solidFill>
          </w14:textFill>
        </w:rPr>
        <w:t>by learner)</w:t>
      </w:r>
    </w:p>
    <w:p w14:paraId="548F9830">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 analysis shows that client acquisition and revenue generation are critical to profitability. SmartGrowth AI should therefore monitor monthly sales performance, retention and costs and respond quickly if performance approaches the worst-case scenario.</w:t>
      </w:r>
    </w:p>
    <w:p w14:paraId="2FF8C819">
      <w:pPr>
        <w:pStyle w:val="3"/>
        <w:keepNext w:val="0"/>
        <w:keepLines w:val="0"/>
        <w:widowControl/>
        <w:numPr>
          <w:ilvl w:val="0"/>
          <w:numId w:val="1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1" w:name="_Toc619693353"/>
      <w:r>
        <w:rPr>
          <w:rFonts w:hint="default" w:ascii="Arial Regular" w:hAnsi="Arial Regular" w:cs="Arial Regular"/>
          <w:color w:val="000000" w:themeColor="text1"/>
          <w:sz w:val="24"/>
          <w:szCs w:val="24"/>
          <w14:textFill>
            <w14:solidFill>
              <w14:schemeClr w14:val="tx1"/>
            </w14:solidFill>
          </w14:textFill>
        </w:rPr>
        <w:t>Justification of Financial Assumptions</w:t>
      </w:r>
      <w:bookmarkEnd w:id="31"/>
      <w:r>
        <w:rPr>
          <w:rFonts w:hint="default" w:ascii="Arial Regular" w:hAnsi="Arial Regular" w:cs="Arial Regular"/>
          <w:color w:val="000000" w:themeColor="text1"/>
          <w:sz w:val="24"/>
          <w:szCs w:val="24"/>
          <w14:textFill>
            <w14:solidFill>
              <w14:schemeClr w14:val="tx1"/>
            </w14:solidFill>
          </w14:textFill>
        </w:rPr>
        <w:t xml:space="preserve"> </w:t>
      </w:r>
    </w:p>
    <w:p w14:paraId="772185A9">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Financial assumptions are estimates based on expected business activity, available resources and market conditions (Burns, 202</w:t>
      </w:r>
      <w:r>
        <w:rPr>
          <w:rFonts w:hint="default" w:ascii="Arial Regular" w:hAnsi="Arial Regular" w:cs="Arial Regular"/>
          <w:color w:val="000000" w:themeColor="text1"/>
          <w:sz w:val="24"/>
          <w:szCs w:val="24"/>
          <w:lang w:val="de-DE"/>
          <w14:textFill>
            <w14:solidFill>
              <w14:schemeClr w14:val="tx1"/>
            </w14:solidFill>
          </w14:textFill>
        </w:rPr>
        <w:t>2</w:t>
      </w:r>
      <w:r>
        <w:rPr>
          <w:rFonts w:hint="default" w:ascii="Arial Regular" w:hAnsi="Arial Regular" w:cs="Arial Regular"/>
          <w:color w:val="000000" w:themeColor="text1"/>
          <w:sz w:val="24"/>
          <w:szCs w:val="24"/>
          <w14:textFill>
            <w14:solidFill>
              <w14:schemeClr w14:val="tx1"/>
            </w14:solidFill>
          </w14:textFill>
        </w:rPr>
        <w:t>). SmartGrowth AI assumes an average £1,000 monthly retainer because its integrated services provide greater value than single-service provision. Twenty Year 1 clients represents an achievable initial target for a new agency, while additional service revenue reflects cross-selling. Payroll assumptions reflect the importance of skilled marketing and creative employees. Revenue growth in Years 2 and 3 assumes increasing brand recognition, client retention and referrals. These assumptions should remain flexible and be revised using actual sales, costs and customer behaviour.</w:t>
      </w:r>
    </w:p>
    <w:p w14:paraId="02BD26C0">
      <w:pPr>
        <w:pStyle w:val="11"/>
        <w:keepNext w:val="0"/>
        <w:keepLines w:val="0"/>
        <w:widowControl/>
        <w:numPr>
          <w:ilvl w:val="0"/>
          <w:numId w:val="14"/>
        </w:numPr>
        <w:suppressLineNumbers w:val="0"/>
        <w:spacing w:line="360" w:lineRule="auto"/>
        <w:jc w:val="both"/>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Marketing Plan </w:t>
      </w:r>
    </w:p>
    <w:p w14:paraId="3C490BAD">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A </w:t>
      </w:r>
      <w:r>
        <w:rPr>
          <w:rStyle w:val="12"/>
          <w:rFonts w:hint="default" w:ascii="Arial Regular" w:hAnsi="Arial Regular" w:cs="Arial Regular"/>
          <w:b w:val="0"/>
          <w:bCs w:val="0"/>
          <w:color w:val="000000" w:themeColor="text1"/>
          <w:sz w:val="24"/>
          <w:szCs w:val="24"/>
          <w14:textFill>
            <w14:solidFill>
              <w14:schemeClr w14:val="tx1"/>
            </w14:solidFill>
          </w14:textFill>
        </w:rPr>
        <w:t>marketing plan</w:t>
      </w:r>
      <w:r>
        <w:rPr>
          <w:rFonts w:hint="default" w:ascii="Arial Regular" w:hAnsi="Arial Regular" w:cs="Arial Regular"/>
          <w:b w:val="0"/>
          <w:bCs w:val="0"/>
          <w:color w:val="000000" w:themeColor="text1"/>
          <w:sz w:val="24"/>
          <w:szCs w:val="24"/>
          <w14:textFill>
            <w14:solidFill>
              <w14:schemeClr w14:val="tx1"/>
            </w14:solidFill>
          </w14:textFill>
        </w:rPr>
        <w:t xml:space="preserve"> is a structured document that sets out an organisation’s marketing objectives, target market, strategies, activities and resources (Kotler and Keller, 2016). SmartGrowth AI’s marketing plan focuses on attracting UK service-based SMEs and converting them into long-term clients through an integrated digital marketing proposition.</w:t>
      </w:r>
    </w:p>
    <w:p w14:paraId="19204746">
      <w:pPr>
        <w:pStyle w:val="3"/>
        <w:keepNext w:val="0"/>
        <w:keepLines w:val="0"/>
        <w:widowControl/>
        <w:numPr>
          <w:ilvl w:val="0"/>
          <w:numId w:val="15"/>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2" w:name="_Toc2037979568"/>
      <w:r>
        <w:rPr>
          <w:rFonts w:hint="default" w:ascii="Arial Regular" w:hAnsi="Arial Regular" w:cs="Arial Regular"/>
          <w:color w:val="000000" w:themeColor="text1"/>
          <w:sz w:val="24"/>
          <w:szCs w:val="24"/>
          <w14:textFill>
            <w14:solidFill>
              <w14:schemeClr w14:val="tx1"/>
            </w14:solidFill>
          </w14:textFill>
        </w:rPr>
        <w:t>Target Audience and Brand Positioning</w:t>
      </w:r>
      <w:bookmarkEnd w:id="32"/>
      <w:r>
        <w:rPr>
          <w:rFonts w:hint="default" w:ascii="Arial Regular" w:hAnsi="Arial Regular" w:cs="Arial Regular"/>
          <w:color w:val="000000" w:themeColor="text1"/>
          <w:sz w:val="24"/>
          <w:szCs w:val="24"/>
          <w14:textFill>
            <w14:solidFill>
              <w14:schemeClr w14:val="tx1"/>
            </w14:solidFill>
          </w14:textFill>
        </w:rPr>
        <w:t xml:space="preserve"> </w:t>
      </w:r>
    </w:p>
    <w:p w14:paraId="1D4F7752">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Target audience identifies the customers an organisation aims to serve, while positioning defines how the brand is perceived relative to competitors (Kotler and Keller, 2016). SmartGrowth AI targets </w:t>
      </w:r>
      <w:r>
        <w:rPr>
          <w:rStyle w:val="12"/>
          <w:rFonts w:hint="default" w:ascii="Arial Regular" w:hAnsi="Arial Regular" w:cs="Arial Regular"/>
          <w:b w:val="0"/>
          <w:bCs w:val="0"/>
          <w:color w:val="000000" w:themeColor="text1"/>
          <w:sz w:val="24"/>
          <w:szCs w:val="24"/>
          <w14:textFill>
            <w14:solidFill>
              <w14:schemeClr w14:val="tx1"/>
            </w14:solidFill>
          </w14:textFill>
        </w:rPr>
        <w:t>UK service-based SMEs</w:t>
      </w:r>
      <w:r>
        <w:rPr>
          <w:rFonts w:hint="default" w:ascii="Arial Regular" w:hAnsi="Arial Regular" w:cs="Arial Regular"/>
          <w:b w:val="0"/>
          <w:bCs w:val="0"/>
          <w:color w:val="000000" w:themeColor="text1"/>
          <w:sz w:val="24"/>
          <w:szCs w:val="24"/>
          <w14:textFill>
            <w14:solidFill>
              <w14:schemeClr w14:val="tx1"/>
            </w14:solidFill>
          </w14:textFill>
        </w:rPr>
        <w:t xml:space="preserve">, particularly micro and small businesses needing affordable, integrated digital marketing. It will position itself as an </w:t>
      </w:r>
      <w:r>
        <w:rPr>
          <w:rStyle w:val="12"/>
          <w:rFonts w:hint="default" w:ascii="Arial Regular" w:hAnsi="Arial Regular" w:cs="Arial Regular"/>
          <w:b w:val="0"/>
          <w:bCs w:val="0"/>
          <w:color w:val="000000" w:themeColor="text1"/>
          <w:sz w:val="24"/>
          <w:szCs w:val="24"/>
          <w14:textFill>
            <w14:solidFill>
              <w14:schemeClr w14:val="tx1"/>
            </w14:solidFill>
          </w14:textFill>
        </w:rPr>
        <w:t>accessible, AI-powered marketing partner combining human creativity, personalised support and measurable results</w:t>
      </w:r>
      <w:r>
        <w:rPr>
          <w:rFonts w:hint="default" w:ascii="Arial Regular" w:hAnsi="Arial Regular" w:cs="Arial Regular"/>
          <w:b w:val="0"/>
          <w:bCs w:val="0"/>
          <w:color w:val="000000" w:themeColor="text1"/>
          <w:sz w:val="24"/>
          <w:szCs w:val="24"/>
          <w14:textFill>
            <w14:solidFill>
              <w14:schemeClr w14:val="tx1"/>
            </w14:solidFill>
          </w14:textFill>
        </w:rPr>
        <w:t>, rather than competing solely on price.</w:t>
      </w:r>
    </w:p>
    <w:p w14:paraId="7D4C8F5A">
      <w:pPr>
        <w:keepNext w:val="0"/>
        <w:keepLines w:val="0"/>
        <w:widowControl/>
        <w:numPr>
          <w:ilvl w:val="0"/>
          <w:numId w:val="15"/>
        </w:numPr>
        <w:suppressLineNumbers w:val="0"/>
        <w:spacing w:line="360" w:lineRule="auto"/>
        <w:ind w:left="420" w:leftChars="0" w:hanging="420" w:firstLineChars="0"/>
        <w:jc w:val="both"/>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P</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erceptual map</w:t>
      </w:r>
    </w:p>
    <w:p w14:paraId="3C9DEF8A">
      <w:pPr>
        <w:keepNext w:val="0"/>
        <w:keepLines w:val="0"/>
        <w:widowControl/>
        <w:numPr>
          <w:ilvl w:val="0"/>
          <w:numId w:val="0"/>
        </w:numPr>
        <w:suppressLineNumbers w:val="0"/>
        <w:spacing w:line="360" w:lineRule="auto"/>
        <w:ind w:leftChars="0"/>
        <w:jc w:val="center"/>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drawing>
          <wp:inline distT="0" distB="0" distL="114300" distR="114300">
            <wp:extent cx="3104515" cy="2328545"/>
            <wp:effectExtent l="0" t="0" r="19685" b="8255"/>
            <wp:docPr id="18" name="Picture 18" descr="Existing Produc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Existing Product (1)"/>
                    <pic:cNvPicPr>
                      <a:picLocks noChangeAspect="1"/>
                    </pic:cNvPicPr>
                  </pic:nvPicPr>
                  <pic:blipFill>
                    <a:blip r:embed="rId19"/>
                    <a:stretch>
                      <a:fillRect/>
                    </a:stretch>
                  </pic:blipFill>
                  <pic:spPr>
                    <a:xfrm>
                      <a:off x="0" y="0"/>
                      <a:ext cx="3104515" cy="2328545"/>
                    </a:xfrm>
                    <a:prstGeom prst="rect">
                      <a:avLst/>
                    </a:prstGeom>
                  </pic:spPr>
                </pic:pic>
              </a:graphicData>
            </a:graphic>
          </wp:inline>
        </w:drawing>
      </w:r>
    </w:p>
    <w:p w14:paraId="0450CA88">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17: </w:t>
      </w:r>
      <w:r>
        <w:rPr>
          <w:rFonts w:hint="default" w:ascii="Arial Regular" w:hAnsi="Arial Regular" w:cs="Arial Regular"/>
          <w:b w:val="0"/>
          <w:bCs w:val="0"/>
          <w:color w:val="000000" w:themeColor="text1"/>
          <w:sz w:val="24"/>
          <w:szCs w:val="24"/>
          <w:lang w:val="de-DE"/>
          <w14:textFill>
            <w14:solidFill>
              <w14:schemeClr w14:val="tx1"/>
            </w14:solidFill>
          </w14:textFill>
        </w:rPr>
        <w:t>Perceptual Mapping of SmatGrowth AI</w:t>
      </w:r>
    </w:p>
    <w:p w14:paraId="728B855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w:t>
      </w:r>
      <w:r>
        <w:rPr>
          <w:rFonts w:hint="default" w:ascii="Arial Regular" w:hAnsi="Arial Regular" w:cs="Arial Regular"/>
          <w:b w:val="0"/>
          <w:bCs w:val="0"/>
          <w:color w:val="000000" w:themeColor="text1"/>
          <w:sz w:val="24"/>
          <w:szCs w:val="24"/>
          <w:lang w:val="de-DE"/>
          <w14:textFill>
            <w14:solidFill>
              <w14:schemeClr w14:val="tx1"/>
            </w14:solidFill>
          </w14:textFill>
        </w:rPr>
        <w:t>by learner)</w:t>
      </w:r>
    </w:p>
    <w:p w14:paraId="09B9B4F6">
      <w:pPr>
        <w:keepNext w:val="0"/>
        <w:keepLines w:val="0"/>
        <w:widowControl/>
        <w:numPr>
          <w:ilvl w:val="0"/>
          <w:numId w:val="0"/>
        </w:numPr>
        <w:suppressLineNumbers w:val="0"/>
        <w:spacing w:line="360" w:lineRule="auto"/>
        <w:ind w:leftChars="0"/>
        <w:jc w:val="both"/>
        <w:rPr>
          <w:rFonts w:hint="default" w:ascii="Arial Regular" w:hAnsi="Arial Regular" w:cs="Arial Regular"/>
          <w:b/>
          <w:bCs/>
          <w:color w:val="000000" w:themeColor="text1"/>
          <w:sz w:val="24"/>
          <w:szCs w:val="24"/>
          <w:lang w:val="de-DE"/>
          <w14:textFill>
            <w14:solidFill>
              <w14:schemeClr w14:val="tx1"/>
            </w14:solidFill>
          </w14:textFill>
        </w:rPr>
      </w:pPr>
    </w:p>
    <w:p w14:paraId="4BB154AF">
      <w:pPr>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xml:space="preserve">A perceptual map visually represents how customers perceive competing brands across key attributes (Kotler and Keller, 2012). For SmartGrowth AI, the vertical axis shows perceived service value, while the horizontal axis represents price. SmartGrowth AI occupies the high-value, moderate-price position, while Jellyfish, Hallam and Croud occupy higher-value, higher-price positions. </w:t>
      </w:r>
    </w:p>
    <w:p w14:paraId="4E82BDAA">
      <w:pPr>
        <w:keepNext w:val="0"/>
        <w:keepLines w:val="0"/>
        <w:widowControl/>
        <w:numPr>
          <w:ilvl w:val="0"/>
          <w:numId w:val="0"/>
        </w:numPr>
        <w:suppressLineNumbers w:val="0"/>
        <w:spacing w:line="360" w:lineRule="auto"/>
        <w:ind w:leftChars="0"/>
        <w:jc w:val="both"/>
        <w:rPr>
          <w:rFonts w:hint="default" w:ascii="Arial Regular" w:hAnsi="Arial Regular" w:cs="Arial Regular"/>
          <w:b/>
          <w:bCs/>
          <w:color w:val="000000" w:themeColor="text1"/>
          <w:sz w:val="24"/>
          <w:szCs w:val="24"/>
          <w:lang w:val="de-DE"/>
          <w14:textFill>
            <w14:solidFill>
              <w14:schemeClr w14:val="tx1"/>
            </w14:solidFill>
          </w14:textFill>
        </w:rPr>
      </w:pPr>
    </w:p>
    <w:p w14:paraId="13513404">
      <w:pPr>
        <w:pStyle w:val="4"/>
        <w:keepNext w:val="0"/>
        <w:keepLines w:val="0"/>
        <w:widowControl/>
        <w:numPr>
          <w:ilvl w:val="0"/>
          <w:numId w:val="15"/>
        </w:numPr>
        <w:suppressLineNumbers w:val="0"/>
        <w:spacing w:line="360" w:lineRule="auto"/>
        <w:ind w:left="420" w:leftChars="0" w:hanging="42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33" w:name="_Toc2105913373"/>
      <w:r>
        <w:rPr>
          <w:rFonts w:hint="default" w:ascii="Arial Regular" w:hAnsi="Arial Regular" w:cs="Arial Regular"/>
          <w:b/>
          <w:bCs/>
          <w:color w:val="000000" w:themeColor="text1"/>
          <w:sz w:val="24"/>
          <w:szCs w:val="24"/>
          <w14:textFill>
            <w14:solidFill>
              <w14:schemeClr w14:val="tx1"/>
            </w14:solidFill>
          </w14:textFill>
        </w:rPr>
        <w:t>Marketing Mix (7Ps)</w:t>
      </w:r>
      <w:bookmarkEnd w:id="33"/>
    </w:p>
    <w:p w14:paraId="0132D8A6">
      <w:pPr>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drawing>
          <wp:inline distT="0" distB="0" distL="114300" distR="114300">
            <wp:extent cx="3875405" cy="2908300"/>
            <wp:effectExtent l="0" t="0" r="10795" b="12700"/>
            <wp:docPr id="14" name="Picture 14" descr="/Users/anikaayub/Downloads/Existing Product (1)/3.pn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Users/anikaayub/Downloads/Existing Product (1)/3.png3"/>
                    <pic:cNvPicPr>
                      <a:picLocks noChangeAspect="1"/>
                    </pic:cNvPicPr>
                  </pic:nvPicPr>
                  <pic:blipFill>
                    <a:blip r:embed="rId20"/>
                    <a:srcRect l="24" r="24"/>
                    <a:stretch>
                      <a:fillRect/>
                    </a:stretch>
                  </pic:blipFill>
                  <pic:spPr>
                    <a:xfrm>
                      <a:off x="0" y="0"/>
                      <a:ext cx="3875405" cy="2908300"/>
                    </a:xfrm>
                    <a:prstGeom prst="rect">
                      <a:avLst/>
                    </a:prstGeom>
                  </pic:spPr>
                </pic:pic>
              </a:graphicData>
            </a:graphic>
          </wp:inline>
        </w:drawing>
      </w:r>
    </w:p>
    <w:p w14:paraId="48EB61E7">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18: </w:t>
      </w:r>
      <w:r>
        <w:rPr>
          <w:rFonts w:hint="default" w:ascii="Arial Regular" w:hAnsi="Arial Regular" w:cs="Arial Regular"/>
          <w:b w:val="0"/>
          <w:bCs w:val="0"/>
          <w:color w:val="000000" w:themeColor="text1"/>
          <w:sz w:val="24"/>
          <w:szCs w:val="24"/>
          <w:lang w:val="de-DE"/>
          <w14:textFill>
            <w14:solidFill>
              <w14:schemeClr w14:val="tx1"/>
            </w14:solidFill>
          </w14:textFill>
        </w:rPr>
        <w:t>Marketing Mix 7Ps</w:t>
      </w:r>
    </w:p>
    <w:p w14:paraId="58FB363B">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w:t>
      </w:r>
      <w:r>
        <w:rPr>
          <w:rFonts w:hint="default" w:ascii="Arial Regular" w:hAnsi="Arial Regular" w:cs="Arial Regular"/>
          <w:b w:val="0"/>
          <w:bCs w:val="0"/>
          <w:color w:val="000000" w:themeColor="text1"/>
          <w:sz w:val="24"/>
          <w:szCs w:val="24"/>
          <w:lang w:val="de-DE"/>
          <w14:textFill>
            <w14:solidFill>
              <w14:schemeClr w14:val="tx1"/>
            </w14:solidFill>
          </w14:textFill>
        </w:rPr>
        <w:t>by learner)</w:t>
      </w:r>
    </w:p>
    <w:p w14:paraId="20970683">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Product:</w:t>
      </w:r>
      <w:r>
        <w:rPr>
          <w:rFonts w:hint="default" w:ascii="Arial Regular" w:hAnsi="Arial Regular" w:cs="Arial Regular"/>
          <w:color w:val="000000" w:themeColor="text1"/>
          <w:sz w:val="24"/>
          <w:szCs w:val="24"/>
          <w14:textFill>
            <w14:solidFill>
              <w14:schemeClr w14:val="tx1"/>
            </w14:solidFill>
          </w14:textFill>
        </w:rPr>
        <w:t xml:space="preserve"> SmartGrowth AI will provide AI-powered content creation, SEO, social media management, paid advertising, market research and product development consultancy. </w:t>
      </w:r>
    </w:p>
    <w:p w14:paraId="0187A7EE">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Price:</w:t>
      </w:r>
      <w:r>
        <w:rPr>
          <w:rFonts w:hint="default" w:ascii="Arial Regular" w:hAnsi="Arial Regular" w:cs="Arial Regular"/>
          <w:color w:val="000000" w:themeColor="text1"/>
          <w:sz w:val="24"/>
          <w:szCs w:val="24"/>
          <w14:textFill>
            <w14:solidFill>
              <w14:schemeClr w14:val="tx1"/>
            </w14:solidFill>
          </w14:textFill>
        </w:rPr>
        <w:t xml:space="preserve"> SmartGrowth AI will offer moderate and transparent pricing packages designed to provide strong value for UK service-based SMEs. </w:t>
      </w:r>
    </w:p>
    <w:p w14:paraId="33F7CDA5">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Place:</w:t>
      </w:r>
      <w:r>
        <w:rPr>
          <w:rFonts w:hint="default" w:ascii="Arial Regular" w:hAnsi="Arial Regular" w:cs="Arial Regular"/>
          <w:color w:val="000000" w:themeColor="text1"/>
          <w:sz w:val="24"/>
          <w:szCs w:val="24"/>
          <w14:textFill>
            <w14:solidFill>
              <w14:schemeClr w14:val="tx1"/>
            </w14:solidFill>
          </w14:textFill>
        </w:rPr>
        <w:t xml:space="preserve"> Services will be delivered digitally across the UK, allowing SMEs to access SmartGrowth AI without geographical limitations. </w:t>
      </w:r>
    </w:p>
    <w:p w14:paraId="63BB6C29">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Promotion:</w:t>
      </w:r>
      <w:r>
        <w:rPr>
          <w:rFonts w:hint="default" w:ascii="Arial Regular" w:hAnsi="Arial Regular" w:cs="Arial Regular"/>
          <w:color w:val="000000" w:themeColor="text1"/>
          <w:sz w:val="24"/>
          <w:szCs w:val="24"/>
          <w14:textFill>
            <w14:solidFill>
              <w14:schemeClr w14:val="tx1"/>
            </w14:solidFill>
          </w14:textFill>
        </w:rPr>
        <w:t xml:space="preserve"> SmartGrowth AI will use social media, SEO, direct email, networking, referrals and targeted digital advertising to attract customers. </w:t>
      </w:r>
    </w:p>
    <w:p w14:paraId="1CC51FF2">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People:</w:t>
      </w:r>
      <w:r>
        <w:rPr>
          <w:rFonts w:hint="default" w:ascii="Arial Regular" w:hAnsi="Arial Regular" w:cs="Arial Regular"/>
          <w:color w:val="000000" w:themeColor="text1"/>
          <w:sz w:val="24"/>
          <w:szCs w:val="24"/>
          <w14:textFill>
            <w14:solidFill>
              <w14:schemeClr w14:val="tx1"/>
            </w14:solidFill>
          </w14:textFill>
        </w:rPr>
        <w:t xml:space="preserve"> Skilled marketing professionals and creative employees will combine human expertise with AI technologies to deliver high-quality, personalised services. </w:t>
      </w:r>
    </w:p>
    <w:p w14:paraId="05C52D7A">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Process:</w:t>
      </w:r>
      <w:r>
        <w:rPr>
          <w:rFonts w:hint="default" w:ascii="Arial Regular" w:hAnsi="Arial Regular" w:cs="Arial Regular"/>
          <w:color w:val="000000" w:themeColor="text1"/>
          <w:sz w:val="24"/>
          <w:szCs w:val="24"/>
          <w14:textFill>
            <w14:solidFill>
              <w14:schemeClr w14:val="tx1"/>
            </w14:solidFill>
          </w14:textFill>
        </w:rPr>
        <w:t xml:space="preserve"> A structured process covering consultation, strategy, implementation, monitoring and performance reporting will ensure consistent and efficient service delivery. </w:t>
      </w:r>
    </w:p>
    <w:p w14:paraId="08A9C533">
      <w:pPr>
        <w:keepNext w:val="0"/>
        <w:keepLines w:val="0"/>
        <w:widowControl/>
        <w:numPr>
          <w:ilvl w:val="0"/>
          <w:numId w:val="16"/>
        </w:numPr>
        <w:suppressLineNumbers w:val="0"/>
        <w:spacing w:before="0" w:beforeAutospacing="1" w:after="0" w:afterAutospacing="1" w:line="360" w:lineRule="auto"/>
        <w:ind w:left="720" w:hanging="360"/>
        <w:jc w:val="both"/>
        <w:rPr>
          <w:rFonts w:hint="default" w:ascii="Arial Regular" w:hAnsi="Arial Regular" w:cs="Arial Regular"/>
          <w:b w:val="0"/>
          <w:bCs w:val="0"/>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Physical Evidence:</w:t>
      </w:r>
      <w:r>
        <w:rPr>
          <w:rFonts w:hint="default" w:ascii="Arial Regular" w:hAnsi="Arial Regular" w:cs="Arial Regular"/>
          <w:color w:val="000000" w:themeColor="text1"/>
          <w:sz w:val="24"/>
          <w:szCs w:val="24"/>
          <w14:textFill>
            <w14:solidFill>
              <w14:schemeClr w14:val="tx1"/>
            </w14:solidFill>
          </w14:textFill>
        </w:rPr>
        <w:t xml:space="preserve"> A professional website, branded materials, client reports, portfolios and case studies will demonstrate SmartGrowth AI’s credibility, quality and results.</w:t>
      </w:r>
    </w:p>
    <w:p w14:paraId="44CE8987">
      <w:pPr>
        <w:keepNext w:val="0"/>
        <w:keepLines w:val="0"/>
        <w:widowControl/>
        <w:suppressLineNumbers w:val="0"/>
        <w:spacing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The marketing strategy will integrate all seven Ps to create a consistent SME-focused proposition. SmartGrowth AI will provide integrated content creation, SEO, social media and paid advertising, supported by market research and product-development consultancy. Moderate pricing will reduce barriers for smaller businesses while protecting perceived value. UK-wide online delivery will provide convenience, supported by targeted social media campaigns, search visibility, referrals and direct B2B outreach. Skilled employees will combine AI efficiency with human judgement and creativity. A structured onboarding, campaign, reporting and review process will create consistency and transparency. Professional branding, website content, performance dashboards and client case studies will provide tangible evidence of quality. This integrated approach should strengthen awareness, trust, acquisition and retention while differentiating SmartGrowth AI from large agencies and fragmented freelancers.</w:t>
      </w:r>
    </w:p>
    <w:p w14:paraId="49C5A988">
      <w:pPr>
        <w:pStyle w:val="2"/>
        <w:keepNext w:val="0"/>
        <w:keepLines w:val="0"/>
        <w:widowControl/>
        <w:numPr>
          <w:ilvl w:val="0"/>
          <w:numId w:val="17"/>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4" w:name="_Toc1408073804"/>
      <w:r>
        <w:rPr>
          <w:rFonts w:hint="default" w:ascii="Arial Regular" w:hAnsi="Arial Regular" w:cs="Arial Regular"/>
          <w:color w:val="000000" w:themeColor="text1"/>
          <w:sz w:val="24"/>
          <w:szCs w:val="24"/>
          <w14:textFill>
            <w14:solidFill>
              <w14:schemeClr w14:val="tx1"/>
            </w14:solidFill>
          </w14:textFill>
        </w:rPr>
        <w:t>Directional Development Strategy of SmartGrowth AI (Ansoff Matrix)</w:t>
      </w:r>
      <w:bookmarkEnd w:id="34"/>
    </w:p>
    <w:p w14:paraId="7F589179">
      <w:pPr>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drawing>
          <wp:inline distT="0" distB="0" distL="114300" distR="114300">
            <wp:extent cx="3945890" cy="2960370"/>
            <wp:effectExtent l="0" t="0" r="16510" b="11430"/>
            <wp:docPr id="17" name="Picture 1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1"/>
                    <pic:cNvPicPr>
                      <a:picLocks noChangeAspect="1"/>
                    </pic:cNvPicPr>
                  </pic:nvPicPr>
                  <pic:blipFill>
                    <a:blip r:embed="rId21"/>
                    <a:stretch>
                      <a:fillRect/>
                    </a:stretch>
                  </pic:blipFill>
                  <pic:spPr>
                    <a:xfrm>
                      <a:off x="0" y="0"/>
                      <a:ext cx="3945890" cy="2960370"/>
                    </a:xfrm>
                    <a:prstGeom prst="rect">
                      <a:avLst/>
                    </a:prstGeom>
                  </pic:spPr>
                </pic:pic>
              </a:graphicData>
            </a:graphic>
          </wp:inline>
        </w:drawing>
      </w:r>
    </w:p>
    <w:p w14:paraId="525FB7F4">
      <w:pPr>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Figure 19: Ansoff Matrix</w:t>
      </w:r>
    </w:p>
    <w:p w14:paraId="4F25036E">
      <w:pPr>
        <w:spacing w:line="360" w:lineRule="auto"/>
        <w:jc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t>(Source: Created by learner)</w:t>
      </w:r>
    </w:p>
    <w:p w14:paraId="37DFB6D9">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 Ansoff Matrix is a strategic framework that evaluates business growth through combinations of existing or new products and existing or new markets (Ansoff, 1957). For SmartGrowth AI, it provides four possible growth directions:</w:t>
      </w:r>
    </w:p>
    <w:p w14:paraId="28BB0B23">
      <w:pPr>
        <w:pStyle w:val="11"/>
        <w:keepNext w:val="0"/>
        <w:keepLines w:val="0"/>
        <w:widowControl/>
        <w:numPr>
          <w:ilvl w:val="0"/>
          <w:numId w:val="17"/>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Market Penetration:</w:t>
      </w:r>
      <w:r>
        <w:rPr>
          <w:rFonts w:hint="default" w:ascii="Arial Regular" w:hAnsi="Arial Regular" w:cs="Arial Regular"/>
          <w:color w:val="000000" w:themeColor="text1"/>
          <w:sz w:val="24"/>
          <w:szCs w:val="24"/>
          <w14:textFill>
            <w14:solidFill>
              <w14:schemeClr w14:val="tx1"/>
            </w14:solidFill>
          </w14:textFill>
        </w:rPr>
        <w:t xml:space="preserve"> SmartGrowth AI should initially increase sales of its existing marketing services among UK service-based SMEs through targeted digital advertising, referrals, networking and competitive pricing.</w:t>
      </w:r>
    </w:p>
    <w:p w14:paraId="326F72EF">
      <w:pPr>
        <w:pStyle w:val="11"/>
        <w:keepNext w:val="0"/>
        <w:keepLines w:val="0"/>
        <w:widowControl/>
        <w:numPr>
          <w:ilvl w:val="0"/>
          <w:numId w:val="17"/>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Market Development:</w:t>
      </w:r>
      <w:r>
        <w:rPr>
          <w:rFonts w:hint="default" w:ascii="Arial Regular" w:hAnsi="Arial Regular" w:cs="Arial Regular"/>
          <w:color w:val="000000" w:themeColor="text1"/>
          <w:sz w:val="24"/>
          <w:szCs w:val="24"/>
          <w14:textFill>
            <w14:solidFill>
              <w14:schemeClr w14:val="tx1"/>
            </w14:solidFill>
          </w14:textFill>
        </w:rPr>
        <w:t xml:space="preserve"> The agency could expand geographically across the UK and target additional SME sectors while retaining its existing service portfolio.</w:t>
      </w:r>
    </w:p>
    <w:p w14:paraId="3CAC2B79">
      <w:pPr>
        <w:pStyle w:val="11"/>
        <w:keepNext w:val="0"/>
        <w:keepLines w:val="0"/>
        <w:widowControl/>
        <w:numPr>
          <w:ilvl w:val="0"/>
          <w:numId w:val="17"/>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Product Development:</w:t>
      </w:r>
      <w:r>
        <w:rPr>
          <w:rFonts w:hint="default" w:ascii="Arial Regular" w:hAnsi="Arial Regular" w:cs="Arial Regular"/>
          <w:color w:val="000000" w:themeColor="text1"/>
          <w:sz w:val="24"/>
          <w:szCs w:val="24"/>
          <w14:textFill>
            <w14:solidFill>
              <w14:schemeClr w14:val="tx1"/>
            </w14:solidFill>
          </w14:textFill>
        </w:rPr>
        <w:t xml:space="preserve"> SmartGrowth AI could introduce advanced AI-powered analytics, automation, personalised strategy tools and enhanced consultancy services for existing SME clients.</w:t>
      </w:r>
    </w:p>
    <w:p w14:paraId="2944BE9D">
      <w:pPr>
        <w:pStyle w:val="11"/>
        <w:keepNext w:val="0"/>
        <w:keepLines w:val="0"/>
        <w:widowControl/>
        <w:numPr>
          <w:ilvl w:val="0"/>
          <w:numId w:val="17"/>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Diversification</w:t>
      </w:r>
      <w:r>
        <w:rPr>
          <w:rStyle w:val="12"/>
          <w:rFonts w:hint="default" w:ascii="Arial Regular" w:hAnsi="Arial Regular" w:cs="Arial Regular"/>
          <w:color w:val="000000" w:themeColor="text1"/>
          <w:sz w:val="24"/>
          <w:szCs w:val="24"/>
          <w:lang w:val="de-DE"/>
          <w14:textFill>
            <w14:solidFill>
              <w14:schemeClr w14:val="tx1"/>
            </w14:solidFill>
          </w14:textFill>
        </w:rPr>
        <w:t xml:space="preserve">: </w:t>
      </w:r>
      <w:r>
        <w:rPr>
          <w:rFonts w:hint="default" w:ascii="Arial Regular" w:hAnsi="Arial Regular" w:cs="Arial Regular"/>
          <w:color w:val="000000" w:themeColor="text1"/>
          <w:sz w:val="24"/>
          <w:szCs w:val="24"/>
          <w14:textFill>
            <w14:solidFill>
              <w14:schemeClr w14:val="tx1"/>
            </w14:solidFill>
          </w14:textFill>
        </w:rPr>
        <w:t>Longer-term diversification could involve developing proprietary AI marketing software or serving larger businesses and new customer segments.</w:t>
      </w:r>
    </w:p>
    <w:p w14:paraId="155ECF8E">
      <w:pPr>
        <w:pStyle w:val="11"/>
        <w:keepNext w:val="0"/>
        <w:keepLines w:val="0"/>
        <w:widowControl/>
        <w:suppressLineNumbers w:val="0"/>
        <w:spacing w:line="360" w:lineRule="auto"/>
        <w:jc w:val="both"/>
        <w:rPr>
          <w:rStyle w:val="12"/>
          <w:rFonts w:hint="default" w:ascii="Arial Regular" w:hAnsi="Arial Regular" w:cs="Arial Regular"/>
          <w:color w:val="000000" w:themeColor="text1"/>
          <w:sz w:val="24"/>
          <w:szCs w:val="24"/>
          <w14:textFill>
            <w14:solidFill>
              <w14:schemeClr w14:val="tx1"/>
            </w14:solidFill>
          </w14:textFill>
        </w:rPr>
      </w:pPr>
      <w:r>
        <w:rPr>
          <w:rStyle w:val="12"/>
          <w:rFonts w:hint="default" w:ascii="Arial Regular" w:hAnsi="Arial Regular" w:cs="Arial Regular"/>
          <w:color w:val="000000" w:themeColor="text1"/>
          <w:sz w:val="24"/>
          <w:szCs w:val="24"/>
          <w14:textFill>
            <w14:solidFill>
              <w14:schemeClr w14:val="tx1"/>
            </w14:solidFill>
          </w14:textFill>
        </w:rPr>
        <w:t>Critical Analysis</w:t>
      </w:r>
    </w:p>
    <w:p w14:paraId="4B23FFA0">
      <w:pPr>
        <w:pStyle w:val="11"/>
        <w:keepNext w:val="0"/>
        <w:keepLines w:val="0"/>
        <w:widowControl/>
        <w:suppressLineNumbers w:val="0"/>
        <w:spacing w:line="360" w:lineRule="auto"/>
        <w:jc w:val="both"/>
        <w:rPr>
          <w:rFonts w:hint="default" w:ascii="Arial Regular" w:hAnsi="Arial Regular" w:eastAsia="SimSun" w:cs="Arial Regular"/>
          <w:color w:val="000000" w:themeColor="text1"/>
          <w:kern w:val="0"/>
          <w:sz w:val="24"/>
          <w:szCs w:val="24"/>
          <w:lang w:val="de-DE" w:eastAsia="zh-CN" w:bidi="ar"/>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Market penetration presents the lowest strategic risk and should therefore be prioritised during the first year. Market development and product development can follow as capabilities strengthen, while diversification should remain a longer-term option because it requires greater resources and carries higher uncertainty (Ansoff, 1957).</w:t>
      </w:r>
    </w:p>
    <w:p w14:paraId="6DD59071">
      <w:pPr>
        <w:pStyle w:val="3"/>
        <w:keepNext w:val="0"/>
        <w:keepLines w:val="0"/>
        <w:widowControl/>
        <w:numPr>
          <w:ilvl w:val="0"/>
          <w:numId w:val="18"/>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5" w:name="_Toc226633888"/>
      <w:r>
        <w:rPr>
          <w:rFonts w:hint="default" w:ascii="Arial Regular" w:hAnsi="Arial Regular" w:cs="Arial Regular"/>
          <w:color w:val="000000" w:themeColor="text1"/>
          <w:sz w:val="24"/>
          <w:szCs w:val="24"/>
          <w14:textFill>
            <w14:solidFill>
              <w14:schemeClr w14:val="tx1"/>
            </w14:solidFill>
          </w14:textFill>
        </w:rPr>
        <w:t>Customer Acquisition Strategy</w:t>
      </w:r>
      <w:bookmarkEnd w:id="35"/>
      <w:r>
        <w:rPr>
          <w:rFonts w:hint="default" w:ascii="Arial Regular" w:hAnsi="Arial Regular" w:cs="Arial Regular"/>
          <w:color w:val="000000" w:themeColor="text1"/>
          <w:sz w:val="24"/>
          <w:szCs w:val="24"/>
          <w14:textFill>
            <w14:solidFill>
              <w14:schemeClr w14:val="tx1"/>
            </w14:solidFill>
          </w14:textFill>
        </w:rPr>
        <w:t xml:space="preserve"> </w:t>
      </w:r>
    </w:p>
    <w:p w14:paraId="2A7C12BF">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Customer acquisition is the process of attracting prospects and converting them into paying customers (Kotler and Keller, 2016). SmartGrowth AI will use awareness, lead generation, conversion and retention activities to build a recurring SME client base.</w:t>
      </w:r>
    </w:p>
    <w:tbl>
      <w:tblPr>
        <w:tblStyle w:val="6"/>
        <w:tblW w:w="8361"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1508"/>
        <w:gridCol w:w="2713"/>
        <w:gridCol w:w="2328"/>
        <w:gridCol w:w="1812"/>
      </w:tblGrid>
      <w:tr w14:paraId="564348A1">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5B6DB581">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Stage</w:t>
            </w:r>
          </w:p>
        </w:tc>
        <w:tc>
          <w:tcPr>
            <w:tcW w:w="2713"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974A3C2">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Assumption</w:t>
            </w:r>
          </w:p>
        </w:tc>
        <w:tc>
          <w:tcPr>
            <w:tcW w:w="2328"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11B4E54B">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Monthly Result</w:t>
            </w:r>
          </w:p>
        </w:tc>
        <w:tc>
          <w:tcPr>
            <w:tcW w:w="1812"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bottom w:w="30" w:type="dxa"/>
            </w:tcMar>
            <w:vAlign w:val="bottom"/>
          </w:tcPr>
          <w:p w14:paraId="3E4DC507">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ind w:left="0" w:right="0"/>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Link to Forecast</w:t>
            </w:r>
          </w:p>
        </w:tc>
      </w:tr>
      <w:tr w14:paraId="319C32DD">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2052AB0">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Awareness</w:t>
            </w:r>
          </w:p>
        </w:tc>
        <w:tc>
          <w:tcPr>
            <w:tcW w:w="271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5E0461F">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Social media, SEO and networking</w:t>
            </w:r>
          </w:p>
        </w:tc>
        <w:tc>
          <w:tcPr>
            <w:tcW w:w="232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4E6075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1,000 prospects reached</w:t>
            </w:r>
          </w:p>
        </w:tc>
        <w:tc>
          <w:tcPr>
            <w:tcW w:w="181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1770BD2">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Marketing leads</w:t>
            </w:r>
          </w:p>
        </w:tc>
      </w:tr>
      <w:tr w14:paraId="76C589B4">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48B0404">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Lead generation</w:t>
            </w:r>
          </w:p>
        </w:tc>
        <w:tc>
          <w:tcPr>
            <w:tcW w:w="271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C35C6DD">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5% engagement/conversion</w:t>
            </w:r>
          </w:p>
        </w:tc>
        <w:tc>
          <w:tcPr>
            <w:tcW w:w="232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2F03739">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50 leads</w:t>
            </w:r>
          </w:p>
        </w:tc>
        <w:tc>
          <w:tcPr>
            <w:tcW w:w="181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7DBA5E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Sales pipeline</w:t>
            </w:r>
          </w:p>
        </w:tc>
      </w:tr>
      <w:tr w14:paraId="7666E7A6">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49403F7">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Conversion</w:t>
            </w:r>
          </w:p>
        </w:tc>
        <w:tc>
          <w:tcPr>
            <w:tcW w:w="271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40B003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20% lead conversion</w:t>
            </w:r>
          </w:p>
        </w:tc>
        <w:tc>
          <w:tcPr>
            <w:tcW w:w="232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2F12CA1">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10 new clients</w:t>
            </w:r>
          </w:p>
        </w:tc>
        <w:tc>
          <w:tcPr>
            <w:tcW w:w="1812"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3975C22">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Revenue growth</w:t>
            </w:r>
          </w:p>
        </w:tc>
      </w:tr>
      <w:tr w14:paraId="17DA54E5">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E407645">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Retention</w:t>
            </w:r>
          </w:p>
        </w:tc>
        <w:tc>
          <w:tcPr>
            <w:tcW w:w="2713"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42E13BB">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80% retained</w:t>
            </w:r>
          </w:p>
        </w:tc>
        <w:tc>
          <w:tcPr>
            <w:tcW w:w="232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370FB70">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 recurring clients</w:t>
            </w:r>
          </w:p>
        </w:tc>
        <w:tc>
          <w:tcPr>
            <w:tcW w:w="1812" w:type="dxa"/>
            <w:tcBorders>
              <w:top w:val="single" w:color="CCCCCC" w:sz="8" w:space="0"/>
              <w:left w:val="single" w:color="CCCCCC" w:sz="8" w:space="0"/>
              <w:bottom w:val="single" w:color="CCCCCC" w:sz="8" w:space="0"/>
              <w:right w:val="single" w:color="CCCCCC" w:sz="8" w:space="0"/>
            </w:tcBorders>
            <w:shd w:val="clear" w:color="auto" w:fill="auto"/>
            <w:tcMar>
              <w:top w:w="30" w:type="dxa"/>
              <w:bottom w:w="30" w:type="dxa"/>
            </w:tcMar>
            <w:vAlign w:val="bottom"/>
          </w:tcPr>
          <w:p w14:paraId="4B556321">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Retainer revenue</w:t>
            </w:r>
          </w:p>
        </w:tc>
      </w:tr>
    </w:tbl>
    <w:p w14:paraId="40F23B31">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20: </w:t>
      </w:r>
      <w:r>
        <w:rPr>
          <w:rFonts w:hint="default" w:ascii="Arial Regular" w:hAnsi="Arial Regular" w:cs="Arial Regular"/>
          <w:b w:val="0"/>
          <w:bCs w:val="0"/>
          <w:color w:val="000000" w:themeColor="text1"/>
          <w:sz w:val="24"/>
          <w:szCs w:val="24"/>
          <w14:textFill>
            <w14:solidFill>
              <w14:schemeClr w14:val="tx1"/>
            </w14:solidFill>
          </w14:textFill>
        </w:rPr>
        <w:t>Customer-Acquisition Funnel – Year 1 Monthly Base Case</w:t>
      </w:r>
    </w:p>
    <w:p w14:paraId="5346B25E">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w:t>
      </w:r>
      <w:r>
        <w:rPr>
          <w:rFonts w:hint="default" w:ascii="Arial Regular" w:hAnsi="Arial Regular" w:cs="Arial Regular"/>
          <w:b w:val="0"/>
          <w:bCs w:val="0"/>
          <w:color w:val="000000" w:themeColor="text1"/>
          <w:sz w:val="24"/>
          <w:szCs w:val="24"/>
          <w:lang w:val="de-DE"/>
          <w14:textFill>
            <w14:solidFill>
              <w14:schemeClr w14:val="tx1"/>
            </w14:solidFill>
          </w14:textFill>
        </w:rPr>
        <w:t>by learner)</w:t>
      </w:r>
    </w:p>
    <w:p w14:paraId="4D64FA35">
      <w:pPr>
        <w:pStyle w:val="3"/>
        <w:keepNext w:val="0"/>
        <w:keepLines w:val="0"/>
        <w:widowControl/>
        <w:numPr>
          <w:ilvl w:val="0"/>
          <w:numId w:val="18"/>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6" w:name="_Toc1547249485"/>
      <w:r>
        <w:rPr>
          <w:rFonts w:hint="default" w:ascii="Arial Regular" w:hAnsi="Arial Regular" w:cs="Arial Regular"/>
          <w:color w:val="000000" w:themeColor="text1"/>
          <w:sz w:val="24"/>
          <w:szCs w:val="24"/>
          <w14:textFill>
            <w14:solidFill>
              <w14:schemeClr w14:val="tx1"/>
            </w14:solidFill>
          </w14:textFill>
        </w:rPr>
        <w:t>Sales Strategy and Sales Process</w:t>
      </w:r>
      <w:bookmarkEnd w:id="36"/>
      <w:r>
        <w:rPr>
          <w:rFonts w:hint="default" w:ascii="Arial Regular" w:hAnsi="Arial Regular" w:cs="Arial Regular"/>
          <w:color w:val="000000" w:themeColor="text1"/>
          <w:sz w:val="24"/>
          <w:szCs w:val="24"/>
          <w14:textFill>
            <w14:solidFill>
              <w14:schemeClr w14:val="tx1"/>
            </w14:solidFill>
          </w14:textFill>
        </w:rPr>
        <w:t xml:space="preserve"> </w:t>
      </w:r>
    </w:p>
    <w:p w14:paraId="47D09BC5">
      <w:pPr>
        <w:pStyle w:val="11"/>
        <w:keepNext w:val="0"/>
        <w:keepLines w:val="0"/>
        <w:widowControl/>
        <w:suppressLineNumbers w:val="0"/>
        <w:spacing w:line="360" w:lineRule="auto"/>
        <w:jc w:val="both"/>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Sales strategy determines how an organisation converts market opportunities into revenue through planned customer interactions (Jobber and Lancaster, 2015). SmartGrowth AI will use consultative B2B selling, beginning with targeted prospecting through LinkedIn, email, referrals and networking. Prospects will receive a discovery consultation identifying their marketing objectives and resource gaps. A tailored proposal will present suitable packages, deliverables, pricing and KPIs. Follow-up discussions will address objections before contract agreement. After onboarding, regular performance reviews will support retention, referrals and cross-selling. CRM records will track leads, conversion rates and sales-pipeline performance, enabling continuous improvement.</w:t>
      </w:r>
    </w:p>
    <w:p w14:paraId="37102E1F">
      <w:pPr>
        <w:pStyle w:val="3"/>
        <w:keepNext w:val="0"/>
        <w:keepLines w:val="0"/>
        <w:widowControl/>
        <w:numPr>
          <w:ilvl w:val="0"/>
          <w:numId w:val="18"/>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7" w:name="_Toc742612872"/>
      <w:r>
        <w:rPr>
          <w:rFonts w:hint="default" w:ascii="Arial Regular" w:hAnsi="Arial Regular" w:cs="Arial Regular"/>
          <w:color w:val="000000" w:themeColor="text1"/>
          <w:sz w:val="24"/>
          <w:szCs w:val="24"/>
          <w14:textFill>
            <w14:solidFill>
              <w14:schemeClr w14:val="tx1"/>
            </w14:solidFill>
          </w14:textFill>
        </w:rPr>
        <w:t>Marketing Budget</w:t>
      </w:r>
      <w:bookmarkEnd w:id="37"/>
      <w:r>
        <w:rPr>
          <w:rFonts w:hint="default" w:ascii="Arial Regular" w:hAnsi="Arial Regular" w:cs="Arial Regular"/>
          <w:color w:val="000000" w:themeColor="text1"/>
          <w:sz w:val="24"/>
          <w:szCs w:val="24"/>
          <w14:textFill>
            <w14:solidFill>
              <w14:schemeClr w14:val="tx1"/>
            </w14:solidFill>
          </w14:textFill>
        </w:rPr>
        <w:t xml:space="preserve"> </w:t>
      </w:r>
    </w:p>
    <w:p w14:paraId="09DAFFB7">
      <w:pPr>
        <w:pStyle w:val="11"/>
        <w:keepNext w:val="0"/>
        <w:keepLines w:val="0"/>
        <w:widowControl/>
        <w:suppressLineNumbers w:val="0"/>
        <w:spacing w:line="360" w:lineRule="auto"/>
        <w:jc w:val="both"/>
        <w:rPr>
          <w:rFonts w:hint="default" w:ascii="Arial Regular" w:hAnsi="Arial Regular" w:cs="Arial Regular"/>
          <w:b/>
          <w:bCs/>
          <w:color w:val="000000" w:themeColor="text1"/>
          <w:sz w:val="24"/>
          <w:szCs w:val="24"/>
          <w:highlight w:val="none"/>
          <w:lang w:val="de-DE"/>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A marketing budget allocates financial resources to promotional activities needed to achieve marketing objectives (Kotler and Keller, 2016). SmartGrowth AI will allocate approximately </w:t>
      </w:r>
      <w:r>
        <w:rPr>
          <w:rStyle w:val="12"/>
          <w:rFonts w:hint="default" w:ascii="Arial Regular" w:hAnsi="Arial Regular" w:cs="Arial Regular"/>
          <w:b w:val="0"/>
          <w:bCs w:val="0"/>
          <w:color w:val="000000" w:themeColor="text1"/>
          <w:sz w:val="24"/>
          <w:szCs w:val="24"/>
          <w14:textFill>
            <w14:solidFill>
              <w14:schemeClr w14:val="tx1"/>
            </w14:solidFill>
          </w14:textFill>
        </w:rPr>
        <w:t>£3,000 per month at maturity</w:t>
      </w:r>
      <w:r>
        <w:rPr>
          <w:rFonts w:hint="default" w:ascii="Arial Regular" w:hAnsi="Arial Regular" w:cs="Arial Regular"/>
          <w:b w:val="0"/>
          <w:bCs w:val="0"/>
          <w:color w:val="000000" w:themeColor="text1"/>
          <w:sz w:val="24"/>
          <w:szCs w:val="24"/>
          <w14:textFill>
            <w14:solidFill>
              <w14:schemeClr w14:val="tx1"/>
            </w14:solidFill>
          </w14:textFill>
        </w:rPr>
        <w:t xml:space="preserve"> across paid social and search advertising, content production, SEO tools, networking and promotional activity. Spending will be reviewed monthly against leads, customer-acquisition cost, conversion and revenue. The budget will prioritise measurable channels and increase only where performance demonstrates positive returns. This approach supports controlled customer acquisition while protecting cash flow during the agency’s early growth stage.</w:t>
      </w:r>
    </w:p>
    <w:p w14:paraId="0B1A40E9">
      <w:pPr>
        <w:pStyle w:val="2"/>
        <w:keepNext w:val="0"/>
        <w:keepLines w:val="0"/>
        <w:widowControl/>
        <w:numPr>
          <w:ilvl w:val="0"/>
          <w:numId w:val="14"/>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38" w:name="_Toc2067066987"/>
      <w:r>
        <w:rPr>
          <w:rFonts w:hint="default" w:ascii="Arial Regular" w:hAnsi="Arial Regular" w:cs="Arial Regular"/>
          <w:b/>
          <w:bCs/>
          <w:color w:val="000000" w:themeColor="text1"/>
          <w:sz w:val="24"/>
          <w:szCs w:val="24"/>
          <w14:textFill>
            <w14:solidFill>
              <w14:schemeClr w14:val="tx1"/>
            </w14:solidFill>
          </w14:textFill>
        </w:rPr>
        <w:t>Human Capital Management Plan</w:t>
      </w:r>
      <w:bookmarkEnd w:id="38"/>
    </w:p>
    <w:p w14:paraId="43934A64">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Human capital management (HCM) is a strategic approach to managing employees’ knowledge, skills and capabilities as organisational resources (Armstrong and Taylor, 2020). For SmartGrowth AI, effective HCM will support service quality, innovation, employee retention and sustainable business growth.</w:t>
      </w:r>
    </w:p>
    <w:p w14:paraId="0EA42EFA">
      <w:pPr>
        <w:pStyle w:val="3"/>
        <w:keepNext w:val="0"/>
        <w:keepLines w:val="0"/>
        <w:widowControl/>
        <w:numPr>
          <w:ilvl w:val="0"/>
          <w:numId w:val="19"/>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39" w:name="_Toc1351892990"/>
      <w:r>
        <w:rPr>
          <w:rFonts w:hint="default" w:ascii="Arial Regular" w:hAnsi="Arial Regular" w:cs="Arial Regular"/>
          <w:color w:val="000000" w:themeColor="text1"/>
          <w:sz w:val="24"/>
          <w:szCs w:val="24"/>
          <w14:textFill>
            <w14:solidFill>
              <w14:schemeClr w14:val="tx1"/>
            </w14:solidFill>
          </w14:textFill>
        </w:rPr>
        <w:t>Organisational Structure</w:t>
      </w:r>
      <w:bookmarkEnd w:id="39"/>
      <w:r>
        <w:rPr>
          <w:rFonts w:hint="default" w:ascii="Arial Regular" w:hAnsi="Arial Regular" w:cs="Arial Regular"/>
          <w:color w:val="000000" w:themeColor="text1"/>
          <w:sz w:val="24"/>
          <w:szCs w:val="24"/>
          <w14:textFill>
            <w14:solidFill>
              <w14:schemeClr w14:val="tx1"/>
            </w14:solidFill>
          </w14:textFill>
        </w:rPr>
        <w:t xml:space="preserve"> </w:t>
      </w:r>
    </w:p>
    <w:p w14:paraId="6ED8E4A6">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Organisational structure defines how roles, responsibilities and authority are arranged to coordinate organisational activities (Johnson et al., 2017). SmartGrowth AI will use a lean functional structure, enabling clear accountability while encouraging collaboration between marketing, creative and technology activities.</w:t>
      </w:r>
    </w:p>
    <w:p w14:paraId="6FC31980">
      <w:pPr>
        <w:pStyle w:val="11"/>
        <w:keepNext w:val="0"/>
        <w:keepLines w:val="0"/>
        <w:widowControl/>
        <w:suppressLineNumbers w:val="0"/>
        <w:spacing w:line="360" w:lineRule="auto"/>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cs="Arial Regular"/>
          <w:color w:val="000000" w:themeColor="text1"/>
          <w:sz w:val="24"/>
          <w:szCs w:val="24"/>
          <w:lang w:val="de-DE"/>
          <w14:textFill>
            <w14:solidFill>
              <w14:schemeClr w14:val="tx1"/>
            </w14:solidFill>
          </w14:textFill>
        </w:rPr>
        <w:drawing>
          <wp:inline distT="0" distB="0" distL="114300" distR="114300">
            <wp:extent cx="4231005" cy="2373630"/>
            <wp:effectExtent l="0" t="0" r="10795" b="13970"/>
            <wp:docPr id="4" name="Picture 4" descr="Grey and Colorful Modern Clean Company Structure Organizational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ey and Colorful Modern Clean Company Structure Organizational Chart"/>
                    <pic:cNvPicPr>
                      <a:picLocks noChangeAspect="1"/>
                    </pic:cNvPicPr>
                  </pic:nvPicPr>
                  <pic:blipFill>
                    <a:blip r:embed="rId22"/>
                    <a:srcRect l="4527" t="15516" r="3502" b="15711"/>
                    <a:stretch>
                      <a:fillRect/>
                    </a:stretch>
                  </pic:blipFill>
                  <pic:spPr>
                    <a:xfrm>
                      <a:off x="0" y="0"/>
                      <a:ext cx="4231005" cy="2373630"/>
                    </a:xfrm>
                    <a:prstGeom prst="rect">
                      <a:avLst/>
                    </a:prstGeom>
                  </pic:spPr>
                </pic:pic>
              </a:graphicData>
            </a:graphic>
          </wp:inline>
        </w:drawing>
      </w:r>
    </w:p>
    <w:p w14:paraId="158062C9">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21: </w:t>
      </w:r>
      <w:r>
        <w:rPr>
          <w:rFonts w:hint="default" w:ascii="Arial Regular" w:hAnsi="Arial Regular" w:cs="Arial Regular"/>
          <w:b w:val="0"/>
          <w:bCs w:val="0"/>
          <w:color w:val="000000" w:themeColor="text1"/>
          <w:sz w:val="24"/>
          <w:szCs w:val="24"/>
          <w:lang w:val="de-DE"/>
          <w14:textFill>
            <w14:solidFill>
              <w14:schemeClr w14:val="tx1"/>
            </w14:solidFill>
          </w14:textFill>
        </w:rPr>
        <w:t>Organisational Structure of SmartGrowth AI</w:t>
      </w:r>
    </w:p>
    <w:p w14:paraId="4258D65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w:t>
      </w:r>
      <w:r>
        <w:rPr>
          <w:rFonts w:hint="default" w:ascii="Arial Regular" w:hAnsi="Arial Regular" w:cs="Arial Regular"/>
          <w:b w:val="0"/>
          <w:bCs w:val="0"/>
          <w:color w:val="000000" w:themeColor="text1"/>
          <w:sz w:val="24"/>
          <w:szCs w:val="24"/>
          <w:lang w:val="de-DE"/>
          <w14:textFill>
            <w14:solidFill>
              <w14:schemeClr w14:val="tx1"/>
            </w14:solidFill>
          </w14:textFill>
        </w:rPr>
        <w:t>by learner)</w:t>
      </w:r>
    </w:p>
    <w:p w14:paraId="7E09D438">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This structure provides clear reporting relationships while keeping communication efficient. As SmartGrowth AI expands, additional specialists can be recruited without creating unnecessary management layers.</w:t>
      </w:r>
    </w:p>
    <w:p w14:paraId="0E069BA1">
      <w:pPr>
        <w:pStyle w:val="3"/>
        <w:keepNext w:val="0"/>
        <w:keepLines w:val="0"/>
        <w:widowControl/>
        <w:numPr>
          <w:ilvl w:val="0"/>
          <w:numId w:val="20"/>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40" w:name="_Toc888497670"/>
      <w:r>
        <w:rPr>
          <w:rFonts w:hint="default" w:ascii="Arial Regular" w:hAnsi="Arial Regular" w:cs="Arial Regular"/>
          <w:color w:val="000000" w:themeColor="text1"/>
          <w:sz w:val="24"/>
          <w:szCs w:val="24"/>
          <w14:textFill>
            <w14:solidFill>
              <w14:schemeClr w14:val="tx1"/>
            </w14:solidFill>
          </w14:textFill>
        </w:rPr>
        <w:t>Staffing Requirements and Recruitment</w:t>
      </w:r>
      <w:bookmarkEnd w:id="40"/>
      <w:r>
        <w:rPr>
          <w:rFonts w:hint="default" w:ascii="Arial Regular" w:hAnsi="Arial Regular" w:cs="Arial Regular"/>
          <w:color w:val="000000" w:themeColor="text1"/>
          <w:sz w:val="24"/>
          <w:szCs w:val="24"/>
          <w14:textFill>
            <w14:solidFill>
              <w14:schemeClr w14:val="tx1"/>
            </w14:solidFill>
          </w14:textFill>
        </w:rPr>
        <w:t xml:space="preserve"> </w:t>
      </w:r>
    </w:p>
    <w:p w14:paraId="74D0777D">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Staffing requirements identify the people and capabilities needed to achieve organisational objectives effectively (Armstrong and Taylor, 2020). SmartGrowth AI will initially employ eight FTEs: one manager, two digital marketing executives, two content creators, one SEO specialist, one paid-media specialist and one administrator. Recruitment will use LinkedIn, university networks, job platforms and employee referrals.</w:t>
      </w:r>
    </w:p>
    <w:p w14:paraId="3F326EDC">
      <w:pPr>
        <w:pStyle w:val="3"/>
        <w:keepNext w:val="0"/>
        <w:keepLines w:val="0"/>
        <w:widowControl/>
        <w:numPr>
          <w:ilvl w:val="0"/>
          <w:numId w:val="20"/>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41" w:name="_Toc1526542099"/>
      <w:r>
        <w:rPr>
          <w:rFonts w:hint="default" w:ascii="Arial Regular" w:hAnsi="Arial Regular" w:cs="Arial Regular"/>
          <w:color w:val="000000" w:themeColor="text1"/>
          <w:sz w:val="24"/>
          <w:szCs w:val="24"/>
          <w14:textFill>
            <w14:solidFill>
              <w14:schemeClr w14:val="tx1"/>
            </w14:solidFill>
          </w14:textFill>
        </w:rPr>
        <w:t>Training and Development</w:t>
      </w:r>
      <w:bookmarkEnd w:id="41"/>
      <w:r>
        <w:rPr>
          <w:rFonts w:hint="default" w:ascii="Arial Regular" w:hAnsi="Arial Regular" w:cs="Arial Regular"/>
          <w:color w:val="000000" w:themeColor="text1"/>
          <w:sz w:val="24"/>
          <w:szCs w:val="24"/>
          <w14:textFill>
            <w14:solidFill>
              <w14:schemeClr w14:val="tx1"/>
            </w14:solidFill>
          </w14:textFill>
        </w:rPr>
        <w:t xml:space="preserve"> </w:t>
      </w:r>
    </w:p>
    <w:p w14:paraId="126DADBE">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Training and development improves employees’ knowledge, skills and capabilities to support organisational performance (Noe, 2020). SmartGrowth AI will provide induction, AI-tool training, digital marketing updates, data-protection training and quarterly development reviews. Employees will receive mentoring and practical project-based learning to strengthen creativity, analytical skills and responsible AI use. Continuous learning will be particularly important because AI and digital marketing technologies develop rapidly, requiring employees to update their technical and strategic capabilities.</w:t>
      </w:r>
    </w:p>
    <w:p w14:paraId="4CB8E292">
      <w:pPr>
        <w:pStyle w:val="3"/>
        <w:keepNext w:val="0"/>
        <w:keepLines w:val="0"/>
        <w:widowControl/>
        <w:numPr>
          <w:ilvl w:val="0"/>
          <w:numId w:val="20"/>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42" w:name="_Toc605927184"/>
      <w:r>
        <w:rPr>
          <w:rFonts w:hint="default" w:ascii="Arial Regular" w:hAnsi="Arial Regular" w:cs="Arial Regular"/>
          <w:color w:val="000000" w:themeColor="text1"/>
          <w:sz w:val="24"/>
          <w:szCs w:val="24"/>
          <w14:textFill>
            <w14:solidFill>
              <w14:schemeClr w14:val="tx1"/>
            </w14:solidFill>
          </w14:textFill>
        </w:rPr>
        <w:t>Compensation and Benefits</w:t>
      </w:r>
      <w:bookmarkEnd w:id="42"/>
      <w:r>
        <w:rPr>
          <w:rFonts w:hint="default" w:ascii="Arial Regular" w:hAnsi="Arial Regular" w:cs="Arial Regular"/>
          <w:color w:val="000000" w:themeColor="text1"/>
          <w:sz w:val="24"/>
          <w:szCs w:val="24"/>
          <w14:textFill>
            <w14:solidFill>
              <w14:schemeClr w14:val="tx1"/>
            </w14:solidFill>
          </w14:textFill>
        </w:rPr>
        <w:t xml:space="preserve"> </w:t>
      </w:r>
    </w:p>
    <w:p w14:paraId="7A218606">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Compensation and benefits comprise financial and non-financial rewards provided to employees in return for their contribution (Armstrong and Taylor, 2020). SmartGrowth AI will offer competitive salaries, workplace pension contributions, paid annual leave, flexible working, performance recognition and professional-development opportunities. A fair reward structure should support recruitment, motivation and retention. The company will also recognise strong performance through bonuses or additional development opportunities when financial performance permits, helping employees remain engaged and aligned with organisational objectives.</w:t>
      </w:r>
    </w:p>
    <w:p w14:paraId="287DDB77">
      <w:pPr>
        <w:pStyle w:val="3"/>
        <w:keepNext w:val="0"/>
        <w:keepLines w:val="0"/>
        <w:widowControl/>
        <w:numPr>
          <w:ilvl w:val="0"/>
          <w:numId w:val="20"/>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43" w:name="_Toc450727414"/>
      <w:r>
        <w:rPr>
          <w:rFonts w:hint="default" w:ascii="Arial Regular" w:hAnsi="Arial Regular" w:cs="Arial Regular"/>
          <w:color w:val="000000" w:themeColor="text1"/>
          <w:sz w:val="24"/>
          <w:szCs w:val="24"/>
          <w14:textFill>
            <w14:solidFill>
              <w14:schemeClr w14:val="tx1"/>
            </w14:solidFill>
          </w14:textFill>
        </w:rPr>
        <w:t>Labour Cost Estimates</w:t>
      </w:r>
      <w:bookmarkEnd w:id="43"/>
      <w:r>
        <w:rPr>
          <w:rFonts w:hint="default" w:ascii="Arial Regular" w:hAnsi="Arial Regular" w:cs="Arial Regular"/>
          <w:color w:val="000000" w:themeColor="text1"/>
          <w:sz w:val="24"/>
          <w:szCs w:val="24"/>
          <w14:textFill>
            <w14:solidFill>
              <w14:schemeClr w14:val="tx1"/>
            </w14:solidFill>
          </w14:textFill>
        </w:rPr>
        <w:t xml:space="preserve"> </w:t>
      </w:r>
    </w:p>
    <w:p w14:paraId="70ABFCBA">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Labour costs represent expenditure associated with employing and retaining staff, including salaries and employer-related contributions (Armstrong and Taylor, 2020). SmartGrowth AI will initially maintain an eight-person workforce, with salaries reflecting the planned moderate pay range and responsibilities of each position. Employer National Insurance is estimated using the applicable UK rate, while pension costs are included within the total employment cost. HMRC states that the employer Class 1 National Insurance rate is 15% above the relevant secondary threshold for 2026–27. </w:t>
      </w:r>
    </w:p>
    <w:tbl>
      <w:tblPr>
        <w:tblStyle w:val="6"/>
        <w:tblW w:w="8361"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2597"/>
        <w:gridCol w:w="1251"/>
        <w:gridCol w:w="2238"/>
        <w:gridCol w:w="2275"/>
      </w:tblGrid>
      <w:tr w14:paraId="4D72EEC4">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67D836EA">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Role</w:t>
            </w:r>
          </w:p>
        </w:tc>
        <w:tc>
          <w:tcPr>
            <w:tcW w:w="1251"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30F67784">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FTE</w:t>
            </w:r>
          </w:p>
        </w:tc>
        <w:tc>
          <w:tcPr>
            <w:tcW w:w="2238"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left w:w="45" w:type="dxa"/>
              <w:bottom w:w="30" w:type="dxa"/>
              <w:right w:w="45" w:type="dxa"/>
            </w:tcMar>
            <w:vAlign w:val="bottom"/>
          </w:tcPr>
          <w:p w14:paraId="78816D6A">
            <w:pPr>
              <w:keepNext w:val="0"/>
              <w:keepLines w:val="0"/>
              <w:widowControl/>
              <w:suppressLineNumbers w:val="0"/>
              <w:bidi w:val="0"/>
              <w:spacing w:line="360" w:lineRule="auto"/>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Annual Salary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c>
          <w:tcPr>
            <w:tcW w:w="2275" w:type="dxa"/>
            <w:tcBorders>
              <w:top w:val="single" w:color="CCCCCC" w:sz="8" w:space="0"/>
              <w:left w:val="single" w:color="CCCCCC" w:sz="8" w:space="0"/>
              <w:bottom w:val="single" w:color="CCCCCC" w:sz="8" w:space="0"/>
              <w:right w:val="single" w:color="CCCCCC" w:sz="8" w:space="0"/>
            </w:tcBorders>
            <w:shd w:val="clear" w:color="auto" w:fill="91ABDF" w:themeFill="accent1" w:themeFillTint="99"/>
            <w:tcMar>
              <w:top w:w="30" w:type="dxa"/>
              <w:bottom w:w="30" w:type="dxa"/>
            </w:tcMar>
            <w:vAlign w:val="bottom"/>
          </w:tcPr>
          <w:p w14:paraId="5872536B">
            <w:pPr>
              <w:keepNext w:val="0"/>
              <w:keepLines w:val="0"/>
              <w:widowControl/>
              <w:suppressLineNumbers w:val="0"/>
              <w:pBdr>
                <w:top w:val="none" w:color="auto" w:sz="0" w:space="0"/>
                <w:left w:val="none" w:color="auto" w:sz="0" w:space="0"/>
                <w:bottom w:val="none" w:color="auto" w:sz="0" w:space="0"/>
                <w:right w:val="none" w:color="auto" w:sz="0" w:space="0"/>
              </w:pBdr>
              <w:bidi w:val="0"/>
              <w:spacing w:line="360" w:lineRule="auto"/>
              <w:ind w:left="0" w:right="0"/>
              <w:jc w:val="center"/>
              <w:textAlignment w:val="bottom"/>
              <w:rPr>
                <w:rFonts w:hint="default" w:ascii="Arial Regular" w:hAnsi="Arial Regular" w:cs="Arial Regular"/>
                <w:b/>
                <w:bCs/>
                <w:color w:val="000000" w:themeColor="text1"/>
                <w:sz w:val="24"/>
                <w:szCs w:val="24"/>
                <w:lang w:val="de-DE"/>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 xml:space="preserve">Total Cost Including NICs/Pension </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r>
              <w:rPr>
                <w:rFonts w:hint="default" w:ascii="Arial Regular" w:hAnsi="Arial Regular" w:eastAsia="SimSun" w:cs="Arial Regular"/>
                <w:b/>
                <w:bCs/>
                <w:color w:val="000000" w:themeColor="text1"/>
                <w:kern w:val="0"/>
                <w:sz w:val="24"/>
                <w:szCs w:val="24"/>
                <w:lang w:val="de-DE" w:eastAsia="zh-CN" w:bidi="ar"/>
                <w14:textFill>
                  <w14:solidFill>
                    <w14:schemeClr w14:val="tx1"/>
                  </w14:solidFill>
                </w14:textFill>
              </w:rPr>
              <w:t>)</w:t>
            </w:r>
          </w:p>
        </w:tc>
      </w:tr>
      <w:tr w14:paraId="28CA5777">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0B44567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Managing Director</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5B361FE">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A05BB8C">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32,000</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3B95659">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36,500</w:t>
            </w:r>
          </w:p>
        </w:tc>
      </w:tr>
      <w:tr w14:paraId="488F5100">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648AED25">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Digital Marketing Executives</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EBF6CEE">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AAA2DB4">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27,000 each</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8645FF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61,500</w:t>
            </w:r>
          </w:p>
        </w:tc>
      </w:tr>
      <w:tr w14:paraId="2E188170">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0C88430E">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Content Creators</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6B4673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B9703A4">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25,000 each</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37A0D15">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57,000</w:t>
            </w:r>
          </w:p>
        </w:tc>
      </w:tr>
      <w:tr w14:paraId="73E8EC66">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2B4FFE07">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SEO Specialist</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0A8B87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C74ED12">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28,000</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03E4E784">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32,000</w:t>
            </w:r>
          </w:p>
        </w:tc>
      </w:tr>
      <w:tr w14:paraId="1F4F5826">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64296F60">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Paid-Media Specialist</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61D03D21">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7E69458">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28,000</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3EE77EFA">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32,000</w:t>
            </w:r>
          </w:p>
        </w:tc>
      </w:tr>
      <w:tr w14:paraId="7B9B8A5C">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3102160">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Administrator</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495BF275">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1</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D48D582">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24,000</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798DF135">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27,500</w:t>
            </w:r>
          </w:p>
        </w:tc>
      </w:tr>
      <w:tr w14:paraId="23EB849E">
        <w:trPr>
          <w:trHeight w:val="420" w:hRule="atLeast"/>
        </w:trPr>
        <w:tc>
          <w:tcPr>
            <w:tcW w:w="0" w:type="auto"/>
            <w:tcBorders>
              <w:top w:val="single" w:color="CCCCCC" w:sz="8" w:space="0"/>
              <w:left w:val="single" w:color="CCCCCC" w:sz="8" w:space="0"/>
              <w:bottom w:val="single" w:color="CCCCCC" w:sz="8" w:space="0"/>
              <w:right w:val="single" w:color="CCCCCC" w:sz="8" w:space="0"/>
            </w:tcBorders>
            <w:shd w:val="clear" w:color="auto" w:fill="DBE3F4" w:themeFill="accent1" w:themeFillTint="32"/>
            <w:tcMar>
              <w:top w:w="30" w:type="dxa"/>
              <w:left w:w="45" w:type="dxa"/>
              <w:bottom w:w="30" w:type="dxa"/>
              <w:right w:w="45" w:type="dxa"/>
            </w:tcMar>
            <w:vAlign w:val="bottom"/>
          </w:tcPr>
          <w:p w14:paraId="597EFCD0">
            <w:pPr>
              <w:keepNext w:val="0"/>
              <w:keepLines w:val="0"/>
              <w:widowControl/>
              <w:suppressLineNumbers w:val="0"/>
              <w:bidi w:val="0"/>
              <w:spacing w:line="360" w:lineRule="auto"/>
              <w:jc w:val="both"/>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Total</w:t>
            </w:r>
          </w:p>
        </w:tc>
        <w:tc>
          <w:tcPr>
            <w:tcW w:w="1251"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1F6332D4">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8</w:t>
            </w:r>
          </w:p>
        </w:tc>
        <w:tc>
          <w:tcPr>
            <w:tcW w:w="2238"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52DECAE9">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216,000</w:t>
            </w:r>
          </w:p>
        </w:tc>
        <w:tc>
          <w:tcPr>
            <w:tcW w:w="2275" w:type="dxa"/>
            <w:tcBorders>
              <w:top w:val="single" w:color="CCCCCC" w:sz="8" w:space="0"/>
              <w:left w:val="single" w:color="CCCCCC" w:sz="8" w:space="0"/>
              <w:bottom w:val="single" w:color="CCCCCC" w:sz="8" w:space="0"/>
              <w:right w:val="single" w:color="CCCCCC" w:sz="8" w:space="0"/>
            </w:tcBorders>
            <w:shd w:val="clear" w:color="auto" w:fill="auto"/>
            <w:tcMar>
              <w:top w:w="30" w:type="dxa"/>
              <w:left w:w="45" w:type="dxa"/>
              <w:bottom w:w="30" w:type="dxa"/>
              <w:right w:w="45" w:type="dxa"/>
            </w:tcMar>
            <w:vAlign w:val="bottom"/>
          </w:tcPr>
          <w:p w14:paraId="2B5DBB13">
            <w:pPr>
              <w:keepNext w:val="0"/>
              <w:keepLines w:val="0"/>
              <w:widowControl/>
              <w:suppressLineNumbers w:val="0"/>
              <w:bidi w:val="0"/>
              <w:spacing w:line="360" w:lineRule="auto"/>
              <w:jc w:val="center"/>
              <w:textAlignment w:val="bottom"/>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246,500</w:t>
            </w:r>
          </w:p>
        </w:tc>
      </w:tr>
    </w:tbl>
    <w:p w14:paraId="7AC4C702">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22: </w:t>
      </w:r>
      <w:r>
        <w:rPr>
          <w:rFonts w:hint="default" w:ascii="Arial Regular" w:hAnsi="Arial Regular" w:cs="Arial Regular"/>
          <w:b w:val="0"/>
          <w:bCs w:val="0"/>
          <w:color w:val="000000" w:themeColor="text1"/>
          <w:sz w:val="24"/>
          <w:szCs w:val="24"/>
          <w14:textFill>
            <w14:solidFill>
              <w14:schemeClr w14:val="tx1"/>
            </w14:solidFill>
          </w14:textFill>
        </w:rPr>
        <w:t>Staffing Cost Estimates (Year 1)</w:t>
      </w:r>
    </w:p>
    <w:p w14:paraId="4DE2A6A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 xml:space="preserve">Created </w:t>
      </w:r>
      <w:r>
        <w:rPr>
          <w:rFonts w:hint="default" w:ascii="Arial Regular" w:hAnsi="Arial Regular" w:cs="Arial Regular"/>
          <w:b w:val="0"/>
          <w:bCs w:val="0"/>
          <w:color w:val="000000" w:themeColor="text1"/>
          <w:sz w:val="24"/>
          <w:szCs w:val="24"/>
          <w:lang w:val="de-DE"/>
          <w14:textFill>
            <w14:solidFill>
              <w14:schemeClr w14:val="tx1"/>
            </w14:solidFill>
          </w14:textFill>
        </w:rPr>
        <w:t>by learner)</w:t>
      </w:r>
    </w:p>
    <w:p w14:paraId="18306BD9">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The estimated annual employment cost of approximately </w:t>
      </w:r>
      <w:r>
        <w:rPr>
          <w:rStyle w:val="12"/>
          <w:rFonts w:hint="default" w:ascii="Arial Regular" w:hAnsi="Arial Regular" w:cs="Arial Regular"/>
          <w:b w:val="0"/>
          <w:bCs w:val="0"/>
          <w:color w:val="000000" w:themeColor="text1"/>
          <w:sz w:val="24"/>
          <w:szCs w:val="24"/>
          <w14:textFill>
            <w14:solidFill>
              <w14:schemeClr w14:val="tx1"/>
            </w14:solidFill>
          </w14:textFill>
        </w:rPr>
        <w:t>£246,500</w:t>
      </w:r>
      <w:r>
        <w:rPr>
          <w:rFonts w:hint="default" w:ascii="Arial Regular" w:hAnsi="Arial Regular" w:cs="Arial Regular"/>
          <w:b w:val="0"/>
          <w:bCs w:val="0"/>
          <w:color w:val="000000" w:themeColor="text1"/>
          <w:sz w:val="24"/>
          <w:szCs w:val="24"/>
          <w14:textFill>
            <w14:solidFill>
              <w14:schemeClr w14:val="tx1"/>
            </w14:solidFill>
          </w14:textFill>
        </w:rPr>
        <w:t xml:space="preserve"> provides a realistic foundation for SmartGrowth AI’s initial operations and financial planning.</w:t>
      </w:r>
    </w:p>
    <w:p w14:paraId="018C00FF">
      <w:pPr>
        <w:pStyle w:val="3"/>
        <w:keepNext w:val="0"/>
        <w:keepLines w:val="0"/>
        <w:widowControl/>
        <w:numPr>
          <w:ilvl w:val="0"/>
          <w:numId w:val="20"/>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44" w:name="_Toc1200824129"/>
      <w:r>
        <w:rPr>
          <w:rFonts w:hint="default" w:ascii="Arial Regular" w:hAnsi="Arial Regular" w:cs="Arial Regular"/>
          <w:color w:val="000000" w:themeColor="text1"/>
          <w:sz w:val="24"/>
          <w:szCs w:val="24"/>
          <w14:textFill>
            <w14:solidFill>
              <w14:schemeClr w14:val="tx1"/>
            </w14:solidFill>
          </w14:textFill>
        </w:rPr>
        <w:t>HR Policies and Compliance</w:t>
      </w:r>
      <w:bookmarkEnd w:id="44"/>
      <w:r>
        <w:rPr>
          <w:rFonts w:hint="default" w:ascii="Arial Regular" w:hAnsi="Arial Regular" w:cs="Arial Regular"/>
          <w:color w:val="000000" w:themeColor="text1"/>
          <w:sz w:val="24"/>
          <w:szCs w:val="24"/>
          <w14:textFill>
            <w14:solidFill>
              <w14:schemeClr w14:val="tx1"/>
            </w14:solidFill>
          </w14:textFill>
        </w:rPr>
        <w:t xml:space="preserve"> </w:t>
      </w:r>
    </w:p>
    <w:p w14:paraId="1C3F4046">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HR policies establish consistent approaches to managing employees and supporting legal and organisational requirements (Armstrong and Taylor, 2020). SmartGrowth AI will maintain written policies covering recruitment, equality, performance, absence, disciplinary procedures, grievances, flexible working, confidentiality, data protection, health and safety and responsible AI use. Employees will receive clear contracts and workplace guidance, with regular policy reviews. Workplace pension arrangements will comply with UK automatic-enrolment requirements where employees are eligible (The Pensions Regulator, 2026). </w:t>
      </w:r>
    </w:p>
    <w:p w14:paraId="34F937DD">
      <w:pPr>
        <w:pStyle w:val="2"/>
        <w:keepNext w:val="0"/>
        <w:keepLines w:val="0"/>
        <w:widowControl/>
        <w:numPr>
          <w:ilvl w:val="0"/>
          <w:numId w:val="11"/>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lang w:val="de-DE"/>
          <w14:textFill>
            <w14:solidFill>
              <w14:schemeClr w14:val="tx1"/>
            </w14:solidFill>
          </w14:textFill>
        </w:rPr>
      </w:pPr>
      <w:bookmarkStart w:id="45" w:name="_Toc199821597"/>
      <w:r>
        <w:rPr>
          <w:rFonts w:hint="default" w:ascii="Arial Regular" w:hAnsi="Arial Regular" w:cs="Arial Regular"/>
          <w:b/>
          <w:bCs/>
          <w:color w:val="000000" w:themeColor="text1"/>
          <w:sz w:val="24"/>
          <w:szCs w:val="24"/>
          <w14:textFill>
            <w14:solidFill>
              <w14:schemeClr w14:val="tx1"/>
            </w14:solidFill>
          </w14:textFill>
        </w:rPr>
        <w:t>Operations Plan</w:t>
      </w:r>
      <w:bookmarkEnd w:id="45"/>
      <w:r>
        <w:rPr>
          <w:rFonts w:hint="default" w:ascii="Arial Regular" w:hAnsi="Arial Regular" w:cs="Arial Regular"/>
          <w:b/>
          <w:bCs/>
          <w:color w:val="000000" w:themeColor="text1"/>
          <w:sz w:val="24"/>
          <w:szCs w:val="24"/>
          <w:lang w:val="de-DE"/>
          <w14:textFill>
            <w14:solidFill>
              <w14:schemeClr w14:val="tx1"/>
            </w14:solidFill>
          </w14:textFill>
        </w:rPr>
        <w:t xml:space="preserve"> </w:t>
      </w:r>
    </w:p>
    <w:p w14:paraId="5FDA8042">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Operations management is concerned with designing and managing the processes through which organisations create and deliver products and services efficiently (Slack and Brandon-Jones, 2019). For SmartGrowth AI, the operations plan ensures reliable, efficient and compliant delivery of AI-powered marketing services to UK service-based SMEs.</w:t>
      </w:r>
    </w:p>
    <w:p w14:paraId="22BCE510">
      <w:pPr>
        <w:pStyle w:val="4"/>
        <w:keepNext w:val="0"/>
        <w:keepLines w:val="0"/>
        <w:widowControl/>
        <w:numPr>
          <w:ilvl w:val="0"/>
          <w:numId w:val="0"/>
        </w:numPr>
        <w:suppressLineNumbers w:val="0"/>
        <w:spacing w:line="360" w:lineRule="auto"/>
        <w:ind w:leftChars="0"/>
        <w:jc w:val="both"/>
        <w:rPr>
          <w:rFonts w:hint="default" w:ascii="Arial Regular" w:hAnsi="Arial Regular" w:cs="Arial Regular"/>
          <w:b/>
          <w:bCs/>
          <w:color w:val="000000" w:themeColor="text1"/>
          <w:sz w:val="24"/>
          <w:szCs w:val="24"/>
          <w14:textFill>
            <w14:solidFill>
              <w14:schemeClr w14:val="tx1"/>
            </w14:solidFill>
          </w14:textFill>
        </w:rPr>
      </w:pPr>
      <w:bookmarkStart w:id="46" w:name="_Toc1884640518"/>
      <w:r>
        <w:rPr>
          <w:rFonts w:hint="default" w:ascii="Arial Regular" w:hAnsi="Arial Regular" w:cs="Arial Regular"/>
          <w:b/>
          <w:bCs/>
          <w:color w:val="000000" w:themeColor="text1"/>
          <w:sz w:val="24"/>
          <w:szCs w:val="24"/>
          <w:lang w:val="de-DE"/>
          <w14:textFill>
            <w14:solidFill>
              <w14:schemeClr w14:val="tx1"/>
            </w14:solidFill>
          </w14:textFill>
        </w:rPr>
        <w:t xml:space="preserve">10.1 </w:t>
      </w:r>
      <w:r>
        <w:rPr>
          <w:rFonts w:hint="default" w:ascii="Arial Regular" w:hAnsi="Arial Regular" w:cs="Arial Regular"/>
          <w:b/>
          <w:bCs/>
          <w:color w:val="000000" w:themeColor="text1"/>
          <w:sz w:val="24"/>
          <w:szCs w:val="24"/>
          <w14:textFill>
            <w14:solidFill>
              <w14:schemeClr w14:val="tx1"/>
            </w14:solidFill>
          </w14:textFill>
        </w:rPr>
        <w:t>Operating Model and Scope</w:t>
      </w:r>
      <w:bookmarkEnd w:id="46"/>
      <w:r>
        <w:rPr>
          <w:rFonts w:hint="default" w:ascii="Arial Regular" w:hAnsi="Arial Regular" w:cs="Arial Regular"/>
          <w:b/>
          <w:bCs/>
          <w:color w:val="000000" w:themeColor="text1"/>
          <w:sz w:val="24"/>
          <w:szCs w:val="24"/>
          <w14:textFill>
            <w14:solidFill>
              <w14:schemeClr w14:val="tx1"/>
            </w14:solidFill>
          </w14:textFill>
        </w:rPr>
        <w:t xml:space="preserve"> </w:t>
      </w:r>
    </w:p>
    <w:p w14:paraId="03CD1A62">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SmartGrowth AI will operate as a UK-based, service-focused digital marketing agency, combining human expertise with AI technologies. Its scope covers content creation, SEO, social media, paid advertising, market research and product-development consultancy, delivered through integrated project workflows.</w:t>
      </w:r>
    </w:p>
    <w:p w14:paraId="2FC454B9">
      <w:pPr>
        <w:pStyle w:val="11"/>
        <w:keepNext w:val="0"/>
        <w:keepLines w:val="0"/>
        <w:widowControl/>
        <w:suppressLineNumbers w:val="0"/>
        <w:spacing w:line="360" w:lineRule="auto"/>
        <w:jc w:val="both"/>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10.2 </w:t>
      </w:r>
      <w:r>
        <w:rPr>
          <w:rFonts w:hint="default" w:ascii="Arial Regular" w:hAnsi="Arial Regular" w:cs="Arial Regular"/>
          <w:b/>
          <w:bCs/>
          <w:color w:val="000000" w:themeColor="text1"/>
          <w:sz w:val="24"/>
          <w:szCs w:val="24"/>
          <w14:textFill>
            <w14:solidFill>
              <w14:schemeClr w14:val="tx1"/>
            </w14:solidFill>
          </w14:textFill>
        </w:rPr>
        <w:t xml:space="preserve">Operational Workflow and Capacity </w:t>
      </w:r>
    </w:p>
    <w:p w14:paraId="30B5EE61">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SmartGrowth AI will follow a structured workflow beginning with client enquiry and needs assessment, followed by proposal development, onboarding and campaign planning. After approval, employees will allocate tasks across content, SEO, social media, advertising and research functions. AI tools will support research, content ideation, analysis and routine activities, while employees will review outputs for accuracy, creativity and client suitability. Campaigns will then be implemented across relevant digital platforms and monitored against agreed KPIs. Monthly performance reports and client review meetings will identify improvements and opportunities for additional services. Initially, an eight-person team will support approximately 20 recurring clients, with capacity increasing through recruitment and process automation as demand grows. Standard operating procedures, project-management software and CRM systems will coordinate workloads, deadlines and communication. This workflow balances scalability with personalised service and quality control.</w:t>
      </w:r>
    </w:p>
    <w:p w14:paraId="595EEBCD">
      <w:pPr>
        <w:pStyle w:val="4"/>
        <w:keepNext w:val="0"/>
        <w:keepLines w:val="0"/>
        <w:widowControl/>
        <w:numPr>
          <w:ilvl w:val="0"/>
          <w:numId w:val="0"/>
        </w:numPr>
        <w:suppressLineNumbers w:val="0"/>
        <w:spacing w:line="360" w:lineRule="auto"/>
        <w:ind w:leftChars="0"/>
        <w:jc w:val="center"/>
        <w:rPr>
          <w:rFonts w:hint="default" w:ascii="Arial Regular" w:hAnsi="Arial Regular" w:cs="Arial Regular"/>
          <w:b/>
          <w:bCs/>
          <w:color w:val="000000" w:themeColor="text1"/>
          <w:sz w:val="24"/>
          <w:szCs w:val="24"/>
          <w:lang w:val="de-DE"/>
          <w14:textFill>
            <w14:solidFill>
              <w14:schemeClr w14:val="tx1"/>
            </w14:solidFill>
          </w14:textFill>
        </w:rPr>
      </w:pPr>
      <w:bookmarkStart w:id="47" w:name="_Toc1916876423"/>
      <w:r>
        <w:rPr>
          <w:rFonts w:hint="default" w:ascii="Arial Regular" w:hAnsi="Arial Regular" w:cs="Arial Regular"/>
          <w:b/>
          <w:bCs/>
          <w:color w:val="000000" w:themeColor="text1"/>
          <w:sz w:val="24"/>
          <w:szCs w:val="24"/>
          <w:lang w:val="de-DE"/>
          <w14:textFill>
            <w14:solidFill>
              <w14:schemeClr w14:val="tx1"/>
            </w14:solidFill>
          </w14:textFill>
        </w:rPr>
        <w:drawing>
          <wp:inline distT="0" distB="0" distL="114300" distR="114300">
            <wp:extent cx="5272405" cy="2875280"/>
            <wp:effectExtent l="0" t="0" r="10795" b="20320"/>
            <wp:docPr id="16" name="Picture 16" descr="ChatGPT Image Sep 13, 2026, 05_24_09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tGPT Image Sep 13, 2026, 05_24_09 PM"/>
                    <pic:cNvPicPr>
                      <a:picLocks noChangeAspect="1"/>
                    </pic:cNvPicPr>
                  </pic:nvPicPr>
                  <pic:blipFill>
                    <a:blip r:embed="rId23"/>
                    <a:stretch>
                      <a:fillRect/>
                    </a:stretch>
                  </pic:blipFill>
                  <pic:spPr>
                    <a:xfrm>
                      <a:off x="0" y="0"/>
                      <a:ext cx="5272405" cy="2875280"/>
                    </a:xfrm>
                    <a:prstGeom prst="rect">
                      <a:avLst/>
                    </a:prstGeom>
                  </pic:spPr>
                </pic:pic>
              </a:graphicData>
            </a:graphic>
          </wp:inline>
        </w:drawing>
      </w:r>
      <w:bookmarkEnd w:id="47"/>
    </w:p>
    <w:p w14:paraId="70A1CF3F">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23: </w:t>
      </w:r>
      <w:r>
        <w:rPr>
          <w:rFonts w:hint="default" w:ascii="Arial Regular" w:hAnsi="Arial Regular" w:cs="Arial Regular"/>
          <w:b w:val="0"/>
          <w:bCs w:val="0"/>
          <w:color w:val="000000" w:themeColor="text1"/>
          <w:sz w:val="24"/>
          <w:szCs w:val="24"/>
          <w:lang w:val="de-DE"/>
          <w14:textFill>
            <w14:solidFill>
              <w14:schemeClr w14:val="tx1"/>
            </w14:solidFill>
          </w14:textFill>
        </w:rPr>
        <w:t>SmartGrowth AI</w:t>
      </w:r>
      <w:r>
        <w:rPr>
          <w:rFonts w:hint="default" w:ascii="Arial Regular" w:hAnsi="Arial Regular" w:cs="Arial Regular"/>
          <w:b w:val="0"/>
          <w:bCs w:val="0"/>
          <w:color w:val="000000" w:themeColor="text1"/>
          <w:sz w:val="24"/>
          <w:szCs w:val="24"/>
          <w14:textFill>
            <w14:solidFill>
              <w14:schemeClr w14:val="tx1"/>
            </w14:solidFill>
          </w14:textFill>
        </w:rPr>
        <w:t>’s end-to-end operating process</w:t>
      </w:r>
    </w:p>
    <w:p w14:paraId="18B4F180">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color w:val="000000" w:themeColor="text1"/>
          <w:sz w:val="24"/>
          <w:szCs w:val="24"/>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lang w:val="de-DE"/>
          <w14:textFill>
            <w14:solidFill>
              <w14:schemeClr w14:val="tx1"/>
            </w14:solidFill>
          </w14:textFill>
        </w:rPr>
        <w:t xml:space="preserve">Learner’s </w:t>
      </w:r>
      <w:r>
        <w:rPr>
          <w:rFonts w:hint="default" w:ascii="Arial Regular" w:hAnsi="Arial Regular" w:cs="Arial Regular"/>
          <w:b w:val="0"/>
          <w:bCs w:val="0"/>
          <w:color w:val="000000" w:themeColor="text1"/>
          <w:sz w:val="24"/>
          <w:szCs w:val="24"/>
          <w14:textFill>
            <w14:solidFill>
              <w14:schemeClr w14:val="tx1"/>
            </w14:solidFill>
          </w14:textFill>
        </w:rPr>
        <w:t xml:space="preserve">Synthesis using </w:t>
      </w:r>
      <w:r>
        <w:rPr>
          <w:rFonts w:hint="default" w:ascii="Arial Regular" w:hAnsi="Arial Regular" w:cs="Arial Regular"/>
          <w:b w:val="0"/>
          <w:bCs w:val="0"/>
          <w:color w:val="000000" w:themeColor="text1"/>
          <w:sz w:val="24"/>
          <w:szCs w:val="24"/>
          <w:lang w:val="de-DE"/>
          <w14:textFill>
            <w14:solidFill>
              <w14:schemeClr w14:val="tx1"/>
            </w14:solidFill>
          </w14:textFill>
        </w:rPr>
        <w:t>ChatGPT AI</w:t>
      </w:r>
      <w:r>
        <w:rPr>
          <w:rFonts w:hint="default" w:ascii="Arial Regular" w:hAnsi="Arial Regular" w:cs="Arial Regular"/>
          <w:b w:val="0"/>
          <w:bCs w:val="0"/>
          <w:color w:val="000000" w:themeColor="text1"/>
          <w:sz w:val="24"/>
          <w:szCs w:val="24"/>
          <w14:textFill>
            <w14:solidFill>
              <w14:schemeClr w14:val="tx1"/>
            </w14:solidFill>
          </w14:textFill>
        </w:rPr>
        <w:t>, 2026)</w:t>
      </w:r>
    </w:p>
    <w:p w14:paraId="63BD66F6">
      <w:pPr>
        <w:pStyle w:val="4"/>
        <w:keepNext w:val="0"/>
        <w:keepLines w:val="0"/>
        <w:widowControl/>
        <w:numPr>
          <w:ilvl w:val="0"/>
          <w:numId w:val="0"/>
        </w:numPr>
        <w:suppressLineNumbers w:val="0"/>
        <w:spacing w:line="360" w:lineRule="auto"/>
        <w:ind w:leftChars="0"/>
        <w:jc w:val="both"/>
        <w:rPr>
          <w:rFonts w:hint="default" w:ascii="Arial Regular" w:hAnsi="Arial Regular" w:cs="Arial Regular"/>
          <w:b/>
          <w:bCs/>
          <w:color w:val="000000" w:themeColor="text1"/>
          <w:sz w:val="24"/>
          <w:szCs w:val="24"/>
          <w14:textFill>
            <w14:solidFill>
              <w14:schemeClr w14:val="tx1"/>
            </w14:solidFill>
          </w14:textFill>
        </w:rPr>
      </w:pPr>
      <w:bookmarkStart w:id="48" w:name="_Toc392369067"/>
      <w:r>
        <w:rPr>
          <w:rFonts w:hint="default" w:ascii="Arial Regular" w:hAnsi="Arial Regular" w:cs="Arial Regular"/>
          <w:b/>
          <w:bCs/>
          <w:color w:val="000000" w:themeColor="text1"/>
          <w:sz w:val="24"/>
          <w:szCs w:val="24"/>
          <w:lang w:val="de-DE"/>
          <w14:textFill>
            <w14:solidFill>
              <w14:schemeClr w14:val="tx1"/>
            </w14:solidFill>
          </w14:textFill>
        </w:rPr>
        <w:t xml:space="preserve">10.3 </w:t>
      </w:r>
      <w:r>
        <w:rPr>
          <w:rFonts w:hint="default" w:ascii="Arial Regular" w:hAnsi="Arial Regular" w:cs="Arial Regular"/>
          <w:b/>
          <w:bCs/>
          <w:color w:val="000000" w:themeColor="text1"/>
          <w:sz w:val="24"/>
          <w:szCs w:val="24"/>
          <w14:textFill>
            <w14:solidFill>
              <w14:schemeClr w14:val="tx1"/>
            </w14:solidFill>
          </w14:textFill>
        </w:rPr>
        <w:t>Location, Facilities and Technology</w:t>
      </w:r>
      <w:bookmarkEnd w:id="48"/>
    </w:p>
    <w:p w14:paraId="2BC443C8">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SmartGrowth AI will operate from a professional London office </w:t>
      </w:r>
      <w:r>
        <w:rPr>
          <w:rFonts w:hint="default" w:ascii="Arial Regular" w:hAnsi="Arial Regular" w:cs="Arial Regular"/>
          <w:color w:val="000000" w:themeColor="text1"/>
          <w:sz w:val="24"/>
          <w:szCs w:val="24"/>
          <w:lang w:val="de-DE"/>
          <w14:textFill>
            <w14:solidFill>
              <w14:schemeClr w14:val="tx1"/>
            </w14:solidFill>
          </w14:textFill>
        </w:rPr>
        <w:t xml:space="preserve">(Preferably a shared workspace like Mirror Works in Stratford) </w:t>
      </w:r>
      <w:r>
        <w:rPr>
          <w:rFonts w:hint="default" w:ascii="Arial Regular" w:hAnsi="Arial Regular" w:cs="Arial Regular"/>
          <w:color w:val="000000" w:themeColor="text1"/>
          <w:sz w:val="24"/>
          <w:szCs w:val="24"/>
          <w14:textFill>
            <w14:solidFill>
              <w14:schemeClr w14:val="tx1"/>
            </w14:solidFill>
          </w14:textFill>
        </w:rPr>
        <w:t>while providing services digitally across the UK. Facilities will include workstations, meeting space, reliable internet and secure storage. Technology will include laptops, CRM and project-management software, analytics platforms, content-creation tools, advertising platforms and AI applications. Cloud-based systems will support collaboration, data access and remote service delivery while maintaining appropriate security controls.</w:t>
      </w:r>
    </w:p>
    <w:p w14:paraId="749BBFE4">
      <w:pPr>
        <w:pStyle w:val="4"/>
        <w:keepNext w:val="0"/>
        <w:keepLines w:val="0"/>
        <w:widowControl/>
        <w:numPr>
          <w:ilvl w:val="0"/>
          <w:numId w:val="0"/>
        </w:numPr>
        <w:suppressLineNumbers w:val="0"/>
        <w:spacing w:line="360" w:lineRule="auto"/>
        <w:ind w:leftChars="0"/>
        <w:jc w:val="both"/>
        <w:rPr>
          <w:rFonts w:hint="default" w:ascii="Arial Regular" w:hAnsi="Arial Regular" w:cs="Arial Regular"/>
          <w:b/>
          <w:bCs/>
          <w:color w:val="000000" w:themeColor="text1"/>
          <w:sz w:val="24"/>
          <w:szCs w:val="24"/>
          <w14:textFill>
            <w14:solidFill>
              <w14:schemeClr w14:val="tx1"/>
            </w14:solidFill>
          </w14:textFill>
        </w:rPr>
      </w:pPr>
      <w:bookmarkStart w:id="49" w:name="_Toc1772112779"/>
      <w:r>
        <w:rPr>
          <w:rFonts w:hint="default" w:ascii="Arial Regular" w:hAnsi="Arial Regular" w:cs="Arial Regular"/>
          <w:b/>
          <w:bCs/>
          <w:color w:val="000000" w:themeColor="text1"/>
          <w:sz w:val="24"/>
          <w:szCs w:val="24"/>
          <w:lang w:val="de-DE"/>
          <w14:textFill>
            <w14:solidFill>
              <w14:schemeClr w14:val="tx1"/>
            </w14:solidFill>
          </w14:textFill>
        </w:rPr>
        <w:t xml:space="preserve">10.4 </w:t>
      </w:r>
      <w:r>
        <w:rPr>
          <w:rFonts w:hint="default" w:ascii="Arial Regular" w:hAnsi="Arial Regular" w:cs="Arial Regular"/>
          <w:b/>
          <w:bCs/>
          <w:color w:val="000000" w:themeColor="text1"/>
          <w:sz w:val="24"/>
          <w:szCs w:val="24"/>
          <w14:textFill>
            <w14:solidFill>
              <w14:schemeClr w14:val="tx1"/>
            </w14:solidFill>
          </w14:textFill>
        </w:rPr>
        <w:t>Supply Chain, Inventory and Logistics</w:t>
      </w:r>
      <w:bookmarkEnd w:id="49"/>
      <w:r>
        <w:rPr>
          <w:rFonts w:hint="default" w:ascii="Arial Regular" w:hAnsi="Arial Regular" w:cs="Arial Regular"/>
          <w:b/>
          <w:bCs/>
          <w:color w:val="000000" w:themeColor="text1"/>
          <w:sz w:val="24"/>
          <w:szCs w:val="24"/>
          <w14:textFill>
            <w14:solidFill>
              <w14:schemeClr w14:val="tx1"/>
            </w14:solidFill>
          </w14:textFill>
        </w:rPr>
        <w:t xml:space="preserve"> </w:t>
      </w:r>
    </w:p>
    <w:p w14:paraId="5988D57F">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As a service business, SmartGrowth AI will have limited physical inventory and a relatively simple supply chain. Key suppliers will include software providers, AI platforms, advertising platforms, cloud-storage providers and professional service providers. The business will maintain subscriptions and licences required for continuous service delivery and monitor supplier performance, costs and availability. Digital assets, client files and campaign materials will be stored securely through cloud-based systems. Supplier diversification will reduce dependency on individual platforms. Procurement decisions will consider reliability, functionality, cost, data security and scalability to ensure that resources remain available as client demand increases.</w:t>
      </w:r>
    </w:p>
    <w:p w14:paraId="11D78E21">
      <w:pPr>
        <w:pStyle w:val="4"/>
        <w:keepNext w:val="0"/>
        <w:keepLines w:val="0"/>
        <w:widowControl/>
        <w:numPr>
          <w:ilvl w:val="0"/>
          <w:numId w:val="0"/>
        </w:numPr>
        <w:suppressLineNumbers w:val="0"/>
        <w:spacing w:line="360" w:lineRule="auto"/>
        <w:ind w:leftChars="0"/>
        <w:jc w:val="both"/>
        <w:rPr>
          <w:rFonts w:hint="default" w:ascii="Arial Regular" w:hAnsi="Arial Regular" w:cs="Arial Regular"/>
          <w:b/>
          <w:bCs/>
          <w:color w:val="000000" w:themeColor="text1"/>
          <w:sz w:val="24"/>
          <w:szCs w:val="24"/>
          <w14:textFill>
            <w14:solidFill>
              <w14:schemeClr w14:val="tx1"/>
            </w14:solidFill>
          </w14:textFill>
        </w:rPr>
      </w:pPr>
      <w:bookmarkStart w:id="50" w:name="_Toc448776410"/>
      <w:r>
        <w:rPr>
          <w:rFonts w:hint="default" w:ascii="Arial Regular" w:hAnsi="Arial Regular" w:cs="Arial Regular"/>
          <w:b/>
          <w:bCs/>
          <w:color w:val="000000" w:themeColor="text1"/>
          <w:sz w:val="24"/>
          <w:szCs w:val="24"/>
          <w:lang w:val="de-DE"/>
          <w14:textFill>
            <w14:solidFill>
              <w14:schemeClr w14:val="tx1"/>
            </w14:solidFill>
          </w14:textFill>
        </w:rPr>
        <w:t xml:space="preserve">10.5 </w:t>
      </w:r>
      <w:r>
        <w:rPr>
          <w:rFonts w:hint="default" w:ascii="Arial Regular" w:hAnsi="Arial Regular" w:cs="Arial Regular"/>
          <w:b/>
          <w:bCs/>
          <w:color w:val="000000" w:themeColor="text1"/>
          <w:sz w:val="24"/>
          <w:szCs w:val="24"/>
          <w14:textFill>
            <w14:solidFill>
              <w14:schemeClr w14:val="tx1"/>
            </w14:solidFill>
          </w14:textFill>
        </w:rPr>
        <w:t>Quality, Compliance and Operational Control</w:t>
      </w:r>
      <w:bookmarkEnd w:id="50"/>
      <w:r>
        <w:rPr>
          <w:rFonts w:hint="default" w:ascii="Arial Regular" w:hAnsi="Arial Regular" w:cs="Arial Regular"/>
          <w:b/>
          <w:bCs/>
          <w:color w:val="000000" w:themeColor="text1"/>
          <w:sz w:val="24"/>
          <w:szCs w:val="24"/>
          <w14:textFill>
            <w14:solidFill>
              <w14:schemeClr w14:val="tx1"/>
            </w14:solidFill>
          </w14:textFill>
        </w:rPr>
        <w:t xml:space="preserve"> </w:t>
      </w:r>
    </w:p>
    <w:p w14:paraId="785183AB">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Quality management involves systematically ensuring that products or services consistently meet required standards and customer expectations (Slack and Brandon-Jones, 2019). SmartGrowth AI will establish quality controls throughout the service-delivery process. All AI-generated content will undergo human review before client publication to reduce inaccuracies, inappropriate content and potential bias. Campaigns will be checked against client objectives, agreed KPIs and platform requirements. Regular client feedback and monthly performance reviews will support continuous improvement. Operational controls will include documented procedures, approval stages, project deadlines and performance monitoring. Because marketing activities may involve personal data, SmartGrowth AI will follow applicable UK data-protection requirements and adopt appropriate technical and organisational safeguards. The ICO recommends a risk-based approach when AI processes personal data, including measures addressing lawfulness, fairness, transparency, security and accountability (ICO, 2026). Regular staff training and compliance reviews will help maintain responsible AI use and operational reliability.</w:t>
      </w:r>
    </w:p>
    <w:p w14:paraId="4658D913">
      <w:pPr>
        <w:pStyle w:val="2"/>
        <w:keepNext w:val="0"/>
        <w:keepLines w:val="0"/>
        <w:widowControl/>
        <w:numPr>
          <w:ilvl w:val="0"/>
          <w:numId w:val="21"/>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51" w:name="_Toc622554606"/>
      <w:r>
        <w:rPr>
          <w:rFonts w:hint="default" w:ascii="Arial Regular" w:hAnsi="Arial Regular" w:cs="Arial Regular"/>
          <w:b/>
          <w:bCs/>
          <w:color w:val="000000" w:themeColor="text1"/>
          <w:sz w:val="24"/>
          <w:szCs w:val="24"/>
          <w14:textFill>
            <w14:solidFill>
              <w14:schemeClr w14:val="tx1"/>
            </w14:solidFill>
          </w14:textFill>
        </w:rPr>
        <w:t>Feasibility Analysis</w:t>
      </w:r>
      <w:bookmarkEnd w:id="51"/>
      <w:r>
        <w:rPr>
          <w:rFonts w:hint="default" w:ascii="Arial Regular" w:hAnsi="Arial Regular" w:cs="Arial Regular"/>
          <w:b/>
          <w:bCs/>
          <w:color w:val="000000" w:themeColor="text1"/>
          <w:sz w:val="24"/>
          <w:szCs w:val="24"/>
          <w14:textFill>
            <w14:solidFill>
              <w14:schemeClr w14:val="tx1"/>
            </w14:solidFill>
          </w14:textFill>
        </w:rPr>
        <w:t xml:space="preserve"> </w:t>
      </w:r>
    </w:p>
    <w:p w14:paraId="481594B7">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Feasibility analysis evaluates whether a proposed business idea is viable by assessing its market, financial, technical, organisational and risk conditions (Arvanitis, 2018). For SmartGrowth AI, the analysis considers whether the proposed AI-powered marketing agency can realistically operate and achieve sustainable growth.</w:t>
      </w:r>
    </w:p>
    <w:p w14:paraId="7F02D5A0">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2" w:name="_Toc734934858"/>
      <w:r>
        <w:rPr>
          <w:rFonts w:hint="default" w:ascii="Arial Regular" w:hAnsi="Arial Regular" w:cs="Arial Regular"/>
          <w:b/>
          <w:bCs/>
          <w:color w:val="000000" w:themeColor="text1"/>
          <w:sz w:val="24"/>
          <w:szCs w:val="24"/>
          <w:lang w:val="de-DE"/>
          <w14:textFill>
            <w14:solidFill>
              <w14:schemeClr w14:val="tx1"/>
            </w14:solidFill>
          </w14:textFill>
        </w:rPr>
        <w:t xml:space="preserve">11.1 </w:t>
      </w:r>
      <w:r>
        <w:rPr>
          <w:rFonts w:hint="default" w:ascii="Arial Regular" w:hAnsi="Arial Regular" w:cs="Arial Regular"/>
          <w:b/>
          <w:bCs/>
          <w:color w:val="000000" w:themeColor="text1"/>
          <w:sz w:val="24"/>
          <w:szCs w:val="24"/>
          <w14:textFill>
            <w14:solidFill>
              <w14:schemeClr w14:val="tx1"/>
            </w14:solidFill>
          </w14:textFill>
        </w:rPr>
        <w:t>Ethical Feasibility</w:t>
      </w:r>
      <w:bookmarkEnd w:id="52"/>
      <w:r>
        <w:rPr>
          <w:rFonts w:hint="default" w:ascii="Arial Regular" w:hAnsi="Arial Regular" w:cs="Arial Regular"/>
          <w:b/>
          <w:bCs/>
          <w:color w:val="000000" w:themeColor="text1"/>
          <w:sz w:val="24"/>
          <w:szCs w:val="24"/>
          <w14:textFill>
            <w14:solidFill>
              <w14:schemeClr w14:val="tx1"/>
            </w14:solidFill>
          </w14:textFill>
        </w:rPr>
        <w:t xml:space="preserve"> </w:t>
      </w:r>
    </w:p>
    <w:p w14:paraId="6D2D86D1">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Ethical feasibility assesses whether a proposed venture can operate consistently with ethical principles, stakeholder interests and responsible practices (Arvanitis, 2018). SmartGrowth AI will use human oversight of AI-generated content to reduce misinformation, bias and inappropriate outputs. Client and customer data will be handled transparently and securely, with appropriate consent and lawful processing. Employees will receive responsible-AI guidance and confidentiality training. Marketing communications will avoid deceptive claims, discrimination and manipulative practices. These controls can strengthen stakeholder trust while supporting responsible innovation.</w:t>
      </w:r>
    </w:p>
    <w:p w14:paraId="1E9E85D0">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3" w:name="_Toc1871704509"/>
      <w:r>
        <w:rPr>
          <w:rFonts w:hint="default" w:ascii="Arial Regular" w:hAnsi="Arial Regular" w:cs="Arial Regular"/>
          <w:b/>
          <w:bCs/>
          <w:color w:val="000000" w:themeColor="text1"/>
          <w:sz w:val="24"/>
          <w:szCs w:val="24"/>
          <w:lang w:val="de-DE"/>
          <w14:textFill>
            <w14:solidFill>
              <w14:schemeClr w14:val="tx1"/>
            </w14:solidFill>
          </w14:textFill>
        </w:rPr>
        <w:t xml:space="preserve">11.2 </w:t>
      </w:r>
      <w:r>
        <w:rPr>
          <w:rFonts w:hint="default" w:ascii="Arial Regular" w:hAnsi="Arial Regular" w:cs="Arial Regular"/>
          <w:b/>
          <w:bCs/>
          <w:color w:val="000000" w:themeColor="text1"/>
          <w:sz w:val="24"/>
          <w:szCs w:val="24"/>
          <w14:textFill>
            <w14:solidFill>
              <w14:schemeClr w14:val="tx1"/>
            </w14:solidFill>
          </w14:textFill>
        </w:rPr>
        <w:t>Market Feasibility</w:t>
      </w:r>
      <w:bookmarkEnd w:id="53"/>
      <w:r>
        <w:rPr>
          <w:rFonts w:hint="default" w:ascii="Arial Regular" w:hAnsi="Arial Regular" w:cs="Arial Regular"/>
          <w:b/>
          <w:bCs/>
          <w:color w:val="000000" w:themeColor="text1"/>
          <w:sz w:val="24"/>
          <w:szCs w:val="24"/>
          <w14:textFill>
            <w14:solidFill>
              <w14:schemeClr w14:val="tx1"/>
            </w14:solidFill>
          </w14:textFill>
        </w:rPr>
        <w:t xml:space="preserve"> </w:t>
      </w:r>
    </w:p>
    <w:p w14:paraId="4E018D81">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Market feasibility evaluates whether sufficient customer demand and market conditions exist to support a proposed venture (Arvanitis, 2018). SmartGrowth AI targets UK service-based SMEs requiring affordable digital marketing support. The opportunity is supported by increasing business digitalisation and AI adoption: 41% of UK businesses handling digitised data reported using AI during 2025–26, including 51% of small businesses (Department for Business and Trade, 2026). SmartGrowth AI can address demand through integrated content, SEO, social media, paid advertising, market research and consultancy. Competition from established agencies, freelancers and in-house teams remains significant; therefore, differentiation through moderate pricing, personalised service and AI-human delivery is essential.</w:t>
      </w:r>
    </w:p>
    <w:p w14:paraId="515B042F">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4" w:name="_Toc1397221507"/>
      <w:r>
        <w:rPr>
          <w:rFonts w:hint="default" w:ascii="Arial Regular" w:hAnsi="Arial Regular" w:cs="Arial Regular"/>
          <w:b/>
          <w:bCs/>
          <w:color w:val="000000" w:themeColor="text1"/>
          <w:sz w:val="24"/>
          <w:szCs w:val="24"/>
          <w:lang w:val="de-DE"/>
          <w14:textFill>
            <w14:solidFill>
              <w14:schemeClr w14:val="tx1"/>
            </w14:solidFill>
          </w14:textFill>
        </w:rPr>
        <w:t xml:space="preserve">11.3 </w:t>
      </w:r>
      <w:r>
        <w:rPr>
          <w:rFonts w:hint="default" w:ascii="Arial Regular" w:hAnsi="Arial Regular" w:cs="Arial Regular"/>
          <w:b/>
          <w:bCs/>
          <w:color w:val="000000" w:themeColor="text1"/>
          <w:sz w:val="24"/>
          <w:szCs w:val="24"/>
          <w14:textFill>
            <w14:solidFill>
              <w14:schemeClr w14:val="tx1"/>
            </w14:solidFill>
          </w14:textFill>
        </w:rPr>
        <w:t>Technical and Operational Feasibility</w:t>
      </w:r>
      <w:bookmarkEnd w:id="54"/>
      <w:r>
        <w:rPr>
          <w:rFonts w:hint="default" w:ascii="Arial Regular" w:hAnsi="Arial Regular" w:cs="Arial Regular"/>
          <w:b/>
          <w:bCs/>
          <w:color w:val="000000" w:themeColor="text1"/>
          <w:sz w:val="24"/>
          <w:szCs w:val="24"/>
          <w14:textFill>
            <w14:solidFill>
              <w14:schemeClr w14:val="tx1"/>
            </w14:solidFill>
          </w14:textFill>
        </w:rPr>
        <w:t xml:space="preserve"> </w:t>
      </w:r>
    </w:p>
    <w:p w14:paraId="112E631B">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Technical and operational feasibility assesses whether a venture has the technology, processes and capabilities required to deliver its proposed activities effectively (Arvanitis, 2018). SmartGrowth AI can use commercially available AI, CRM, analytics, advertising and project-management platforms, reducing the need for substantial proprietary infrastructure. Cloud-based systems can support collaboration and UK-wide delivery. An eight-person initial team can manage defined client workloads using standardised workflows, human review and performance monitoring. Continuous training will be necessary because AI capabilities and digital platforms evolve rapidly.</w:t>
      </w:r>
    </w:p>
    <w:p w14:paraId="5B6D3FEB">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5" w:name="_Toc368188204"/>
      <w:r>
        <w:rPr>
          <w:rFonts w:hint="default" w:ascii="Arial Regular" w:hAnsi="Arial Regular" w:cs="Arial Regular"/>
          <w:b/>
          <w:bCs/>
          <w:color w:val="000000" w:themeColor="text1"/>
          <w:sz w:val="24"/>
          <w:szCs w:val="24"/>
          <w:lang w:val="de-DE"/>
          <w14:textFill>
            <w14:solidFill>
              <w14:schemeClr w14:val="tx1"/>
            </w14:solidFill>
          </w14:textFill>
        </w:rPr>
        <w:t xml:space="preserve">11.4 </w:t>
      </w:r>
      <w:r>
        <w:rPr>
          <w:rFonts w:hint="default" w:ascii="Arial Regular" w:hAnsi="Arial Regular" w:cs="Arial Regular"/>
          <w:b/>
          <w:bCs/>
          <w:color w:val="000000" w:themeColor="text1"/>
          <w:sz w:val="24"/>
          <w:szCs w:val="24"/>
          <w14:textFill>
            <w14:solidFill>
              <w14:schemeClr w14:val="tx1"/>
            </w14:solidFill>
          </w14:textFill>
        </w:rPr>
        <w:t>Financial Feasibility</w:t>
      </w:r>
      <w:bookmarkEnd w:id="55"/>
      <w:r>
        <w:rPr>
          <w:rFonts w:hint="default" w:ascii="Arial Regular" w:hAnsi="Arial Regular" w:cs="Arial Regular"/>
          <w:b/>
          <w:bCs/>
          <w:color w:val="000000" w:themeColor="text1"/>
          <w:sz w:val="24"/>
          <w:szCs w:val="24"/>
          <w14:textFill>
            <w14:solidFill>
              <w14:schemeClr w14:val="tx1"/>
            </w14:solidFill>
          </w14:textFill>
        </w:rPr>
        <w:t xml:space="preserve"> </w:t>
      </w:r>
    </w:p>
    <w:p w14:paraId="1734C987">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Financial feasibility examines whether expected revenues, costs, cash flows and investment requirements support a venture’s viability (Arvanitis, 2018). SmartGrowth AI’s proposed £30,000 startup requirement is relatively modest for a digital service business because operations require limited physical inventory. The Year 1 revenue target of £420,000, supported by recurring retainers and additional services, is designed to cover estimated operating costs and generate profit. Break-even analysis indicates approximately £371,429 annual revenue under the proposed assumptions. Sensitivity analysis shows profitability remains vulnerable to weaker client acquisition, making cash-flow monitoring and cost control important.</w:t>
      </w:r>
    </w:p>
    <w:p w14:paraId="7094E95A">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6" w:name="_Toc1238757621"/>
      <w:r>
        <w:rPr>
          <w:rFonts w:hint="default" w:ascii="Arial Regular" w:hAnsi="Arial Regular" w:cs="Arial Regular"/>
          <w:b/>
          <w:bCs/>
          <w:color w:val="000000" w:themeColor="text1"/>
          <w:sz w:val="24"/>
          <w:szCs w:val="24"/>
          <w:lang w:val="de-DE"/>
          <w14:textFill>
            <w14:solidFill>
              <w14:schemeClr w14:val="tx1"/>
            </w14:solidFill>
          </w14:textFill>
        </w:rPr>
        <w:t xml:space="preserve">11.5 </w:t>
      </w:r>
      <w:r>
        <w:rPr>
          <w:rFonts w:hint="default" w:ascii="Arial Regular" w:hAnsi="Arial Regular" w:cs="Arial Regular"/>
          <w:b/>
          <w:bCs/>
          <w:color w:val="000000" w:themeColor="text1"/>
          <w:sz w:val="24"/>
          <w:szCs w:val="24"/>
          <w14:textFill>
            <w14:solidFill>
              <w14:schemeClr w14:val="tx1"/>
            </w14:solidFill>
          </w14:textFill>
        </w:rPr>
        <w:t>Strategic Fit</w:t>
      </w:r>
      <w:bookmarkEnd w:id="56"/>
      <w:r>
        <w:rPr>
          <w:rFonts w:hint="default" w:ascii="Arial Regular" w:hAnsi="Arial Regular" w:cs="Arial Regular"/>
          <w:b/>
          <w:bCs/>
          <w:color w:val="000000" w:themeColor="text1"/>
          <w:sz w:val="24"/>
          <w:szCs w:val="24"/>
          <w14:textFill>
            <w14:solidFill>
              <w14:schemeClr w14:val="tx1"/>
            </w14:solidFill>
          </w14:textFill>
        </w:rPr>
        <w:t xml:space="preserve"> </w:t>
      </w:r>
    </w:p>
    <w:p w14:paraId="7CAC1E4F">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Strategic fit assesses how well a proposed venture aligns with its capabilities, objectives and external environment (Johnson et al., 2017). SmartGrowth AI has strong strategic fit because its AI-enabled, human-led model directly supports its objective of serving UK service-based SMEs. Its moderate pricing, integrated services and personalised delivery differentiate it from larger agencies and fragmented freelancers. The strategy also aligns with increasing UK SME digital and AI adoption (Department for Business and Trade, 2026). </w:t>
      </w:r>
    </w:p>
    <w:p w14:paraId="087C832E">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7" w:name="_Toc2092862129"/>
      <w:r>
        <w:rPr>
          <w:rFonts w:hint="default" w:ascii="Arial Regular" w:hAnsi="Arial Regular" w:cs="Arial Regular"/>
          <w:b/>
          <w:bCs/>
          <w:color w:val="000000" w:themeColor="text1"/>
          <w:sz w:val="24"/>
          <w:szCs w:val="24"/>
          <w:lang w:val="de-DE"/>
          <w14:textFill>
            <w14:solidFill>
              <w14:schemeClr w14:val="tx1"/>
            </w14:solidFill>
          </w14:textFill>
        </w:rPr>
        <w:t xml:space="preserve">11.6 </w:t>
      </w:r>
      <w:r>
        <w:rPr>
          <w:rFonts w:hint="default" w:ascii="Arial Regular" w:hAnsi="Arial Regular" w:cs="Arial Regular"/>
          <w:b/>
          <w:bCs/>
          <w:color w:val="000000" w:themeColor="text1"/>
          <w:sz w:val="24"/>
          <w:szCs w:val="24"/>
          <w14:textFill>
            <w14:solidFill>
              <w14:schemeClr w14:val="tx1"/>
            </w14:solidFill>
          </w14:textFill>
        </w:rPr>
        <w:t>Risk and Mitigation</w:t>
      </w:r>
      <w:bookmarkEnd w:id="57"/>
      <w:r>
        <w:rPr>
          <w:rFonts w:hint="default" w:ascii="Arial Regular" w:hAnsi="Arial Regular" w:cs="Arial Regular"/>
          <w:b/>
          <w:bCs/>
          <w:color w:val="000000" w:themeColor="text1"/>
          <w:sz w:val="24"/>
          <w:szCs w:val="24"/>
          <w14:textFill>
            <w14:solidFill>
              <w14:schemeClr w14:val="tx1"/>
            </w14:solidFill>
          </w14:textFill>
        </w:rPr>
        <w:t xml:space="preserve"> </w:t>
      </w:r>
    </w:p>
    <w:p w14:paraId="0B0B7C9C">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Risk analysis identifies uncertainties that could prevent a venture from achieving its objectives and supports appropriate mitigation (Hopkin, 2018). SmartGrowth AI faces several risks. Strong competition may limit customer acquisition; mitigation involves clear SME-focused positioning, competitive packages and relationship marketing. AI errors or unsuitable content could damage reputation; human approval and quality checks should be mandatory. Data breaches create legal and reputational exposure; secure systems, access controls and staff training should be maintained. Rapid AI and platform changes may make tools obsolete; continuous training and diversified technology suppliers can reduce dependency. Weak early cash flow can be managed through recurring retainers, staged recruitment and monthly financial monitoring.</w:t>
      </w:r>
    </w:p>
    <w:p w14:paraId="4C956AFA">
      <w:pPr>
        <w:pStyle w:val="2"/>
        <w:keepNext w:val="0"/>
        <w:keepLines w:val="0"/>
        <w:widowControl/>
        <w:numPr>
          <w:ilvl w:val="0"/>
          <w:numId w:val="22"/>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58" w:name="_Toc1099147890"/>
      <w:r>
        <w:rPr>
          <w:rFonts w:hint="default" w:ascii="Arial Regular" w:hAnsi="Arial Regular" w:cs="Arial Regular"/>
          <w:b/>
          <w:bCs/>
          <w:color w:val="000000" w:themeColor="text1"/>
          <w:sz w:val="24"/>
          <w:szCs w:val="24"/>
          <w14:textFill>
            <w14:solidFill>
              <w14:schemeClr w14:val="tx1"/>
            </w14:solidFill>
          </w14:textFill>
        </w:rPr>
        <w:t>Implementation Plan</w:t>
      </w:r>
      <w:bookmarkEnd w:id="58"/>
      <w:r>
        <w:rPr>
          <w:rFonts w:hint="default" w:ascii="Arial Regular" w:hAnsi="Arial Regular" w:cs="Arial Regular"/>
          <w:b/>
          <w:bCs/>
          <w:color w:val="000000" w:themeColor="text1"/>
          <w:sz w:val="24"/>
          <w:szCs w:val="24"/>
          <w14:textFill>
            <w14:solidFill>
              <w14:schemeClr w14:val="tx1"/>
            </w14:solidFill>
          </w14:textFill>
        </w:rPr>
        <w:t xml:space="preserve"> </w:t>
      </w:r>
    </w:p>
    <w:p w14:paraId="7CD80AC0">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An implementation plan is a structured roadmap that translates strategic objectives into actions, timelines, responsibilities and measurable outcomes (Johnson et al., 2017). For SmartGrowth AI, the plan provides a phased approach to launching, developing and scaling the proposed AI-powered marketing agency.</w:t>
      </w:r>
    </w:p>
    <w:p w14:paraId="3CC3B23B">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59" w:name="_Toc724255736"/>
      <w:r>
        <w:rPr>
          <w:rFonts w:hint="default" w:ascii="Arial Regular" w:hAnsi="Arial Regular" w:cs="Arial Regular"/>
          <w:b/>
          <w:bCs/>
          <w:color w:val="000000" w:themeColor="text1"/>
          <w:sz w:val="24"/>
          <w:szCs w:val="24"/>
          <w:lang w:val="de-DE"/>
          <w14:textFill>
            <w14:solidFill>
              <w14:schemeClr w14:val="tx1"/>
            </w14:solidFill>
          </w14:textFill>
        </w:rPr>
        <w:t xml:space="preserve">12.1 </w:t>
      </w:r>
      <w:r>
        <w:rPr>
          <w:rFonts w:hint="default" w:ascii="Arial Regular" w:hAnsi="Arial Regular" w:cs="Arial Regular"/>
          <w:b/>
          <w:bCs/>
          <w:color w:val="000000" w:themeColor="text1"/>
          <w:sz w:val="24"/>
          <w:szCs w:val="24"/>
          <w14:textFill>
            <w14:solidFill>
              <w14:schemeClr w14:val="tx1"/>
            </w14:solidFill>
          </w14:textFill>
        </w:rPr>
        <w:t>Phased Implementation Timeline</w:t>
      </w:r>
      <w:bookmarkEnd w:id="59"/>
      <w:r>
        <w:rPr>
          <w:rFonts w:hint="default" w:ascii="Arial Regular" w:hAnsi="Arial Regular" w:cs="Arial Regular"/>
          <w:b/>
          <w:bCs/>
          <w:color w:val="000000" w:themeColor="text1"/>
          <w:sz w:val="24"/>
          <w:szCs w:val="24"/>
          <w14:textFill>
            <w14:solidFill>
              <w14:schemeClr w14:val="tx1"/>
            </w14:solidFill>
          </w14:textFill>
        </w:rPr>
        <w:t xml:space="preserve"> </w:t>
      </w:r>
    </w:p>
    <w:p w14:paraId="7DF6F920">
      <w:pPr>
        <w:pStyle w:val="4"/>
        <w:keepNext w:val="0"/>
        <w:keepLines w:val="0"/>
        <w:widowControl/>
        <w:numPr>
          <w:ilvl w:val="0"/>
          <w:numId w:val="2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60" w:name="_Toc628843756"/>
      <w:r>
        <w:rPr>
          <w:rFonts w:hint="default" w:ascii="Arial Regular" w:hAnsi="Arial Regular" w:cs="Arial Regular"/>
          <w:color w:val="000000" w:themeColor="text1"/>
          <w:sz w:val="24"/>
          <w:szCs w:val="24"/>
          <w14:textFill>
            <w14:solidFill>
              <w14:schemeClr w14:val="tx1"/>
            </w14:solidFill>
          </w14:textFill>
        </w:rPr>
        <w:t>Phase 1: Months 1–4 – Establishment and Launch</w:t>
      </w:r>
      <w:bookmarkEnd w:id="60"/>
    </w:p>
    <w:p w14:paraId="6EE6A5F6">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SmartGrowth AI will complete business registration, secure suitable office facilities, purchase essential technology and implement CRM and project-management systems. The business will recruit its initial eight-person team and provide induction, AI, digital marketing and data-protection training. Branding, website development and service packages will be finalised. Initial promotional campaigns, networking and direct outreach will generate leads, while pilot clients will test service processes and quality controls.</w:t>
      </w:r>
    </w:p>
    <w:p w14:paraId="70AEA742">
      <w:pPr>
        <w:pStyle w:val="4"/>
        <w:keepNext w:val="0"/>
        <w:keepLines w:val="0"/>
        <w:widowControl/>
        <w:numPr>
          <w:ilvl w:val="0"/>
          <w:numId w:val="2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61" w:name="_Toc1209980205"/>
      <w:r>
        <w:rPr>
          <w:rFonts w:hint="default" w:ascii="Arial Regular" w:hAnsi="Arial Regular" w:cs="Arial Regular"/>
          <w:color w:val="000000" w:themeColor="text1"/>
          <w:sz w:val="24"/>
          <w:szCs w:val="24"/>
          <w14:textFill>
            <w14:solidFill>
              <w14:schemeClr w14:val="tx1"/>
            </w14:solidFill>
          </w14:textFill>
        </w:rPr>
        <w:t>Phase 2: Months 5–8 – Market Development</w:t>
      </w:r>
      <w:bookmarkEnd w:id="61"/>
    </w:p>
    <w:p w14:paraId="05D0B459">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The agency will focus on increasing customer acquisition through targeted social media, SEO, email marketing, referrals and networking. Client feedback and campaign performance will be reviewed monthly to improve service delivery. SmartGrowth AI will strengthen its content, advertising and consultancy capabilities while developing case studies and testimonials. Recruitment will be considered when workload consistently exceeds existing capacity.</w:t>
      </w:r>
    </w:p>
    <w:p w14:paraId="510F5C7B">
      <w:pPr>
        <w:pStyle w:val="4"/>
        <w:keepNext w:val="0"/>
        <w:keepLines w:val="0"/>
        <w:widowControl/>
        <w:numPr>
          <w:ilvl w:val="0"/>
          <w:numId w:val="23"/>
        </w:numPr>
        <w:suppressLineNumbers w:val="0"/>
        <w:spacing w:line="360" w:lineRule="auto"/>
        <w:ind w:left="420" w:leftChars="0" w:hanging="420" w:firstLineChars="0"/>
        <w:jc w:val="both"/>
        <w:rPr>
          <w:rFonts w:hint="default" w:ascii="Arial Regular" w:hAnsi="Arial Regular" w:cs="Arial Regular"/>
          <w:color w:val="000000" w:themeColor="text1"/>
          <w:sz w:val="24"/>
          <w:szCs w:val="24"/>
          <w14:textFill>
            <w14:solidFill>
              <w14:schemeClr w14:val="tx1"/>
            </w14:solidFill>
          </w14:textFill>
        </w:rPr>
      </w:pPr>
      <w:bookmarkStart w:id="62" w:name="_Toc1614651992"/>
      <w:r>
        <w:rPr>
          <w:rFonts w:hint="default" w:ascii="Arial Regular" w:hAnsi="Arial Regular" w:cs="Arial Regular"/>
          <w:color w:val="000000" w:themeColor="text1"/>
          <w:sz w:val="24"/>
          <w:szCs w:val="24"/>
          <w14:textFill>
            <w14:solidFill>
              <w14:schemeClr w14:val="tx1"/>
            </w14:solidFill>
          </w14:textFill>
        </w:rPr>
        <w:t>Phase 3: Months 9–12 – Consolidation and Growth</w:t>
      </w:r>
      <w:bookmarkEnd w:id="62"/>
    </w:p>
    <w:p w14:paraId="7A9F530D">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SmartGrowth AI will optimise profitable services, strengthen customer retention and increase cross-selling between service packages. Financial performance, KPIs and operational efficiency will be evaluated against Year 1 objectives. Successful processes will be standardised, employee development will continue and expansion planning will begin for Years 2 and 3.</w:t>
      </w:r>
    </w:p>
    <w:tbl>
      <w:tblPr>
        <w:tblStyle w:val="6"/>
        <w:tblW w:w="8396" w:type="dxa"/>
        <w:tblCellSpacing w:w="0" w:type="dxa"/>
        <w:tblInd w:w="2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0" w:type="dxa"/>
          <w:bottom w:w="0" w:type="dxa"/>
          <w:right w:w="0" w:type="dxa"/>
        </w:tblCellMar>
      </w:tblPr>
      <w:tblGrid>
        <w:gridCol w:w="2669"/>
        <w:gridCol w:w="444"/>
        <w:gridCol w:w="444"/>
        <w:gridCol w:w="444"/>
        <w:gridCol w:w="444"/>
        <w:gridCol w:w="444"/>
        <w:gridCol w:w="444"/>
        <w:gridCol w:w="444"/>
        <w:gridCol w:w="444"/>
        <w:gridCol w:w="444"/>
        <w:gridCol w:w="577"/>
        <w:gridCol w:w="577"/>
        <w:gridCol w:w="577"/>
      </w:tblGrid>
      <w:tr w14:paraId="2052CA45">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91ABDF" w:themeFill="accent1" w:themeFillTint="99"/>
            <w:tcMar>
              <w:left w:w="45" w:type="dxa"/>
              <w:right w:w="45" w:type="dxa"/>
            </w:tcMar>
            <w:vAlign w:val="center"/>
          </w:tcPr>
          <w:p w14:paraId="0F68C5F5">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Activity / Milestone</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2F03ED65">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M1</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58B09F42">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M2</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58E16D03">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M3</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448A7EB8">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M4</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09C34F5E">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M5</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2B464066">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M6</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0D39E606">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M7</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002B6F2A">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M8</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7790EC9C">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M9</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66BB18C3">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M10</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63E9ABB9">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M11</w:t>
            </w:r>
          </w:p>
        </w:tc>
        <w:tc>
          <w:tcPr>
            <w:tcW w:w="0" w:type="auto"/>
            <w:tcBorders>
              <w:bottom w:val="single" w:color="9EADBA" w:sz="8" w:space="0"/>
              <w:right w:val="single" w:color="9EADBA" w:sz="8" w:space="0"/>
            </w:tcBorders>
            <w:shd w:val="clear" w:color="auto" w:fill="91ABDF" w:themeFill="accent1" w:themeFillTint="99"/>
            <w:tcMar>
              <w:left w:w="45" w:type="dxa"/>
              <w:right w:w="45" w:type="dxa"/>
            </w:tcMar>
            <w:vAlign w:val="center"/>
          </w:tcPr>
          <w:p w14:paraId="0794089D">
            <w:pPr>
              <w:keepNext w:val="0"/>
              <w:keepLines w:val="0"/>
              <w:widowControl/>
              <w:suppressLineNumbers w:val="0"/>
              <w:bidi w:val="0"/>
              <w:spacing w:line="360" w:lineRule="auto"/>
              <w:jc w:val="center"/>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M12</w:t>
            </w:r>
          </w:p>
        </w:tc>
      </w:tr>
      <w:tr w14:paraId="5D11700C">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D9EAF7"/>
            <w:tcMar>
              <w:left w:w="45" w:type="dxa"/>
              <w:right w:w="45" w:type="dxa"/>
            </w:tcMar>
            <w:vAlign w:val="center"/>
          </w:tcPr>
          <w:p w14:paraId="5CAAC4A8">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Phase 1: Establishment and Launch</w:t>
            </w:r>
          </w:p>
        </w:tc>
        <w:tc>
          <w:tcPr>
            <w:tcW w:w="0" w:type="auto"/>
            <w:tcBorders>
              <w:bottom w:val="single" w:color="9EADBA" w:sz="8" w:space="0"/>
              <w:right w:val="single" w:color="9EADBA" w:sz="8" w:space="0"/>
            </w:tcBorders>
            <w:shd w:val="clear" w:color="auto" w:fill="5B9BD5"/>
            <w:tcMar>
              <w:left w:w="45" w:type="dxa"/>
              <w:right w:w="45" w:type="dxa"/>
            </w:tcMar>
            <w:vAlign w:val="center"/>
          </w:tcPr>
          <w:p w14:paraId="2D8C846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79C87E2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4FF1C7E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4CDCEDD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0C27F9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60C2DA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32F62A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D5493B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5A186B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11FA18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6263A1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2BA9DE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1012642E">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107BEA04">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Business registration and initial financial setup</w:t>
            </w:r>
          </w:p>
        </w:tc>
        <w:tc>
          <w:tcPr>
            <w:tcW w:w="0" w:type="auto"/>
            <w:tcBorders>
              <w:bottom w:val="single" w:color="9EADBA" w:sz="8" w:space="0"/>
              <w:right w:val="single" w:color="9EADBA" w:sz="8" w:space="0"/>
            </w:tcBorders>
            <w:shd w:val="clear" w:color="auto" w:fill="A9D18E"/>
            <w:tcMar>
              <w:left w:w="45" w:type="dxa"/>
              <w:right w:w="45" w:type="dxa"/>
            </w:tcMar>
            <w:vAlign w:val="center"/>
          </w:tcPr>
          <w:p w14:paraId="4343E36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0313ED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2169D9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27936F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30C660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927DDE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2912DA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176720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4A2E84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4FA417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4E19F7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E93687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65762843">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736AF80A">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Secure office facilities and essential equipment</w:t>
            </w: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D2AE70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5E264E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299EA4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75077F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5DBCEF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755FE3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90760F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03CD4A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61BE4A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206026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DB2E67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6ECD6E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330EB4E6">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48478981">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Implement CRM and project-management systems</w:t>
            </w:r>
          </w:p>
        </w:tc>
        <w:tc>
          <w:tcPr>
            <w:tcW w:w="0" w:type="auto"/>
            <w:tcBorders>
              <w:bottom w:val="single" w:color="9EADBA" w:sz="8" w:space="0"/>
              <w:right w:val="single" w:color="9EADBA" w:sz="8" w:space="0"/>
            </w:tcBorders>
            <w:shd w:val="clear" w:color="auto" w:fill="A9D18E"/>
            <w:tcMar>
              <w:left w:w="45" w:type="dxa"/>
              <w:right w:w="45" w:type="dxa"/>
            </w:tcMar>
            <w:vAlign w:val="center"/>
          </w:tcPr>
          <w:p w14:paraId="46DC7AC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345F40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B1E0F6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6B6C15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1590B4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802B93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43CFFC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99F721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B90E51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33C6AC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902AEC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729760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2CE92C12">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4A49ED6C">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Recruit initial eight-person team</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1C6770A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7369EB2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7B7E5D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FADC29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FBE1FF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48263A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C4C6B9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0C9905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ACD32A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25E7B5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68D78A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130032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1EA01019">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63D9F209">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Induction, AI, digital marketing and data-protection training</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6091738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FFD811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5DDB05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03B631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0B46B2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9808E5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9CD08F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48BB9D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4B9424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4AB6B1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9C146F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3D0A9E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44E5CEDB">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394B71FB">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Finalise branding, website and service packages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1351268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E5FA6A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4F1DD2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04727B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38E61B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6B3F4C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992AF3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DBD03B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8FFE07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5234FA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ACB43D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984F3C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59FC266F">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01970EF5">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Initial promotion, networking and direct outreach</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5F75880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9FB67E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A8855F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DE217D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60EDBE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C62A61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19E95F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E410E7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91A652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D52961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7F0686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28993B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6202A5AB">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25D5D9DA">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Pilot-client testing and quality-control review</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5FD2090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56902E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2B7014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3C92798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AC2BD9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1D8CA3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7E9216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05A1DA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21761A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3575F2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FF19FC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75955E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164AC7EA">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FFF2CC"/>
            <w:tcMar>
              <w:left w:w="45" w:type="dxa"/>
              <w:right w:w="45" w:type="dxa"/>
            </w:tcMar>
            <w:vAlign w:val="center"/>
          </w:tcPr>
          <w:p w14:paraId="4C25A4F4">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Milestone: Initial team, systems and pilot clients established</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0554292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A0CBDA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CB4F95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FFF2CC"/>
            <w:tcMar>
              <w:left w:w="45" w:type="dxa"/>
              <w:right w:w="45" w:type="dxa"/>
            </w:tcMar>
            <w:vAlign w:val="center"/>
          </w:tcPr>
          <w:p w14:paraId="6A0CC86D">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2A6CCFE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97BB36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CE7E83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C2500B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FD5D15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CEE7B9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E2F2BC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4DB266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31B177C1">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D9EAF7"/>
            <w:tcMar>
              <w:left w:w="45" w:type="dxa"/>
              <w:right w:w="45" w:type="dxa"/>
            </w:tcMar>
            <w:vAlign w:val="center"/>
          </w:tcPr>
          <w:p w14:paraId="3F49E114">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Phase 2: Market Development</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42A933D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882363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6B9110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F94EC3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45FB544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6EAEDEF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62A1815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7A5C240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9CDD6E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0BCC16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7951BB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67D194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16505B4E">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58346B47">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Targeted social media and SEO campaigns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1B42800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FF2916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71FAEA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496280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71357AC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1BDB9E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E753AF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3DA9FC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4E152B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028D2A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C4BAFB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C09480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3EAA304B">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7677D2DC">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Email marketing, referrals and networking</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006B12A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BDCC7C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076D2B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AA3CDD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C097FC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D7C691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9AC5CB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BEA289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F3CC52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734E6F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E50D63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9680D3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117DF62C">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1255C873">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Client feedback and monthly campaign reviews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2510CD9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05E9F2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E4C707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47E24F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4F14D39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96E94E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E2F785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7418D4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AA34DA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411B14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AA2387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0C100C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45F85025">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055CC515">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Develop case studies and client testimonials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27DE732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33905D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412A3D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9D78E3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C605BF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C0AEB8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BAD4D7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4828909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2E5B7E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DE1319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94B486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9FCEAB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0D717049">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45BE8EE5">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Strengthen content, advertising and consultancy services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14DD978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204797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1DE3A9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A9124D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3F5F16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7B7A526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2C940F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66EB03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E3B6BB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B27728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EF014F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F33F18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43C2B4A1">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4753B6AE">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Assess recruitment against workload and capacity</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6ED09F0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1829FC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A97CD3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96B5BE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9A8103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47154F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46E5FB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5ECC61E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5BE8FA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ED5DD5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C91570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2CB254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282820E9">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FFF2CC"/>
            <w:tcMar>
              <w:left w:w="45" w:type="dxa"/>
              <w:right w:w="45" w:type="dxa"/>
            </w:tcMar>
            <w:vAlign w:val="center"/>
          </w:tcPr>
          <w:p w14:paraId="00C27C6C">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Milestone: Market development and service optimisation completed</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002CA16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38E1B1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754CB9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C6123A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78D1C6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0DE40F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1FE492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FFF2CC"/>
            <w:tcMar>
              <w:left w:w="45" w:type="dxa"/>
              <w:right w:w="45" w:type="dxa"/>
            </w:tcMar>
            <w:vAlign w:val="center"/>
          </w:tcPr>
          <w:p w14:paraId="62F1A8BD">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485A51A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A06973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507D2C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65D112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5369A115">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D9EAF7"/>
            <w:tcMar>
              <w:left w:w="45" w:type="dxa"/>
              <w:right w:w="45" w:type="dxa"/>
            </w:tcMar>
            <w:vAlign w:val="center"/>
          </w:tcPr>
          <w:p w14:paraId="1B7FE9DB">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Phase 3: Consolidation and Growth</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30751FC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6299A1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51AC5D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46BCFE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95DA78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DE193F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475DB7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1621AA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1116570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54133F4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0AECF5C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5B9BD5"/>
            <w:tcMar>
              <w:left w:w="45" w:type="dxa"/>
              <w:right w:w="45" w:type="dxa"/>
            </w:tcMar>
            <w:vAlign w:val="center"/>
          </w:tcPr>
          <w:p w14:paraId="5A35E1B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5C88F438">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5EE520CA">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Optimise profitable services and pricing</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037F608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A54440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A118C5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A52D87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BF7C8D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AB398E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672098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A7CF62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7F7EE16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3D1FEC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68B67D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3F6FBE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7431BF71">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4AB5F07B">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Strengthen client retention and cross-selling</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3DEC280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3E48CB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3BFA1D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74E0BE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05FF34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5877DB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A82122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553885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2E6CAE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3D777E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402C89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6A0F1C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3F0B0993">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3F441B4D">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Standardise successful operating processes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6CA1CA0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89E559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2129D3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895545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AC62B3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2F9EEA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35A685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6A12A9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74AED1B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05AE28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70BD02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316FE4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73E9B857">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65C11177">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Monitor financial performance and Year 1 KPIs</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0592FE0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AA40A7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DF11FD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21ECCA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5F963C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9607BD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617788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69D2DD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2B0A04D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3B77CD7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7910221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EDC902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19433581">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06BBF905">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Employee development and capability improvement</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7A348E8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379D67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F9E274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27501C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A9AEED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368240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80E9DB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442A9CB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7F924C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45715C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CEC79A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04C5623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56E044D0">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auto"/>
            <w:tcMar>
              <w:left w:w="45" w:type="dxa"/>
              <w:right w:w="45" w:type="dxa"/>
            </w:tcMar>
            <w:vAlign w:val="center"/>
          </w:tcPr>
          <w:p w14:paraId="3897ED66">
            <w:pPr>
              <w:keepNext w:val="0"/>
              <w:keepLines w:val="0"/>
              <w:widowControl/>
              <w:suppressLineNumbers w:val="0"/>
              <w:bidi w:val="0"/>
              <w:spacing w:line="360" w:lineRule="auto"/>
              <w:jc w:val="both"/>
              <w:textAlignment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Expansion planning for Years 2–3</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2ABD198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8B3E93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91C480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41382F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2B3FEE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9CE7F9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038C0B8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3136EF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2F801DE">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181950C">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695D17A7">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9D18E"/>
            <w:tcMar>
              <w:left w:w="45" w:type="dxa"/>
              <w:right w:w="45" w:type="dxa"/>
            </w:tcMar>
            <w:vAlign w:val="center"/>
          </w:tcPr>
          <w:p w14:paraId="1056E623">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r>
      <w:tr w14:paraId="0BE0E48C">
        <w:trPr>
          <w:trHeight w:val="640" w:hRule="atLeast"/>
          <w:tblCellSpacing w:w="0" w:type="dxa"/>
        </w:trPr>
        <w:tc>
          <w:tcPr>
            <w:tcW w:w="0" w:type="auto"/>
            <w:tcBorders>
              <w:left w:val="single" w:color="9EADBA" w:sz="8" w:space="0"/>
              <w:bottom w:val="single" w:color="9EADBA" w:sz="8" w:space="0"/>
              <w:right w:val="single" w:color="9EADBA" w:sz="8" w:space="0"/>
            </w:tcBorders>
            <w:shd w:val="clear" w:color="auto" w:fill="FFF2CC"/>
            <w:tcMar>
              <w:left w:w="45" w:type="dxa"/>
              <w:right w:w="45" w:type="dxa"/>
            </w:tcMar>
            <w:vAlign w:val="center"/>
          </w:tcPr>
          <w:p w14:paraId="51D38EFF">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Milestone: Stable operations and Year 1 strategic review</w:t>
            </w:r>
          </w:p>
        </w:tc>
        <w:tc>
          <w:tcPr>
            <w:tcW w:w="0" w:type="auto"/>
            <w:tcBorders>
              <w:bottom w:val="single" w:color="9EADBA" w:sz="8" w:space="0"/>
              <w:right w:val="single" w:color="9EADBA" w:sz="8" w:space="0"/>
            </w:tcBorders>
            <w:shd w:val="clear" w:color="auto" w:fill="auto"/>
            <w:tcMar>
              <w:left w:w="45" w:type="dxa"/>
              <w:right w:w="45" w:type="dxa"/>
            </w:tcMar>
            <w:vAlign w:val="center"/>
          </w:tcPr>
          <w:p w14:paraId="2C2002F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5B032A6">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15B4C98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F95093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7DA3F6D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5FC744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17D2A6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2EE358C0">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6135A611">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59E4F19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auto"/>
            <w:tcMar>
              <w:left w:w="45" w:type="dxa"/>
              <w:right w:w="45" w:type="dxa"/>
            </w:tcMar>
            <w:vAlign w:val="center"/>
          </w:tcPr>
          <w:p w14:paraId="3FCCDDD8">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tc>
        <w:tc>
          <w:tcPr>
            <w:tcW w:w="0" w:type="auto"/>
            <w:tcBorders>
              <w:bottom w:val="single" w:color="9EADBA" w:sz="8" w:space="0"/>
              <w:right w:val="single" w:color="9EADBA" w:sz="8" w:space="0"/>
            </w:tcBorders>
            <w:shd w:val="clear" w:color="auto" w:fill="FFF2CC"/>
            <w:tcMar>
              <w:left w:w="45" w:type="dxa"/>
              <w:right w:w="45" w:type="dxa"/>
            </w:tcMar>
            <w:vAlign w:val="center"/>
          </w:tcPr>
          <w:p w14:paraId="26EB35CA">
            <w:pPr>
              <w:keepNext w:val="0"/>
              <w:keepLines w:val="0"/>
              <w:widowControl/>
              <w:suppressLineNumbers w:val="0"/>
              <w:bidi w:val="0"/>
              <w:spacing w:line="360" w:lineRule="auto"/>
              <w:jc w:val="both"/>
              <w:textAlignment w:val="center"/>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w:t>
            </w:r>
          </w:p>
        </w:tc>
      </w:tr>
    </w:tbl>
    <w:p w14:paraId="4128B329">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p>
    <w:tbl>
      <w:tblPr>
        <w:tblStyle w:val="6"/>
        <w:tblW w:w="5767" w:type="dxa"/>
        <w:tblInd w:w="0" w:type="dxa"/>
        <w:tblBorders>
          <w:top w:val="none" w:color="auto" w:sz="6" w:space="0"/>
          <w:left w:val="none" w:color="auto" w:sz="6" w:space="0"/>
          <w:bottom w:val="none" w:color="auto" w:sz="6" w:space="0"/>
          <w:right w:val="none"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1197"/>
        <w:gridCol w:w="4570"/>
      </w:tblGrid>
      <w:tr w14:paraId="24D8556A">
        <w:trPr>
          <w:trHeight w:val="302" w:hRule="atLeast"/>
        </w:trPr>
        <w:tc>
          <w:tcPr>
            <w:tcW w:w="0" w:type="auto"/>
            <w:tcBorders>
              <w:top w:val="single" w:color="9EADBA" w:sz="8" w:space="0"/>
              <w:left w:val="single" w:color="9EADBA" w:sz="8" w:space="0"/>
              <w:bottom w:val="single" w:color="9EADBA" w:sz="8" w:space="0"/>
              <w:right w:val="single" w:color="9EADBA" w:sz="8" w:space="0"/>
            </w:tcBorders>
            <w:shd w:val="clear" w:color="auto" w:fill="5B9BD5"/>
            <w:tcMar>
              <w:top w:w="30" w:type="dxa"/>
              <w:left w:w="45" w:type="dxa"/>
              <w:bottom w:w="30" w:type="dxa"/>
              <w:right w:w="45" w:type="dxa"/>
            </w:tcMar>
            <w:vAlign w:val="bottom"/>
          </w:tcPr>
          <w:p w14:paraId="35660213">
            <w:pPr>
              <w:keepNext w:val="0"/>
              <w:keepLines w:val="0"/>
              <w:widowControl/>
              <w:suppressLineNumbers w:val="0"/>
              <w:bidi w:val="0"/>
              <w:spacing w:line="360" w:lineRule="auto"/>
              <w:jc w:val="both"/>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Phase</w:t>
            </w:r>
          </w:p>
        </w:tc>
        <w:tc>
          <w:tcPr>
            <w:tcW w:w="4570" w:type="dxa"/>
            <w:tcBorders>
              <w:top w:val="single" w:color="9EADBA" w:sz="8" w:space="0"/>
              <w:left w:val="single" w:color="CCCCCC" w:sz="8" w:space="0"/>
              <w:bottom w:val="single" w:color="9EADBA" w:sz="8" w:space="0"/>
              <w:right w:val="single" w:color="9EADBA" w:sz="8" w:space="0"/>
            </w:tcBorders>
            <w:shd w:val="clear" w:color="auto" w:fill="auto"/>
            <w:tcMar>
              <w:top w:w="30" w:type="dxa"/>
              <w:left w:w="45" w:type="dxa"/>
              <w:bottom w:w="30" w:type="dxa"/>
              <w:right w:w="45" w:type="dxa"/>
            </w:tcMar>
            <w:vAlign w:val="bottom"/>
          </w:tcPr>
          <w:p w14:paraId="1C8ABAF3">
            <w:pPr>
              <w:keepNext w:val="0"/>
              <w:keepLines w:val="0"/>
              <w:widowControl/>
              <w:suppressLineNumbers w:val="0"/>
              <w:bidi w:val="0"/>
              <w:spacing w:line="360" w:lineRule="auto"/>
              <w:jc w:val="both"/>
              <w:textAlignment w:val="bottom"/>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eastAsia="SimSun" w:cs="Arial Regular"/>
                <w:b w:val="0"/>
                <w:bCs w:val="0"/>
                <w:color w:val="000000" w:themeColor="text1"/>
                <w:kern w:val="0"/>
                <w:sz w:val="24"/>
                <w:szCs w:val="24"/>
                <w:lang w:val="en-US" w:eastAsia="zh-CN" w:bidi="ar"/>
                <w14:textFill>
                  <w14:solidFill>
                    <w14:schemeClr w14:val="tx1"/>
                  </w14:solidFill>
                </w14:textFill>
              </w:rPr>
              <w:t>Scheduled implementation period</w:t>
            </w:r>
          </w:p>
        </w:tc>
      </w:tr>
      <w:tr w14:paraId="3B0FABC9">
        <w:trPr>
          <w:trHeight w:val="234" w:hRule="atLeast"/>
        </w:trPr>
        <w:tc>
          <w:tcPr>
            <w:tcW w:w="0" w:type="auto"/>
            <w:tcBorders>
              <w:top w:val="single" w:color="CCCCCC" w:sz="8" w:space="0"/>
              <w:left w:val="single" w:color="9EADBA" w:sz="8" w:space="0"/>
              <w:bottom w:val="single" w:color="9EADBA" w:sz="8" w:space="0"/>
              <w:right w:val="single" w:color="9EADBA" w:sz="8" w:space="0"/>
            </w:tcBorders>
            <w:shd w:val="clear" w:color="auto" w:fill="A9D18E"/>
            <w:tcMar>
              <w:top w:w="30" w:type="dxa"/>
              <w:left w:w="45" w:type="dxa"/>
              <w:bottom w:w="30" w:type="dxa"/>
              <w:right w:w="45" w:type="dxa"/>
            </w:tcMar>
            <w:vAlign w:val="bottom"/>
          </w:tcPr>
          <w:p w14:paraId="753ACAD7">
            <w:pPr>
              <w:keepNext w:val="0"/>
              <w:keepLines w:val="0"/>
              <w:widowControl/>
              <w:suppressLineNumbers w:val="0"/>
              <w:bidi w:val="0"/>
              <w:spacing w:line="360" w:lineRule="auto"/>
              <w:jc w:val="both"/>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Activity</w:t>
            </w:r>
          </w:p>
        </w:tc>
        <w:tc>
          <w:tcPr>
            <w:tcW w:w="4570" w:type="dxa"/>
            <w:tcBorders>
              <w:top w:val="single" w:color="CCCCCC" w:sz="8" w:space="0"/>
              <w:left w:val="single" w:color="CCCCCC" w:sz="8" w:space="0"/>
              <w:bottom w:val="single" w:color="9EADBA" w:sz="8" w:space="0"/>
              <w:right w:val="single" w:color="9EADBA" w:sz="8" w:space="0"/>
            </w:tcBorders>
            <w:shd w:val="clear" w:color="auto" w:fill="auto"/>
            <w:tcMar>
              <w:top w:w="30" w:type="dxa"/>
              <w:left w:w="45" w:type="dxa"/>
              <w:bottom w:w="30" w:type="dxa"/>
              <w:right w:w="45" w:type="dxa"/>
            </w:tcMar>
            <w:vAlign w:val="bottom"/>
          </w:tcPr>
          <w:p w14:paraId="685C0F2F">
            <w:pPr>
              <w:keepNext w:val="0"/>
              <w:keepLines w:val="0"/>
              <w:widowControl/>
              <w:suppressLineNumbers w:val="0"/>
              <w:bidi w:val="0"/>
              <w:spacing w:line="360" w:lineRule="auto"/>
              <w:jc w:val="both"/>
              <w:textAlignment w:val="bottom"/>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eastAsia="SimSun" w:cs="Arial Regular"/>
                <w:b w:val="0"/>
                <w:bCs w:val="0"/>
                <w:color w:val="000000" w:themeColor="text1"/>
                <w:kern w:val="0"/>
                <w:sz w:val="24"/>
                <w:szCs w:val="24"/>
                <w:lang w:val="en-US" w:eastAsia="zh-CN" w:bidi="ar"/>
                <w14:textFill>
                  <w14:solidFill>
                    <w14:schemeClr w14:val="tx1"/>
                  </w14:solidFill>
                </w14:textFill>
              </w:rPr>
              <w:t>Scheduled implementation period</w:t>
            </w:r>
          </w:p>
        </w:tc>
      </w:tr>
      <w:tr w14:paraId="439B9003">
        <w:trPr>
          <w:trHeight w:val="243" w:hRule="atLeast"/>
        </w:trPr>
        <w:tc>
          <w:tcPr>
            <w:tcW w:w="0" w:type="auto"/>
            <w:tcBorders>
              <w:top w:val="single" w:color="CCCCCC" w:sz="8" w:space="0"/>
              <w:left w:val="single" w:color="9EADBA" w:sz="8" w:space="0"/>
              <w:bottom w:val="single" w:color="9EADBA" w:sz="8" w:space="0"/>
              <w:right w:val="single" w:color="9EADBA" w:sz="8" w:space="0"/>
            </w:tcBorders>
            <w:shd w:val="clear" w:color="auto" w:fill="FFF2CC"/>
            <w:tcMar>
              <w:top w:w="30" w:type="dxa"/>
              <w:left w:w="45" w:type="dxa"/>
              <w:bottom w:w="30" w:type="dxa"/>
              <w:right w:w="45" w:type="dxa"/>
            </w:tcMar>
            <w:vAlign w:val="bottom"/>
          </w:tcPr>
          <w:p w14:paraId="533DBF27">
            <w:pPr>
              <w:keepNext w:val="0"/>
              <w:keepLines w:val="0"/>
              <w:widowControl/>
              <w:suppressLineNumbers w:val="0"/>
              <w:bidi w:val="0"/>
              <w:spacing w:line="360" w:lineRule="auto"/>
              <w:jc w:val="both"/>
              <w:textAlignment w:val="bottom"/>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eastAsia="SimSun" w:cs="Arial Regular"/>
                <w:b/>
                <w:bCs/>
                <w:color w:val="000000" w:themeColor="text1"/>
                <w:kern w:val="0"/>
                <w:sz w:val="24"/>
                <w:szCs w:val="24"/>
                <w:lang w:val="en-US" w:eastAsia="zh-CN" w:bidi="ar"/>
                <w14:textFill>
                  <w14:solidFill>
                    <w14:schemeClr w14:val="tx1"/>
                  </w14:solidFill>
                </w14:textFill>
              </w:rPr>
              <w:t>Milestone</w:t>
            </w:r>
          </w:p>
        </w:tc>
        <w:tc>
          <w:tcPr>
            <w:tcW w:w="4570" w:type="dxa"/>
            <w:tcBorders>
              <w:top w:val="single" w:color="CCCCCC" w:sz="8" w:space="0"/>
              <w:left w:val="single" w:color="CCCCCC" w:sz="8" w:space="0"/>
              <w:bottom w:val="single" w:color="9EADBA" w:sz="8" w:space="0"/>
              <w:right w:val="single" w:color="9EADBA" w:sz="8" w:space="0"/>
            </w:tcBorders>
            <w:shd w:val="clear" w:color="auto" w:fill="auto"/>
            <w:tcMar>
              <w:top w:w="30" w:type="dxa"/>
              <w:left w:w="45" w:type="dxa"/>
              <w:bottom w:w="30" w:type="dxa"/>
              <w:right w:w="45" w:type="dxa"/>
            </w:tcMar>
            <w:vAlign w:val="bottom"/>
          </w:tcPr>
          <w:p w14:paraId="05519D91">
            <w:pPr>
              <w:keepNext w:val="0"/>
              <w:keepLines w:val="0"/>
              <w:widowControl/>
              <w:suppressLineNumbers w:val="0"/>
              <w:bidi w:val="0"/>
              <w:spacing w:line="360" w:lineRule="auto"/>
              <w:jc w:val="both"/>
              <w:textAlignment w:val="bottom"/>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eastAsia="SimSun" w:cs="Arial Regular"/>
                <w:b w:val="0"/>
                <w:bCs w:val="0"/>
                <w:color w:val="000000" w:themeColor="text1"/>
                <w:kern w:val="0"/>
                <w:sz w:val="24"/>
                <w:szCs w:val="24"/>
                <w:lang w:val="en-US" w:eastAsia="zh-CN" w:bidi="ar"/>
                <w14:textFill>
                  <w14:solidFill>
                    <w14:schemeClr w14:val="tx1"/>
                  </w14:solidFill>
                </w14:textFill>
              </w:rPr>
              <w:t>Scheduled implementation period</w:t>
            </w:r>
          </w:p>
        </w:tc>
      </w:tr>
    </w:tbl>
    <w:p w14:paraId="404BCC4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p>
    <w:p w14:paraId="082EBBE8">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Figure 24: </w:t>
      </w:r>
      <w:r>
        <w:rPr>
          <w:rFonts w:hint="default" w:ascii="Arial Regular" w:hAnsi="Arial Regular" w:cs="Arial Regular"/>
          <w:b w:val="0"/>
          <w:bCs w:val="0"/>
          <w:color w:val="000000" w:themeColor="text1"/>
          <w:sz w:val="24"/>
          <w:szCs w:val="24"/>
          <w14:textFill>
            <w14:solidFill>
              <w14:schemeClr w14:val="tx1"/>
            </w14:solidFill>
          </w14:textFill>
        </w:rPr>
        <w:t xml:space="preserve">Gantt Chart for </w:t>
      </w:r>
      <w:r>
        <w:rPr>
          <w:rFonts w:hint="default" w:ascii="Arial Regular" w:hAnsi="Arial Regular" w:cs="Arial Regular"/>
          <w:b w:val="0"/>
          <w:bCs w:val="0"/>
          <w:color w:val="000000" w:themeColor="text1"/>
          <w:sz w:val="24"/>
          <w:szCs w:val="24"/>
          <w:lang w:val="de-DE"/>
          <w14:textFill>
            <w14:solidFill>
              <w14:schemeClr w14:val="tx1"/>
            </w14:solidFill>
          </w14:textFill>
        </w:rPr>
        <w:t>SmartGrowth AI</w:t>
      </w:r>
      <w:r>
        <w:rPr>
          <w:rFonts w:hint="default" w:ascii="Arial Regular" w:hAnsi="Arial Regular" w:cs="Arial Regular"/>
          <w:b w:val="0"/>
          <w:bCs w:val="0"/>
          <w:color w:val="000000" w:themeColor="text1"/>
          <w:sz w:val="24"/>
          <w:szCs w:val="24"/>
          <w14:textFill>
            <w14:solidFill>
              <w14:schemeClr w14:val="tx1"/>
            </w14:solidFill>
          </w14:textFill>
        </w:rPr>
        <w:t xml:space="preserve"> – Implementation Timeline (12 month</w:t>
      </w:r>
      <w:r>
        <w:rPr>
          <w:rFonts w:hint="default" w:ascii="Arial Regular" w:hAnsi="Arial Regular" w:cs="Arial Regular"/>
          <w:b w:val="0"/>
          <w:bCs w:val="0"/>
          <w:color w:val="000000" w:themeColor="text1"/>
          <w:sz w:val="24"/>
          <w:szCs w:val="24"/>
          <w:lang w:val="de-DE"/>
          <w14:textFill>
            <w14:solidFill>
              <w14:schemeClr w14:val="tx1"/>
            </w14:solidFill>
          </w14:textFill>
        </w:rPr>
        <w:t>s</w:t>
      </w:r>
      <w:r>
        <w:rPr>
          <w:rFonts w:hint="default" w:ascii="Arial Regular" w:hAnsi="Arial Regular" w:cs="Arial Regular"/>
          <w:b w:val="0"/>
          <w:bCs w:val="0"/>
          <w:color w:val="000000" w:themeColor="text1"/>
          <w:sz w:val="24"/>
          <w:szCs w:val="24"/>
          <w14:textFill>
            <w14:solidFill>
              <w14:schemeClr w14:val="tx1"/>
            </w14:solidFill>
          </w14:textFill>
        </w:rPr>
        <w:t>)</w:t>
      </w:r>
    </w:p>
    <w:p w14:paraId="1C19E62B">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eastAsia="Cambria" w:cs="Arial Regular"/>
          <w:b w:val="0"/>
          <w:bCs w:val="0"/>
          <w:i w:val="0"/>
          <w:iCs w:val="0"/>
          <w:caps w:val="0"/>
          <w:color w:val="000000" w:themeColor="text1"/>
          <w:spacing w:val="0"/>
          <w:sz w:val="24"/>
          <w:szCs w:val="24"/>
          <w:shd w:val="clear" w:fill="FFFFFF"/>
          <w:lang w:val="de-DE"/>
          <w14:textFill>
            <w14:solidFill>
              <w14:schemeClr w14:val="tx1"/>
            </w14:solidFill>
          </w14:textFill>
        </w:rPr>
        <w:t xml:space="preserve">(Source: </w:t>
      </w:r>
      <w:r>
        <w:rPr>
          <w:rFonts w:hint="default" w:ascii="Arial Regular" w:hAnsi="Arial Regular" w:cs="Arial Regular"/>
          <w:b w:val="0"/>
          <w:bCs w:val="0"/>
          <w:color w:val="000000" w:themeColor="text1"/>
          <w:sz w:val="24"/>
          <w:szCs w:val="24"/>
          <w14:textFill>
            <w14:solidFill>
              <w14:schemeClr w14:val="tx1"/>
            </w14:solidFill>
          </w14:textFill>
        </w:rPr>
        <w:t>Prepared from the phased implementation timeline in section 12</w:t>
      </w:r>
      <w:r>
        <w:rPr>
          <w:rFonts w:hint="default" w:ascii="Arial Regular" w:hAnsi="Arial Regular" w:cs="Arial Regular"/>
          <w:b w:val="0"/>
          <w:bCs w:val="0"/>
          <w:color w:val="000000" w:themeColor="text1"/>
          <w:sz w:val="24"/>
          <w:szCs w:val="24"/>
          <w:lang w:val="de-DE"/>
          <w14:textFill>
            <w14:solidFill>
              <w14:schemeClr w14:val="tx1"/>
            </w14:solidFill>
          </w14:textFill>
        </w:rPr>
        <w:t>.1</w:t>
      </w:r>
      <w:r>
        <w:rPr>
          <w:rFonts w:hint="default" w:ascii="Arial Regular" w:hAnsi="Arial Regular" w:cs="Arial Regular"/>
          <w:b w:val="0"/>
          <w:bCs w:val="0"/>
          <w:color w:val="000000" w:themeColor="text1"/>
          <w:sz w:val="24"/>
          <w:szCs w:val="24"/>
          <w14:textFill>
            <w14:solidFill>
              <w14:schemeClr w14:val="tx1"/>
            </w14:solidFill>
          </w14:textFill>
        </w:rPr>
        <w:t>)</w:t>
      </w:r>
    </w:p>
    <w:p w14:paraId="75005308">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lang w:val="de-DE"/>
          <w14:textFill>
            <w14:solidFill>
              <w14:schemeClr w14:val="tx1"/>
            </w14:solidFill>
          </w14:textFill>
        </w:rPr>
      </w:pPr>
      <w:bookmarkStart w:id="63" w:name="_Toc1852666052"/>
    </w:p>
    <w:p w14:paraId="20A07628">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r>
        <w:rPr>
          <w:rFonts w:hint="default" w:ascii="Arial Regular" w:hAnsi="Arial Regular" w:cs="Arial Regular"/>
          <w:b/>
          <w:bCs/>
          <w:color w:val="000000" w:themeColor="text1"/>
          <w:sz w:val="24"/>
          <w:szCs w:val="24"/>
          <w:lang w:val="de-DE"/>
          <w14:textFill>
            <w14:solidFill>
              <w14:schemeClr w14:val="tx1"/>
            </w14:solidFill>
          </w14:textFill>
        </w:rPr>
        <w:t xml:space="preserve">12.2 </w:t>
      </w:r>
      <w:r>
        <w:rPr>
          <w:rFonts w:hint="default" w:ascii="Arial Regular" w:hAnsi="Arial Regular" w:cs="Arial Regular"/>
          <w:b/>
          <w:bCs/>
          <w:color w:val="000000" w:themeColor="text1"/>
          <w:sz w:val="24"/>
          <w:szCs w:val="24"/>
          <w14:textFill>
            <w14:solidFill>
              <w14:schemeClr w14:val="tx1"/>
            </w14:solidFill>
          </w14:textFill>
        </w:rPr>
        <w:t>Key Performance Indicators</w:t>
      </w:r>
      <w:bookmarkEnd w:id="63"/>
      <w:r>
        <w:rPr>
          <w:rFonts w:hint="default" w:ascii="Arial Regular" w:hAnsi="Arial Regular" w:cs="Arial Regular"/>
          <w:b/>
          <w:bCs/>
          <w:color w:val="000000" w:themeColor="text1"/>
          <w:sz w:val="24"/>
          <w:szCs w:val="24"/>
          <w14:textFill>
            <w14:solidFill>
              <w14:schemeClr w14:val="tx1"/>
            </w14:solidFill>
          </w14:textFill>
        </w:rPr>
        <w:t xml:space="preserve"> </w:t>
      </w:r>
    </w:p>
    <w:p w14:paraId="428C8F38">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Key performance indicators (KPIs) are measurable indicators used to evaluate organisational performance against objectives (Parmenter, 2015). SmartGrowth AI will monitor monthly revenue, number of new clients, lead-to-client conversion rate, client retention, customer satisfaction, campaign ROI, website traffic and employee productivity. These indicators will guide corrective actions and growth decisions.</w:t>
      </w:r>
    </w:p>
    <w:p w14:paraId="430F7343">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64" w:name="_Toc1392938111"/>
      <w:r>
        <w:rPr>
          <w:rFonts w:hint="default" w:ascii="Arial Regular" w:hAnsi="Arial Regular" w:cs="Arial Regular"/>
          <w:b/>
          <w:bCs/>
          <w:color w:val="000000" w:themeColor="text1"/>
          <w:sz w:val="24"/>
          <w:szCs w:val="24"/>
          <w:lang w:val="de-DE"/>
          <w14:textFill>
            <w14:solidFill>
              <w14:schemeClr w14:val="tx1"/>
            </w14:solidFill>
          </w14:textFill>
        </w:rPr>
        <w:t xml:space="preserve">12.3 </w:t>
      </w:r>
      <w:r>
        <w:rPr>
          <w:rFonts w:hint="default" w:ascii="Arial Regular" w:hAnsi="Arial Regular" w:cs="Arial Regular"/>
          <w:b/>
          <w:bCs/>
          <w:color w:val="000000" w:themeColor="text1"/>
          <w:sz w:val="24"/>
          <w:szCs w:val="24"/>
          <w14:textFill>
            <w14:solidFill>
              <w14:schemeClr w14:val="tx1"/>
            </w14:solidFill>
          </w14:textFill>
        </w:rPr>
        <w:t>Monitoring and Control</w:t>
      </w:r>
      <w:bookmarkEnd w:id="64"/>
      <w:r>
        <w:rPr>
          <w:rFonts w:hint="default" w:ascii="Arial Regular" w:hAnsi="Arial Regular" w:cs="Arial Regular"/>
          <w:b/>
          <w:bCs/>
          <w:color w:val="000000" w:themeColor="text1"/>
          <w:sz w:val="24"/>
          <w:szCs w:val="24"/>
          <w14:textFill>
            <w14:solidFill>
              <w14:schemeClr w14:val="tx1"/>
            </w14:solidFill>
          </w14:textFill>
        </w:rPr>
        <w:t xml:space="preserve"> </w:t>
      </w:r>
    </w:p>
    <w:p w14:paraId="34F69FC0">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Monitoring and control involve systematically tracking performance against planned objectives and taking corrective action where required (Johnson et al., 2017). SmartGrowth AI will conduct weekly operational reviews and monthly financial and marketing performance reviews. Management will compare actual results with KPIs, budgets and client targets. Variances will be investigated and corrective actions assigned to responsible employees. Quarterly strategic reviews will assess market conditions, customer feedback, technology changes and resource requirements, ensuring the implementation plan remains relevant and achievable.</w:t>
      </w:r>
      <w:r>
        <w:rPr>
          <w:rFonts w:hint="default" w:ascii="Arial Regular" w:hAnsi="Arial Regular" w:cs="Arial Regular"/>
          <w:color w:val="000000" w:themeColor="text1"/>
          <w:sz w:val="24"/>
          <w:szCs w:val="24"/>
          <w:lang w:val="de-DE"/>
          <w14:textFill>
            <w14:solidFill>
              <w14:schemeClr w14:val="tx1"/>
            </w14:solidFill>
          </w14:textFill>
        </w:rPr>
        <w:t xml:space="preserve"> </w:t>
      </w:r>
    </w:p>
    <w:p w14:paraId="7D97E1F3">
      <w:pPr>
        <w:pStyle w:val="2"/>
        <w:keepNext w:val="0"/>
        <w:keepLines w:val="0"/>
        <w:widowControl/>
        <w:numPr>
          <w:ilvl w:val="0"/>
          <w:numId w:val="22"/>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65" w:name="_Toc1391595630"/>
      <w:r>
        <w:rPr>
          <w:rFonts w:hint="default" w:ascii="Arial Regular" w:hAnsi="Arial Regular" w:cs="Arial Regular"/>
          <w:b/>
          <w:bCs/>
          <w:color w:val="000000" w:themeColor="text1"/>
          <w:sz w:val="24"/>
          <w:szCs w:val="24"/>
          <w14:textFill>
            <w14:solidFill>
              <w14:schemeClr w14:val="tx1"/>
            </w14:solidFill>
          </w14:textFill>
        </w:rPr>
        <w:t>Conclusion and Recommendation</w:t>
      </w:r>
      <w:bookmarkEnd w:id="65"/>
      <w:r>
        <w:rPr>
          <w:rFonts w:hint="default" w:ascii="Arial Regular" w:hAnsi="Arial Regular" w:cs="Arial Regular"/>
          <w:b/>
          <w:bCs/>
          <w:color w:val="000000" w:themeColor="text1"/>
          <w:sz w:val="24"/>
          <w:szCs w:val="24"/>
          <w14:textFill>
            <w14:solidFill>
              <w14:schemeClr w14:val="tx1"/>
            </w14:solidFill>
          </w14:textFill>
        </w:rPr>
        <w:t xml:space="preserve"> </w:t>
      </w:r>
    </w:p>
    <w:p w14:paraId="598EF3AE">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 xml:space="preserve">A </w:t>
      </w:r>
      <w:r>
        <w:rPr>
          <w:rStyle w:val="12"/>
          <w:rFonts w:hint="default" w:ascii="Arial Regular" w:hAnsi="Arial Regular" w:cs="Arial Regular"/>
          <w:color w:val="000000" w:themeColor="text1"/>
          <w:sz w:val="24"/>
          <w:szCs w:val="24"/>
          <w14:textFill>
            <w14:solidFill>
              <w14:schemeClr w14:val="tx1"/>
            </w14:solidFill>
          </w14:textFill>
        </w:rPr>
        <w:t>conclusion</w:t>
      </w:r>
      <w:r>
        <w:rPr>
          <w:rFonts w:hint="default" w:ascii="Arial Regular" w:hAnsi="Arial Regular" w:cs="Arial Regular"/>
          <w:color w:val="000000" w:themeColor="text1"/>
          <w:sz w:val="24"/>
          <w:szCs w:val="24"/>
          <w14:textFill>
            <w14:solidFill>
              <w14:schemeClr w14:val="tx1"/>
            </w14:solidFill>
          </w14:textFill>
        </w:rPr>
        <w:t xml:space="preserve"> synthesises the principal findings of an analysis, while recommendations translate those findings into practical actions (Johnson et al., 2017). For SmartGrowth AI, the conclusion evaluates the strategic frameworks used, summarises the feasibility and market findings, and identifies actions required for successful implementation.</w:t>
      </w:r>
    </w:p>
    <w:p w14:paraId="58252658">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66" w:name="_Toc303353933"/>
      <w:r>
        <w:rPr>
          <w:rFonts w:hint="default" w:ascii="Arial Regular" w:hAnsi="Arial Regular" w:cs="Arial Regular"/>
          <w:b/>
          <w:bCs/>
          <w:color w:val="000000" w:themeColor="text1"/>
          <w:sz w:val="24"/>
          <w:szCs w:val="24"/>
          <w:lang w:val="de-DE"/>
          <w14:textFill>
            <w14:solidFill>
              <w14:schemeClr w14:val="tx1"/>
            </w14:solidFill>
          </w14:textFill>
        </w:rPr>
        <w:t xml:space="preserve">13.1 </w:t>
      </w:r>
      <w:r>
        <w:rPr>
          <w:rFonts w:hint="default" w:ascii="Arial Regular" w:hAnsi="Arial Regular" w:cs="Arial Regular"/>
          <w:b/>
          <w:bCs/>
          <w:color w:val="000000" w:themeColor="text1"/>
          <w:sz w:val="24"/>
          <w:szCs w:val="24"/>
          <w14:textFill>
            <w14:solidFill>
              <w14:schemeClr w14:val="tx1"/>
            </w14:solidFill>
          </w14:textFill>
        </w:rPr>
        <w:t>Evaluation of Theories and Frameworks</w:t>
      </w:r>
      <w:bookmarkEnd w:id="66"/>
      <w:r>
        <w:rPr>
          <w:rFonts w:hint="default" w:ascii="Arial Regular" w:hAnsi="Arial Regular" w:cs="Arial Regular"/>
          <w:b/>
          <w:bCs/>
          <w:color w:val="000000" w:themeColor="text1"/>
          <w:sz w:val="24"/>
          <w:szCs w:val="24"/>
          <w14:textFill>
            <w14:solidFill>
              <w14:schemeClr w14:val="tx1"/>
            </w14:solidFill>
          </w14:textFill>
        </w:rPr>
        <w:t xml:space="preserve"> </w:t>
      </w:r>
    </w:p>
    <w:p w14:paraId="421792F9">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The analysis used complementary strategic frameworks to evaluate SmartGrowth AI from external, internal and customer perspectives. </w:t>
      </w:r>
      <w:r>
        <w:rPr>
          <w:rStyle w:val="12"/>
          <w:rFonts w:hint="default" w:ascii="Arial Regular" w:hAnsi="Arial Regular" w:cs="Arial Regular"/>
          <w:b w:val="0"/>
          <w:bCs w:val="0"/>
          <w:color w:val="000000" w:themeColor="text1"/>
          <w:sz w:val="24"/>
          <w:szCs w:val="24"/>
          <w14:textFill>
            <w14:solidFill>
              <w14:schemeClr w14:val="tx1"/>
            </w14:solidFill>
          </w14:textFill>
        </w:rPr>
        <w:t>PESTLE</w:t>
      </w:r>
      <w:r>
        <w:rPr>
          <w:rFonts w:hint="default" w:ascii="Arial Regular" w:hAnsi="Arial Regular" w:cs="Arial Regular"/>
          <w:b w:val="0"/>
          <w:bCs w:val="0"/>
          <w:color w:val="000000" w:themeColor="text1"/>
          <w:sz w:val="24"/>
          <w:szCs w:val="24"/>
          <w14:textFill>
            <w14:solidFill>
              <w14:schemeClr w14:val="tx1"/>
            </w14:solidFill>
          </w14:textFill>
        </w:rPr>
        <w:t xml:space="preserve"> identified political, economic, social, technological, legal and environmental factors influencing the UK marketing environment, while </w:t>
      </w:r>
      <w:r>
        <w:rPr>
          <w:rStyle w:val="12"/>
          <w:rFonts w:hint="default" w:ascii="Arial Regular" w:hAnsi="Arial Regular" w:cs="Arial Regular"/>
          <w:b w:val="0"/>
          <w:bCs w:val="0"/>
          <w:color w:val="000000" w:themeColor="text1"/>
          <w:sz w:val="24"/>
          <w:szCs w:val="24"/>
          <w14:textFill>
            <w14:solidFill>
              <w14:schemeClr w14:val="tx1"/>
            </w14:solidFill>
          </w14:textFill>
        </w:rPr>
        <w:t>Porter’s Five Forces</w:t>
      </w:r>
      <w:r>
        <w:rPr>
          <w:rFonts w:hint="default" w:ascii="Arial Regular" w:hAnsi="Arial Regular" w:cs="Arial Regular"/>
          <w:b w:val="0"/>
          <w:bCs w:val="0"/>
          <w:color w:val="000000" w:themeColor="text1"/>
          <w:sz w:val="24"/>
          <w:szCs w:val="24"/>
          <w14:textFill>
            <w14:solidFill>
              <w14:schemeClr w14:val="tx1"/>
            </w14:solidFill>
          </w14:textFill>
        </w:rPr>
        <w:t xml:space="preserve"> assessed competitive rivalry, buyer and supplier power, substitutes and new entrants (Porter, 2008). </w:t>
      </w:r>
      <w:r>
        <w:rPr>
          <w:rStyle w:val="12"/>
          <w:rFonts w:hint="default" w:ascii="Arial Regular" w:hAnsi="Arial Regular" w:cs="Arial Regular"/>
          <w:b w:val="0"/>
          <w:bCs w:val="0"/>
          <w:color w:val="000000" w:themeColor="text1"/>
          <w:sz w:val="24"/>
          <w:szCs w:val="24"/>
          <w14:textFill>
            <w14:solidFill>
              <w14:schemeClr w14:val="tx1"/>
            </w14:solidFill>
          </w14:textFill>
        </w:rPr>
        <w:t>JTBD</w:t>
      </w:r>
      <w:r>
        <w:rPr>
          <w:rFonts w:hint="default" w:ascii="Arial Regular" w:hAnsi="Arial Regular" w:cs="Arial Regular"/>
          <w:b w:val="0"/>
          <w:bCs w:val="0"/>
          <w:color w:val="000000" w:themeColor="text1"/>
          <w:sz w:val="24"/>
          <w:szCs w:val="24"/>
          <w14:textFill>
            <w14:solidFill>
              <w14:schemeClr w14:val="tx1"/>
            </w14:solidFill>
          </w14:textFill>
        </w:rPr>
        <w:t xml:space="preserve"> and the </w:t>
      </w:r>
      <w:r>
        <w:rPr>
          <w:rStyle w:val="12"/>
          <w:rFonts w:hint="default" w:ascii="Arial Regular" w:hAnsi="Arial Regular" w:cs="Arial Regular"/>
          <w:b w:val="0"/>
          <w:bCs w:val="0"/>
          <w:color w:val="000000" w:themeColor="text1"/>
          <w:sz w:val="24"/>
          <w:szCs w:val="24"/>
          <w14:textFill>
            <w14:solidFill>
              <w14:schemeClr w14:val="tx1"/>
            </w14:solidFill>
          </w14:textFill>
        </w:rPr>
        <w:t>Value Proposition Canvas</w:t>
      </w:r>
      <w:r>
        <w:rPr>
          <w:rFonts w:hint="default" w:ascii="Arial Regular" w:hAnsi="Arial Regular" w:cs="Arial Regular"/>
          <w:b w:val="0"/>
          <w:bCs w:val="0"/>
          <w:color w:val="000000" w:themeColor="text1"/>
          <w:sz w:val="24"/>
          <w:szCs w:val="24"/>
          <w14:textFill>
            <w14:solidFill>
              <w14:schemeClr w14:val="tx1"/>
            </w14:solidFill>
          </w14:textFill>
        </w:rPr>
        <w:t xml:space="preserve"> strengthened customer analysis by connecting SME needs with the proposed service proposition. The </w:t>
      </w:r>
      <w:r>
        <w:rPr>
          <w:rStyle w:val="12"/>
          <w:rFonts w:hint="default" w:ascii="Arial Regular" w:hAnsi="Arial Regular" w:cs="Arial Regular"/>
          <w:b w:val="0"/>
          <w:bCs w:val="0"/>
          <w:color w:val="000000" w:themeColor="text1"/>
          <w:sz w:val="24"/>
          <w:szCs w:val="24"/>
          <w14:textFill>
            <w14:solidFill>
              <w14:schemeClr w14:val="tx1"/>
            </w14:solidFill>
          </w14:textFill>
        </w:rPr>
        <w:t>Business Model Canvas</w:t>
      </w:r>
      <w:r>
        <w:rPr>
          <w:rFonts w:hint="default" w:ascii="Arial Regular" w:hAnsi="Arial Regular" w:cs="Arial Regular"/>
          <w:b w:val="0"/>
          <w:bCs w:val="0"/>
          <w:color w:val="000000" w:themeColor="text1"/>
          <w:sz w:val="24"/>
          <w:szCs w:val="24"/>
          <w14:textFill>
            <w14:solidFill>
              <w14:schemeClr w14:val="tx1"/>
            </w14:solidFill>
          </w14:textFill>
        </w:rPr>
        <w:t xml:space="preserve"> provided an integrated view of customers, activities, resources, channels, costs and revenue streams (Osterwalder and Pigneur, 2010). </w:t>
      </w:r>
      <w:r>
        <w:rPr>
          <w:rStyle w:val="12"/>
          <w:rFonts w:hint="default" w:ascii="Arial Regular" w:hAnsi="Arial Regular" w:cs="Arial Regular"/>
          <w:b w:val="0"/>
          <w:bCs w:val="0"/>
          <w:color w:val="000000" w:themeColor="text1"/>
          <w:sz w:val="24"/>
          <w:szCs w:val="24"/>
          <w14:textFill>
            <w14:solidFill>
              <w14:schemeClr w14:val="tx1"/>
            </w14:solidFill>
          </w14:textFill>
        </w:rPr>
        <w:t>SWOT</w:t>
      </w:r>
      <w:r>
        <w:rPr>
          <w:rFonts w:hint="default" w:ascii="Arial Regular" w:hAnsi="Arial Regular" w:cs="Arial Regular"/>
          <w:b w:val="0"/>
          <w:bCs w:val="0"/>
          <w:color w:val="000000" w:themeColor="text1"/>
          <w:sz w:val="24"/>
          <w:szCs w:val="24"/>
          <w14:textFill>
            <w14:solidFill>
              <w14:schemeClr w14:val="tx1"/>
            </w14:solidFill>
          </w14:textFill>
        </w:rPr>
        <w:t xml:space="preserve"> synthesised internal strengths and weaknesses with external opportunities and threats, while </w:t>
      </w:r>
      <w:r>
        <w:rPr>
          <w:rStyle w:val="12"/>
          <w:rFonts w:hint="default" w:ascii="Arial Regular" w:hAnsi="Arial Regular" w:cs="Arial Regular"/>
          <w:b w:val="0"/>
          <w:bCs w:val="0"/>
          <w:color w:val="000000" w:themeColor="text1"/>
          <w:sz w:val="24"/>
          <w:szCs w:val="24"/>
          <w14:textFill>
            <w14:solidFill>
              <w14:schemeClr w14:val="tx1"/>
            </w14:solidFill>
          </w14:textFill>
        </w:rPr>
        <w:t>VRIO</w:t>
      </w:r>
      <w:r>
        <w:rPr>
          <w:rFonts w:hint="default" w:ascii="Arial Regular" w:hAnsi="Arial Regular" w:cs="Arial Regular"/>
          <w:b w:val="0"/>
          <w:bCs w:val="0"/>
          <w:color w:val="000000" w:themeColor="text1"/>
          <w:sz w:val="24"/>
          <w:szCs w:val="24"/>
          <w14:textFill>
            <w14:solidFill>
              <w14:schemeClr w14:val="tx1"/>
            </w14:solidFill>
          </w14:textFill>
        </w:rPr>
        <w:t xml:space="preserve"> examined whether resources could provide competitive advantage (Barney, 1991). Overall, these frameworks are valuable because they provide different but interconnected perspectives. However, they are analytical tools rather than guarantees of performance. Their effectiveness depends on the accuracy of assumptions, market evidence and regular updating as AI technologies and competitive conditions change.</w:t>
      </w:r>
    </w:p>
    <w:p w14:paraId="5820E9A6">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67" w:name="_Toc343373953"/>
      <w:r>
        <w:rPr>
          <w:rFonts w:hint="default" w:ascii="Arial Regular" w:hAnsi="Arial Regular" w:cs="Arial Regular"/>
          <w:b/>
          <w:bCs/>
          <w:color w:val="000000" w:themeColor="text1"/>
          <w:sz w:val="24"/>
          <w:szCs w:val="24"/>
          <w:lang w:val="de-DE"/>
          <w14:textFill>
            <w14:solidFill>
              <w14:schemeClr w14:val="tx1"/>
            </w14:solidFill>
          </w14:textFill>
        </w:rPr>
        <w:t xml:space="preserve">13.2 </w:t>
      </w:r>
      <w:r>
        <w:rPr>
          <w:rFonts w:hint="default" w:ascii="Arial Regular" w:hAnsi="Arial Regular" w:cs="Arial Regular"/>
          <w:b/>
          <w:bCs/>
          <w:color w:val="000000" w:themeColor="text1"/>
          <w:sz w:val="24"/>
          <w:szCs w:val="24"/>
          <w14:textFill>
            <w14:solidFill>
              <w14:schemeClr w14:val="tx1"/>
            </w14:solidFill>
          </w14:textFill>
        </w:rPr>
        <w:t>Summary of Findings</w:t>
      </w:r>
      <w:bookmarkEnd w:id="67"/>
      <w:r>
        <w:rPr>
          <w:rFonts w:hint="default" w:ascii="Arial Regular" w:hAnsi="Arial Regular" w:cs="Arial Regular"/>
          <w:b/>
          <w:bCs/>
          <w:color w:val="000000" w:themeColor="text1"/>
          <w:sz w:val="24"/>
          <w:szCs w:val="24"/>
          <w14:textFill>
            <w14:solidFill>
              <w14:schemeClr w14:val="tx1"/>
            </w14:solidFill>
          </w14:textFill>
        </w:rPr>
        <w:t xml:space="preserve"> </w:t>
      </w:r>
    </w:p>
    <w:p w14:paraId="10AA952D">
      <w:pPr>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The analysis indicates that SmartGrowth AI has a viable opportunity within the UK service-based SME market. Demand for digital marketing support, combined with increasing adoption of AI-enabled business technologies, creates favourable conditions for an integrated agency proposition. However, competition is strong because established agencies, freelancers and internal teams can provide similar services. Porter’s analysis therefore indicates significant rivalry and substitution pressures (Porter, 2008). SmartGrowth AI’s proposed advantage is its combination of </w:t>
      </w:r>
      <w:r>
        <w:rPr>
          <w:rStyle w:val="12"/>
          <w:rFonts w:hint="default" w:ascii="Arial Regular" w:hAnsi="Arial Regular" w:cs="Arial Regular"/>
          <w:b w:val="0"/>
          <w:bCs w:val="0"/>
          <w:color w:val="000000" w:themeColor="text1"/>
          <w:sz w:val="24"/>
          <w:szCs w:val="24"/>
          <w14:textFill>
            <w14:solidFill>
              <w14:schemeClr w14:val="tx1"/>
            </w14:solidFill>
          </w14:textFill>
        </w:rPr>
        <w:t>human creativity, AI-enabled efficiency, moderate pricing and personalised SME support</w:t>
      </w:r>
      <w:r>
        <w:rPr>
          <w:rFonts w:hint="default" w:ascii="Arial Regular" w:hAnsi="Arial Regular" w:cs="Arial Regular"/>
          <w:b w:val="0"/>
          <w:bCs w:val="0"/>
          <w:color w:val="000000" w:themeColor="text1"/>
          <w:sz w:val="24"/>
          <w:szCs w:val="24"/>
          <w14:textFill>
            <w14:solidFill>
              <w14:schemeClr w14:val="tx1"/>
            </w14:solidFill>
          </w14:textFill>
        </w:rPr>
        <w:t xml:space="preserve">. </w:t>
      </w:r>
      <w:r>
        <w:rPr>
          <w:rFonts w:hint="default" w:ascii="Arial Regular" w:hAnsi="Arial Regular" w:eastAsia="SimSun" w:cs="Arial Regular"/>
          <w:kern w:val="0"/>
          <w:sz w:val="24"/>
          <w:szCs w:val="24"/>
          <w:lang w:val="en-US" w:eastAsia="zh-CN" w:bidi="ar"/>
        </w:rPr>
        <w:t>The financial analysis demonstrates that SmartGrowth AI could generate a positive operating result under the proposed assumptions, with projected Year 1 revenue of £420,000 and EBITDA of £35,000. The analysis therefore provides an indication that the proposed business model has potential commercial feasibility if the planned client acquisition, pricing and cost assumptions are achieved. However, these figures do not demonstrate actual profitability or guarantee financial sustainability because the revenue forecasts, average retainer value, client numbers and operating costs are based partly on management assumptions rather than established trading performance. Similarly, the strategic frameworks identify potential sources of differentiation but cannot guarantee competitive advantage or customer retention. Therefore, the evidence supports proceeding as a controlled and testable business proposition rather than treating feasibility as proven. The business decision should be to validate pricing and demand through pilot customers, monitor client acquisition and retention, and review actual financial performance against the forecasts before significant expansion</w:t>
      </w:r>
      <w:r>
        <w:rPr>
          <w:rFonts w:hint="default" w:ascii="Arial Regular" w:hAnsi="Arial Regular" w:eastAsia="SimSun" w:cs="Arial Regular"/>
          <w:kern w:val="0"/>
          <w:sz w:val="24"/>
          <w:szCs w:val="24"/>
          <w:lang w:val="de-DE" w:eastAsia="zh-CN" w:bidi="ar"/>
        </w:rPr>
        <w:t>.</w:t>
      </w:r>
      <w:r>
        <w:rPr>
          <w:rFonts w:hint="default" w:ascii="Arial Regular" w:hAnsi="Arial Regular" w:cs="Arial Regular"/>
          <w:b w:val="0"/>
          <w:bCs w:val="0"/>
          <w:color w:val="000000" w:themeColor="text1"/>
          <w:sz w:val="24"/>
          <w:szCs w:val="24"/>
          <w14:textFill>
            <w14:solidFill>
              <w14:schemeClr w14:val="tx1"/>
            </w14:solidFill>
          </w14:textFill>
        </w:rPr>
        <w:t xml:space="preserve"> The SWOT and VRIO analyses suggest that specialist knowledge, customer relationships and integrated service delivery can support differentiation, although the new business initially lacks established brand reputation (Barney, 1991). Overall, the concept is strategically attractive but requires disciplined execution, customer retention and continuous technological development.</w:t>
      </w:r>
    </w:p>
    <w:p w14:paraId="1EFAAD17">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68" w:name="_Toc797468582"/>
      <w:r>
        <w:rPr>
          <w:rFonts w:hint="default" w:ascii="Arial Regular" w:hAnsi="Arial Regular" w:cs="Arial Regular"/>
          <w:b/>
          <w:bCs/>
          <w:color w:val="000000" w:themeColor="text1"/>
          <w:sz w:val="24"/>
          <w:szCs w:val="24"/>
          <w:lang w:val="de-DE"/>
          <w14:textFill>
            <w14:solidFill>
              <w14:schemeClr w14:val="tx1"/>
            </w14:solidFill>
          </w14:textFill>
        </w:rPr>
        <w:t xml:space="preserve">13.3 </w:t>
      </w:r>
      <w:r>
        <w:rPr>
          <w:rFonts w:hint="default" w:ascii="Arial Regular" w:hAnsi="Arial Regular" w:cs="Arial Regular"/>
          <w:b/>
          <w:bCs/>
          <w:color w:val="000000" w:themeColor="text1"/>
          <w:sz w:val="24"/>
          <w:szCs w:val="24"/>
          <w14:textFill>
            <w14:solidFill>
              <w14:schemeClr w14:val="tx1"/>
            </w14:solidFill>
          </w14:textFill>
        </w:rPr>
        <w:t>Recommendations</w:t>
      </w:r>
      <w:bookmarkEnd w:id="68"/>
      <w:r>
        <w:rPr>
          <w:rFonts w:hint="default" w:ascii="Arial Regular" w:hAnsi="Arial Regular" w:cs="Arial Regular"/>
          <w:b/>
          <w:bCs/>
          <w:color w:val="000000" w:themeColor="text1"/>
          <w:sz w:val="24"/>
          <w:szCs w:val="24"/>
          <w14:textFill>
            <w14:solidFill>
              <w14:schemeClr w14:val="tx1"/>
            </w14:solidFill>
          </w14:textFill>
        </w:rPr>
        <w:t xml:space="preserve"> </w:t>
      </w:r>
    </w:p>
    <w:p w14:paraId="7630E263">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SmartGrowth AI should initially pursue </w:t>
      </w:r>
      <w:r>
        <w:rPr>
          <w:rStyle w:val="12"/>
          <w:rFonts w:hint="default" w:ascii="Arial Regular" w:hAnsi="Arial Regular" w:cs="Arial Regular"/>
          <w:b w:val="0"/>
          <w:bCs w:val="0"/>
          <w:color w:val="000000" w:themeColor="text1"/>
          <w:sz w:val="24"/>
          <w:szCs w:val="24"/>
          <w14:textFill>
            <w14:solidFill>
              <w14:schemeClr w14:val="tx1"/>
            </w14:solidFill>
          </w14:textFill>
        </w:rPr>
        <w:t>focused differentiation</w:t>
      </w:r>
      <w:r>
        <w:rPr>
          <w:rFonts w:hint="default" w:ascii="Arial Regular" w:hAnsi="Arial Regular" w:cs="Arial Regular"/>
          <w:b w:val="0"/>
          <w:bCs w:val="0"/>
          <w:color w:val="000000" w:themeColor="text1"/>
          <w:sz w:val="24"/>
          <w:szCs w:val="24"/>
          <w14:textFill>
            <w14:solidFill>
              <w14:schemeClr w14:val="tx1"/>
            </w14:solidFill>
          </w14:textFill>
        </w:rPr>
        <w:t>, targeting UK service-based SMEs rather than competing directly with larger agencies across all segments. The business should prioritise monthly retainers to establish predictable recurring revenue while using SEO, content, social media and advertising services for cross-selling. Management should invest continuously in employee AI capabilities, quality control, data protection and customer relationships. Building case studies and testimonials should be prioritised during the first year to strengthen credibility. Performance should be reviewed against revenue, client acquisition, retention, satisfaction and campaign ROI.</w:t>
      </w:r>
    </w:p>
    <w:p w14:paraId="2313088F">
      <w:pPr>
        <w:pStyle w:val="3"/>
        <w:keepNext w:val="0"/>
        <w:keepLines w:val="0"/>
        <w:widowControl/>
        <w:numPr>
          <w:ilvl w:val="0"/>
          <w:numId w:val="0"/>
        </w:numPr>
        <w:suppressLineNumbers w:val="0"/>
        <w:spacing w:line="360" w:lineRule="auto"/>
        <w:ind w:leftChars="0"/>
        <w:jc w:val="both"/>
        <w:outlineLvl w:val="1"/>
        <w:rPr>
          <w:rFonts w:hint="default" w:ascii="Arial Regular" w:hAnsi="Arial Regular" w:cs="Arial Regular"/>
          <w:b/>
          <w:bCs/>
          <w:color w:val="000000" w:themeColor="text1"/>
          <w:sz w:val="24"/>
          <w:szCs w:val="24"/>
          <w14:textFill>
            <w14:solidFill>
              <w14:schemeClr w14:val="tx1"/>
            </w14:solidFill>
          </w14:textFill>
        </w:rPr>
      </w:pPr>
      <w:bookmarkStart w:id="69" w:name="_Toc609016747"/>
      <w:r>
        <w:rPr>
          <w:rFonts w:hint="default" w:ascii="Arial Regular" w:hAnsi="Arial Regular" w:cs="Arial Regular"/>
          <w:b/>
          <w:bCs/>
          <w:color w:val="000000" w:themeColor="text1"/>
          <w:sz w:val="24"/>
          <w:szCs w:val="24"/>
          <w:lang w:val="de-DE"/>
          <w14:textFill>
            <w14:solidFill>
              <w14:schemeClr w14:val="tx1"/>
            </w14:solidFill>
          </w14:textFill>
        </w:rPr>
        <w:t xml:space="preserve">13.4 </w:t>
      </w:r>
      <w:r>
        <w:rPr>
          <w:rFonts w:hint="default" w:ascii="Arial Regular" w:hAnsi="Arial Regular" w:cs="Arial Regular"/>
          <w:b/>
          <w:bCs/>
          <w:color w:val="000000" w:themeColor="text1"/>
          <w:sz w:val="24"/>
          <w:szCs w:val="24"/>
          <w14:textFill>
            <w14:solidFill>
              <w14:schemeClr w14:val="tx1"/>
            </w14:solidFill>
          </w14:textFill>
        </w:rPr>
        <w:t>Suggestions for Further Research</w:t>
      </w:r>
      <w:bookmarkEnd w:id="69"/>
      <w:r>
        <w:rPr>
          <w:rFonts w:hint="default" w:ascii="Arial Regular" w:hAnsi="Arial Regular" w:cs="Arial Regular"/>
          <w:b/>
          <w:bCs/>
          <w:color w:val="000000" w:themeColor="text1"/>
          <w:sz w:val="24"/>
          <w:szCs w:val="24"/>
          <w14:textFill>
            <w14:solidFill>
              <w14:schemeClr w14:val="tx1"/>
            </w14:solidFill>
          </w14:textFill>
        </w:rPr>
        <w:t xml:space="preserve"> </w:t>
      </w:r>
    </w:p>
    <w:p w14:paraId="7CD5C520">
      <w:pPr>
        <w:pStyle w:val="11"/>
        <w:keepNext w:val="0"/>
        <w:keepLines w:val="0"/>
        <w:widowControl/>
        <w:suppressLineNumbers w:val="0"/>
        <w:spacing w:line="360" w:lineRule="auto"/>
        <w:jc w:val="both"/>
        <w:rPr>
          <w:rFonts w:hint="default" w:ascii="Arial Regular" w:hAnsi="Arial Regular" w:cs="Arial Regular"/>
          <w:color w:val="000000" w:themeColor="text1"/>
          <w:sz w:val="24"/>
          <w:szCs w:val="24"/>
          <w:highlight w:val="yellow"/>
          <w14:textFill>
            <w14:solidFill>
              <w14:schemeClr w14:val="tx1"/>
            </w14:solidFill>
          </w14:textFill>
        </w:rPr>
      </w:pPr>
      <w:r>
        <w:rPr>
          <w:rFonts w:hint="default" w:ascii="Arial Regular" w:hAnsi="Arial Regular" w:cs="Arial Regular"/>
          <w:color w:val="000000" w:themeColor="text1"/>
          <w:sz w:val="24"/>
          <w:szCs w:val="24"/>
          <w14:textFill>
            <w14:solidFill>
              <w14:schemeClr w14:val="tx1"/>
            </w14:solidFill>
          </w14:textFill>
        </w:rPr>
        <w:t>Further research should examine customer willingness to pay for AI-powered marketing services and identify the most attractive service packages for different SME segments. Primary research with UK service-based SME owners could validate the assumptions regarding pricing, service preferences and AI acceptance. Future research could also compare SmartGrowth AI’s performance with competitors over time and assess how emerging generative-AI technologies affect marketing quality, productivity, employment requirements and customer expectations.</w:t>
      </w:r>
    </w:p>
    <w:p w14:paraId="39ED1D49">
      <w:pPr>
        <w:pStyle w:val="2"/>
        <w:keepNext w:val="0"/>
        <w:keepLines w:val="0"/>
        <w:widowControl/>
        <w:numPr>
          <w:ilvl w:val="0"/>
          <w:numId w:val="22"/>
        </w:numPr>
        <w:suppressLineNumbers w:val="0"/>
        <w:spacing w:line="360" w:lineRule="auto"/>
        <w:ind w:left="0" w:leftChars="0" w:firstLine="0" w:firstLineChars="0"/>
        <w:jc w:val="both"/>
        <w:rPr>
          <w:rFonts w:hint="default" w:ascii="Arial Regular" w:hAnsi="Arial Regular" w:cs="Arial Regular"/>
          <w:b/>
          <w:bCs/>
          <w:color w:val="000000" w:themeColor="text1"/>
          <w:sz w:val="24"/>
          <w:szCs w:val="24"/>
          <w14:textFill>
            <w14:solidFill>
              <w14:schemeClr w14:val="tx1"/>
            </w14:solidFill>
          </w14:textFill>
        </w:rPr>
      </w:pPr>
      <w:bookmarkStart w:id="70" w:name="_Toc837405227"/>
      <w:r>
        <w:rPr>
          <w:rFonts w:hint="default" w:ascii="Arial Regular" w:hAnsi="Arial Regular" w:cs="Arial Regular"/>
          <w:b/>
          <w:bCs/>
          <w:color w:val="000000" w:themeColor="text1"/>
          <w:sz w:val="24"/>
          <w:szCs w:val="24"/>
          <w14:textFill>
            <w14:solidFill>
              <w14:schemeClr w14:val="tx1"/>
            </w14:solidFill>
          </w14:textFill>
        </w:rPr>
        <w:t>Reflection</w:t>
      </w:r>
      <w:bookmarkEnd w:id="70"/>
      <w:r>
        <w:rPr>
          <w:rFonts w:hint="default" w:ascii="Arial Regular" w:hAnsi="Arial Regular" w:cs="Arial Regular"/>
          <w:b/>
          <w:bCs/>
          <w:color w:val="000000" w:themeColor="text1"/>
          <w:sz w:val="24"/>
          <w:szCs w:val="24"/>
          <w14:textFill>
            <w14:solidFill>
              <w14:schemeClr w14:val="tx1"/>
            </w14:solidFill>
          </w14:textFill>
        </w:rPr>
        <w:t xml:space="preserve"> </w:t>
      </w:r>
    </w:p>
    <w:p w14:paraId="146F37DF">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Reflection is a structured process of examining experiences, evaluating learning and identifying improvements for future practice (Gibbs, 1988). Reflecting on the SmartGrowth AI BDP has helped me understand how theoretical knowledge can be applied to developing a realistic business proposal.</w:t>
      </w:r>
    </w:p>
    <w:p w14:paraId="40EC9D64">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Developing this report has been a valuable learning experience because it required me to move beyond theoretical understanding and apply strategic concepts to a practical business idea. Initially, I viewed SmartGrowth AI mainly as an AI-powered marketing agency. However, completing the analysis helped me recognise the importance of understanding customers, competitors, financial requirements, operations and human resources before establishing a business.</w:t>
      </w:r>
    </w:p>
    <w:p w14:paraId="493AE7CA">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The use of frameworks such as </w:t>
      </w:r>
      <w:r>
        <w:rPr>
          <w:rStyle w:val="12"/>
          <w:rFonts w:hint="default" w:ascii="Arial Regular" w:hAnsi="Arial Regular" w:cs="Arial Regular"/>
          <w:b w:val="0"/>
          <w:bCs w:val="0"/>
          <w:color w:val="000000" w:themeColor="text1"/>
          <w:sz w:val="24"/>
          <w:szCs w:val="24"/>
          <w14:textFill>
            <w14:solidFill>
              <w14:schemeClr w14:val="tx1"/>
            </w14:solidFill>
          </w14:textFill>
        </w:rPr>
        <w:t>PESTLE, Porter’s Five Forces, SWOT, VRIO, VPC and BMC</w:t>
      </w:r>
      <w:r>
        <w:rPr>
          <w:rFonts w:hint="default" w:ascii="Arial Regular" w:hAnsi="Arial Regular" w:cs="Arial Regular"/>
          <w:b w:val="0"/>
          <w:bCs w:val="0"/>
          <w:color w:val="000000" w:themeColor="text1"/>
          <w:sz w:val="24"/>
          <w:szCs w:val="24"/>
          <w14:textFill>
            <w14:solidFill>
              <w14:schemeClr w14:val="tx1"/>
            </w14:solidFill>
          </w14:textFill>
        </w:rPr>
        <w:t xml:space="preserve"> improved my ability to analyse the business from different perspectives. For example, Porter’s Five Forces helped me recognise the intensity of competition within digital marketing, while VPC and BMC helped connect customer needs with SmartGrowth AI’s services and revenue model. This demonstrated that strategic frameworks are most useful when their findings are combined rather than considered independently.</w:t>
      </w:r>
    </w:p>
    <w:p w14:paraId="756324DB">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The market and competitor analysis was particularly useful because researching Jellyfish, Hallam and Croud showed me that SmartGrowth AI cannot compete simply by offering digital marketing services. I therefore developed a clearer positioning based on </w:t>
      </w:r>
      <w:r>
        <w:rPr>
          <w:rStyle w:val="12"/>
          <w:rFonts w:hint="default" w:ascii="Arial Regular" w:hAnsi="Arial Regular" w:cs="Arial Regular"/>
          <w:b w:val="0"/>
          <w:bCs w:val="0"/>
          <w:color w:val="000000" w:themeColor="text1"/>
          <w:sz w:val="24"/>
          <w:szCs w:val="24"/>
          <w14:textFill>
            <w14:solidFill>
              <w14:schemeClr w14:val="tx1"/>
            </w14:solidFill>
          </w14:textFill>
        </w:rPr>
        <w:t>human creativity combined with AI efficiency, moderate pricing and personalised support for UK service-based SMEs</w:t>
      </w:r>
      <w:r>
        <w:rPr>
          <w:rFonts w:hint="default" w:ascii="Arial Regular" w:hAnsi="Arial Regular" w:cs="Arial Regular"/>
          <w:b w:val="0"/>
          <w:bCs w:val="0"/>
          <w:color w:val="000000" w:themeColor="text1"/>
          <w:sz w:val="24"/>
          <w:szCs w:val="24"/>
          <w14:textFill>
            <w14:solidFill>
              <w14:schemeClr w14:val="tx1"/>
            </w14:solidFill>
          </w14:textFill>
        </w:rPr>
        <w:t>. This strengthened my understanding of differentiation and competitive advantage.</w:t>
      </w:r>
    </w:p>
    <w:p w14:paraId="076A467B">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The financial and operational sections also developed my practical decision-making skills. Preparing startup costs, operating costs, revenue projections, break-even analysis and sensitivity scenarios made me recognise the importance of realistic assumptions. Similarly, developing recruitment, workflow, quality-control and implementation plans showed me that successful entrepreneurship requires coordination across multiple business functions.</w:t>
      </w:r>
    </w:p>
    <w:p w14:paraId="022F836F">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One limitation of my work was that some financial and market assumptions were based on secondary information and proposed estimates rather than actual business performance. Future research should therefore use a larger primary dataset and real customer feedback to validate pricing, demand and service preferences.</w:t>
      </w:r>
    </w:p>
    <w:p w14:paraId="53961AF3">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lang w:val="de-DE"/>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Overall, this project has improved my </w:t>
      </w:r>
      <w:r>
        <w:rPr>
          <w:rStyle w:val="12"/>
          <w:rFonts w:hint="default" w:ascii="Arial Regular" w:hAnsi="Arial Regular" w:cs="Arial Regular"/>
          <w:b w:val="0"/>
          <w:bCs w:val="0"/>
          <w:color w:val="000000" w:themeColor="text1"/>
          <w:sz w:val="24"/>
          <w:szCs w:val="24"/>
          <w14:textFill>
            <w14:solidFill>
              <w14:schemeClr w14:val="tx1"/>
            </w14:solidFill>
          </w14:textFill>
        </w:rPr>
        <w:t>strategic thinking, critical analysis, financial awareness, research skills and entrepreneurial decision-making</w:t>
      </w:r>
      <w:r>
        <w:rPr>
          <w:rFonts w:hint="default" w:ascii="Arial Regular" w:hAnsi="Arial Regular" w:cs="Arial Regular"/>
          <w:b w:val="0"/>
          <w:bCs w:val="0"/>
          <w:color w:val="000000" w:themeColor="text1"/>
          <w:sz w:val="24"/>
          <w:szCs w:val="24"/>
          <w14:textFill>
            <w14:solidFill>
              <w14:schemeClr w14:val="tx1"/>
            </w14:solidFill>
          </w14:textFill>
        </w:rPr>
        <w:t>. I have learned that a strong business idea requires continuous evaluation and adaptation. Following Gibbs’ (1988) reflective approach, my future action would be to test the assumptions through primary research, monitor actual performance and refine the SmartGrowth AI model before implementation.</w:t>
      </w:r>
    </w:p>
    <w:p w14:paraId="5E0D181C">
      <w:pPr>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br w:type="page"/>
      </w:r>
    </w:p>
    <w:p w14:paraId="7BF712AD">
      <w:pPr>
        <w:pStyle w:val="3"/>
        <w:keepNext w:val="0"/>
        <w:keepLines w:val="0"/>
        <w:widowControl/>
        <w:suppressLineNumbers w:val="0"/>
        <w:spacing w:line="360" w:lineRule="auto"/>
        <w:jc w:val="both"/>
        <w:rPr>
          <w:rFonts w:hint="default" w:ascii="Arial Regular" w:hAnsi="Arial Regular" w:cs="Arial Regular"/>
          <w:sz w:val="24"/>
          <w:szCs w:val="24"/>
          <w:lang w:val="de-DE"/>
        </w:rPr>
      </w:pPr>
      <w:bookmarkStart w:id="71" w:name="_Toc1809311398"/>
      <w:r>
        <w:rPr>
          <w:rFonts w:hint="default" w:ascii="Arial Regular" w:hAnsi="Arial Regular" w:cs="Arial Regular"/>
          <w:sz w:val="24"/>
          <w:szCs w:val="24"/>
          <w:lang w:val="de-DE"/>
        </w:rPr>
        <w:t>Bibliography</w:t>
      </w:r>
      <w:bookmarkEnd w:id="71"/>
      <w:r>
        <w:rPr>
          <w:rFonts w:hint="default" w:ascii="Arial Regular" w:hAnsi="Arial Regular" w:cs="Arial Regular"/>
          <w:sz w:val="24"/>
          <w:szCs w:val="24"/>
          <w:lang w:val="de-DE"/>
        </w:rPr>
        <w:t xml:space="preserve"> </w:t>
      </w:r>
    </w:p>
    <w:p w14:paraId="33A2E3A7">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Ansoff, H.I. (1957) ‘Strategies for diversification’, </w:t>
      </w:r>
      <w:r>
        <w:rPr>
          <w:rStyle w:val="7"/>
          <w:rFonts w:hint="default" w:ascii="Arial Regular" w:hAnsi="Arial Regular" w:cs="Arial Regular"/>
          <w:sz w:val="24"/>
          <w:szCs w:val="24"/>
        </w:rPr>
        <w:t>Harvard Business Review</w:t>
      </w:r>
      <w:r>
        <w:rPr>
          <w:rFonts w:hint="default" w:ascii="Arial Regular" w:hAnsi="Arial Regular" w:cs="Arial Regular"/>
          <w:sz w:val="24"/>
          <w:szCs w:val="24"/>
        </w:rPr>
        <w:t>, 35(5), pp. 113–124.</w:t>
      </w:r>
    </w:p>
    <w:p w14:paraId="07FDF897">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Arvanitis, S. (2018) ‘Feasibility Analysis and Study’, in Sotiriadis, M. (ed.) </w:t>
      </w:r>
      <w:r>
        <w:rPr>
          <w:rStyle w:val="7"/>
          <w:rFonts w:hint="default" w:ascii="Arial Regular" w:hAnsi="Arial Regular" w:cs="Arial Regular"/>
          <w:sz w:val="24"/>
          <w:szCs w:val="24"/>
        </w:rPr>
        <w:t>The Emerald Handbook of Entrepreneurship in Tourism, Travel and Hospitality: Skills for Successful Ventures</w:t>
      </w:r>
      <w:r>
        <w:rPr>
          <w:rFonts w:hint="default" w:ascii="Arial Regular" w:hAnsi="Arial Regular" w:cs="Arial Regular"/>
          <w:sz w:val="24"/>
          <w:szCs w:val="24"/>
        </w:rPr>
        <w:t>. Bingley: Emerald Publishing.</w:t>
      </w:r>
    </w:p>
    <w:p w14:paraId="5B7CDEC7">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Armstrong, M. and Taylor, S. (2020) </w:t>
      </w:r>
      <w:r>
        <w:rPr>
          <w:rStyle w:val="7"/>
          <w:rFonts w:hint="default" w:ascii="Arial Regular" w:hAnsi="Arial Regular" w:cs="Arial Regular"/>
          <w:sz w:val="24"/>
          <w:szCs w:val="24"/>
        </w:rPr>
        <w:t>Armstrong’s Handbook of Human Resource Management Practice</w:t>
      </w:r>
      <w:r>
        <w:rPr>
          <w:rFonts w:hint="default" w:ascii="Arial Regular" w:hAnsi="Arial Regular" w:cs="Arial Regular"/>
          <w:sz w:val="24"/>
          <w:szCs w:val="24"/>
        </w:rPr>
        <w:t>. 15th edn. London: Kogan Page.</w:t>
      </w:r>
    </w:p>
    <w:p w14:paraId="525EDD1A">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Barney, J.B. (1991) ‘Firm resources and sustained competitive advantage’, </w:t>
      </w:r>
      <w:r>
        <w:rPr>
          <w:rStyle w:val="7"/>
          <w:rFonts w:hint="default" w:ascii="Arial Regular" w:hAnsi="Arial Regular" w:cs="Arial Regular"/>
          <w:sz w:val="24"/>
          <w:szCs w:val="24"/>
        </w:rPr>
        <w:t>Journal of Management</w:t>
      </w:r>
      <w:r>
        <w:rPr>
          <w:rFonts w:hint="default" w:ascii="Arial Regular" w:hAnsi="Arial Regular" w:cs="Arial Regular"/>
          <w:sz w:val="24"/>
          <w:szCs w:val="24"/>
        </w:rPr>
        <w:t>, 17(1), pp. 99–120.</w:t>
      </w:r>
    </w:p>
    <w:p w14:paraId="1FD1968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Braun, V. and Clarke, V. (2006) ‘Using thematic analysis in psychology’, </w:t>
      </w:r>
      <w:r>
        <w:rPr>
          <w:rStyle w:val="7"/>
          <w:rFonts w:hint="default" w:ascii="Arial Regular" w:hAnsi="Arial Regular" w:cs="Arial Regular"/>
          <w:sz w:val="24"/>
          <w:szCs w:val="24"/>
        </w:rPr>
        <w:t>Qualitative Research in Psychology</w:t>
      </w:r>
      <w:r>
        <w:rPr>
          <w:rFonts w:hint="default" w:ascii="Arial Regular" w:hAnsi="Arial Regular" w:cs="Arial Regular"/>
          <w:sz w:val="24"/>
          <w:szCs w:val="24"/>
        </w:rPr>
        <w:t>, 3(2), pp. 77–101.</w:t>
      </w:r>
    </w:p>
    <w:p w14:paraId="7E0B615F">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Burns, P. (2022) </w:t>
      </w:r>
      <w:r>
        <w:rPr>
          <w:rStyle w:val="7"/>
          <w:rFonts w:hint="default" w:ascii="Arial Regular" w:hAnsi="Arial Regular" w:cs="Arial Regular"/>
          <w:sz w:val="24"/>
          <w:szCs w:val="24"/>
        </w:rPr>
        <w:t>Entrepreneurship and Small Business</w:t>
      </w:r>
      <w:r>
        <w:rPr>
          <w:rFonts w:hint="default" w:ascii="Arial Regular" w:hAnsi="Arial Regular" w:cs="Arial Regular"/>
          <w:sz w:val="24"/>
          <w:szCs w:val="24"/>
        </w:rPr>
        <w:t>. 5th edn. London: Red Globe Press.</w:t>
      </w:r>
    </w:p>
    <w:p w14:paraId="51EEF959">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Chaffey, D. and Ellis-Chadwick, F. (2022) </w:t>
      </w:r>
      <w:r>
        <w:rPr>
          <w:rStyle w:val="7"/>
          <w:rFonts w:hint="default" w:ascii="Arial Regular" w:hAnsi="Arial Regular" w:cs="Arial Regular"/>
          <w:sz w:val="24"/>
          <w:szCs w:val="24"/>
        </w:rPr>
        <w:t>Digital Marketing</w:t>
      </w:r>
      <w:r>
        <w:rPr>
          <w:rFonts w:hint="default" w:ascii="Arial Regular" w:hAnsi="Arial Regular" w:cs="Arial Regular"/>
          <w:sz w:val="24"/>
          <w:szCs w:val="24"/>
        </w:rPr>
        <w:t>. 8th edn. Harlow: Pearson.</w:t>
      </w:r>
    </w:p>
    <w:p w14:paraId="4C904E4C">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Christensen, C.M., Hall, T., Dillon, K. and Duncan, D.S. (2016) </w:t>
      </w:r>
      <w:r>
        <w:rPr>
          <w:rStyle w:val="7"/>
          <w:rFonts w:hint="default" w:ascii="Arial Regular" w:hAnsi="Arial Regular" w:cs="Arial Regular"/>
          <w:sz w:val="24"/>
          <w:szCs w:val="24"/>
        </w:rPr>
        <w:t>Competing Against Luck: The Story of Innovation and Customer Choice</w:t>
      </w:r>
      <w:r>
        <w:rPr>
          <w:rFonts w:hint="default" w:ascii="Arial Regular" w:hAnsi="Arial Regular" w:cs="Arial Regular"/>
          <w:sz w:val="24"/>
          <w:szCs w:val="24"/>
        </w:rPr>
        <w:t>. New York: HarperBusiness.</w:t>
      </w:r>
    </w:p>
    <w:p w14:paraId="692D304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Creswell, J.W. and Creswell, J.D. (2023) </w:t>
      </w:r>
      <w:r>
        <w:rPr>
          <w:rStyle w:val="7"/>
          <w:rFonts w:hint="default" w:ascii="Arial Regular" w:hAnsi="Arial Regular" w:cs="Arial Regular"/>
          <w:sz w:val="24"/>
          <w:szCs w:val="24"/>
        </w:rPr>
        <w:t>Research Design: Qualitative, Quantitative, and Mixed Methods Approaches</w:t>
      </w:r>
      <w:r>
        <w:rPr>
          <w:rFonts w:hint="default" w:ascii="Arial Regular" w:hAnsi="Arial Regular" w:cs="Arial Regular"/>
          <w:sz w:val="24"/>
          <w:szCs w:val="24"/>
        </w:rPr>
        <w:t>. 6th edn. Thousand Oaks, CA: SAGE Publications.</w:t>
      </w:r>
    </w:p>
    <w:p w14:paraId="7E01F97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Croud (2026) </w:t>
      </w:r>
      <w:r>
        <w:rPr>
          <w:rStyle w:val="7"/>
          <w:rFonts w:hint="default" w:ascii="Arial Regular" w:hAnsi="Arial Regular" w:cs="Arial Regular"/>
          <w:sz w:val="24"/>
          <w:szCs w:val="24"/>
        </w:rPr>
        <w:t>Croud UK: Global media, creative and data agency</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"https://croud.com/en-gb/"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https://croud.com/en-gb/</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9 September 2026).</w:t>
      </w:r>
    </w:p>
    <w:p w14:paraId="44B4B874">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Davenport, T.H., Guha, A., Grewal, D. and Bressgott, T. (2020) ‘How Artificial Intelligence Will Change the Future of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48(1), pp. 24–42.</w:t>
      </w:r>
    </w:p>
    <w:p w14:paraId="7864196B">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(2024) </w:t>
      </w:r>
      <w:r>
        <w:rPr>
          <w:rStyle w:val="7"/>
          <w:rFonts w:hint="default" w:ascii="Arial Regular" w:hAnsi="Arial Regular" w:cs="Arial Regular"/>
          <w:sz w:val="24"/>
          <w:szCs w:val="24"/>
        </w:rPr>
        <w:t>Business Population Estimates for the UK 2024</w:t>
      </w:r>
      <w:r>
        <w:rPr>
          <w:rFonts w:hint="default" w:ascii="Arial Regular" w:hAnsi="Arial Regular" w:cs="Arial Regular"/>
          <w:sz w:val="24"/>
          <w:szCs w:val="24"/>
        </w:rPr>
        <w:t>. London: Department for Business and Trade.</w:t>
      </w:r>
    </w:p>
    <w:p w14:paraId="10C77F96">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(2025) </w:t>
      </w:r>
      <w:r>
        <w:rPr>
          <w:rStyle w:val="7"/>
          <w:rFonts w:hint="default" w:ascii="Arial Regular" w:hAnsi="Arial Regular" w:cs="Arial Regular"/>
          <w:sz w:val="24"/>
          <w:szCs w:val="24"/>
        </w:rPr>
        <w:t>Business Population Estimates for the UK and Regions 2025</w:t>
      </w:r>
      <w:r>
        <w:rPr>
          <w:rFonts w:hint="default" w:ascii="Arial Regular" w:hAnsi="Arial Regular" w:cs="Arial Regular"/>
          <w:sz w:val="24"/>
          <w:szCs w:val="24"/>
        </w:rPr>
        <w:t>. London: Department for Business and Trade.</w:t>
      </w:r>
    </w:p>
    <w:p w14:paraId="106C4265">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(2026) </w:t>
      </w:r>
      <w:r>
        <w:rPr>
          <w:rStyle w:val="7"/>
          <w:rFonts w:hint="default" w:ascii="Arial Regular" w:hAnsi="Arial Regular" w:cs="Arial Regular"/>
          <w:sz w:val="24"/>
          <w:szCs w:val="24"/>
        </w:rPr>
        <w:t>UK Business Data Survey 2026</w:t>
      </w:r>
      <w:r>
        <w:rPr>
          <w:rFonts w:hint="default" w:ascii="Arial Regular" w:hAnsi="Arial Regular" w:cs="Arial Regular"/>
          <w:sz w:val="24"/>
          <w:szCs w:val="24"/>
        </w:rPr>
        <w:t>. London: Department for Business and Trade.</w:t>
      </w:r>
    </w:p>
    <w:p w14:paraId="06F7F3A6">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Science, Innovation and Technology (2025) </w:t>
      </w:r>
      <w:r>
        <w:rPr>
          <w:rStyle w:val="7"/>
          <w:rFonts w:hint="default" w:ascii="Arial Regular" w:hAnsi="Arial Regular" w:cs="Arial Regular"/>
          <w:sz w:val="24"/>
          <w:szCs w:val="24"/>
        </w:rPr>
        <w:t>AI Opportunities Action Plan</w:t>
      </w:r>
      <w:r>
        <w:rPr>
          <w:rFonts w:hint="default" w:ascii="Arial Regular" w:hAnsi="Arial Regular" w:cs="Arial Regular"/>
          <w:sz w:val="24"/>
          <w:szCs w:val="24"/>
        </w:rPr>
        <w:t>. London: Department for Science, Innovation and Technology.</w:t>
      </w:r>
    </w:p>
    <w:p w14:paraId="746B5F64">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Science, Innovation and Technology (2026) </w:t>
      </w:r>
      <w:r>
        <w:rPr>
          <w:rStyle w:val="7"/>
          <w:rFonts w:hint="default" w:ascii="Arial Regular" w:hAnsi="Arial Regular" w:cs="Arial Regular"/>
          <w:sz w:val="24"/>
          <w:szCs w:val="24"/>
        </w:rPr>
        <w:t>AI Adoption Research</w:t>
      </w:r>
      <w:r>
        <w:rPr>
          <w:rFonts w:hint="default" w:ascii="Arial Regular" w:hAnsi="Arial Regular" w:cs="Arial Regular"/>
          <w:sz w:val="24"/>
          <w:szCs w:val="24"/>
        </w:rPr>
        <w:t>. London: Department for Science, Innovation and Technology.</w:t>
      </w:r>
    </w:p>
    <w:p w14:paraId="5AF30B9C">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Doran, G.T. (1981) ‘There’s a S.M.A.R.T. way to write management’s goals and objectives’, </w:t>
      </w:r>
      <w:r>
        <w:rPr>
          <w:rStyle w:val="7"/>
          <w:rFonts w:hint="default" w:ascii="Arial Regular" w:hAnsi="Arial Regular" w:cs="Arial Regular"/>
          <w:sz w:val="24"/>
          <w:szCs w:val="24"/>
        </w:rPr>
        <w:t>Management Review</w:t>
      </w:r>
      <w:r>
        <w:rPr>
          <w:rFonts w:hint="default" w:ascii="Arial Regular" w:hAnsi="Arial Regular" w:cs="Arial Regular"/>
          <w:sz w:val="24"/>
          <w:szCs w:val="24"/>
        </w:rPr>
        <w:t>, 70(11), p. 35.</w:t>
      </w:r>
    </w:p>
    <w:p w14:paraId="6E5558DD">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Gibbs, G. (1988) </w:t>
      </w:r>
      <w:r>
        <w:rPr>
          <w:rStyle w:val="7"/>
          <w:rFonts w:hint="default" w:ascii="Arial Regular" w:hAnsi="Arial Regular" w:cs="Arial Regular"/>
          <w:sz w:val="24"/>
          <w:szCs w:val="24"/>
        </w:rPr>
        <w:t>Learning by Doing: A Guide to Teaching and Learning Methods</w:t>
      </w:r>
      <w:r>
        <w:rPr>
          <w:rFonts w:hint="default" w:ascii="Arial Regular" w:hAnsi="Arial Regular" w:cs="Arial Regular"/>
          <w:sz w:val="24"/>
          <w:szCs w:val="24"/>
        </w:rPr>
        <w:t>. Oxford: Further Education Unit, Oxford Polytechnic.</w:t>
      </w:r>
    </w:p>
    <w:p w14:paraId="2CAD6A36">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Grewal, D., Satornino, C.B., Davenport, T.H., Guha, A. et al. (2025) ‘How generative AI is shaping the future of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53, pp. 702–722. doi: 10.1007/s11747-024-01064-3.</w:t>
      </w:r>
    </w:p>
    <w:p w14:paraId="431742DA">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Gürel, E. and Tat, M. (2017) ‘SWOT analysis: A theoretical review’, </w:t>
      </w:r>
      <w:r>
        <w:rPr>
          <w:rStyle w:val="7"/>
          <w:rFonts w:hint="default" w:ascii="Arial Regular" w:hAnsi="Arial Regular" w:cs="Arial Regular"/>
          <w:sz w:val="24"/>
          <w:szCs w:val="24"/>
        </w:rPr>
        <w:t>The Journal of International Social Research</w:t>
      </w:r>
      <w:r>
        <w:rPr>
          <w:rFonts w:hint="default" w:ascii="Arial Regular" w:hAnsi="Arial Regular" w:cs="Arial Regular"/>
          <w:sz w:val="24"/>
          <w:szCs w:val="24"/>
        </w:rPr>
        <w:t>, 10(51), pp. 994–1006.</w:t>
      </w:r>
    </w:p>
    <w:p w14:paraId="1A515138">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Hallam (2026a) </w:t>
      </w:r>
      <w:r>
        <w:rPr>
          <w:rStyle w:val="7"/>
          <w:rFonts w:hint="default" w:ascii="Arial Regular" w:hAnsi="Arial Regular" w:cs="Arial Regular"/>
          <w:sz w:val="24"/>
          <w:szCs w:val="24"/>
        </w:rPr>
        <w:t>Hallam: Digital Marketing Agency</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"https://hallam.agency/"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https://hallam.agency/</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9 September 2026).</w:t>
      </w:r>
    </w:p>
    <w:p w14:paraId="39446D42">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Hallam (2026b) </w:t>
      </w:r>
      <w:r>
        <w:rPr>
          <w:rStyle w:val="7"/>
          <w:rFonts w:hint="default" w:ascii="Arial Regular" w:hAnsi="Arial Regular" w:cs="Arial Regular"/>
          <w:sz w:val="24"/>
          <w:szCs w:val="24"/>
        </w:rPr>
        <w:t>What we do</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"https://hallam.agency/what-we-do/"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https://hallam.agency/what-we-do/</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15 September 2026).</w:t>
      </w:r>
    </w:p>
    <w:p w14:paraId="2555910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HM Revenue &amp; Customs (2026) </w:t>
      </w:r>
      <w:r>
        <w:rPr>
          <w:rStyle w:val="7"/>
          <w:rFonts w:hint="default" w:ascii="Arial Regular" w:hAnsi="Arial Regular" w:cs="Arial Regular"/>
          <w:sz w:val="24"/>
          <w:szCs w:val="24"/>
        </w:rPr>
        <w:t>Rates and thresholds for employers 2026 to 2027</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"https://www.gov.uk/guidance/rates-and-thresholds-for-employers-2026-to-2027"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https://www.gov.uk/guidance/rates-and-thresholds-for-employers-2026-to-2027</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10 September 2026).</w:t>
      </w:r>
    </w:p>
    <w:p w14:paraId="07E3E495">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Hopkin, P. (2018) </w:t>
      </w:r>
      <w:r>
        <w:rPr>
          <w:rStyle w:val="7"/>
          <w:rFonts w:hint="default" w:ascii="Arial Regular" w:hAnsi="Arial Regular" w:cs="Arial Regular"/>
          <w:sz w:val="24"/>
          <w:szCs w:val="24"/>
        </w:rPr>
        <w:t>Fundamentals of Risk Management: Understanding, Evaluating and Implementing Effective Enterprise Risk Management</w:t>
      </w:r>
      <w:r>
        <w:rPr>
          <w:rFonts w:hint="default" w:ascii="Arial Regular" w:hAnsi="Arial Regular" w:cs="Arial Regular"/>
          <w:sz w:val="24"/>
          <w:szCs w:val="24"/>
        </w:rPr>
        <w:t>. 4th edn. London: Kogan Page.</w:t>
      </w:r>
    </w:p>
    <w:p w14:paraId="10EFD8B1">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Huang, M.-H. and Rust, R.T. (2021) ‘A Strategic Framework for Artificial Intelligence in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49(1), pp. 30–50.</w:t>
      </w:r>
    </w:p>
    <w:p w14:paraId="4016762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IAB UK (2026) </w:t>
      </w:r>
      <w:r>
        <w:rPr>
          <w:rStyle w:val="7"/>
          <w:rFonts w:hint="default" w:ascii="Arial Regular" w:hAnsi="Arial Regular" w:cs="Arial Regular"/>
          <w:sz w:val="24"/>
          <w:szCs w:val="24"/>
        </w:rPr>
        <w:t>Digital Adspend 2025: UK’s Digital Ad Market Reaches £40.5bn</w:t>
      </w:r>
      <w:r>
        <w:rPr>
          <w:rFonts w:hint="default" w:ascii="Arial Regular" w:hAnsi="Arial Regular" w:cs="Arial Regular"/>
          <w:sz w:val="24"/>
          <w:szCs w:val="24"/>
        </w:rPr>
        <w:t>. London: Internet Advertising Bureau UK.</w:t>
      </w:r>
    </w:p>
    <w:p w14:paraId="6E32DB6D">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ICO (2025) </w:t>
      </w:r>
      <w:r>
        <w:rPr>
          <w:rStyle w:val="7"/>
          <w:rFonts w:hint="default" w:ascii="Arial Regular" w:hAnsi="Arial Regular" w:cs="Arial Regular"/>
          <w:sz w:val="24"/>
          <w:szCs w:val="24"/>
        </w:rPr>
        <w:t>Artificial intelligence and data protection</w:t>
      </w:r>
      <w:r>
        <w:rPr>
          <w:rFonts w:hint="default" w:ascii="Arial Regular" w:hAnsi="Arial Regular" w:cs="Arial Regular"/>
          <w:sz w:val="24"/>
          <w:szCs w:val="24"/>
        </w:rPr>
        <w:t xml:space="preserve">. Information Commissioner’s Office.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"https://ico.org.uk/for-organisations/uk-gdpr-guidance-and-resources/artificial-intelligence/"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https://ico.org.uk/for-organisations/uk-gdpr-guidance-and-resources/artificial-intelligence/</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9 September 2026).</w:t>
      </w:r>
    </w:p>
    <w:p w14:paraId="5F75C5B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ICO (2026) </w:t>
      </w:r>
      <w:r>
        <w:rPr>
          <w:rStyle w:val="7"/>
          <w:rFonts w:hint="default" w:ascii="Arial Regular" w:hAnsi="Arial Regular" w:cs="Arial Regular"/>
          <w:sz w:val="24"/>
          <w:szCs w:val="24"/>
        </w:rPr>
        <w:t>Artificial intelligence and data protection</w:t>
      </w:r>
      <w:r>
        <w:rPr>
          <w:rFonts w:hint="default" w:ascii="Arial Regular" w:hAnsi="Arial Regular" w:cs="Arial Regular"/>
          <w:sz w:val="24"/>
          <w:szCs w:val="24"/>
        </w:rPr>
        <w:t xml:space="preserve">. Information Commissioner’s Office.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"https://ico.org.uk/for-organisations/uk-gdpr-guidance-and-resources/artificial-intelligence/"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https://ico.org.uk/for-organisations/uk-gdpr-guidance-and-resources/artificial-intelligence/</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11 September 2026).</w:t>
      </w:r>
    </w:p>
    <w:p w14:paraId="20774DF4">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Jellyfish (2026a) </w:t>
      </w:r>
      <w:r>
        <w:rPr>
          <w:rStyle w:val="7"/>
          <w:rFonts w:hint="default" w:ascii="Arial Regular" w:hAnsi="Arial Regular" w:cs="Arial Regular"/>
          <w:sz w:val="24"/>
          <w:szCs w:val="24"/>
        </w:rPr>
        <w:t>Jellyfish: Integrated global digital marketing business</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"https://www.jellyfish.com/en-gb/"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https://www.jellyfish.com/en-gb/</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9 September 2026).</w:t>
      </w:r>
    </w:p>
    <w:p w14:paraId="58F0DA5A">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Jellyfish (2026b) </w:t>
      </w:r>
      <w:r>
        <w:rPr>
          <w:rStyle w:val="7"/>
          <w:rFonts w:hint="default" w:ascii="Arial Regular" w:hAnsi="Arial Regular" w:cs="Arial Regular"/>
          <w:sz w:val="24"/>
          <w:szCs w:val="24"/>
        </w:rPr>
        <w:t>Jellyfish: Move. Faster. Smarter. Together</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"https://www.jellyfish.com/en-gb/"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https://www.jellyfish.com/en-gb/</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15 September 2026).</w:t>
      </w:r>
    </w:p>
    <w:p w14:paraId="36C21E75">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Jobber, D. and Lancaster, G. (2015) </w:t>
      </w:r>
      <w:r>
        <w:rPr>
          <w:rStyle w:val="7"/>
          <w:rFonts w:hint="default" w:ascii="Arial Regular" w:hAnsi="Arial Regular" w:cs="Arial Regular"/>
          <w:sz w:val="24"/>
          <w:szCs w:val="24"/>
        </w:rPr>
        <w:t>Selling and Sales Management</w:t>
      </w:r>
      <w:r>
        <w:rPr>
          <w:rFonts w:hint="default" w:ascii="Arial Regular" w:hAnsi="Arial Regular" w:cs="Arial Regular"/>
          <w:sz w:val="24"/>
          <w:szCs w:val="24"/>
        </w:rPr>
        <w:t>. 10th edn. Harlow: Pearson.</w:t>
      </w:r>
    </w:p>
    <w:p w14:paraId="768BF343">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Johnson, G., Whittington, R., Scholes, K., Angwin, D.N. and Regnér, P. (2017) </w:t>
      </w:r>
      <w:r>
        <w:rPr>
          <w:rStyle w:val="7"/>
          <w:rFonts w:hint="default" w:ascii="Arial Regular" w:hAnsi="Arial Regular" w:cs="Arial Regular"/>
          <w:sz w:val="24"/>
          <w:szCs w:val="24"/>
        </w:rPr>
        <w:t>Exploring Strategy</w:t>
      </w:r>
      <w:r>
        <w:rPr>
          <w:rFonts w:hint="default" w:ascii="Arial Regular" w:hAnsi="Arial Regular" w:cs="Arial Regular"/>
          <w:sz w:val="24"/>
          <w:szCs w:val="24"/>
        </w:rPr>
        <w:t>. 11th edn. Harlow: Pearson.</w:t>
      </w:r>
    </w:p>
    <w:p w14:paraId="422382E4">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Kotler, P. and Keller, K.L. (2012) </w:t>
      </w:r>
      <w:r>
        <w:rPr>
          <w:rStyle w:val="7"/>
          <w:rFonts w:hint="default" w:ascii="Arial Regular" w:hAnsi="Arial Regular" w:cs="Arial Regular"/>
          <w:sz w:val="24"/>
          <w:szCs w:val="24"/>
        </w:rPr>
        <w:t>Marketing Management</w:t>
      </w:r>
      <w:r>
        <w:rPr>
          <w:rFonts w:hint="default" w:ascii="Arial Regular" w:hAnsi="Arial Regular" w:cs="Arial Regular"/>
          <w:sz w:val="24"/>
          <w:szCs w:val="24"/>
        </w:rPr>
        <w:t>. 14th edn. Harlow: Pearson.</w:t>
      </w:r>
    </w:p>
    <w:p w14:paraId="1372818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Kotler, P. and Keller, K.L. (2016) </w:t>
      </w:r>
      <w:r>
        <w:rPr>
          <w:rStyle w:val="7"/>
          <w:rFonts w:hint="default" w:ascii="Arial Regular" w:hAnsi="Arial Regular" w:cs="Arial Regular"/>
          <w:sz w:val="24"/>
          <w:szCs w:val="24"/>
        </w:rPr>
        <w:t>Marketing Management</w:t>
      </w:r>
      <w:r>
        <w:rPr>
          <w:rFonts w:hint="default" w:ascii="Arial Regular" w:hAnsi="Arial Regular" w:cs="Arial Regular"/>
          <w:sz w:val="24"/>
          <w:szCs w:val="24"/>
        </w:rPr>
        <w:t>. 15th edn. Harlow: Pearson.</w:t>
      </w:r>
    </w:p>
    <w:p w14:paraId="6CF6D57B">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Kotler, P., Keller, K.L. and Chernev, A. (2022) </w:t>
      </w:r>
      <w:r>
        <w:rPr>
          <w:rStyle w:val="7"/>
          <w:rFonts w:hint="default" w:ascii="Arial Regular" w:hAnsi="Arial Regular" w:cs="Arial Regular"/>
          <w:sz w:val="24"/>
          <w:szCs w:val="24"/>
        </w:rPr>
        <w:t>Marketing Management</w:t>
      </w:r>
      <w:r>
        <w:rPr>
          <w:rFonts w:hint="default" w:ascii="Arial Regular" w:hAnsi="Arial Regular" w:cs="Arial Regular"/>
          <w:sz w:val="24"/>
          <w:szCs w:val="24"/>
        </w:rPr>
        <w:t>. 16th Global edn. Harlow: Pearson.</w:t>
      </w:r>
    </w:p>
    <w:p w14:paraId="651808AC">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Locke, E.A. and Latham, G.P. (2002) ‘Building a practically useful theory of goal setting and task motivation: A 35-year odyssey’, </w:t>
      </w:r>
      <w:r>
        <w:rPr>
          <w:rStyle w:val="7"/>
          <w:rFonts w:hint="default" w:ascii="Arial Regular" w:hAnsi="Arial Regular" w:cs="Arial Regular"/>
          <w:sz w:val="24"/>
          <w:szCs w:val="24"/>
        </w:rPr>
        <w:t>American Psychologist</w:t>
      </w:r>
      <w:r>
        <w:rPr>
          <w:rFonts w:hint="default" w:ascii="Arial Regular" w:hAnsi="Arial Regular" w:cs="Arial Regular"/>
          <w:sz w:val="24"/>
          <w:szCs w:val="24"/>
        </w:rPr>
        <w:t>, 57(9), pp. 705–717. doi: 10.1037/0003-066X.57.9.705.</w:t>
      </w:r>
    </w:p>
    <w:p w14:paraId="4D01D993">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Noe, R.A. (2020) </w:t>
      </w:r>
      <w:r>
        <w:rPr>
          <w:rStyle w:val="7"/>
          <w:rFonts w:hint="default" w:ascii="Arial Regular" w:hAnsi="Arial Regular" w:cs="Arial Regular"/>
          <w:sz w:val="24"/>
          <w:szCs w:val="24"/>
        </w:rPr>
        <w:t>Employee Training and Development</w:t>
      </w:r>
      <w:r>
        <w:rPr>
          <w:rFonts w:hint="default" w:ascii="Arial Regular" w:hAnsi="Arial Regular" w:cs="Arial Regular"/>
          <w:sz w:val="24"/>
          <w:szCs w:val="24"/>
        </w:rPr>
        <w:t>. 8th edn. New York: McGraw-Hill Education.</w:t>
      </w:r>
    </w:p>
    <w:p w14:paraId="33620C2D">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Osterwalder, A. and Pigneur, Y. (2010) </w:t>
      </w:r>
      <w:r>
        <w:rPr>
          <w:rStyle w:val="7"/>
          <w:rFonts w:hint="default" w:ascii="Arial Regular" w:hAnsi="Arial Regular" w:cs="Arial Regular"/>
          <w:sz w:val="24"/>
          <w:szCs w:val="24"/>
        </w:rPr>
        <w:t>Business Model Generation: A Handbook for Visionaries, Game Changers, and Challengers</w:t>
      </w:r>
      <w:r>
        <w:rPr>
          <w:rFonts w:hint="default" w:ascii="Arial Regular" w:hAnsi="Arial Regular" w:cs="Arial Regular"/>
          <w:sz w:val="24"/>
          <w:szCs w:val="24"/>
        </w:rPr>
        <w:t>. Hoboken, NJ: John Wiley &amp; Sons.</w:t>
      </w:r>
    </w:p>
    <w:p w14:paraId="29464AF9">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Osterwalder, A., Pigneur, Y., Bernarda, G. and Smith, A. (2014) </w:t>
      </w:r>
      <w:r>
        <w:rPr>
          <w:rStyle w:val="7"/>
          <w:rFonts w:hint="default" w:ascii="Arial Regular" w:hAnsi="Arial Regular" w:cs="Arial Regular"/>
          <w:sz w:val="24"/>
          <w:szCs w:val="24"/>
        </w:rPr>
        <w:t>Value Proposition Design: How to Create Products and Services Customers Want</w:t>
      </w:r>
      <w:r>
        <w:rPr>
          <w:rFonts w:hint="default" w:ascii="Arial Regular" w:hAnsi="Arial Regular" w:cs="Arial Regular"/>
          <w:sz w:val="24"/>
          <w:szCs w:val="24"/>
        </w:rPr>
        <w:t>. Hoboken, NJ: John Wiley &amp; Sons.</w:t>
      </w:r>
    </w:p>
    <w:p w14:paraId="5848B236">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Parmenter, D. (2015) </w:t>
      </w:r>
      <w:r>
        <w:rPr>
          <w:rStyle w:val="7"/>
          <w:rFonts w:hint="default" w:ascii="Arial Regular" w:hAnsi="Arial Regular" w:cs="Arial Regular"/>
          <w:sz w:val="24"/>
          <w:szCs w:val="24"/>
        </w:rPr>
        <w:t>Key Performance Indicators: Developing, Implementing, and Using Winning KPIs</w:t>
      </w:r>
      <w:r>
        <w:rPr>
          <w:rFonts w:hint="default" w:ascii="Arial Regular" w:hAnsi="Arial Regular" w:cs="Arial Regular"/>
          <w:sz w:val="24"/>
          <w:szCs w:val="24"/>
        </w:rPr>
        <w:t>. 3rd edn. Hoboken, NJ: John Wiley &amp; Sons.</w:t>
      </w:r>
    </w:p>
    <w:p w14:paraId="523968A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Porter, M.E. (1985) </w:t>
      </w:r>
      <w:r>
        <w:rPr>
          <w:rStyle w:val="7"/>
          <w:rFonts w:hint="default" w:ascii="Arial Regular" w:hAnsi="Arial Regular" w:cs="Arial Regular"/>
          <w:sz w:val="24"/>
          <w:szCs w:val="24"/>
        </w:rPr>
        <w:t>Competitive Advantage: Creating and Sustaining Superior Performance</w:t>
      </w:r>
      <w:r>
        <w:rPr>
          <w:rFonts w:hint="default" w:ascii="Arial Regular" w:hAnsi="Arial Regular" w:cs="Arial Regular"/>
          <w:sz w:val="24"/>
          <w:szCs w:val="24"/>
        </w:rPr>
        <w:t>. New York: Free Press.</w:t>
      </w:r>
    </w:p>
    <w:p w14:paraId="23FD8092">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Porter, M.E. (2008) ‘The five competitive forces that shape strategy’, </w:t>
      </w:r>
      <w:r>
        <w:rPr>
          <w:rStyle w:val="7"/>
          <w:rFonts w:hint="default" w:ascii="Arial Regular" w:hAnsi="Arial Regular" w:cs="Arial Regular"/>
          <w:sz w:val="24"/>
          <w:szCs w:val="24"/>
        </w:rPr>
        <w:t>Harvard Business Review</w:t>
      </w:r>
      <w:r>
        <w:rPr>
          <w:rFonts w:hint="default" w:ascii="Arial Regular" w:hAnsi="Arial Regular" w:cs="Arial Regular"/>
          <w:sz w:val="24"/>
          <w:szCs w:val="24"/>
        </w:rPr>
        <w:t>, 86(1), pp. 78–93.</w:t>
      </w:r>
    </w:p>
    <w:p w14:paraId="0FFB9B3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Saunders, M., Lewis, P. and Thornhill, A. (2023) </w:t>
      </w:r>
      <w:r>
        <w:rPr>
          <w:rStyle w:val="7"/>
          <w:rFonts w:hint="default" w:ascii="Arial Regular" w:hAnsi="Arial Regular" w:cs="Arial Regular"/>
          <w:sz w:val="24"/>
          <w:szCs w:val="24"/>
        </w:rPr>
        <w:t>Research Methods for Business Students</w:t>
      </w:r>
      <w:r>
        <w:rPr>
          <w:rFonts w:hint="default" w:ascii="Arial Regular" w:hAnsi="Arial Regular" w:cs="Arial Regular"/>
          <w:sz w:val="24"/>
          <w:szCs w:val="24"/>
        </w:rPr>
        <w:t>. 9th edn. Harlow: Pearson.</w:t>
      </w:r>
    </w:p>
    <w:p w14:paraId="55F95A45">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Slack, N. and Brandon-Jones, A. (2019) </w:t>
      </w:r>
      <w:r>
        <w:rPr>
          <w:rStyle w:val="7"/>
          <w:rFonts w:hint="default" w:ascii="Arial Regular" w:hAnsi="Arial Regular" w:cs="Arial Regular"/>
          <w:sz w:val="24"/>
          <w:szCs w:val="24"/>
        </w:rPr>
        <w:t>Operations Management</w:t>
      </w:r>
      <w:r>
        <w:rPr>
          <w:rFonts w:hint="default" w:ascii="Arial Regular" w:hAnsi="Arial Regular" w:cs="Arial Regular"/>
          <w:sz w:val="24"/>
          <w:szCs w:val="24"/>
        </w:rPr>
        <w:t>. 9th edn. Harlow: Pearson.</w:t>
      </w:r>
    </w:p>
    <w:p w14:paraId="5FA81618">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Taiminen, H.M. and Karjaluoto, H. (2015) ‘The Usage of Digital Marketing Channels in SMEs’, </w:t>
      </w:r>
      <w:r>
        <w:rPr>
          <w:rStyle w:val="7"/>
          <w:rFonts w:hint="default" w:ascii="Arial Regular" w:hAnsi="Arial Regular" w:cs="Arial Regular"/>
          <w:sz w:val="24"/>
          <w:szCs w:val="24"/>
        </w:rPr>
        <w:t>Journal of Small Business and Enterprise Development</w:t>
      </w:r>
      <w:r>
        <w:rPr>
          <w:rFonts w:hint="default" w:ascii="Arial Regular" w:hAnsi="Arial Regular" w:cs="Arial Regular"/>
          <w:sz w:val="24"/>
          <w:szCs w:val="24"/>
        </w:rPr>
        <w:t>, 22(4), pp. 633–651.</w:t>
      </w:r>
    </w:p>
    <w:p w14:paraId="5E0FA5A9">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Pensions Regulator (2026) </w:t>
      </w:r>
      <w:r>
        <w:rPr>
          <w:rStyle w:val="7"/>
          <w:rFonts w:hint="default" w:ascii="Arial Regular" w:hAnsi="Arial Regular" w:cs="Arial Regular"/>
          <w:sz w:val="24"/>
          <w:szCs w:val="24"/>
        </w:rPr>
        <w:t>Workplace pensions: What you need to know</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"https://www.thepensionsregulator.gov.uk/" </w:instrText>
      </w:r>
      <w:r>
        <w:rPr>
          <w:rFonts w:hint="default" w:ascii="Arial Regular" w:hAnsi="Arial Regular" w:cs="Arial Regular"/>
          <w:sz w:val="24"/>
          <w:szCs w:val="24"/>
        </w:rPr>
        <w:fldChar w:fldCharType="separate"/>
      </w:r>
      <w:r>
        <w:rPr>
          <w:rStyle w:val="10"/>
          <w:rFonts w:hint="default" w:ascii="Arial Regular" w:hAnsi="Arial Regular" w:cs="Arial Regular"/>
          <w:sz w:val="24"/>
          <w:szCs w:val="24"/>
        </w:rPr>
        <w:t>https://www.thepensionsregulator.gov.uk/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10 September 2026).</w:t>
      </w:r>
    </w:p>
    <w:p w14:paraId="5B6AFF48">
      <w:pPr>
        <w:pStyle w:val="11"/>
        <w:keepNext w:val="0"/>
        <w:keepLines w:val="0"/>
        <w:widowControl/>
        <w:suppressLineNumbers w:val="0"/>
        <w:spacing w:line="360" w:lineRule="auto"/>
        <w:jc w:val="both"/>
        <w:rPr>
          <w:rFonts w:hint="default" w:ascii="Arial Regular" w:hAnsi="Arial Regular" w:cs="Arial Regular"/>
          <w:sz w:val="24"/>
          <w:szCs w:val="24"/>
        </w:rPr>
      </w:pPr>
    </w:p>
    <w:p w14:paraId="374EC31D">
      <w:pPr>
        <w:pStyle w:val="11"/>
        <w:keepNext w:val="0"/>
        <w:keepLines w:val="0"/>
        <w:widowControl/>
        <w:suppressLineNumbers w:val="0"/>
        <w:spacing w:line="360" w:lineRule="auto"/>
        <w:jc w:val="both"/>
        <w:rPr>
          <w:rFonts w:hint="default" w:ascii="Arial Regular" w:hAnsi="Arial Regular" w:eastAsia=".AppleSystemUIFont Regular" w:cs="Arial Regular"/>
          <w:b w:val="0"/>
          <w:bCs w:val="0"/>
          <w:i w:val="0"/>
          <w:sz w:val="24"/>
          <w:szCs w:val="24"/>
        </w:rPr>
      </w:pPr>
    </w:p>
    <w:p w14:paraId="7AB6954D">
      <w:pPr>
        <w:pStyle w:val="11"/>
        <w:keepNext w:val="0"/>
        <w:keepLines w:val="0"/>
        <w:widowControl/>
        <w:suppressLineNumbers w:val="0"/>
        <w:spacing w:line="360" w:lineRule="auto"/>
        <w:jc w:val="both"/>
        <w:rPr>
          <w:rFonts w:hint="default" w:ascii="Arial Regular" w:hAnsi="Arial Regular" w:cs="Arial Regular"/>
          <w:b/>
          <w:bCs/>
          <w:sz w:val="24"/>
          <w:szCs w:val="24"/>
          <w:lang w:val="de-DE"/>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Light">
    <w:altName w:val="Helvetica Neue"/>
    <w:panose1 w:val="020F0302020204030204"/>
    <w:charset w:val="00"/>
    <w:family w:val="swiss"/>
    <w:pitch w:val="default"/>
    <w:sig w:usb0="00000000" w:usb1="00000000" w:usb2="00000009" w:usb3="00000000" w:csb0="000001FF" w:csb1="00000000"/>
  </w:font>
  <w:font w:name="Helvetica Neue">
    <w:panose1 w:val="02000503000000020004"/>
    <w:charset w:val="00"/>
    <w:family w:val="auto"/>
    <w:pitch w:val="default"/>
    <w:sig w:usb0="E50002FF" w:usb1="500079DB" w:usb2="00000010" w:usb3="00000000" w:csb0="00000000" w:csb1="00000000"/>
  </w:font>
  <w:font w:name="Arial Regular">
    <w:panose1 w:val="020B0704020202020204"/>
    <w:charset w:val="00"/>
    <w:family w:val="auto"/>
    <w:pitch w:val="default"/>
    <w:sig w:usb0="E0002AFF" w:usb1="C0007843" w:usb2="00000009" w:usb3="00000000" w:csb0="400001FF" w:csb1="FFFF0000"/>
  </w:font>
  <w:font w:name="Arial Bold">
    <w:panose1 w:val="020B0704020202020204"/>
    <w:charset w:val="00"/>
    <w:family w:val="auto"/>
    <w:pitch w:val="default"/>
    <w:sig w:usb0="E0002AFF" w:usb1="C0007843" w:usb2="00000009" w:usb3="00000000" w:csb0="400001FF" w:csb1="FFFF0000"/>
  </w:font>
  <w:font w:name="Cambria">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AppleSystemUIFont Regular">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Light">
    <w:panose1 w:val="00000000000000000000"/>
    <w:charset w:val="00"/>
    <w:family w:val="auto"/>
    <w:pitch w:val="default"/>
    <w:sig w:usb0="E00002FF" w:usb1="5000785B" w:usb2="00000000" w:usb3="00000000" w:csb0="2000019F" w:csb1="4F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CAD9E30">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BCD40A7">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KNC834hAgAA&#10;YgQAAA4AAAAAAAAAAQAgAAAAHwEAAGRycy9lMm9Eb2MueG1sUEsFBgAAAAAGAAYAWQEAALIFAAAA&#10;AA==&#10;">
              <v:fill on="f" focussize="0,0"/>
              <v:stroke on="f" weight="0.5pt"/>
              <v:imagedata o:title=""/>
              <o:lock v:ext="edit" aspectratio="f"/>
              <v:textbox inset="0mm,0mm,0mm,0mm" style="mso-fit-shape-to-text:t;">
                <w:txbxContent>
                  <w:p w14:paraId="5BCD40A7">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B64072"/>
    <w:multiLevelType w:val="singleLevel"/>
    <w:tmpl w:val="A7B64072"/>
    <w:lvl w:ilvl="0" w:tentative="0">
      <w:start w:val="5"/>
      <w:numFmt w:val="decimal"/>
      <w:suff w:val="space"/>
      <w:lvlText w:val="%1."/>
      <w:lvlJc w:val="left"/>
    </w:lvl>
  </w:abstractNum>
  <w:abstractNum w:abstractNumId="1">
    <w:nsid w:val="BDF73A4A"/>
    <w:multiLevelType w:val="singleLevel"/>
    <w:tmpl w:val="BDF73A4A"/>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BFB54207"/>
    <w:multiLevelType w:val="singleLevel"/>
    <w:tmpl w:val="BFB5420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D7669D97"/>
    <w:multiLevelType w:val="singleLevel"/>
    <w:tmpl w:val="D7669D97"/>
    <w:lvl w:ilvl="0" w:tentative="0">
      <w:start w:val="8"/>
      <w:numFmt w:val="decimal"/>
      <w:suff w:val="space"/>
      <w:lvlText w:val="%1."/>
      <w:lvlJc w:val="left"/>
    </w:lvl>
  </w:abstractNum>
  <w:abstractNum w:abstractNumId="4">
    <w:nsid w:val="EB7FFC10"/>
    <w:multiLevelType w:val="singleLevel"/>
    <w:tmpl w:val="EB7FFC1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EFF72671"/>
    <w:multiLevelType w:val="singleLevel"/>
    <w:tmpl w:val="EFF72671"/>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6">
    <w:nsid w:val="EFFA0972"/>
    <w:multiLevelType w:val="singleLevel"/>
    <w:tmpl w:val="EFFA0972"/>
    <w:lvl w:ilvl="0" w:tentative="0">
      <w:start w:val="11"/>
      <w:numFmt w:val="decimal"/>
      <w:suff w:val="space"/>
      <w:lvlText w:val="%1."/>
      <w:lvlJc w:val="left"/>
    </w:lvl>
  </w:abstractNum>
  <w:abstractNum w:abstractNumId="7">
    <w:nsid w:val="F3562E26"/>
    <w:multiLevelType w:val="singleLevel"/>
    <w:tmpl w:val="F3562E26"/>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8">
    <w:nsid w:val="F3EDBD50"/>
    <w:multiLevelType w:val="singleLevel"/>
    <w:tmpl w:val="F3EDBD50"/>
    <w:lvl w:ilvl="0" w:tentative="0">
      <w:start w:val="6"/>
      <w:numFmt w:val="decimal"/>
      <w:suff w:val="space"/>
      <w:lvlText w:val="%1."/>
      <w:lvlJc w:val="left"/>
    </w:lvl>
  </w:abstractNum>
  <w:abstractNum w:abstractNumId="9">
    <w:nsid w:val="F73EDFB8"/>
    <w:multiLevelType w:val="singleLevel"/>
    <w:tmpl w:val="F73EDFB8"/>
    <w:lvl w:ilvl="0" w:tentative="0">
      <w:start w:val="4"/>
      <w:numFmt w:val="decimal"/>
      <w:suff w:val="space"/>
      <w:lvlText w:val="%1."/>
      <w:lvlJc w:val="left"/>
    </w:lvl>
  </w:abstractNum>
  <w:abstractNum w:abstractNumId="10">
    <w:nsid w:val="F7BEEA3E"/>
    <w:multiLevelType w:val="singleLevel"/>
    <w:tmpl w:val="F7BEEA3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1">
    <w:nsid w:val="F7FF495B"/>
    <w:multiLevelType w:val="singleLevel"/>
    <w:tmpl w:val="F7FF495B"/>
    <w:lvl w:ilvl="0" w:tentative="0">
      <w:start w:val="2"/>
      <w:numFmt w:val="decimal"/>
      <w:suff w:val="space"/>
      <w:lvlText w:val="%1."/>
      <w:lvlJc w:val="left"/>
    </w:lvl>
  </w:abstractNum>
  <w:abstractNum w:abstractNumId="12">
    <w:nsid w:val="FA7C5E47"/>
    <w:multiLevelType w:val="singleLevel"/>
    <w:tmpl w:val="FA7C5E4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3">
    <w:nsid w:val="FBEB33EA"/>
    <w:multiLevelType w:val="singleLevel"/>
    <w:tmpl w:val="FBEB33EA"/>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4">
    <w:nsid w:val="FCF48D09"/>
    <w:multiLevelType w:val="singleLevel"/>
    <w:tmpl w:val="FCF48D09"/>
    <w:lvl w:ilvl="0" w:tentative="0">
      <w:start w:val="7"/>
      <w:numFmt w:val="decimal"/>
      <w:suff w:val="space"/>
      <w:lvlText w:val="%1."/>
      <w:lvlJc w:val="left"/>
    </w:lvl>
  </w:abstractNum>
  <w:abstractNum w:abstractNumId="15">
    <w:nsid w:val="FEFBB35F"/>
    <w:multiLevelType w:val="singleLevel"/>
    <w:tmpl w:val="FEFBB35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6">
    <w:nsid w:val="FFBFDF35"/>
    <w:multiLevelType w:val="singleLevel"/>
    <w:tmpl w:val="FFBFDF3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7">
    <w:nsid w:val="3E5E4DFD"/>
    <w:multiLevelType w:val="singleLevel"/>
    <w:tmpl w:val="3E5E4DFD"/>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8">
    <w:nsid w:val="657FA0E6"/>
    <w:multiLevelType w:val="singleLevel"/>
    <w:tmpl w:val="657FA0E6"/>
    <w:lvl w:ilvl="0" w:tentative="0">
      <w:start w:val="2"/>
      <w:numFmt w:val="upperLetter"/>
      <w:suff w:val="space"/>
      <w:lvlText w:val="%1."/>
      <w:lvlJc w:val="left"/>
    </w:lvl>
  </w:abstractNum>
  <w:abstractNum w:abstractNumId="19">
    <w:nsid w:val="77F71FE8"/>
    <w:multiLevelType w:val="multilevel"/>
    <w:tmpl w:val="77F71FE8"/>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20">
    <w:nsid w:val="7DFFB8C8"/>
    <w:multiLevelType w:val="singleLevel"/>
    <w:tmpl w:val="7DFFB8C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1">
    <w:nsid w:val="7EB7CED2"/>
    <w:multiLevelType w:val="singleLevel"/>
    <w:tmpl w:val="7EB7CED2"/>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2">
    <w:nsid w:val="7FF3C669"/>
    <w:multiLevelType w:val="singleLevel"/>
    <w:tmpl w:val="7FF3C669"/>
    <w:lvl w:ilvl="0" w:tentative="0">
      <w:start w:val="12"/>
      <w:numFmt w:val="decimal"/>
      <w:suff w:val="space"/>
      <w:lvlText w:val="%1."/>
      <w:lvlJc w:val="left"/>
    </w:lvl>
  </w:abstractNum>
  <w:num w:numId="1">
    <w:abstractNumId w:val="12"/>
  </w:num>
  <w:num w:numId="2">
    <w:abstractNumId w:val="7"/>
  </w:num>
  <w:num w:numId="3">
    <w:abstractNumId w:val="11"/>
  </w:num>
  <w:num w:numId="4">
    <w:abstractNumId w:val="9"/>
  </w:num>
  <w:num w:numId="5">
    <w:abstractNumId w:val="13"/>
  </w:num>
  <w:num w:numId="6">
    <w:abstractNumId w:val="0"/>
  </w:num>
  <w:num w:numId="7">
    <w:abstractNumId w:val="8"/>
  </w:num>
  <w:num w:numId="8">
    <w:abstractNumId w:val="4"/>
  </w:num>
  <w:num w:numId="9">
    <w:abstractNumId w:val="14"/>
  </w:num>
  <w:num w:numId="10">
    <w:abstractNumId w:val="15"/>
  </w:num>
  <w:num w:numId="11">
    <w:abstractNumId w:val="3"/>
  </w:num>
  <w:num w:numId="12">
    <w:abstractNumId w:val="16"/>
  </w:num>
  <w:num w:numId="13">
    <w:abstractNumId w:val="1"/>
  </w:num>
  <w:num w:numId="14">
    <w:abstractNumId w:val="18"/>
  </w:num>
  <w:num w:numId="15">
    <w:abstractNumId w:val="2"/>
  </w:num>
  <w:num w:numId="16">
    <w:abstractNumId w:val="19"/>
  </w:num>
  <w:num w:numId="17">
    <w:abstractNumId w:val="17"/>
  </w:num>
  <w:num w:numId="18">
    <w:abstractNumId w:val="20"/>
  </w:num>
  <w:num w:numId="19">
    <w:abstractNumId w:val="5"/>
  </w:num>
  <w:num w:numId="20">
    <w:abstractNumId w:val="10"/>
  </w:num>
  <w:num w:numId="21">
    <w:abstractNumId w:val="6"/>
  </w:num>
  <w:num w:numId="22">
    <w:abstractNumId w:val="22"/>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2"/>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EE12AD"/>
    <w:rsid w:val="1E9FACFD"/>
    <w:rsid w:val="31FED289"/>
    <w:rsid w:val="3DDF949A"/>
    <w:rsid w:val="3FDF94F0"/>
    <w:rsid w:val="65F3484A"/>
    <w:rsid w:val="6B7DA56E"/>
    <w:rsid w:val="6FDD66A2"/>
    <w:rsid w:val="6FFD655F"/>
    <w:rsid w:val="772E6363"/>
    <w:rsid w:val="77BD6ED9"/>
    <w:rsid w:val="7CEE12AD"/>
    <w:rsid w:val="7EE5A289"/>
    <w:rsid w:val="AE5FA301"/>
    <w:rsid w:val="BF9FBB06"/>
    <w:rsid w:val="D2E968C2"/>
    <w:rsid w:val="F7BB3242"/>
    <w:rsid w:val="FBCF54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9"/>
    <w:pPr>
      <w:keepNext/>
      <w:keepLines/>
      <w:spacing w:before="360" w:after="80"/>
      <w:outlineLvl w:val="0"/>
    </w:pPr>
    <w:rPr>
      <w:rFonts w:asciiTheme="majorHAnsi" w:hAnsiTheme="majorHAnsi" w:eastAsiaTheme="majorEastAsia" w:cstheme="majorBidi"/>
      <w:color w:val="2E54A1" w:themeColor="accent1" w:themeShade="BF"/>
      <w:sz w:val="40"/>
      <w:szCs w:val="40"/>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basedOn w:val="1"/>
    <w:next w:val="1"/>
    <w:unhideWhenUsed/>
    <w:qFormat/>
    <w:uiPriority w:val="9"/>
    <w:pPr>
      <w:keepNext/>
      <w:keepLines/>
      <w:spacing w:before="160" w:after="80"/>
      <w:outlineLvl w:val="2"/>
    </w:pPr>
    <w:rPr>
      <w:rFonts w:eastAsiaTheme="majorEastAsia" w:cstheme="majorBidi"/>
      <w:color w:val="2E54A1" w:themeColor="accent1" w:themeShade="BF"/>
      <w:sz w:val="28"/>
      <w:szCs w:val="28"/>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uiPriority w:val="0"/>
    <w:pPr>
      <w:tabs>
        <w:tab w:val="center" w:pos="4153"/>
        <w:tab w:val="right" w:pos="8306"/>
      </w:tabs>
      <w:snapToGrid w:val="0"/>
      <w:jc w:val="left"/>
    </w:pPr>
    <w:rPr>
      <w:sz w:val="18"/>
      <w:szCs w:val="18"/>
    </w:rPr>
  </w:style>
  <w:style w:type="paragraph" w:styleId="9">
    <w:name w:val="header"/>
    <w:basedOn w:val="1"/>
    <w:uiPriority w:val="0"/>
    <w:pPr>
      <w:tabs>
        <w:tab w:val="center" w:pos="4153"/>
        <w:tab w:val="right" w:pos="8306"/>
      </w:tabs>
      <w:snapToGrid w:val="0"/>
    </w:pPr>
    <w:rPr>
      <w:sz w:val="18"/>
      <w:szCs w:val="18"/>
    </w:rPr>
  </w:style>
  <w:style w:type="character" w:styleId="10">
    <w:name w:val="Hyperlink"/>
    <w:basedOn w:val="5"/>
    <w:unhideWhenUsed/>
    <w:uiPriority w:val="99"/>
    <w:rPr>
      <w:color w:val="0026E5" w:themeColor="hyperlink"/>
      <w:u w:val="single"/>
      <w14:textFill>
        <w14:solidFill>
          <w14:schemeClr w14:val="hlink"/>
        </w14:solidFill>
      </w14:textFill>
    </w:rPr>
  </w:style>
  <w:style w:type="paragraph" w:styleId="11">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5"/>
    <w:qFormat/>
    <w:uiPriority w:val="0"/>
    <w:rPr>
      <w:b/>
      <w:bCs/>
    </w:rPr>
  </w:style>
  <w:style w:type="table" w:styleId="13">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toc 1"/>
    <w:basedOn w:val="1"/>
    <w:next w:val="1"/>
    <w:unhideWhenUsed/>
    <w:uiPriority w:val="39"/>
    <w:pPr>
      <w:spacing w:after="100"/>
    </w:pPr>
  </w:style>
  <w:style w:type="paragraph" w:styleId="15">
    <w:name w:val="toc 2"/>
    <w:basedOn w:val="1"/>
    <w:next w:val="1"/>
    <w:unhideWhenUsed/>
    <w:uiPriority w:val="39"/>
    <w:pPr>
      <w:spacing w:after="100"/>
      <w:ind w:left="240"/>
    </w:pPr>
  </w:style>
  <w:style w:type="paragraph" w:styleId="16">
    <w:name w:val="toc 3"/>
    <w:basedOn w:val="1"/>
    <w:next w:val="1"/>
    <w:unhideWhenUsed/>
    <w:uiPriority w:val="39"/>
    <w:pPr>
      <w:spacing w:after="100"/>
      <w:ind w:left="480"/>
    </w:pPr>
  </w:style>
  <w:style w:type="paragraph" w:customStyle="1" w:styleId="17">
    <w:name w:val="TOC Heading"/>
    <w:basedOn w:val="2"/>
    <w:next w:val="1"/>
    <w:unhideWhenUsed/>
    <w:qFormat/>
    <w:uiPriority w:val="39"/>
    <w:pPr>
      <w:spacing w:before="240" w:after="0" w:line="259" w:lineRule="auto"/>
      <w:outlineLvl w:val="9"/>
    </w:pPr>
    <w:rPr>
      <w:kern w:val="0"/>
      <w:sz w:val="32"/>
      <w:szCs w:val="32"/>
      <w:lang w:bidi="ar-SA"/>
      <w14:ligatures w14:val="none"/>
    </w:rPr>
  </w:style>
  <w:style w:type="paragraph" w:customStyle="1" w:styleId="18">
    <w:name w:val="p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6" Type="http://schemas.openxmlformats.org/officeDocument/2006/relationships/fontTable" Target="fontTable.xml"/><Relationship Id="rId25" Type="http://schemas.openxmlformats.org/officeDocument/2006/relationships/numbering" Target="numbering.xml"/><Relationship Id="rId24" Type="http://schemas.openxmlformats.org/officeDocument/2006/relationships/customXml" Target="../customXml/item1.xml"/><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86</Pages>
  <Words>0</Words>
  <Characters>0</Characters>
  <Lines>0</Lines>
  <Paragraphs>0</Paragraphs>
  <TotalTime>21</TotalTime>
  <ScaleCrop>false</ScaleCrop>
  <LinksUpToDate>false</LinksUpToDate>
  <CharactersWithSpaces>0</CharactersWithSpaces>
  <Application>WPS Office_12.1.26050.26050_F1E327BC-269C-435d-A152-05C5408002CA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2026-08-26T13:26:00Z</dcterms:created>
  <dc:creator>Anika Ayub (183011205)</dc:creator>
  <cp:lastModifiedBy>Anika Ayub (183011205)</cp:lastModifiedBy>
  <dcterms:modified xsi:type="dcterms:W3CDTF">2026-09-23T22:00:01Z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1033-12.1.26050.26050</vt:lpwstr>
  </property>
  <property fmtid="{D5CDD505-2E9C-101B-9397-08002B2CF9AE}" pid="3" name="ICV">
    <vt:lpwstr>E44C78446FB680056AFA8D6A3DCE0625_41</vt:lpwstr>
  </property>
</Properties>
</file>