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14:paraId="6E11FF1B" wp14:textId="77777777">
      <w:pPr>
        <w:spacing w:after="200" w:line="360" w:lineRule="auto"/>
        <w:jc w:val="both"/>
      </w:pPr>
      <w:r>
        <w:rPr>
          <w:rFonts w:ascii="Arial" w:hAnsi="Arial" w:eastAsia="Arial" w:cs="Arial"/>
          <w:b/>
          <w:sz w:val="24"/>
        </w:rPr>
        <w:t>Research Proposal</w:t>
      </w:r>
    </w:p>
    <w:p xmlns:wp14="http://schemas.microsoft.com/office/word/2010/wordml" w14:paraId="16A1C522" wp14:textId="77777777">
      <w:pPr>
        <w:spacing w:after="320" w:line="360" w:lineRule="auto"/>
        <w:jc w:val="both"/>
      </w:pPr>
      <w:r>
        <w:rPr>
          <w:rFonts w:ascii="Arial" w:hAnsi="Arial" w:eastAsia="Arial" w:cs="Arial"/>
          <w:b/>
          <w:sz w:val="24"/>
        </w:rPr>
        <w:t>Investigating the Factors Influencing Food Safety and Hygiene Compliance</w:t>
      </w:r>
      <w:r>
        <w:rPr>
          <w:rFonts w:ascii="Arial" w:hAnsi="Arial" w:eastAsia="Arial" w:cs="Arial"/>
          <w:b/>
          <w:sz w:val="24"/>
        </w:rPr>
        <w:br/>
      </w:r>
      <w:r>
        <w:rPr>
          <w:rFonts w:ascii="Arial" w:hAnsi="Arial" w:eastAsia="Arial" w:cs="Arial"/>
          <w:b/>
          <w:sz w:val="24"/>
        </w:rPr>
        <w:t>Among Night Shift Hygiene Staff in the UK Meat Processing Industry</w:t>
      </w:r>
      <w:r>
        <w:rPr>
          <w:rFonts w:ascii="Arial" w:hAnsi="Arial" w:eastAsia="Arial" w:cs="Arial"/>
          <w:b/>
          <w:sz w:val="24"/>
        </w:rPr>
        <w:br/>
      </w:r>
    </w:p>
    <w:p xmlns:wp14="http://schemas.microsoft.com/office/word/2010/wordml" w14:paraId="672A6659" wp14:textId="77777777">
      <w:pPr>
        <w:jc w:val="center"/>
      </w:pPr>
      <w:r>
        <w:rPr>
          <w:rFonts w:ascii="Arial" w:hAnsi="Arial" w:eastAsia="Arial"/>
          <w:sz w:val="24"/>
        </w:rPr>
        <w:drawing>
          <wp:inline xmlns:a="http://schemas.openxmlformats.org/drawingml/2006/main" xmlns:pic="http://schemas.openxmlformats.org/drawingml/2006/picture" xmlns:wp14="http://schemas.microsoft.com/office/word/2010/wordprocessingDrawing" wp14:anchorId="1A2B0115" wp14:editId="7777777">
            <wp:extent cx="2194560" cy="2124291"/>
            <wp:docPr id="2" name="Picture 2"/>
            <wp:cNvGraphicFramePr>
              <a:graphicFrameLocks noChangeAspect="1"/>
            </wp:cNvGraphicFramePr>
            <a:graphic>
              <a:graphicData uri="http://schemas.openxmlformats.org/drawingml/2006/picture">
                <pic:pic>
                  <pic:nvPicPr>
                    <pic:cNvPr id="0" name="image.png"/>
                    <pic:cNvPicPr/>
                  </pic:nvPicPr>
                  <pic:blipFill>
                    <a:blip r:embed="rId9"/>
                    <a:stretch>
                      <a:fillRect/>
                    </a:stretch>
                  </pic:blipFill>
                  <pic:spPr>
                    <a:xfrm>
                      <a:off x="0" y="0"/>
                      <a:ext cx="2194560" cy="2124291"/>
                    </a:xfrm>
                    <a:prstGeom prst="rect"/>
                  </pic:spPr>
                </pic:pic>
              </a:graphicData>
            </a:graphic>
          </wp:inline>
        </w:drawing>
      </w:r>
    </w:p>
    <w:p xmlns:wp14="http://schemas.microsoft.com/office/word/2010/wordml" w14:paraId="0A37501D" wp14:textId="77777777"/>
    <w:p xmlns:wp14="http://schemas.microsoft.com/office/word/2010/wordml" w14:paraId="5DAB6C7B" wp14:textId="77777777"/>
    <w:p xmlns:wp14="http://schemas.microsoft.com/office/word/2010/wordml" w14:paraId="02EB378F" wp14:textId="77777777"/>
    <w:p xmlns:wp14="http://schemas.microsoft.com/office/word/2010/wordml" w14:paraId="502C5D27" wp14:textId="77777777">
      <w:pPr>
        <w:spacing w:after="160" w:line="360" w:lineRule="auto"/>
        <w:jc w:val="both"/>
      </w:pPr>
      <w:r>
        <w:rPr>
          <w:rFonts w:ascii="Arial" w:hAnsi="Arial" w:eastAsia="Arial" w:cs="Arial"/>
          <w:b/>
          <w:sz w:val="24"/>
        </w:rPr>
        <w:t>Module: BMSW5014 Developing a Research Proposal</w:t>
      </w:r>
    </w:p>
    <w:p xmlns:wp14="http://schemas.microsoft.com/office/word/2010/wordml" w14:paraId="56F4A6F0" wp14:textId="77777777">
      <w:pPr>
        <w:spacing w:after="160" w:line="360" w:lineRule="auto"/>
        <w:jc w:val="both"/>
      </w:pPr>
      <w:r>
        <w:rPr>
          <w:rFonts w:ascii="Arial" w:hAnsi="Arial" w:eastAsia="Arial" w:cs="Arial"/>
          <w:b/>
          <w:sz w:val="24"/>
        </w:rPr>
        <w:t>Student: Daniel-Mihai Naica</w:t>
      </w:r>
    </w:p>
    <w:p xmlns:wp14="http://schemas.microsoft.com/office/word/2010/wordml" w14:paraId="67E657A9" wp14:textId="77777777">
      <w:pPr>
        <w:spacing w:after="160" w:line="360" w:lineRule="auto"/>
        <w:jc w:val="both"/>
      </w:pPr>
      <w:r>
        <w:rPr>
          <w:rFonts w:ascii="Arial" w:hAnsi="Arial" w:eastAsia="Arial" w:cs="Arial"/>
          <w:b/>
          <w:sz w:val="24"/>
        </w:rPr>
        <w:t>Student ID: 2411629</w:t>
      </w:r>
    </w:p>
    <w:p xmlns:wp14="http://schemas.microsoft.com/office/word/2010/wordml" w14:paraId="549E2F96" wp14:textId="77777777">
      <w:pPr>
        <w:spacing w:after="160" w:line="360" w:lineRule="auto"/>
        <w:jc w:val="both"/>
      </w:pPr>
      <w:r>
        <w:rPr>
          <w:rFonts w:ascii="Arial" w:hAnsi="Arial" w:eastAsia="Arial" w:cs="Arial"/>
          <w:b/>
          <w:sz w:val="24"/>
        </w:rPr>
        <w:t>Lecturer Name: Jaliya De-Silva</w:t>
      </w:r>
    </w:p>
    <w:p xmlns:wp14="http://schemas.microsoft.com/office/word/2010/wordml" w14:paraId="39A28D2A" wp14:textId="77777777">
      <w:pPr>
        <w:spacing w:after="160" w:line="360" w:lineRule="auto"/>
        <w:jc w:val="both"/>
      </w:pPr>
      <w:r>
        <w:rPr>
          <w:rFonts w:ascii="Arial" w:hAnsi="Arial" w:eastAsia="Arial" w:cs="Arial"/>
          <w:b/>
          <w:sz w:val="24"/>
        </w:rPr>
        <w:t>Submission Date: 26 July 2026</w:t>
      </w:r>
    </w:p>
    <w:p xmlns:wp14="http://schemas.microsoft.com/office/word/2010/wordml" w14:paraId="6A05A809" wp14:textId="77777777">
      <w:r>
        <w:rPr>
          <w:rFonts w:ascii="Arial" w:hAnsi="Arial" w:eastAsia="Arial"/>
          <w:sz w:val="24"/>
        </w:rPr>
      </w:r>
    </w:p>
    <w:p xmlns:wp14="http://schemas.microsoft.com/office/word/2010/wordml" w14:paraId="5A39BBE3" wp14:textId="77777777">
      <w:r>
        <w:rPr>
          <w:rFonts w:ascii="Arial" w:hAnsi="Arial" w:eastAsia="Arial"/>
        </w:rPr>
        <w:br w:type="page"/>
      </w:r>
    </w:p>
    <w:p xmlns:wp14="http://schemas.microsoft.com/office/word/2010/wordml" w14:paraId="22E0FC93" wp14:textId="77777777">
      <w:pPr>
        <w:pStyle w:val="Heading1"/>
        <w:spacing w:after="160" w:line="360" w:lineRule="auto"/>
        <w:jc w:val="both"/>
      </w:pPr>
      <w:r>
        <w:rPr>
          <w:rFonts w:ascii="Arial" w:hAnsi="Arial" w:cs="Arial"/>
          <w:sz w:val="36"/>
        </w:rPr>
        <w:t>Table of Contents</w:t>
      </w:r>
    </w:p>
    <w:tbl>
      <w:tblPr>
        <w:tblStyle w:val="TableGrid"/>
        <w:tblW w:w="0" w:type="auto"/>
        <w:jc w:val="center"/>
        <w:tblLayout w:type="autofit"/>
        <w:tblLook w:val="04A0" w:firstRow="1" w:lastRow="0" w:firstColumn="1" w:lastColumn="0" w:noHBand="0" w:noVBand="1"/>
      </w:tblPr>
      <w:tblGrid>
        <w:gridCol w:w="4896"/>
        <w:gridCol w:w="4896"/>
      </w:tblGrid>
      <w:tr xmlns:wp14="http://schemas.microsoft.com/office/word/2010/wordml" w14:paraId="733FFA6E" wp14:textId="77777777">
        <w:trPr>
          <w:tblHeader w:val="true"/>
          <w:cantSplit/>
          <w:tblHeader w:val="true"/>
          <w:cantSplit/>
        </w:trPr>
        <w:tc>
          <w:tcPr>
            <w:tcW w:w="4896" w:type="dxa"/>
            <w:shd w:fill="F2F2F2"/>
            <w:vAlign w:val="top"/>
          </w:tcPr>
          <w:p w14:paraId="297C59FB" wp14:textId="77777777">
            <w:pPr>
              <w:spacing w:after="0" w:line="276" w:lineRule="auto"/>
              <w:jc w:val="left"/>
            </w:pPr>
            <w:r>
              <w:rPr>
                <w:rFonts w:ascii="Arial" w:hAnsi="Arial" w:eastAsia="Arial"/>
                <w:sz w:val="24"/>
              </w:rPr>
            </w:r>
            <w:r>
              <w:rPr>
                <w:rFonts w:ascii="Arial" w:hAnsi="Arial" w:eastAsia="Arial"/>
                <w:b w:val="0"/>
                <w:sz w:val="24"/>
              </w:rPr>
              <w:t>1. Title and Introduction</w:t>
            </w:r>
          </w:p>
        </w:tc>
        <w:tc>
          <w:tcPr>
            <w:tcW w:w="4896" w:type="dxa"/>
            <w:shd w:fill="F2F2F2"/>
            <w:vAlign w:val="top"/>
          </w:tcPr>
          <w:p w14:paraId="5FCD5EC4" wp14:textId="77777777">
            <w:pPr>
              <w:spacing w:after="0" w:line="276" w:lineRule="auto"/>
              <w:jc w:val="left"/>
            </w:pPr>
            <w:r>
              <w:rPr>
                <w:rFonts w:ascii="Arial" w:hAnsi="Arial" w:eastAsia="Arial"/>
                <w:sz w:val="24"/>
              </w:rPr>
            </w:r>
            <w:r>
              <w:rPr>
                <w:rFonts w:ascii="Arial" w:hAnsi="Arial" w:eastAsia="Arial"/>
                <w:b w:val="0"/>
                <w:sz w:val="24"/>
              </w:rPr>
              <w:t>3</w:t>
            </w:r>
          </w:p>
        </w:tc>
      </w:tr>
      <w:tr xmlns:wp14="http://schemas.microsoft.com/office/word/2010/wordml" w14:paraId="677ABF79" wp14:textId="77777777">
        <w:trPr>
          <w:cantSplit/>
          <w:cantSplit/>
        </w:trPr>
        <w:tc>
          <w:tcPr>
            <w:tcW w:w="4896" w:type="dxa"/>
            <w:vAlign w:val="top"/>
          </w:tcPr>
          <w:p w14:paraId="772CC87A" wp14:textId="77777777">
            <w:pPr>
              <w:spacing w:after="0" w:line="276" w:lineRule="auto"/>
              <w:jc w:val="left"/>
            </w:pPr>
            <w:r>
              <w:rPr>
                <w:rFonts w:ascii="Arial" w:hAnsi="Arial" w:eastAsia="Arial"/>
                <w:sz w:val="24"/>
              </w:rPr>
            </w:r>
            <w:r>
              <w:rPr>
                <w:rFonts w:ascii="Arial" w:hAnsi="Arial" w:eastAsia="Arial"/>
                <w:b w:val="0"/>
                <w:sz w:val="24"/>
              </w:rPr>
              <w:t>2. Literature Review</w:t>
            </w:r>
          </w:p>
        </w:tc>
        <w:tc>
          <w:tcPr>
            <w:tcW w:w="4896" w:type="dxa"/>
            <w:vAlign w:val="top"/>
          </w:tcPr>
          <w:p w14:paraId="2598DEE6" wp14:textId="77777777">
            <w:pPr>
              <w:spacing w:after="0" w:line="276" w:lineRule="auto"/>
              <w:jc w:val="left"/>
            </w:pPr>
            <w:r>
              <w:rPr>
                <w:rFonts w:ascii="Arial" w:hAnsi="Arial" w:eastAsia="Arial"/>
                <w:sz w:val="24"/>
              </w:rPr>
            </w:r>
            <w:r>
              <w:rPr>
                <w:rFonts w:ascii="Arial" w:hAnsi="Arial" w:eastAsia="Arial"/>
                <w:b w:val="0"/>
                <w:sz w:val="24"/>
              </w:rPr>
              <w:t>4</w:t>
            </w:r>
          </w:p>
        </w:tc>
      </w:tr>
      <w:tr xmlns:wp14="http://schemas.microsoft.com/office/word/2010/wordml" w14:paraId="733154FB" wp14:textId="77777777">
        <w:trPr>
          <w:cantSplit/>
          <w:cantSplit/>
        </w:trPr>
        <w:tc>
          <w:tcPr>
            <w:tcW w:w="4896" w:type="dxa"/>
            <w:shd w:fill="F2F2F2"/>
            <w:vAlign w:val="top"/>
          </w:tcPr>
          <w:p w14:paraId="4D611F68" wp14:textId="77777777">
            <w:pPr>
              <w:spacing w:after="0" w:line="276" w:lineRule="auto"/>
              <w:jc w:val="left"/>
            </w:pPr>
            <w:r>
              <w:rPr>
                <w:rFonts w:ascii="Arial" w:hAnsi="Arial" w:eastAsia="Arial"/>
                <w:sz w:val="24"/>
              </w:rPr>
            </w:r>
            <w:r>
              <w:rPr>
                <w:rFonts w:ascii="Arial" w:hAnsi="Arial" w:eastAsia="Arial"/>
                <w:b w:val="0"/>
                <w:sz w:val="24"/>
              </w:rPr>
              <w:t>3. Research Methodology</w:t>
            </w:r>
          </w:p>
        </w:tc>
        <w:tc>
          <w:tcPr>
            <w:tcW w:w="4896" w:type="dxa"/>
            <w:shd w:fill="F2F2F2"/>
            <w:vAlign w:val="top"/>
          </w:tcPr>
          <w:p w14:paraId="29B4EA11" wp14:textId="77777777">
            <w:pPr>
              <w:spacing w:after="0" w:line="276" w:lineRule="auto"/>
              <w:jc w:val="left"/>
            </w:pPr>
            <w:r>
              <w:rPr>
                <w:rFonts w:ascii="Arial" w:hAnsi="Arial" w:eastAsia="Arial"/>
                <w:sz w:val="24"/>
              </w:rPr>
            </w:r>
            <w:r>
              <w:rPr>
                <w:rFonts w:ascii="Arial" w:hAnsi="Arial" w:eastAsia="Arial"/>
                <w:b w:val="0"/>
                <w:sz w:val="24"/>
              </w:rPr>
              <w:t>6</w:t>
            </w:r>
          </w:p>
        </w:tc>
      </w:tr>
      <w:tr xmlns:wp14="http://schemas.microsoft.com/office/word/2010/wordml" w14:paraId="2BD78F85" wp14:textId="77777777">
        <w:trPr>
          <w:cantSplit/>
          <w:cantSplit/>
        </w:trPr>
        <w:tc>
          <w:tcPr>
            <w:tcW w:w="4896" w:type="dxa"/>
            <w:vAlign w:val="top"/>
          </w:tcPr>
          <w:p w14:paraId="5481B2E5" wp14:textId="77777777">
            <w:pPr>
              <w:spacing w:after="0" w:line="276" w:lineRule="auto"/>
              <w:jc w:val="left"/>
            </w:pPr>
            <w:r>
              <w:rPr>
                <w:rFonts w:ascii="Arial" w:hAnsi="Arial" w:eastAsia="Arial"/>
                <w:sz w:val="24"/>
              </w:rPr>
            </w:r>
            <w:r>
              <w:rPr>
                <w:rFonts w:ascii="Arial" w:hAnsi="Arial" w:eastAsia="Arial"/>
                <w:b w:val="0"/>
                <w:sz w:val="24"/>
              </w:rPr>
              <w:t>4. Project Plan and Timeline</w:t>
            </w:r>
          </w:p>
        </w:tc>
        <w:tc>
          <w:tcPr>
            <w:tcW w:w="4896" w:type="dxa"/>
            <w:vAlign w:val="top"/>
          </w:tcPr>
          <w:p w14:paraId="44B0A208" wp14:textId="77777777">
            <w:pPr>
              <w:spacing w:after="0" w:line="276" w:lineRule="auto"/>
              <w:jc w:val="left"/>
            </w:pPr>
            <w:r>
              <w:rPr>
                <w:rFonts w:ascii="Arial" w:hAnsi="Arial" w:eastAsia="Arial"/>
                <w:sz w:val="24"/>
              </w:rPr>
            </w:r>
            <w:r>
              <w:rPr>
                <w:rFonts w:ascii="Arial" w:hAnsi="Arial" w:eastAsia="Arial"/>
                <w:b w:val="0"/>
                <w:sz w:val="24"/>
              </w:rPr>
              <w:t>8</w:t>
            </w:r>
          </w:p>
        </w:tc>
      </w:tr>
      <w:tr xmlns:wp14="http://schemas.microsoft.com/office/word/2010/wordml" w14:paraId="50D15621" wp14:textId="77777777">
        <w:trPr>
          <w:cantSplit/>
          <w:cantSplit/>
        </w:trPr>
        <w:tc>
          <w:tcPr>
            <w:tcW w:w="4896" w:type="dxa"/>
            <w:shd w:fill="F2F2F2"/>
            <w:vAlign w:val="top"/>
          </w:tcPr>
          <w:p w14:paraId="071E4E01" wp14:textId="77777777">
            <w:pPr>
              <w:spacing w:after="0" w:line="276" w:lineRule="auto"/>
              <w:jc w:val="left"/>
            </w:pPr>
            <w:r>
              <w:rPr>
                <w:rFonts w:ascii="Arial" w:hAnsi="Arial" w:eastAsia="Arial"/>
                <w:sz w:val="24"/>
              </w:rPr>
            </w:r>
            <w:r>
              <w:rPr>
                <w:rFonts w:ascii="Arial" w:hAnsi="Arial" w:eastAsia="Arial"/>
                <w:b w:val="0"/>
                <w:sz w:val="24"/>
              </w:rPr>
              <w:t>References</w:t>
            </w:r>
          </w:p>
        </w:tc>
        <w:tc>
          <w:tcPr>
            <w:tcW w:w="4896" w:type="dxa"/>
            <w:shd w:fill="F2F2F2"/>
            <w:vAlign w:val="top"/>
          </w:tcPr>
          <w:p w14:paraId="5D369756" wp14:textId="77777777">
            <w:pPr>
              <w:spacing w:after="0" w:line="276" w:lineRule="auto"/>
              <w:jc w:val="left"/>
            </w:pPr>
            <w:r>
              <w:rPr>
                <w:rFonts w:ascii="Arial" w:hAnsi="Arial" w:eastAsia="Arial"/>
                <w:sz w:val="24"/>
              </w:rPr>
            </w:r>
            <w:r>
              <w:rPr>
                <w:rFonts w:ascii="Arial" w:hAnsi="Arial" w:eastAsia="Arial"/>
                <w:b w:val="0"/>
                <w:sz w:val="24"/>
              </w:rPr>
              <w:t>10</w:t>
            </w:r>
          </w:p>
        </w:tc>
      </w:tr>
    </w:tbl>
    <w:p xmlns:wp14="http://schemas.microsoft.com/office/word/2010/wordml" w14:paraId="41C8F396" wp14:textId="77777777">
      <w:r>
        <w:br w:type="page"/>
      </w:r>
    </w:p>
    <w:p xmlns:wp14="http://schemas.microsoft.com/office/word/2010/wordml" w14:paraId="64044358" wp14:textId="77777777">
      <w:pPr>
        <w:pStyle w:val="Heading1"/>
        <w:spacing w:after="160" w:line="360" w:lineRule="auto"/>
        <w:jc w:val="both"/>
      </w:pPr>
      <w:r>
        <w:rPr>
          <w:rFonts w:ascii="Arial" w:hAnsi="Arial" w:cs="Arial"/>
          <w:sz w:val="36"/>
        </w:rPr>
        <w:t>1. Title and Introduction</w:t>
      </w:r>
    </w:p>
    <w:p xmlns:wp14="http://schemas.microsoft.com/office/word/2010/wordml" w14:paraId="4C7E8810" wp14:textId="77777777">
      <w:pPr>
        <w:pStyle w:val="Heading2"/>
        <w:spacing w:after="160" w:line="360" w:lineRule="auto"/>
        <w:jc w:val="both"/>
      </w:pPr>
      <w:r>
        <w:rPr>
          <w:rFonts w:ascii="Arial" w:hAnsi="Arial" w:cs="Arial"/>
          <w:sz w:val="32"/>
        </w:rPr>
        <w:t>Research Title</w:t>
      </w:r>
    </w:p>
    <w:p xmlns:wp14="http://schemas.microsoft.com/office/word/2010/wordml" w14:paraId="06FB2B68" wp14:textId="77777777">
      <w:pPr>
        <w:spacing w:after="120" w:line="360" w:lineRule="auto"/>
        <w:jc w:val="both"/>
      </w:pPr>
      <w:r>
        <w:rPr>
          <w:rFonts w:ascii="Arial" w:hAnsi="Arial" w:eastAsia="Arial" w:cs="Arial"/>
          <w:b/>
          <w:sz w:val="24"/>
        </w:rPr>
        <w:t>Investigating the Factors Influencing Food Safety and Hygiene Compliance Among Night Shift Hygiene Staff in the UK Meat Processing Industry</w:t>
      </w:r>
    </w:p>
    <w:p xmlns:wp14="http://schemas.microsoft.com/office/word/2010/wordml" w14:paraId="5DB9A0CB" wp14:textId="77777777">
      <w:pPr>
        <w:spacing w:after="120" w:line="360" w:lineRule="auto"/>
        <w:jc w:val="both"/>
      </w:pPr>
      <w:r>
        <w:rPr>
          <w:rFonts w:ascii="Arial" w:hAnsi="Arial" w:cs="Arial"/>
          <w:sz w:val="24"/>
        </w:rPr>
        <w:t>Food safety and hygiene compliance are central to the UK meat processing industry because poor hygiene can affect public health, legal compliance, customer trust and the reputation of the business. The Food Standards Agency (2024) estimates that foodborne pathogens cause around 2.4 million cases of illness in the UK each year, which shows why food safety is both a public health issue and a management issue. In meat processing, the risk is especially serious because raw meat, equipment, drains and production surfaces can all become sources of contamination if cleaning and sanitation are not completed properly.</w:t>
      </w:r>
    </w:p>
    <w:p xmlns:wp14="http://schemas.microsoft.com/office/word/2010/wordml" w14:paraId="16779E70" wp14:textId="77777777">
      <w:pPr>
        <w:spacing w:after="120" w:line="360" w:lineRule="auto"/>
        <w:jc w:val="both"/>
      </w:pPr>
      <w:r>
        <w:rPr>
          <w:rFonts w:ascii="Arial" w:hAnsi="Arial" w:cs="Arial"/>
          <w:sz w:val="24"/>
        </w:rPr>
        <w:t>The topic is also personally relevant because I work at Dunbia Cross Hands as a night shift hygiene team leader. This gives me a practical understanding of the pressure, responsibility and pace of hygiene work after production has finished. However, the proposed research is not designed to audit Dunbia or judge individual workers. My workplace experience is used only as a starting point for exploring a wider management issue in UK meat processing.</w:t>
      </w:r>
    </w:p>
    <w:p xmlns:wp14="http://schemas.microsoft.com/office/word/2010/wordml" w14:paraId="1B13DBEE" wp14:textId="77777777">
      <w:pPr>
        <w:spacing w:after="120" w:line="360" w:lineRule="auto"/>
        <w:jc w:val="both"/>
      </w:pPr>
      <w:r>
        <w:rPr>
          <w:rFonts w:ascii="Arial" w:hAnsi="Arial" w:cs="Arial"/>
          <w:sz w:val="24"/>
        </w:rPr>
        <w:t>Night shift hygiene teams play an important role in preparing production areas for the following day. Their work supports audit readiness, retailer confidence and safe production, but it can be affected by fatigue, time pressure, workload, communication and reduced management presence. Formal systems such as HACCP provide a structure for controlling hazards (Food Standards Agency, 2017), and BRCGS (2022) highlights the importance of operational control in food manufacturing. Even so, procedures alone do not guarantee compliance. Staff behaviour, training, food safety culture and management support also influence what actually happens during a shift (Griffith, Livesey and Clayton, 2010).</w:t>
      </w:r>
    </w:p>
    <w:p xmlns:wp14="http://schemas.microsoft.com/office/word/2010/wordml" w14:paraId="570A3358" wp14:textId="77777777">
      <w:pPr>
        <w:spacing w:after="120" w:line="360" w:lineRule="auto"/>
        <w:jc w:val="both"/>
      </w:pPr>
      <w:r>
        <w:rPr>
          <w:rFonts w:ascii="Arial" w:hAnsi="Arial" w:cs="Arial"/>
          <w:sz w:val="24"/>
        </w:rPr>
        <w:t>The aim of this research is to investigate the main factors that influence food safety and hygiene compliance among night shift hygiene staff in the UK meat processing industry. The main research question is: What factors influence food safety and hygiene compliance among night shift hygiene staff in the UK meat processing industry?</w:t>
      </w:r>
    </w:p>
    <w:p xmlns:wp14="http://schemas.microsoft.com/office/word/2010/wordml" w14:paraId="7FCDB463" wp14:textId="77777777">
      <w:pPr>
        <w:pStyle w:val="Heading2"/>
        <w:spacing w:after="160" w:line="360" w:lineRule="auto"/>
        <w:jc w:val="both"/>
      </w:pPr>
      <w:r>
        <w:rPr>
          <w:rFonts w:ascii="Arial" w:hAnsi="Arial" w:cs="Arial"/>
          <w:sz w:val="32"/>
        </w:rPr>
        <w:t>Research Objectives and Linked Sub-Questions</w:t>
      </w:r>
    </w:p>
    <w:tbl>
      <w:tblPr>
        <w:tblStyle w:val="TableGrid"/>
        <w:tblW w:w="0" w:type="auto"/>
        <w:jc w:val="center"/>
        <w:tblLayout w:type="autofit"/>
        <w:tblLook w:val="04A0" w:firstRow="1" w:lastRow="0" w:firstColumn="1" w:lastColumn="0" w:noHBand="0" w:noVBand="1"/>
      </w:tblPr>
      <w:tblGrid>
        <w:gridCol w:w="3264"/>
        <w:gridCol w:w="3264"/>
        <w:gridCol w:w="3264"/>
      </w:tblGrid>
      <w:tr xmlns:wp14="http://schemas.microsoft.com/office/word/2010/wordml" w14:paraId="5B6BF91C" wp14:textId="77777777">
        <w:trPr>
          <w:tblHeader w:val="true"/>
          <w:cantSplit/>
          <w:tblHeader w:val="true"/>
          <w:cantSplit/>
        </w:trPr>
        <w:tc>
          <w:tcPr>
            <w:tcW w:w="3264" w:type="dxa"/>
            <w:shd w:fill="1F4E79"/>
            <w:vAlign w:val="top"/>
          </w:tcPr>
          <w:p w14:paraId="32AFB29E" wp14:textId="77777777">
            <w:pPr>
              <w:spacing w:after="0" w:line="276" w:lineRule="auto"/>
              <w:jc w:val="left"/>
            </w:pPr>
            <w:r>
              <w:rPr>
                <w:rFonts w:ascii="Arial" w:hAnsi="Arial" w:eastAsia="Arial"/>
                <w:sz w:val="24"/>
              </w:rPr>
            </w:r>
            <w:r>
              <w:rPr>
                <w:rFonts w:ascii="Arial" w:hAnsi="Arial" w:eastAsia="Arial"/>
                <w:b/>
                <w:color w:val="FFFFFF"/>
                <w:sz w:val="24"/>
              </w:rPr>
              <w:t>No.</w:t>
            </w:r>
          </w:p>
        </w:tc>
        <w:tc>
          <w:tcPr>
            <w:tcW w:w="3264" w:type="dxa"/>
            <w:shd w:fill="1F4E79"/>
            <w:vAlign w:val="top"/>
          </w:tcPr>
          <w:p w14:paraId="6510F2A9" wp14:textId="77777777">
            <w:pPr>
              <w:spacing w:after="0" w:line="276" w:lineRule="auto"/>
              <w:jc w:val="left"/>
            </w:pPr>
            <w:r>
              <w:rPr>
                <w:rFonts w:ascii="Arial" w:hAnsi="Arial" w:eastAsia="Arial"/>
                <w:sz w:val="24"/>
              </w:rPr>
            </w:r>
            <w:r>
              <w:rPr>
                <w:rFonts w:ascii="Arial" w:hAnsi="Arial" w:eastAsia="Arial"/>
                <w:b/>
                <w:color w:val="FFFFFF"/>
                <w:sz w:val="24"/>
              </w:rPr>
              <w:t>Objective</w:t>
            </w:r>
          </w:p>
        </w:tc>
        <w:tc>
          <w:tcPr>
            <w:tcW w:w="3264" w:type="dxa"/>
            <w:shd w:fill="1F4E79"/>
            <w:vAlign w:val="top"/>
          </w:tcPr>
          <w:p w14:paraId="76C5ACFA" wp14:textId="77777777">
            <w:pPr>
              <w:spacing w:after="0" w:line="276" w:lineRule="auto"/>
              <w:jc w:val="left"/>
            </w:pPr>
            <w:r>
              <w:rPr>
                <w:rFonts w:ascii="Arial" w:hAnsi="Arial" w:eastAsia="Arial"/>
                <w:sz w:val="24"/>
              </w:rPr>
            </w:r>
            <w:r>
              <w:rPr>
                <w:rFonts w:ascii="Arial" w:hAnsi="Arial" w:eastAsia="Arial"/>
                <w:b/>
                <w:color w:val="FFFFFF"/>
                <w:sz w:val="24"/>
              </w:rPr>
              <w:t>Linked sub-question</w:t>
            </w:r>
          </w:p>
        </w:tc>
      </w:tr>
      <w:tr xmlns:wp14="http://schemas.microsoft.com/office/word/2010/wordml" w14:paraId="30E45F36" wp14:textId="77777777">
        <w:trPr>
          <w:cantSplit/>
          <w:cantSplit/>
        </w:trPr>
        <w:tc>
          <w:tcPr>
            <w:tcW w:w="3264" w:type="dxa"/>
            <w:vAlign w:val="top"/>
          </w:tcPr>
          <w:p w14:paraId="649841BE" wp14:textId="77777777">
            <w:pPr>
              <w:spacing w:after="0" w:line="276" w:lineRule="auto"/>
              <w:jc w:val="left"/>
            </w:pPr>
            <w:r>
              <w:rPr>
                <w:rFonts w:ascii="Arial" w:hAnsi="Arial" w:eastAsia="Arial"/>
                <w:sz w:val="24"/>
              </w:rPr>
            </w:r>
            <w:r>
              <w:rPr>
                <w:rFonts w:ascii="Arial" w:hAnsi="Arial" w:eastAsia="Arial"/>
                <w:b w:val="0"/>
                <w:sz w:val="24"/>
              </w:rPr>
              <w:t>1</w:t>
            </w:r>
          </w:p>
        </w:tc>
        <w:tc>
          <w:tcPr>
            <w:tcW w:w="3264" w:type="dxa"/>
            <w:vAlign w:val="top"/>
          </w:tcPr>
          <w:p w14:paraId="2D3DE0AF" wp14:textId="77777777">
            <w:pPr>
              <w:spacing w:after="0" w:line="276" w:lineRule="auto"/>
              <w:jc w:val="left"/>
            </w:pPr>
            <w:r>
              <w:rPr>
                <w:rFonts w:ascii="Arial" w:hAnsi="Arial" w:eastAsia="Arial"/>
                <w:sz w:val="24"/>
              </w:rPr>
            </w:r>
            <w:r>
              <w:rPr>
                <w:rFonts w:ascii="Arial" w:hAnsi="Arial" w:eastAsia="Arial"/>
                <w:b w:val="0"/>
                <w:sz w:val="24"/>
              </w:rPr>
              <w:t>To examine how night shift hygiene staff understand food safety and hygiene procedures.</w:t>
            </w:r>
          </w:p>
        </w:tc>
        <w:tc>
          <w:tcPr>
            <w:tcW w:w="3264" w:type="dxa"/>
            <w:vAlign w:val="top"/>
          </w:tcPr>
          <w:p w14:paraId="40CEDF0C" wp14:textId="77777777">
            <w:pPr>
              <w:spacing w:after="0" w:line="276" w:lineRule="auto"/>
              <w:jc w:val="left"/>
            </w:pPr>
            <w:r>
              <w:rPr>
                <w:rFonts w:ascii="Arial" w:hAnsi="Arial" w:eastAsia="Arial"/>
                <w:sz w:val="24"/>
              </w:rPr>
            </w:r>
            <w:r>
              <w:rPr>
                <w:rFonts w:ascii="Arial" w:hAnsi="Arial" w:eastAsia="Arial"/>
                <w:b w:val="0"/>
                <w:sz w:val="24"/>
              </w:rPr>
              <w:t>How do night shift hygiene staff describe their understanding of hygiene procedures?</w:t>
            </w:r>
          </w:p>
        </w:tc>
      </w:tr>
      <w:tr xmlns:wp14="http://schemas.microsoft.com/office/word/2010/wordml" w14:paraId="7541AC31" wp14:textId="77777777">
        <w:trPr>
          <w:cantSplit/>
          <w:cantSplit/>
        </w:trPr>
        <w:tc>
          <w:tcPr>
            <w:tcW w:w="3264" w:type="dxa"/>
            <w:shd w:fill="F2F6FA"/>
            <w:vAlign w:val="top"/>
          </w:tcPr>
          <w:p w14:paraId="18F999B5" wp14:textId="77777777">
            <w:pPr>
              <w:spacing w:after="0" w:line="276" w:lineRule="auto"/>
              <w:jc w:val="left"/>
            </w:pPr>
            <w:r>
              <w:rPr>
                <w:rFonts w:ascii="Arial" w:hAnsi="Arial" w:eastAsia="Arial"/>
                <w:sz w:val="24"/>
              </w:rPr>
            </w:r>
            <w:r>
              <w:rPr>
                <w:rFonts w:ascii="Arial" w:hAnsi="Arial" w:eastAsia="Arial"/>
                <w:b w:val="0"/>
                <w:sz w:val="24"/>
              </w:rPr>
              <w:t>2</w:t>
            </w:r>
          </w:p>
        </w:tc>
        <w:tc>
          <w:tcPr>
            <w:tcW w:w="3264" w:type="dxa"/>
            <w:shd w:fill="F2F6FA"/>
            <w:vAlign w:val="top"/>
          </w:tcPr>
          <w:p w14:paraId="22B491B1" wp14:textId="77777777">
            <w:pPr>
              <w:spacing w:after="0" w:line="276" w:lineRule="auto"/>
              <w:jc w:val="left"/>
            </w:pPr>
            <w:r>
              <w:rPr>
                <w:rFonts w:ascii="Arial" w:hAnsi="Arial" w:eastAsia="Arial"/>
                <w:sz w:val="24"/>
              </w:rPr>
            </w:r>
            <w:r>
              <w:rPr>
                <w:rFonts w:ascii="Arial" w:hAnsi="Arial" w:eastAsia="Arial"/>
                <w:b w:val="0"/>
                <w:sz w:val="24"/>
              </w:rPr>
              <w:t>To explore how training, communication and supervision influence hygiene compliance during night shift work.</w:t>
            </w:r>
          </w:p>
        </w:tc>
        <w:tc>
          <w:tcPr>
            <w:tcW w:w="3264" w:type="dxa"/>
            <w:shd w:fill="F2F6FA"/>
            <w:vAlign w:val="top"/>
          </w:tcPr>
          <w:p w14:paraId="0312AD7D" wp14:textId="77777777">
            <w:pPr>
              <w:spacing w:after="0" w:line="276" w:lineRule="auto"/>
              <w:jc w:val="left"/>
            </w:pPr>
            <w:r>
              <w:rPr>
                <w:rFonts w:ascii="Arial" w:hAnsi="Arial" w:eastAsia="Arial"/>
                <w:sz w:val="24"/>
              </w:rPr>
            </w:r>
            <w:r>
              <w:rPr>
                <w:rFonts w:ascii="Arial" w:hAnsi="Arial" w:eastAsia="Arial"/>
                <w:b w:val="0"/>
                <w:sz w:val="24"/>
              </w:rPr>
              <w:t>How do training, communication and supervision support or limit compliance?</w:t>
            </w:r>
          </w:p>
        </w:tc>
      </w:tr>
      <w:tr xmlns:wp14="http://schemas.microsoft.com/office/word/2010/wordml" w14:paraId="5436AF74" wp14:textId="77777777">
        <w:trPr>
          <w:cantSplit/>
          <w:cantSplit/>
        </w:trPr>
        <w:tc>
          <w:tcPr>
            <w:tcW w:w="3264" w:type="dxa"/>
            <w:vAlign w:val="top"/>
          </w:tcPr>
          <w:p w14:paraId="0B778152" wp14:textId="77777777">
            <w:pPr>
              <w:spacing w:after="0" w:line="276" w:lineRule="auto"/>
              <w:jc w:val="left"/>
            </w:pPr>
            <w:r>
              <w:rPr>
                <w:rFonts w:ascii="Arial" w:hAnsi="Arial" w:eastAsia="Arial"/>
                <w:sz w:val="24"/>
              </w:rPr>
            </w:r>
            <w:r>
              <w:rPr>
                <w:rFonts w:ascii="Arial" w:hAnsi="Arial" w:eastAsia="Arial"/>
                <w:b w:val="0"/>
                <w:sz w:val="24"/>
              </w:rPr>
              <w:t>3</w:t>
            </w:r>
          </w:p>
        </w:tc>
        <w:tc>
          <w:tcPr>
            <w:tcW w:w="3264" w:type="dxa"/>
            <w:vAlign w:val="top"/>
          </w:tcPr>
          <w:p w14:paraId="613A9F94" wp14:textId="77777777">
            <w:pPr>
              <w:spacing w:after="0" w:line="276" w:lineRule="auto"/>
              <w:jc w:val="left"/>
            </w:pPr>
            <w:r>
              <w:rPr>
                <w:rFonts w:ascii="Arial" w:hAnsi="Arial" w:eastAsia="Arial"/>
                <w:sz w:val="24"/>
              </w:rPr>
            </w:r>
            <w:r>
              <w:rPr>
                <w:rFonts w:ascii="Arial" w:hAnsi="Arial" w:eastAsia="Arial"/>
                <w:b w:val="0"/>
                <w:sz w:val="24"/>
              </w:rPr>
              <w:t>To identify practical barriers that may affect hygiene performance, such as time pressure, fatigue, workload and availability of resources.</w:t>
            </w:r>
          </w:p>
        </w:tc>
        <w:tc>
          <w:tcPr>
            <w:tcW w:w="3264" w:type="dxa"/>
            <w:vAlign w:val="top"/>
          </w:tcPr>
          <w:p w14:paraId="0FD919A6" wp14:textId="77777777">
            <w:pPr>
              <w:spacing w:after="0" w:line="276" w:lineRule="auto"/>
              <w:jc w:val="left"/>
            </w:pPr>
            <w:r>
              <w:rPr>
                <w:rFonts w:ascii="Arial" w:hAnsi="Arial" w:eastAsia="Arial"/>
                <w:sz w:val="24"/>
              </w:rPr>
            </w:r>
            <w:r>
              <w:rPr>
                <w:rFonts w:ascii="Arial" w:hAnsi="Arial" w:eastAsia="Arial"/>
                <w:b w:val="0"/>
                <w:sz w:val="24"/>
              </w:rPr>
              <w:t>What practical barriers make hygiene tasks difficult during night shifts?</w:t>
            </w:r>
          </w:p>
        </w:tc>
      </w:tr>
      <w:tr xmlns:wp14="http://schemas.microsoft.com/office/word/2010/wordml" w14:paraId="3DE82C99" wp14:textId="77777777">
        <w:trPr>
          <w:cantSplit/>
          <w:cantSplit/>
        </w:trPr>
        <w:tc>
          <w:tcPr>
            <w:tcW w:w="3264" w:type="dxa"/>
            <w:shd w:fill="F2F6FA"/>
            <w:vAlign w:val="top"/>
          </w:tcPr>
          <w:p w14:paraId="279935FF" wp14:textId="77777777">
            <w:pPr>
              <w:spacing w:after="0" w:line="276" w:lineRule="auto"/>
              <w:jc w:val="left"/>
            </w:pPr>
            <w:r>
              <w:rPr>
                <w:rFonts w:ascii="Arial" w:hAnsi="Arial" w:eastAsia="Arial"/>
                <w:sz w:val="24"/>
              </w:rPr>
            </w:r>
            <w:r>
              <w:rPr>
                <w:rFonts w:ascii="Arial" w:hAnsi="Arial" w:eastAsia="Arial"/>
                <w:b w:val="0"/>
                <w:sz w:val="24"/>
              </w:rPr>
              <w:t>4</w:t>
            </w:r>
          </w:p>
        </w:tc>
        <w:tc>
          <w:tcPr>
            <w:tcW w:w="3264" w:type="dxa"/>
            <w:shd w:fill="F2F6FA"/>
            <w:vAlign w:val="top"/>
          </w:tcPr>
          <w:p w14:paraId="64A1704E" wp14:textId="77777777">
            <w:pPr>
              <w:spacing w:after="0" w:line="276" w:lineRule="auto"/>
              <w:jc w:val="left"/>
            </w:pPr>
            <w:r>
              <w:rPr>
                <w:rFonts w:ascii="Arial" w:hAnsi="Arial" w:eastAsia="Arial"/>
                <w:sz w:val="24"/>
              </w:rPr>
            </w:r>
            <w:r>
              <w:rPr>
                <w:rFonts w:ascii="Arial" w:hAnsi="Arial" w:eastAsia="Arial"/>
                <w:b w:val="0"/>
                <w:sz w:val="24"/>
              </w:rPr>
              <w:t>To evaluate how workplace culture and management support influence staff attitudes towards hygiene compliance.</w:t>
            </w:r>
          </w:p>
        </w:tc>
        <w:tc>
          <w:tcPr>
            <w:tcW w:w="3264" w:type="dxa"/>
            <w:shd w:fill="F2F6FA"/>
            <w:vAlign w:val="top"/>
          </w:tcPr>
          <w:p w14:paraId="0BB0BAD5" wp14:textId="77777777">
            <w:pPr>
              <w:spacing w:after="0" w:line="276" w:lineRule="auto"/>
              <w:jc w:val="left"/>
            </w:pPr>
            <w:r>
              <w:rPr>
                <w:rFonts w:ascii="Arial" w:hAnsi="Arial" w:eastAsia="Arial"/>
                <w:sz w:val="24"/>
              </w:rPr>
            </w:r>
            <w:r>
              <w:rPr>
                <w:rFonts w:ascii="Arial" w:hAnsi="Arial" w:eastAsia="Arial"/>
                <w:b w:val="0"/>
                <w:sz w:val="24"/>
              </w:rPr>
              <w:t>How do culture and management support affect staff attitudes towards hygiene standards?</w:t>
            </w:r>
          </w:p>
        </w:tc>
      </w:tr>
      <w:tr xmlns:wp14="http://schemas.microsoft.com/office/word/2010/wordml" w14:paraId="0A8979A0" wp14:textId="77777777">
        <w:trPr>
          <w:cantSplit/>
          <w:cantSplit/>
        </w:trPr>
        <w:tc>
          <w:tcPr>
            <w:tcW w:w="3264" w:type="dxa"/>
            <w:vAlign w:val="top"/>
          </w:tcPr>
          <w:p w14:paraId="78941E47" wp14:textId="77777777">
            <w:pPr>
              <w:spacing w:after="0" w:line="276" w:lineRule="auto"/>
              <w:jc w:val="left"/>
            </w:pPr>
            <w:r>
              <w:rPr>
                <w:rFonts w:ascii="Arial" w:hAnsi="Arial" w:eastAsia="Arial"/>
                <w:sz w:val="24"/>
              </w:rPr>
            </w:r>
            <w:r>
              <w:rPr>
                <w:rFonts w:ascii="Arial" w:hAnsi="Arial" w:eastAsia="Arial"/>
                <w:b w:val="0"/>
                <w:sz w:val="24"/>
              </w:rPr>
              <w:t>5</w:t>
            </w:r>
          </w:p>
        </w:tc>
        <w:tc>
          <w:tcPr>
            <w:tcW w:w="3264" w:type="dxa"/>
            <w:vAlign w:val="top"/>
          </w:tcPr>
          <w:p w14:paraId="3B09E51E" wp14:textId="77777777">
            <w:pPr>
              <w:spacing w:after="0" w:line="276" w:lineRule="auto"/>
              <w:jc w:val="left"/>
            </w:pPr>
            <w:r>
              <w:rPr>
                <w:rFonts w:ascii="Arial" w:hAnsi="Arial" w:eastAsia="Arial"/>
                <w:sz w:val="24"/>
              </w:rPr>
            </w:r>
            <w:r>
              <w:rPr>
                <w:rFonts w:ascii="Arial" w:hAnsi="Arial" w:eastAsia="Arial"/>
                <w:b w:val="0"/>
                <w:sz w:val="24"/>
              </w:rPr>
              <w:t>To recommend practical improvements that could support stronger food safety culture and hygiene performance in UK meat processing workplaces.</w:t>
            </w:r>
          </w:p>
        </w:tc>
        <w:tc>
          <w:tcPr>
            <w:tcW w:w="3264" w:type="dxa"/>
            <w:vAlign w:val="top"/>
          </w:tcPr>
          <w:p w14:paraId="73B0A57D" wp14:textId="77777777">
            <w:pPr>
              <w:spacing w:after="0" w:line="276" w:lineRule="auto"/>
              <w:jc w:val="left"/>
            </w:pPr>
            <w:r>
              <w:rPr>
                <w:rFonts w:ascii="Arial" w:hAnsi="Arial" w:eastAsia="Arial"/>
                <w:sz w:val="24"/>
              </w:rPr>
            </w:r>
            <w:r>
              <w:rPr>
                <w:rFonts w:ascii="Arial" w:hAnsi="Arial" w:eastAsia="Arial"/>
                <w:b w:val="0"/>
                <w:sz w:val="24"/>
              </w:rPr>
              <w:t>What improvements could make hygiene compliance easier and more consistent?</w:t>
            </w:r>
          </w:p>
        </w:tc>
      </w:tr>
    </w:tbl>
    <w:p xmlns:wp14="http://schemas.microsoft.com/office/word/2010/wordml" w14:paraId="3B5A17D1" wp14:textId="77777777">
      <w:pPr>
        <w:pStyle w:val="Heading1"/>
        <w:spacing w:after="160" w:line="360" w:lineRule="auto"/>
        <w:jc w:val="both"/>
      </w:pPr>
      <w:r>
        <w:rPr>
          <w:rFonts w:ascii="Arial" w:hAnsi="Arial" w:cs="Arial"/>
          <w:sz w:val="36"/>
        </w:rPr>
        <w:t>2. Literature Review</w:t>
      </w:r>
    </w:p>
    <w:p xmlns:wp14="http://schemas.microsoft.com/office/word/2010/wordml" w14:paraId="09DFA472" wp14:textId="77777777">
      <w:pPr>
        <w:spacing w:after="120" w:line="360" w:lineRule="auto"/>
        <w:jc w:val="both"/>
      </w:pPr>
      <w:r>
        <w:rPr>
          <w:rFonts w:ascii="Arial" w:hAnsi="Arial" w:cs="Arial"/>
          <w:sz w:val="24"/>
        </w:rPr>
        <w:t>Food safety management in meat processing is usually supported by formal systems, particularly Hazard Analysis and Critical Control Point (HACCP). HACCP helps organisations identify hazards and control risks before products reach consumers (Food Standards Agency, 2017). BRCGS (2022) also stresses food safety, legality, quality and operational control. These frameworks are important because they create clear expectations, but they are not enough on their own. They depend on workers understanding procedures and applying them properly in real working conditions.</w:t>
      </w:r>
    </w:p>
    <w:p xmlns:wp14="http://schemas.microsoft.com/office/word/2010/wordml" w14:paraId="0EB2DFD7" wp14:textId="77777777">
      <w:pPr>
        <w:spacing w:after="120" w:line="360" w:lineRule="auto"/>
        <w:jc w:val="both"/>
      </w:pPr>
      <w:r>
        <w:rPr>
          <w:rFonts w:ascii="Arial" w:hAnsi="Arial" w:eastAsia="Arial" w:cs="Arial"/>
          <w:b w:val="0"/>
          <w:sz w:val="24"/>
        </w:rPr>
        <w:t>The main theoretical basis for this proposal is food safety culture. Griffith, Livesey and Clayton (2010) describe food safety culture as the shared values, beliefs and behaviours that shape how people act around food safety. This is useful because it moves the discussion beyond paperwork and checks. The Global Food Safety Initiative (GFSI, 2018) also links food safety culture to leadership, communication, commitment, risk awareness and accountability. Together, these ideas suggest that compliance is influenced by whether staff believe hygiene matters, whether standards are reinforced by supervisors and whether the organisation treats food safety as a daily priority. However, the literature is broad, so it needs to be applied carefully to the specific context of night shift hygiene teams.</w:t>
      </w:r>
    </w:p>
    <w:p xmlns:wp14="http://schemas.microsoft.com/office/word/2010/wordml" w14:paraId="21500604" wp14:textId="77777777">
      <w:pPr>
        <w:spacing w:after="120" w:line="360" w:lineRule="auto"/>
        <w:jc w:val="both"/>
      </w:pPr>
      <w:r>
        <w:rPr>
          <w:rFonts w:ascii="Arial" w:hAnsi="Arial" w:cs="Arial"/>
          <w:sz w:val="24"/>
        </w:rPr>
        <w:t>Food safety culture is closely connected to management commitment and communication. De Boeck et al. (2015) show that food safety climate is shaped by leadership, risk awareness and communication. Jespersen et al. (2016) also argue that organisations can move through different stages of food safety maturity, from basic rule-following to shared ownership. These studies are helpful because they link management behaviour with worker practice. A limitation is that De Boeck et al. (2015) was conducted in Belgium, so the findings may not transfer directly to the UK meat processing industry. Jespersen et al. (2016) is also more focused on measuring culture than on the detailed experience of night shift hygiene staff.</w:t>
      </w:r>
    </w:p>
    <w:p xmlns:wp14="http://schemas.microsoft.com/office/word/2010/wordml" w14:paraId="77135159" wp14:textId="77777777">
      <w:pPr>
        <w:spacing w:after="120" w:line="360" w:lineRule="auto"/>
        <w:jc w:val="both"/>
      </w:pPr>
      <w:r>
        <w:rPr>
          <w:rFonts w:ascii="Arial" w:hAnsi="Arial" w:cs="Arial"/>
          <w:sz w:val="24"/>
        </w:rPr>
        <w:t>Training is another key issue, but the literature suggests that training does not automatically lead to correct behaviour. Seaman and Eves (2006) argue that hygiene training is important for food safety management, although their study is now dated and does not fully reflect current audit, retailer and workforce pressures. Clayton et al. (2002) found that food handlers may know what they should do but still fail to follow correct practice in daily work. Zanin et al. (2017) support this by showing that knowledge, attitudes and workplace conditions all influence food safety behaviour. Together, these sources suggest a training-behaviour gap: staff can understand the rules but still struggle to comply if the work environment makes compliance difficult.</w:t>
      </w:r>
    </w:p>
    <w:p xmlns:wp14="http://schemas.microsoft.com/office/word/2010/wordml" w14:paraId="4DA9E3E1" wp14:textId="77777777">
      <w:pPr>
        <w:spacing w:after="120" w:line="360" w:lineRule="auto"/>
        <w:jc w:val="both"/>
      </w:pPr>
      <w:r>
        <w:rPr>
          <w:rFonts w:ascii="Arial" w:hAnsi="Arial" w:cs="Arial"/>
          <w:sz w:val="24"/>
        </w:rPr>
        <w:t>Night shift work adds a further challenge. Williamson et al. (2011) explain that fatigue can reduce attention, decision-making and safety performance. This is relevant because night shift hygiene work often takes place after production, when tasks must be completed quickly before the next shift. Powell, Jacob and Chapman (2011) argue that stronger food safety culture can reduce foodborne illness risks, but their discussion is general and does not focus on hygiene staff or shift patterns. Nyarugwe et al. (2016) argues that food safety culture research should consider context, including work group, organisation and operating environment. This supports the need for a study focused specifically on night shift hygiene staff.</w:t>
      </w:r>
    </w:p>
    <w:p xmlns:wp14="http://schemas.microsoft.com/office/word/2010/wordml" w14:paraId="10BAABC8" wp14:textId="77777777">
      <w:pPr>
        <w:spacing w:after="120" w:line="360" w:lineRule="auto"/>
        <w:jc w:val="both"/>
      </w:pPr>
      <w:r>
        <w:rPr>
          <w:rFonts w:ascii="Arial" w:hAnsi="Arial" w:cs="Arial"/>
          <w:sz w:val="24"/>
        </w:rPr>
        <w:t>Overall, the literature shows that hygiene compliance should be treated as a management and behavioural issue, not simply a technical requirement. HACCP and BRCGS provide the formal structure, but culture, training, fatigue, supervision and resources influence whether procedures are followed in practice. The gap this study addresses is the limited attention given to night shift hygiene staff in UK meat processing. This group is important because it works at a critical point in the production cycle, but often under time pressure and with less visible management support.</w:t>
      </w:r>
    </w:p>
    <w:p xmlns:wp14="http://schemas.microsoft.com/office/word/2010/wordml" w14:paraId="587D2804" wp14:textId="77777777">
      <w:pPr>
        <w:pStyle w:val="Heading1"/>
        <w:spacing w:after="160" w:line="360" w:lineRule="auto"/>
        <w:jc w:val="both"/>
      </w:pPr>
      <w:r>
        <w:rPr>
          <w:rFonts w:ascii="Arial" w:hAnsi="Arial" w:cs="Arial"/>
          <w:sz w:val="36"/>
        </w:rPr>
        <w:t>3. Research Methodology</w:t>
      </w:r>
    </w:p>
    <w:p xmlns:wp14="http://schemas.microsoft.com/office/word/2010/wordml" w14:paraId="05242CAC" wp14:textId="77777777">
      <w:pPr>
        <w:spacing w:after="120" w:line="360" w:lineRule="auto"/>
        <w:jc w:val="both"/>
      </w:pPr>
      <w:r>
        <w:rPr>
          <w:rFonts w:ascii="Arial" w:hAnsi="Arial" w:cs="Arial"/>
          <w:sz w:val="24"/>
        </w:rPr>
        <w:t>This study will use Saunders, Lewis and Thornhill's (2023) Research Onion to justify the methodological choices. The research philosophy will be interpretivist because the purpose is to understand staff experiences, meanings and views rather than measure compliance statistically. This is appropriate for the topic because hygiene behaviour is shaped by how workers interpret training, communication, pressure, resources and management expectations.</w:t>
      </w:r>
    </w:p>
    <w:p xmlns:wp14="http://schemas.microsoft.com/office/word/2010/wordml" w14:paraId="57A8490E" wp14:textId="77777777">
      <w:pPr>
        <w:spacing w:after="120" w:line="360" w:lineRule="auto"/>
        <w:jc w:val="both"/>
      </w:pPr>
      <w:r>
        <w:rPr>
          <w:rFonts w:ascii="Arial" w:hAnsi="Arial" w:cs="Arial"/>
          <w:sz w:val="24"/>
        </w:rPr>
        <w:t>The research approach will be inductive. The study will not test a fixed hypothesis. Instead, it will collect staff views and identify patterns from their experiences. This fits the exploratory nature of the research and supports a qualitative design (Creswell and Creswell, 2023). A qualitative case study will be used because the research focuses on one real workplace context while still linking the findings to wider management issues in UK meat processing (Bryman and Bell, 2023). A questionnaire was considered, but it was rejected because it would not provide enough depth for an interpretivist study. Semi-structured interviews are more suitable because they allow follow-up questions, clarification and a fuller understanding of workplace meaning.</w:t>
      </w:r>
    </w:p>
    <w:p xmlns:wp14="http://schemas.microsoft.com/office/word/2010/wordml" w14:paraId="6809B330" wp14:textId="77777777">
      <w:pPr>
        <w:spacing w:after="120" w:line="360" w:lineRule="auto"/>
        <w:jc w:val="both"/>
      </w:pPr>
      <w:r>
        <w:rPr>
          <w:rFonts w:ascii="Arial" w:hAnsi="Arial" w:cs="Arial"/>
          <w:sz w:val="24"/>
        </w:rPr>
        <w:t>The main data collection method will therefore be semi-structured interviews. Interviews will last around 30 to 40 minutes and may be carried out face-to-face or online, depending on participant availability and university guidance. A short pilot interview will be completed first to check that the wording is clear and that questions do not lead participants towards a particular answer. The interview guide will be organised around broad themes: understanding of hygiene procedures, training and communication, night shift barriers, supervision and management support, workplace culture and practical improvements.</w:t>
      </w:r>
    </w:p>
    <w:p xmlns:wp14="http://schemas.microsoft.com/office/word/2010/wordml" w14:paraId="2A4AA543" wp14:textId="77777777">
      <w:pPr>
        <w:spacing w:after="120" w:line="360" w:lineRule="auto"/>
        <w:jc w:val="both"/>
      </w:pPr>
      <w:r>
        <w:rPr>
          <w:rFonts w:ascii="Arial" w:hAnsi="Arial" w:cs="Arial"/>
          <w:sz w:val="24"/>
        </w:rPr>
        <w:t>The target population will be night shift hygiene staff working in a UK meat processing environment. Access may be requested through my current workplace, Dunbia Cross Hands, where I work as a night shift hygiene team leader. The study will not evaluate the company, managers or individual workers. The proposed sample will be 8 to 10 participants, selected through purposive sampling because participants need direct experience of night shift hygiene work. This sample size is realistic for an undergraduate study and suitable for qualitative thematic analysis.</w:t>
      </w:r>
    </w:p>
    <w:p xmlns:wp14="http://schemas.microsoft.com/office/word/2010/wordml" w14:paraId="7DE470FE" wp14:textId="77777777">
      <w:pPr>
        <w:spacing w:after="120" w:line="360" w:lineRule="auto"/>
        <w:jc w:val="both"/>
      </w:pPr>
      <w:r>
        <w:rPr>
          <w:rFonts w:ascii="Arial" w:hAnsi="Arial" w:eastAsia="Arial" w:cs="Arial"/>
          <w:b w:val="0"/>
          <w:sz w:val="24"/>
        </w:rPr>
        <w:t>Data will be analysed using thematic analysis. Braun and Clarke (2006; 2022) explain that thematic analysis is suitable for identifying patterns across qualitative data. The process will include familiarisation with interview notes or transcripts, initial coding, developing themes, reviewing themes, defining themes and writing up the findings. NVivo may be used to organise data and support consistency in coding. Trustworthiness will be strengthened using Lincoln and Guba's (1985) criteria of credibility, dependability, confirmability and transferability. Credibility will be supported by using the same broad interview themes with each participant and checking that themes are supported by participant evidence. Dependability and confirmability will be supported through a simple audit trail of coding decisions. Transferability will be addressed by clearly describing the research context and sample, while recognising that the findings are not intended to be statistically generalisable.</w:t>
      </w:r>
    </w:p>
    <w:p xmlns:wp14="http://schemas.microsoft.com/office/word/2010/wordml" w14:paraId="42D5D6FD" wp14:textId="77777777">
      <w:pPr>
        <w:spacing w:after="120" w:line="360" w:lineRule="auto"/>
        <w:jc w:val="both"/>
      </w:pPr>
      <w:r>
        <w:rPr>
          <w:rFonts w:ascii="Arial" w:hAnsi="Arial" w:cs="Arial"/>
          <w:sz w:val="24"/>
        </w:rPr>
        <w:t>Ethical considerations are important because of my insider role. Participants will receive an information sheet and give informed consent before taking part. Participation will be voluntary, and participants will be able to withdraw before analysis begins. Names, payroll numbers and identifiable details will not be used in the report. Data will be stored securely and anonymised. Because I am a team leader, there is a possible power imbalance, so the invitation should make clear that the study is academic only and is not connected to performance management, promotion, discipline or pay. University ethical approval will be obtained before any recruitment or data collection begins.</w:t>
      </w:r>
    </w:p>
    <w:p xmlns:wp14="http://schemas.microsoft.com/office/word/2010/wordml" w14:paraId="76820181" wp14:textId="77777777">
      <w:pPr>
        <w:spacing w:after="120" w:line="360" w:lineRule="auto"/>
        <w:jc w:val="both"/>
      </w:pPr>
      <w:r>
        <w:rPr>
          <w:rFonts w:ascii="Arial" w:hAnsi="Arial" w:cs="Arial"/>
          <w:sz w:val="24"/>
        </w:rPr>
        <w:t>The study has limitations. A small sample means the findings cannot be generalised to all UK meat processing sites. Interviews also rely on self-reported views, so some participants may give socially acceptable answers. Access may be affected by shift patterns, workload and the availability of staff. My insider position may help build understanding, but it may also influence how participants speak. These limitations will be managed through clear ethical communication, careful questioning, anonymisation and transparent reporting of the research process.</w:t>
      </w:r>
    </w:p>
    <w:p xmlns:wp14="http://schemas.microsoft.com/office/word/2010/wordml" w14:paraId="49DCF5DE" wp14:textId="77777777">
      <w:pPr>
        <w:pStyle w:val="Heading1"/>
        <w:spacing w:after="160" w:line="360" w:lineRule="auto"/>
        <w:jc w:val="both"/>
      </w:pPr>
      <w:r>
        <w:rPr>
          <w:rFonts w:ascii="Arial" w:hAnsi="Arial" w:cs="Arial"/>
          <w:sz w:val="36"/>
        </w:rPr>
        <w:t>4. Project Plan and Timeline</w:t>
      </w:r>
    </w:p>
    <w:p xmlns:wp14="http://schemas.microsoft.com/office/word/2010/wordml" w14:paraId="648120F2" wp14:textId="77777777">
      <w:pPr>
        <w:spacing w:after="120" w:line="360" w:lineRule="auto"/>
        <w:jc w:val="both"/>
      </w:pPr>
      <w:r>
        <w:rPr>
          <w:rFonts w:ascii="Arial" w:hAnsi="Arial" w:cs="Arial"/>
          <w:sz w:val="24"/>
        </w:rPr>
        <w:t>The project plan follows the Tuesday teaching timetable, beginning on Tuesday 28 April 2026. Each active milestone is linked to a Tuesday class date so that the proposal development is realistic and easy to follow. The reading week and mock-presentation week are excluded from the formal research milestones because they are not treated as core proposal-writing stages.</w:t>
      </w:r>
    </w:p>
    <w:p xmlns:wp14="http://schemas.microsoft.com/office/word/2010/wordml" w14:paraId="287CB4F7" wp14:textId="77777777">
      <w:pPr>
        <w:spacing w:after="120" w:line="360" w:lineRule="auto"/>
        <w:jc w:val="both"/>
      </w:pPr>
      <w:r>
        <w:rPr>
          <w:rFonts w:ascii="Arial" w:hAnsi="Arial" w:cs="Arial"/>
          <w:sz w:val="24"/>
        </w:rPr>
        <w:t>The plan moves from topic refinement and literature review to methodology, ethics, sampling, interview planning, feedback and final submission checks. Ethical approval remains the main control point: no recruitment or interviews will begin until approval and consent procedures are in place. Table 1 summarises the teaching-date milestones, while Figure 1 presents the same timetable visually as a Gantt chart.</w:t>
      </w:r>
    </w:p>
    <w:p xmlns:wp14="http://schemas.microsoft.com/office/word/2010/wordml" w14:paraId="616AFF8D" wp14:textId="77777777">
      <w:pPr>
        <w:spacing w:after="120" w:line="360" w:lineRule="auto"/>
        <w:jc w:val="both"/>
      </w:pPr>
      <w:r>
        <w:rPr>
          <w:rFonts w:ascii="Arial" w:hAnsi="Arial" w:eastAsia="Arial" w:cs="Arial"/>
          <w:b/>
          <w:sz w:val="24"/>
        </w:rPr>
        <w:t>Table 1: Research project plan linked to Tuesday teaching dates</w:t>
      </w:r>
    </w:p>
    <w:tbl>
      <w:tblPr>
        <w:tblStyle w:val="TableGrid"/>
        <w:tblW w:w="0" w:type="auto"/>
        <w:jc w:val="center"/>
        <w:tblLayout w:type="autofit"/>
        <w:tblLook w:val="04A0" w:firstRow="1" w:lastRow="0" w:firstColumn="1" w:lastColumn="0" w:noHBand="0" w:noVBand="1"/>
      </w:tblPr>
      <w:tblGrid>
        <w:gridCol w:w="2448"/>
        <w:gridCol w:w="2448"/>
        <w:gridCol w:w="2448"/>
        <w:gridCol w:w="2448"/>
      </w:tblGrid>
      <w:tr xmlns:wp14="http://schemas.microsoft.com/office/word/2010/wordml" w:rsidTr="6DFE1484" w14:paraId="23D20418" wp14:textId="77777777">
        <w:trPr>
          <w:tblHeader w:val="true"/>
          <w:cantSplit/>
          <w:tblHeader w:val="true"/>
          <w:cantSplit/>
        </w:trPr>
        <w:tc>
          <w:tcPr>
            <w:tcW w:w="2448" w:type="dxa"/>
            <w:shd w:val="clear" w:color="auto" w:fill="1F4E79"/>
            <w:tcMar/>
            <w:vAlign w:val="top"/>
          </w:tcPr>
          <w:p w14:paraId="02A1D317" wp14:textId="77777777">
            <w:pPr>
              <w:spacing w:after="0" w:line="276" w:lineRule="auto"/>
              <w:jc w:val="left"/>
            </w:pPr>
            <w:r>
              <w:rPr>
                <w:rFonts w:ascii="Arial" w:hAnsi="Arial" w:eastAsia="Arial"/>
                <w:sz w:val="24"/>
              </w:rPr>
            </w:r>
            <w:r>
              <w:rPr>
                <w:rFonts w:ascii="Arial" w:hAnsi="Arial" w:eastAsia="Arial"/>
                <w:b/>
                <w:color w:val="FFFFFF"/>
                <w:sz w:val="24"/>
              </w:rPr>
              <w:t>Week</w:t>
            </w:r>
          </w:p>
        </w:tc>
        <w:tc>
          <w:tcPr>
            <w:tcW w:w="2448" w:type="dxa"/>
            <w:shd w:val="clear" w:color="auto" w:fill="1F4E79"/>
            <w:tcMar/>
            <w:vAlign w:val="top"/>
          </w:tcPr>
          <w:p w14:paraId="491072FA" wp14:textId="77777777">
            <w:pPr>
              <w:spacing w:after="0" w:line="276" w:lineRule="auto"/>
              <w:jc w:val="left"/>
            </w:pPr>
            <w:r>
              <w:rPr>
                <w:rFonts w:ascii="Arial" w:hAnsi="Arial" w:eastAsia="Arial"/>
                <w:sz w:val="24"/>
              </w:rPr>
            </w:r>
            <w:r>
              <w:rPr>
                <w:rFonts w:ascii="Arial" w:hAnsi="Arial" w:eastAsia="Arial"/>
                <w:b/>
                <w:color w:val="FFFFFF"/>
                <w:sz w:val="24"/>
              </w:rPr>
              <w:t>Date</w:t>
            </w:r>
          </w:p>
        </w:tc>
        <w:tc>
          <w:tcPr>
            <w:tcW w:w="2448" w:type="dxa"/>
            <w:shd w:val="clear" w:color="auto" w:fill="1F4E79"/>
            <w:tcMar/>
            <w:vAlign w:val="top"/>
          </w:tcPr>
          <w:p w14:paraId="2C57F84F" wp14:textId="77777777">
            <w:pPr>
              <w:spacing w:after="0" w:line="276" w:lineRule="auto"/>
              <w:jc w:val="left"/>
            </w:pPr>
            <w:r>
              <w:rPr>
                <w:rFonts w:ascii="Arial" w:hAnsi="Arial" w:eastAsia="Arial"/>
                <w:sz w:val="24"/>
              </w:rPr>
            </w:r>
            <w:r>
              <w:rPr>
                <w:rFonts w:ascii="Arial" w:hAnsi="Arial" w:eastAsia="Arial"/>
                <w:b/>
                <w:color w:val="FFFFFF"/>
                <w:sz w:val="24"/>
              </w:rPr>
              <w:t>Project planning focus</w:t>
            </w:r>
          </w:p>
        </w:tc>
        <w:tc>
          <w:tcPr>
            <w:tcW w:w="2448" w:type="dxa"/>
            <w:shd w:val="clear" w:color="auto" w:fill="1F4E79"/>
            <w:tcMar/>
            <w:vAlign w:val="top"/>
          </w:tcPr>
          <w:p w14:paraId="499F9147" wp14:textId="77777777">
            <w:pPr>
              <w:spacing w:after="0" w:line="276" w:lineRule="auto"/>
              <w:jc w:val="left"/>
            </w:pPr>
            <w:r>
              <w:rPr>
                <w:rFonts w:ascii="Arial" w:hAnsi="Arial" w:eastAsia="Arial"/>
                <w:sz w:val="24"/>
              </w:rPr>
            </w:r>
            <w:r>
              <w:rPr>
                <w:rFonts w:ascii="Arial" w:hAnsi="Arial" w:eastAsia="Arial"/>
                <w:b/>
                <w:color w:val="FFFFFF"/>
                <w:sz w:val="24"/>
              </w:rPr>
              <w:t>Planned output</w:t>
            </w:r>
          </w:p>
        </w:tc>
      </w:tr>
      <w:tr xmlns:wp14="http://schemas.microsoft.com/office/word/2010/wordml" w:rsidTr="6DFE1484" w14:paraId="5AE2B885" wp14:textId="77777777">
        <w:trPr>
          <w:cantSplit/>
          <w:cantSplit/>
        </w:trPr>
        <w:tc>
          <w:tcPr>
            <w:tcW w:w="2448" w:type="dxa"/>
            <w:tcMar/>
            <w:vAlign w:val="top"/>
          </w:tcPr>
          <w:p w14:paraId="56B20A0C" wp14:textId="77777777">
            <w:pPr>
              <w:spacing w:after="0" w:line="276" w:lineRule="auto"/>
              <w:jc w:val="left"/>
            </w:pPr>
            <w:r>
              <w:rPr>
                <w:rFonts w:ascii="Arial" w:hAnsi="Arial" w:eastAsia="Arial"/>
                <w:sz w:val="24"/>
              </w:rPr>
            </w:r>
            <w:r>
              <w:rPr>
                <w:rFonts w:ascii="Arial" w:hAnsi="Arial" w:eastAsia="Arial"/>
                <w:b w:val="0"/>
                <w:sz w:val="24"/>
              </w:rPr>
              <w:t>1</w:t>
            </w:r>
          </w:p>
        </w:tc>
        <w:tc>
          <w:tcPr>
            <w:tcW w:w="2448" w:type="dxa"/>
            <w:tcMar/>
            <w:vAlign w:val="top"/>
          </w:tcPr>
          <w:p w14:paraId="7FB383FA" wp14:textId="77777777">
            <w:pPr>
              <w:spacing w:after="0" w:line="276" w:lineRule="auto"/>
              <w:jc w:val="left"/>
            </w:pPr>
            <w:r>
              <w:rPr>
                <w:rFonts w:ascii="Arial" w:hAnsi="Arial" w:eastAsia="Arial"/>
                <w:sz w:val="24"/>
              </w:rPr>
            </w:r>
            <w:r>
              <w:rPr>
                <w:rFonts w:ascii="Arial" w:hAnsi="Arial" w:eastAsia="Arial"/>
                <w:b w:val="0"/>
                <w:sz w:val="24"/>
              </w:rPr>
              <w:t>Tuesday 28 April 2026</w:t>
            </w:r>
          </w:p>
        </w:tc>
        <w:tc>
          <w:tcPr>
            <w:tcW w:w="2448" w:type="dxa"/>
            <w:tcMar/>
            <w:vAlign w:val="top"/>
          </w:tcPr>
          <w:p w14:paraId="73EA8775" wp14:textId="77777777">
            <w:pPr>
              <w:spacing w:after="0" w:line="276" w:lineRule="auto"/>
              <w:jc w:val="left"/>
            </w:pPr>
            <w:r>
              <w:rPr>
                <w:rFonts w:ascii="Arial" w:hAnsi="Arial" w:eastAsia="Arial"/>
                <w:sz w:val="24"/>
              </w:rPr>
            </w:r>
            <w:r>
              <w:rPr>
                <w:rFonts w:ascii="Arial" w:hAnsi="Arial" w:eastAsia="Arial"/>
                <w:b w:val="0"/>
                <w:sz w:val="24"/>
              </w:rPr>
              <w:t>Topic refinement and research question.</w:t>
            </w:r>
          </w:p>
        </w:tc>
        <w:tc>
          <w:tcPr>
            <w:tcW w:w="2448" w:type="dxa"/>
            <w:tcMar/>
            <w:vAlign w:val="top"/>
          </w:tcPr>
          <w:p w14:paraId="31F8F88E" wp14:textId="77777777">
            <w:pPr>
              <w:spacing w:after="0" w:line="276" w:lineRule="auto"/>
              <w:jc w:val="left"/>
            </w:pPr>
            <w:r>
              <w:rPr>
                <w:rFonts w:ascii="Arial" w:hAnsi="Arial" w:eastAsia="Arial"/>
                <w:sz w:val="24"/>
              </w:rPr>
            </w:r>
            <w:r>
              <w:rPr>
                <w:rFonts w:ascii="Arial" w:hAnsi="Arial" w:eastAsia="Arial"/>
                <w:b w:val="0"/>
                <w:sz w:val="24"/>
              </w:rPr>
              <w:t>Draft title, aim and main question.</w:t>
            </w:r>
          </w:p>
        </w:tc>
      </w:tr>
      <w:tr xmlns:wp14="http://schemas.microsoft.com/office/word/2010/wordml" w:rsidTr="6DFE1484" w14:paraId="56F0F30A" wp14:textId="77777777">
        <w:trPr>
          <w:cantSplit/>
          <w:cantSplit/>
        </w:trPr>
        <w:tc>
          <w:tcPr>
            <w:tcW w:w="2448" w:type="dxa"/>
            <w:shd w:val="clear" w:color="auto" w:fill="F2F6FA"/>
            <w:tcMar/>
            <w:vAlign w:val="top"/>
          </w:tcPr>
          <w:p w14:paraId="7144751B" wp14:textId="77777777">
            <w:pPr>
              <w:spacing w:after="0" w:line="276" w:lineRule="auto"/>
              <w:jc w:val="left"/>
            </w:pPr>
            <w:r>
              <w:rPr>
                <w:rFonts w:ascii="Arial" w:hAnsi="Arial" w:eastAsia="Arial"/>
                <w:sz w:val="24"/>
              </w:rPr>
            </w:r>
            <w:r>
              <w:rPr>
                <w:rFonts w:ascii="Arial" w:hAnsi="Arial" w:eastAsia="Arial"/>
                <w:b w:val="0"/>
                <w:sz w:val="24"/>
              </w:rPr>
              <w:t>2</w:t>
            </w:r>
          </w:p>
        </w:tc>
        <w:tc>
          <w:tcPr>
            <w:tcW w:w="2448" w:type="dxa"/>
            <w:shd w:val="clear" w:color="auto" w:fill="F2F6FA"/>
            <w:tcMar/>
            <w:vAlign w:val="top"/>
          </w:tcPr>
          <w:p w14:paraId="7BB98C6E" wp14:textId="77777777">
            <w:pPr>
              <w:spacing w:after="0" w:line="276" w:lineRule="auto"/>
              <w:jc w:val="left"/>
            </w:pPr>
            <w:r>
              <w:rPr>
                <w:rFonts w:ascii="Arial" w:hAnsi="Arial" w:eastAsia="Arial"/>
                <w:sz w:val="24"/>
              </w:rPr>
            </w:r>
            <w:r>
              <w:rPr>
                <w:rFonts w:ascii="Arial" w:hAnsi="Arial" w:eastAsia="Arial"/>
                <w:b w:val="0"/>
                <w:sz w:val="24"/>
              </w:rPr>
              <w:t>Tuesday 5 May 2026</w:t>
            </w:r>
          </w:p>
        </w:tc>
        <w:tc>
          <w:tcPr>
            <w:tcW w:w="2448" w:type="dxa"/>
            <w:shd w:val="clear" w:color="auto" w:fill="F2F6FA"/>
            <w:tcMar/>
            <w:vAlign w:val="top"/>
          </w:tcPr>
          <w:p w14:paraId="391FCEC7" wp14:textId="77777777">
            <w:pPr>
              <w:spacing w:after="0" w:line="276" w:lineRule="auto"/>
              <w:jc w:val="left"/>
            </w:pPr>
            <w:r>
              <w:rPr>
                <w:rFonts w:ascii="Arial" w:hAnsi="Arial" w:eastAsia="Arial"/>
                <w:sz w:val="24"/>
              </w:rPr>
            </w:r>
            <w:r>
              <w:rPr>
                <w:rFonts w:ascii="Arial" w:hAnsi="Arial" w:eastAsia="Arial"/>
                <w:b w:val="0"/>
                <w:sz w:val="24"/>
              </w:rPr>
              <w:t>Literature search on food safety culture, HACCP, training and fatigue.</w:t>
            </w:r>
          </w:p>
        </w:tc>
        <w:tc>
          <w:tcPr>
            <w:tcW w:w="2448" w:type="dxa"/>
            <w:shd w:val="clear" w:color="auto" w:fill="F2F6FA"/>
            <w:tcMar/>
            <w:vAlign w:val="top"/>
          </w:tcPr>
          <w:p w14:paraId="34A2175C" wp14:textId="77777777">
            <w:pPr>
              <w:spacing w:after="0" w:line="276" w:lineRule="auto"/>
              <w:jc w:val="left"/>
            </w:pPr>
            <w:r>
              <w:rPr>
                <w:rFonts w:ascii="Arial" w:hAnsi="Arial" w:eastAsia="Arial"/>
                <w:sz w:val="24"/>
              </w:rPr>
            </w:r>
            <w:r>
              <w:rPr>
                <w:rFonts w:ascii="Arial" w:hAnsi="Arial" w:eastAsia="Arial"/>
                <w:b w:val="0"/>
                <w:sz w:val="24"/>
              </w:rPr>
              <w:t>Source list and research gap.</w:t>
            </w:r>
          </w:p>
        </w:tc>
      </w:tr>
      <w:tr xmlns:wp14="http://schemas.microsoft.com/office/word/2010/wordml" w:rsidTr="6DFE1484" w14:paraId="47BEA0CB" wp14:textId="77777777">
        <w:trPr>
          <w:cantSplit/>
          <w:cantSplit/>
        </w:trPr>
        <w:tc>
          <w:tcPr>
            <w:tcW w:w="2448" w:type="dxa"/>
            <w:tcMar/>
            <w:vAlign w:val="top"/>
          </w:tcPr>
          <w:p w14:paraId="7A036E3D" wp14:textId="77777777">
            <w:pPr>
              <w:spacing w:after="0" w:line="276" w:lineRule="auto"/>
              <w:jc w:val="left"/>
            </w:pPr>
            <w:r>
              <w:rPr>
                <w:rFonts w:ascii="Arial" w:hAnsi="Arial" w:eastAsia="Arial"/>
                <w:sz w:val="24"/>
              </w:rPr>
            </w:r>
            <w:r>
              <w:rPr>
                <w:rFonts w:ascii="Arial" w:hAnsi="Arial" w:eastAsia="Arial"/>
                <w:b w:val="0"/>
                <w:sz w:val="24"/>
              </w:rPr>
              <w:t>3</w:t>
            </w:r>
          </w:p>
        </w:tc>
        <w:tc>
          <w:tcPr>
            <w:tcW w:w="2448" w:type="dxa"/>
            <w:tcMar/>
            <w:vAlign w:val="top"/>
          </w:tcPr>
          <w:p w14:paraId="7916EA9E" wp14:textId="77777777">
            <w:pPr>
              <w:spacing w:after="0" w:line="276" w:lineRule="auto"/>
              <w:jc w:val="left"/>
            </w:pPr>
            <w:r>
              <w:rPr>
                <w:rFonts w:ascii="Arial" w:hAnsi="Arial" w:eastAsia="Arial"/>
                <w:sz w:val="24"/>
              </w:rPr>
            </w:r>
            <w:r>
              <w:rPr>
                <w:rFonts w:ascii="Arial" w:hAnsi="Arial" w:eastAsia="Arial"/>
                <w:b w:val="0"/>
                <w:sz w:val="24"/>
              </w:rPr>
              <w:t>Tuesday 12 May 2026</w:t>
            </w:r>
          </w:p>
        </w:tc>
        <w:tc>
          <w:tcPr>
            <w:tcW w:w="2448" w:type="dxa"/>
            <w:tcMar/>
            <w:vAlign w:val="top"/>
          </w:tcPr>
          <w:p w14:paraId="3443C2C4" wp14:textId="77777777">
            <w:pPr>
              <w:spacing w:after="0" w:line="276" w:lineRule="auto"/>
              <w:jc w:val="left"/>
            </w:pPr>
            <w:r>
              <w:rPr>
                <w:rFonts w:ascii="Arial" w:hAnsi="Arial" w:eastAsia="Arial"/>
                <w:sz w:val="24"/>
              </w:rPr>
            </w:r>
            <w:r>
              <w:rPr>
                <w:rFonts w:ascii="Arial" w:hAnsi="Arial" w:eastAsia="Arial"/>
                <w:b w:val="0"/>
                <w:sz w:val="24"/>
              </w:rPr>
              <w:t>Assignment brief, structure and ethics planning.</w:t>
            </w:r>
          </w:p>
        </w:tc>
        <w:tc>
          <w:tcPr>
            <w:tcW w:w="2448" w:type="dxa"/>
            <w:tcMar/>
            <w:vAlign w:val="top"/>
          </w:tcPr>
          <w:p w14:paraId="7DACE48F" wp14:textId="77777777">
            <w:pPr>
              <w:spacing w:after="0" w:line="276" w:lineRule="auto"/>
              <w:jc w:val="left"/>
            </w:pPr>
            <w:r>
              <w:rPr>
                <w:rFonts w:ascii="Arial" w:hAnsi="Arial" w:eastAsia="Arial"/>
                <w:sz w:val="24"/>
              </w:rPr>
            </w:r>
            <w:r>
              <w:rPr>
                <w:rFonts w:ascii="Arial" w:hAnsi="Arial" w:eastAsia="Arial"/>
                <w:b w:val="0"/>
                <w:sz w:val="24"/>
              </w:rPr>
              <w:t>Proposal structure and ethics notes.</w:t>
            </w:r>
          </w:p>
        </w:tc>
      </w:tr>
      <w:tr xmlns:wp14="http://schemas.microsoft.com/office/word/2010/wordml" w:rsidTr="6DFE1484" w14:paraId="5B75A475" wp14:textId="77777777">
        <w:trPr>
          <w:cantSplit/>
          <w:cantSplit/>
        </w:trPr>
        <w:tc>
          <w:tcPr>
            <w:tcW w:w="2448" w:type="dxa"/>
            <w:shd w:val="clear" w:color="auto" w:fill="F2F6FA"/>
            <w:tcMar/>
            <w:vAlign w:val="top"/>
          </w:tcPr>
          <w:p w14:paraId="7C964D78" wp14:textId="77777777">
            <w:pPr>
              <w:spacing w:after="0" w:line="276" w:lineRule="auto"/>
              <w:jc w:val="left"/>
            </w:pPr>
            <w:r>
              <w:rPr>
                <w:rFonts w:ascii="Arial" w:hAnsi="Arial" w:eastAsia="Arial"/>
                <w:sz w:val="24"/>
              </w:rPr>
            </w:r>
            <w:r>
              <w:rPr>
                <w:rFonts w:ascii="Arial" w:hAnsi="Arial" w:eastAsia="Arial"/>
                <w:b w:val="0"/>
                <w:sz w:val="24"/>
              </w:rPr>
              <w:t>4</w:t>
            </w:r>
          </w:p>
        </w:tc>
        <w:tc>
          <w:tcPr>
            <w:tcW w:w="2448" w:type="dxa"/>
            <w:shd w:val="clear" w:color="auto" w:fill="F2F6FA"/>
            <w:tcMar/>
            <w:vAlign w:val="top"/>
          </w:tcPr>
          <w:p w14:paraId="649DEB1D" wp14:textId="77777777">
            <w:pPr>
              <w:spacing w:after="0" w:line="276" w:lineRule="auto"/>
              <w:jc w:val="left"/>
            </w:pPr>
            <w:r>
              <w:rPr>
                <w:rFonts w:ascii="Arial" w:hAnsi="Arial" w:eastAsia="Arial"/>
                <w:sz w:val="24"/>
              </w:rPr>
            </w:r>
            <w:r>
              <w:rPr>
                <w:rFonts w:ascii="Arial" w:hAnsi="Arial" w:eastAsia="Arial"/>
                <w:b w:val="0"/>
                <w:sz w:val="24"/>
              </w:rPr>
              <w:t>Tuesday 19 May 2026</w:t>
            </w:r>
          </w:p>
        </w:tc>
        <w:tc>
          <w:tcPr>
            <w:tcW w:w="2448" w:type="dxa"/>
            <w:shd w:val="clear" w:color="auto" w:fill="F2F6FA"/>
            <w:tcMar/>
            <w:vAlign w:val="top"/>
          </w:tcPr>
          <w:p w14:paraId="52CBF2B0" wp14:textId="77777777">
            <w:pPr>
              <w:spacing w:after="0" w:line="276" w:lineRule="auto"/>
              <w:jc w:val="left"/>
            </w:pPr>
            <w:r>
              <w:rPr>
                <w:rFonts w:ascii="Arial" w:hAnsi="Arial" w:eastAsia="Arial"/>
                <w:sz w:val="24"/>
              </w:rPr>
            </w:r>
            <w:r>
              <w:rPr>
                <w:rFonts w:ascii="Arial" w:hAnsi="Arial" w:eastAsia="Arial"/>
                <w:b w:val="0"/>
                <w:sz w:val="24"/>
              </w:rPr>
              <w:t>Methodology using the Research Onion.</w:t>
            </w:r>
          </w:p>
        </w:tc>
        <w:tc>
          <w:tcPr>
            <w:tcW w:w="2448" w:type="dxa"/>
            <w:shd w:val="clear" w:color="auto" w:fill="F2F6FA"/>
            <w:tcMar/>
            <w:vAlign w:val="top"/>
          </w:tcPr>
          <w:p w14:paraId="3BD649F3" wp14:textId="77777777">
            <w:pPr>
              <w:spacing w:after="0" w:line="276" w:lineRule="auto"/>
              <w:jc w:val="left"/>
            </w:pPr>
            <w:r>
              <w:rPr>
                <w:rFonts w:ascii="Arial" w:hAnsi="Arial" w:eastAsia="Arial"/>
                <w:sz w:val="24"/>
              </w:rPr>
            </w:r>
            <w:r>
              <w:rPr>
                <w:rFonts w:ascii="Arial" w:hAnsi="Arial" w:eastAsia="Arial"/>
                <w:b w:val="0"/>
                <w:sz w:val="24"/>
              </w:rPr>
              <w:t>Qualitative case study design.</w:t>
            </w:r>
          </w:p>
        </w:tc>
      </w:tr>
      <w:tr xmlns:wp14="http://schemas.microsoft.com/office/word/2010/wordml" w:rsidTr="6DFE1484" w14:paraId="6716B950" wp14:textId="77777777">
        <w:trPr>
          <w:cantSplit/>
          <w:cantSplit/>
        </w:trPr>
        <w:tc>
          <w:tcPr>
            <w:tcW w:w="2448" w:type="dxa"/>
            <w:tcMar/>
            <w:vAlign w:val="top"/>
          </w:tcPr>
          <w:p w14:paraId="1B87E3DE" wp14:textId="77777777">
            <w:pPr>
              <w:spacing w:after="0" w:line="276" w:lineRule="auto"/>
              <w:jc w:val="left"/>
            </w:pPr>
            <w:r>
              <w:rPr>
                <w:rFonts w:ascii="Arial" w:hAnsi="Arial" w:eastAsia="Arial"/>
                <w:sz w:val="24"/>
              </w:rPr>
            </w:r>
            <w:r>
              <w:rPr>
                <w:rFonts w:ascii="Arial" w:hAnsi="Arial" w:eastAsia="Arial"/>
                <w:b w:val="0"/>
                <w:sz w:val="24"/>
              </w:rPr>
              <w:t>6</w:t>
            </w:r>
          </w:p>
        </w:tc>
        <w:tc>
          <w:tcPr>
            <w:tcW w:w="2448" w:type="dxa"/>
            <w:tcMar/>
            <w:vAlign w:val="top"/>
          </w:tcPr>
          <w:p w14:paraId="01543EB2" wp14:textId="77777777">
            <w:pPr>
              <w:spacing w:after="0" w:line="276" w:lineRule="auto"/>
              <w:jc w:val="left"/>
            </w:pPr>
            <w:r>
              <w:rPr>
                <w:rFonts w:ascii="Arial" w:hAnsi="Arial" w:eastAsia="Arial"/>
                <w:sz w:val="24"/>
              </w:rPr>
            </w:r>
            <w:r>
              <w:rPr>
                <w:rFonts w:ascii="Arial" w:hAnsi="Arial" w:eastAsia="Arial"/>
                <w:b w:val="0"/>
                <w:sz w:val="24"/>
              </w:rPr>
              <w:t>Tuesday 2 June 2026</w:t>
            </w:r>
          </w:p>
        </w:tc>
        <w:tc>
          <w:tcPr>
            <w:tcW w:w="2448" w:type="dxa"/>
            <w:tcMar/>
            <w:vAlign w:val="top"/>
          </w:tcPr>
          <w:p w14:paraId="74AFBC83" wp14:textId="77777777">
            <w:pPr>
              <w:spacing w:after="0" w:line="276" w:lineRule="auto"/>
              <w:jc w:val="left"/>
            </w:pPr>
            <w:r>
              <w:rPr>
                <w:rFonts w:ascii="Arial" w:hAnsi="Arial" w:eastAsia="Arial"/>
                <w:sz w:val="24"/>
              </w:rPr>
            </w:r>
            <w:r>
              <w:rPr>
                <w:rFonts w:ascii="Arial" w:hAnsi="Arial" w:eastAsia="Arial"/>
                <w:b w:val="0"/>
                <w:sz w:val="24"/>
              </w:rPr>
              <w:t>Sampling, participant access and broad interview themes.</w:t>
            </w:r>
          </w:p>
        </w:tc>
        <w:tc>
          <w:tcPr>
            <w:tcW w:w="2448" w:type="dxa"/>
            <w:tcMar/>
            <w:vAlign w:val="top"/>
          </w:tcPr>
          <w:p w14:paraId="6CCF7544" wp14:textId="77777777">
            <w:pPr>
              <w:spacing w:after="0" w:line="276" w:lineRule="auto"/>
              <w:jc w:val="left"/>
            </w:pPr>
            <w:r>
              <w:rPr>
                <w:rFonts w:ascii="Arial" w:hAnsi="Arial" w:eastAsia="Arial"/>
                <w:sz w:val="24"/>
              </w:rPr>
            </w:r>
            <w:r>
              <w:rPr>
                <w:rFonts w:ascii="Arial" w:hAnsi="Arial" w:eastAsia="Arial"/>
                <w:b w:val="0"/>
                <w:sz w:val="24"/>
              </w:rPr>
              <w:t>Purposive sampling and interview plan.</w:t>
            </w:r>
          </w:p>
        </w:tc>
      </w:tr>
      <w:tr xmlns:wp14="http://schemas.microsoft.com/office/word/2010/wordml" w:rsidTr="6DFE1484" w14:paraId="5C2E234B" wp14:textId="77777777">
        <w:trPr>
          <w:cantSplit/>
          <w:cantSplit/>
        </w:trPr>
        <w:tc>
          <w:tcPr>
            <w:tcW w:w="2448" w:type="dxa"/>
            <w:shd w:val="clear" w:color="auto" w:fill="F2F6FA"/>
            <w:tcMar/>
            <w:vAlign w:val="top"/>
          </w:tcPr>
          <w:p w14:paraId="75697EEC" wp14:textId="77777777">
            <w:pPr>
              <w:spacing w:after="0" w:line="276" w:lineRule="auto"/>
              <w:jc w:val="left"/>
            </w:pPr>
            <w:r>
              <w:rPr>
                <w:rFonts w:ascii="Arial" w:hAnsi="Arial" w:eastAsia="Arial"/>
                <w:sz w:val="24"/>
              </w:rPr>
            </w:r>
            <w:r>
              <w:rPr>
                <w:rFonts w:ascii="Arial" w:hAnsi="Arial" w:eastAsia="Arial"/>
                <w:b w:val="0"/>
                <w:sz w:val="24"/>
              </w:rPr>
              <w:t>7</w:t>
            </w:r>
          </w:p>
        </w:tc>
        <w:tc>
          <w:tcPr>
            <w:tcW w:w="2448" w:type="dxa"/>
            <w:shd w:val="clear" w:color="auto" w:fill="F2F6FA"/>
            <w:tcMar/>
            <w:vAlign w:val="top"/>
          </w:tcPr>
          <w:p w14:paraId="24F4CA39" wp14:textId="77777777">
            <w:pPr>
              <w:spacing w:after="0" w:line="276" w:lineRule="auto"/>
              <w:jc w:val="left"/>
            </w:pPr>
            <w:r>
              <w:rPr>
                <w:rFonts w:ascii="Arial" w:hAnsi="Arial" w:eastAsia="Arial"/>
                <w:sz w:val="24"/>
              </w:rPr>
            </w:r>
            <w:r>
              <w:rPr>
                <w:rFonts w:ascii="Arial" w:hAnsi="Arial" w:eastAsia="Arial"/>
                <w:b w:val="0"/>
                <w:sz w:val="24"/>
              </w:rPr>
              <w:t>Tuesday 9 June 2026</w:t>
            </w:r>
          </w:p>
        </w:tc>
        <w:tc>
          <w:tcPr>
            <w:tcW w:w="2448" w:type="dxa"/>
            <w:shd w:val="clear" w:color="auto" w:fill="F2F6FA"/>
            <w:tcMar/>
            <w:vAlign w:val="top"/>
          </w:tcPr>
          <w:p w14:paraId="6D8BCDA7" wp14:textId="77777777">
            <w:pPr>
              <w:spacing w:after="0" w:line="276" w:lineRule="auto"/>
              <w:jc w:val="left"/>
            </w:pPr>
            <w:r>
              <w:rPr>
                <w:rFonts w:ascii="Arial" w:hAnsi="Arial" w:eastAsia="Arial"/>
                <w:sz w:val="24"/>
              </w:rPr>
            </w:r>
            <w:r>
              <w:rPr>
                <w:rFonts w:ascii="Arial" w:hAnsi="Arial" w:eastAsia="Arial"/>
                <w:b w:val="0"/>
                <w:sz w:val="24"/>
              </w:rPr>
              <w:t>Method choice, reliability, validity and trustworthiness.</w:t>
            </w:r>
          </w:p>
        </w:tc>
        <w:tc>
          <w:tcPr>
            <w:tcW w:w="2448" w:type="dxa"/>
            <w:shd w:val="clear" w:color="auto" w:fill="F2F6FA"/>
            <w:tcMar/>
            <w:vAlign w:val="top"/>
          </w:tcPr>
          <w:p w14:paraId="26D6D6C8" wp14:textId="77777777">
            <w:pPr>
              <w:spacing w:after="0" w:line="276" w:lineRule="auto"/>
              <w:jc w:val="left"/>
            </w:pPr>
            <w:r>
              <w:rPr>
                <w:rFonts w:ascii="Arial" w:hAnsi="Arial" w:eastAsia="Arial"/>
                <w:sz w:val="24"/>
              </w:rPr>
            </w:r>
            <w:r>
              <w:rPr>
                <w:rFonts w:ascii="Arial" w:hAnsi="Arial" w:eastAsia="Arial"/>
                <w:b w:val="0"/>
                <w:sz w:val="24"/>
              </w:rPr>
              <w:t>Improved methodology justification.</w:t>
            </w:r>
          </w:p>
        </w:tc>
      </w:tr>
      <w:tr xmlns:wp14="http://schemas.microsoft.com/office/word/2010/wordml" w:rsidTr="6DFE1484" w14:paraId="01324659" wp14:textId="77777777">
        <w:trPr>
          <w:cantSplit/>
          <w:cantSplit/>
        </w:trPr>
        <w:tc>
          <w:tcPr>
            <w:tcW w:w="2448" w:type="dxa"/>
            <w:tcMar/>
            <w:vAlign w:val="top"/>
          </w:tcPr>
          <w:p w14:paraId="03853697" wp14:textId="77777777">
            <w:pPr>
              <w:spacing w:after="0" w:line="276" w:lineRule="auto"/>
              <w:jc w:val="left"/>
            </w:pPr>
            <w:r>
              <w:rPr>
                <w:rFonts w:ascii="Arial" w:hAnsi="Arial" w:eastAsia="Arial"/>
                <w:sz w:val="24"/>
              </w:rPr>
            </w:r>
            <w:r>
              <w:rPr>
                <w:rFonts w:ascii="Arial" w:hAnsi="Arial" w:eastAsia="Arial"/>
                <w:b w:val="0"/>
                <w:sz w:val="24"/>
              </w:rPr>
              <w:t>8</w:t>
            </w:r>
          </w:p>
        </w:tc>
        <w:tc>
          <w:tcPr>
            <w:tcW w:w="2448" w:type="dxa"/>
            <w:tcMar/>
            <w:vAlign w:val="top"/>
          </w:tcPr>
          <w:p w14:paraId="402FF50C" wp14:textId="77777777">
            <w:pPr>
              <w:spacing w:after="0" w:line="276" w:lineRule="auto"/>
              <w:jc w:val="left"/>
            </w:pPr>
            <w:r>
              <w:rPr>
                <w:rFonts w:ascii="Arial" w:hAnsi="Arial" w:eastAsia="Arial"/>
                <w:sz w:val="24"/>
              </w:rPr>
            </w:r>
            <w:r>
              <w:rPr>
                <w:rFonts w:ascii="Arial" w:hAnsi="Arial" w:eastAsia="Arial"/>
                <w:b w:val="0"/>
                <w:sz w:val="24"/>
              </w:rPr>
              <w:t>Tuesday 16 June 2026</w:t>
            </w:r>
          </w:p>
        </w:tc>
        <w:tc>
          <w:tcPr>
            <w:tcW w:w="2448" w:type="dxa"/>
            <w:tcMar/>
            <w:vAlign w:val="top"/>
          </w:tcPr>
          <w:p w14:paraId="6A5CB56D" wp14:textId="77777777">
            <w:pPr>
              <w:spacing w:after="0" w:line="276" w:lineRule="auto"/>
              <w:jc w:val="left"/>
            </w:pPr>
            <w:r>
              <w:rPr>
                <w:rFonts w:ascii="Arial" w:hAnsi="Arial" w:eastAsia="Arial"/>
                <w:sz w:val="24"/>
              </w:rPr>
            </w:r>
            <w:r>
              <w:rPr>
                <w:rFonts w:ascii="Arial" w:hAnsi="Arial" w:eastAsia="Arial"/>
                <w:b w:val="0"/>
                <w:sz w:val="24"/>
              </w:rPr>
              <w:t>Qualitative interview procedure and pilot planning.</w:t>
            </w:r>
          </w:p>
        </w:tc>
        <w:tc>
          <w:tcPr>
            <w:tcW w:w="2448" w:type="dxa"/>
            <w:tcMar/>
            <w:vAlign w:val="top"/>
          </w:tcPr>
          <w:p w14:paraId="6EAFC9F5" wp14:textId="77777777">
            <w:pPr>
              <w:spacing w:after="0" w:line="276" w:lineRule="auto"/>
              <w:jc w:val="left"/>
            </w:pPr>
            <w:r>
              <w:rPr>
                <w:rFonts w:ascii="Arial" w:hAnsi="Arial" w:eastAsia="Arial"/>
                <w:sz w:val="24"/>
              </w:rPr>
            </w:r>
            <w:r>
              <w:rPr>
                <w:rFonts w:ascii="Arial" w:hAnsi="Arial" w:eastAsia="Arial"/>
                <w:b w:val="0"/>
                <w:sz w:val="24"/>
              </w:rPr>
              <w:t>Pilot plan and data preparation.</w:t>
            </w:r>
          </w:p>
        </w:tc>
      </w:tr>
      <w:tr xmlns:wp14="http://schemas.microsoft.com/office/word/2010/wordml" w:rsidTr="6DFE1484" w14:paraId="31F9D707" wp14:textId="77777777">
        <w:trPr>
          <w:cantSplit/>
          <w:cantSplit/>
        </w:trPr>
        <w:tc>
          <w:tcPr>
            <w:tcW w:w="2448" w:type="dxa"/>
            <w:shd w:val="clear" w:color="auto" w:fill="F2F6FA"/>
            <w:tcMar/>
            <w:vAlign w:val="top"/>
          </w:tcPr>
          <w:p w14:paraId="446DE71A" wp14:textId="77777777">
            <w:pPr>
              <w:spacing w:after="0" w:line="276" w:lineRule="auto"/>
              <w:jc w:val="left"/>
            </w:pPr>
            <w:r>
              <w:rPr>
                <w:rFonts w:ascii="Arial" w:hAnsi="Arial" w:eastAsia="Arial"/>
                <w:sz w:val="24"/>
              </w:rPr>
            </w:r>
            <w:r>
              <w:rPr>
                <w:rFonts w:ascii="Arial" w:hAnsi="Arial" w:eastAsia="Arial"/>
                <w:b w:val="0"/>
                <w:sz w:val="24"/>
              </w:rPr>
              <w:t>10</w:t>
            </w:r>
          </w:p>
        </w:tc>
        <w:tc>
          <w:tcPr>
            <w:tcW w:w="2448" w:type="dxa"/>
            <w:shd w:val="clear" w:color="auto" w:fill="F2F6FA"/>
            <w:tcMar/>
            <w:vAlign w:val="top"/>
          </w:tcPr>
          <w:p w14:paraId="4C70F7B0" wp14:textId="77777777">
            <w:pPr>
              <w:spacing w:after="0" w:line="276" w:lineRule="auto"/>
              <w:jc w:val="left"/>
            </w:pPr>
            <w:r>
              <w:rPr>
                <w:rFonts w:ascii="Arial" w:hAnsi="Arial" w:eastAsia="Arial"/>
                <w:sz w:val="24"/>
              </w:rPr>
            </w:r>
            <w:r>
              <w:rPr>
                <w:rFonts w:ascii="Arial" w:hAnsi="Arial" w:eastAsia="Arial"/>
                <w:b w:val="0"/>
                <w:sz w:val="24"/>
              </w:rPr>
              <w:t>Tuesday 30 June 2026</w:t>
            </w:r>
          </w:p>
        </w:tc>
        <w:tc>
          <w:tcPr>
            <w:tcW w:w="2448" w:type="dxa"/>
            <w:shd w:val="clear" w:color="auto" w:fill="F2F6FA"/>
            <w:tcMar/>
            <w:vAlign w:val="top"/>
          </w:tcPr>
          <w:p w14:paraId="60280F96" wp14:textId="77777777">
            <w:pPr>
              <w:spacing w:after="0" w:line="276" w:lineRule="auto"/>
              <w:jc w:val="left"/>
            </w:pPr>
            <w:r>
              <w:rPr>
                <w:rFonts w:ascii="Arial" w:hAnsi="Arial" w:eastAsia="Arial"/>
                <w:sz w:val="24"/>
              </w:rPr>
            </w:r>
            <w:r>
              <w:rPr>
                <w:rFonts w:ascii="Arial" w:hAnsi="Arial" w:eastAsia="Arial"/>
                <w:b w:val="0"/>
                <w:sz w:val="24"/>
              </w:rPr>
              <w:t>Feedback, literature review refinement and Harvard checks.</w:t>
            </w:r>
          </w:p>
        </w:tc>
        <w:tc>
          <w:tcPr>
            <w:tcW w:w="2448" w:type="dxa"/>
            <w:shd w:val="clear" w:color="auto" w:fill="F2F6FA"/>
            <w:tcMar/>
            <w:vAlign w:val="top"/>
          </w:tcPr>
          <w:p w14:paraId="778EC2BD" wp14:textId="77777777">
            <w:pPr>
              <w:spacing w:after="0" w:line="276" w:lineRule="auto"/>
              <w:jc w:val="left"/>
            </w:pPr>
            <w:r>
              <w:rPr>
                <w:rFonts w:ascii="Arial" w:hAnsi="Arial" w:eastAsia="Arial"/>
                <w:sz w:val="24"/>
              </w:rPr>
            </w:r>
            <w:r>
              <w:rPr>
                <w:rFonts w:ascii="Arial" w:hAnsi="Arial" w:eastAsia="Arial"/>
                <w:b w:val="0"/>
                <w:sz w:val="24"/>
              </w:rPr>
              <w:t>Revised draft and reference check.</w:t>
            </w:r>
          </w:p>
        </w:tc>
      </w:tr>
      <w:tr xmlns:wp14="http://schemas.microsoft.com/office/word/2010/wordml" w:rsidTr="6DFE1484" w14:paraId="5F44F9CC" wp14:textId="77777777">
        <w:trPr>
          <w:cantSplit/>
          <w:cantSplit/>
        </w:trPr>
        <w:tc>
          <w:tcPr>
            <w:tcW w:w="2448" w:type="dxa"/>
            <w:tcMar/>
            <w:vAlign w:val="top"/>
          </w:tcPr>
          <w:p w14:paraId="4737E36C" wp14:textId="77777777">
            <w:pPr>
              <w:spacing w:after="0" w:line="276" w:lineRule="auto"/>
              <w:jc w:val="left"/>
            </w:pPr>
            <w:r>
              <w:rPr>
                <w:rFonts w:ascii="Arial" w:hAnsi="Arial" w:eastAsia="Arial"/>
                <w:sz w:val="24"/>
              </w:rPr>
            </w:r>
            <w:r>
              <w:rPr>
                <w:rFonts w:ascii="Arial" w:hAnsi="Arial" w:eastAsia="Arial"/>
                <w:b w:val="0"/>
                <w:sz w:val="24"/>
              </w:rPr>
              <w:t>11</w:t>
            </w:r>
          </w:p>
        </w:tc>
        <w:tc>
          <w:tcPr>
            <w:tcW w:w="2448" w:type="dxa"/>
            <w:tcMar/>
            <w:vAlign w:val="top"/>
          </w:tcPr>
          <w:p w14:paraId="651ABB7B" wp14:textId="77777777">
            <w:pPr>
              <w:spacing w:after="0" w:line="276" w:lineRule="auto"/>
              <w:jc w:val="left"/>
            </w:pPr>
            <w:r>
              <w:rPr>
                <w:rFonts w:ascii="Arial" w:hAnsi="Arial" w:eastAsia="Arial"/>
                <w:sz w:val="24"/>
              </w:rPr>
            </w:r>
            <w:r>
              <w:rPr>
                <w:rFonts w:ascii="Arial" w:hAnsi="Arial" w:eastAsia="Arial"/>
                <w:b w:val="0"/>
                <w:sz w:val="24"/>
              </w:rPr>
              <w:t>Tuesday 7 July 2026</w:t>
            </w:r>
          </w:p>
        </w:tc>
        <w:tc>
          <w:tcPr>
            <w:tcW w:w="2448" w:type="dxa"/>
            <w:tcMar/>
            <w:vAlign w:val="top"/>
          </w:tcPr>
          <w:p w14:paraId="197B589E" wp14:textId="77777777">
            <w:pPr>
              <w:spacing w:after="0" w:line="276" w:lineRule="auto"/>
              <w:jc w:val="left"/>
            </w:pPr>
            <w:r>
              <w:rPr>
                <w:rFonts w:ascii="Arial" w:hAnsi="Arial" w:eastAsia="Arial"/>
                <w:sz w:val="24"/>
              </w:rPr>
            </w:r>
            <w:r>
              <w:rPr>
                <w:rFonts w:ascii="Arial" w:hAnsi="Arial" w:eastAsia="Arial"/>
                <w:b w:val="0"/>
                <w:sz w:val="24"/>
              </w:rPr>
              <w:t>Class presentation and final report improvements.</w:t>
            </w:r>
          </w:p>
        </w:tc>
        <w:tc>
          <w:tcPr>
            <w:tcW w:w="2448" w:type="dxa"/>
            <w:tcMar/>
            <w:vAlign w:val="top"/>
          </w:tcPr>
          <w:p w14:paraId="4602679F" wp14:textId="77777777">
            <w:pPr>
              <w:spacing w:after="0" w:line="276" w:lineRule="auto"/>
              <w:jc w:val="left"/>
            </w:pPr>
            <w:r>
              <w:rPr>
                <w:rFonts w:ascii="Arial" w:hAnsi="Arial" w:eastAsia="Arial"/>
                <w:sz w:val="24"/>
              </w:rPr>
            </w:r>
            <w:r>
              <w:rPr>
                <w:rFonts w:ascii="Arial" w:hAnsi="Arial" w:eastAsia="Arial"/>
                <w:b w:val="0"/>
                <w:sz w:val="24"/>
              </w:rPr>
              <w:t>Final presentation and submission preparation.</w:t>
            </w:r>
          </w:p>
        </w:tc>
      </w:tr>
    </w:tbl>
    <w:p w:rsidR="6DFE1484" w:rsidP="6DFE1484" w:rsidRDefault="6DFE1484" w14:paraId="2CD470C6" w14:textId="334187B1">
      <w:pPr>
        <w:spacing w:after="120" w:line="240" w:lineRule="auto"/>
        <w:jc w:val="center"/>
      </w:pPr>
    </w:p>
    <w:p xmlns:wp14="http://schemas.microsoft.com/office/word/2010/wordml" w14:paraId="72A3D3EC" wp14:textId="77777777">
      <w:pPr>
        <w:spacing w:after="120" w:line="240" w:lineRule="auto"/>
        <w:jc w:val="center"/>
      </w:pPr>
      <w:r w:rsidR="6DFE1484">
        <w:drawing>
          <wp:inline xmlns:wp14="http://schemas.microsoft.com/office/word/2010/wordprocessingDrawing" wp14:editId="455A2DA1" wp14:anchorId="0EB26BAA">
            <wp:extent cx="5943600" cy="2578080"/>
            <wp:effectExtent l="0" t="0" r="0" b="0"/>
            <wp:docPr id="3"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daniel_gantt_chart_teaching_timetable.png"/>
                    <pic:cNvPicPr/>
                  </pic:nvPicPr>
                  <pic:blipFill>
                    <a:blip xmlns:r="http://schemas.openxmlformats.org/officeDocument/2006/relationships" r:embed="rId10"/>
                    <a:srcRect l="0" t="5594" r="0" b="0"/>
                    <a:stretch>
                      <a:fillRect/>
                    </a:stretch>
                  </pic:blipFill>
                  <pic:spPr>
                    <a:xfrm rot="0">
                      <a:off x="0" y="0"/>
                      <a:ext cx="5943600" cy="2578080"/>
                    </a:xfrm>
                    <a:prstGeom prst="rect"/>
                  </pic:spPr>
                </pic:pic>
              </a:graphicData>
            </a:graphic>
          </wp:inline>
        </w:drawing>
      </w:r>
    </w:p>
    <w:p xmlns:wp14="http://schemas.microsoft.com/office/word/2010/wordml" w14:paraId="3E8559B1" wp14:textId="683DBBCA">
      <w:pPr>
        <w:spacing w:after="160" w:line="360" w:lineRule="auto"/>
        <w:jc w:val="both"/>
      </w:pPr>
      <w:r w:rsidRPr="6DFE1484" w:rsidR="6DFE1484">
        <w:rPr>
          <w:rFonts w:ascii="Arial" w:hAnsi="Arial" w:eastAsia="Arial" w:cs="Arial"/>
          <w:i w:val="1"/>
          <w:iCs w:val="1"/>
          <w:sz w:val="24"/>
          <w:szCs w:val="24"/>
        </w:rPr>
        <w:t xml:space="preserve">Figure 1: Research project Gantt chart </w:t>
      </w:r>
    </w:p>
    <w:p xmlns:wp14="http://schemas.microsoft.com/office/word/2010/wordml" w14:paraId="0D0B940D" wp14:textId="77777777">
      <w:r>
        <w:br w:type="page"/>
      </w:r>
    </w:p>
    <w:p xmlns:wp14="http://schemas.microsoft.com/office/word/2010/wordml" w14:paraId="476E51CF" wp14:textId="77777777">
      <w:pPr>
        <w:pStyle w:val="Heading1"/>
        <w:spacing w:after="160" w:line="360" w:lineRule="auto"/>
        <w:jc w:val="both"/>
      </w:pPr>
      <w:r>
        <w:rPr>
          <w:rFonts w:ascii="Arial" w:hAnsi="Arial" w:cs="Arial"/>
          <w:sz w:val="36"/>
        </w:rPr>
        <w:t>References</w:t>
      </w:r>
    </w:p>
    <w:p xmlns:wp14="http://schemas.microsoft.com/office/word/2010/wordml" w14:paraId="7FAF6CCC" wp14:textId="77777777">
      <w:pPr>
        <w:spacing w:before="0" w:after="120" w:line="360" w:lineRule="auto"/>
        <w:ind w:left="504" w:hanging="504"/>
        <w:jc w:val="both"/>
      </w:pPr>
      <w:r>
        <w:rPr>
          <w:rFonts w:ascii="Arial" w:hAnsi="Arial" w:cs="Arial"/>
          <w:sz w:val="24"/>
        </w:rPr>
        <w:t>1. Braun, V. and Clarke, V. (2006) 'Using thematic analysis in psychology', Qualitative Research in Psychology, 3(2), pp. 77-101.</w:t>
      </w:r>
    </w:p>
    <w:p xmlns:wp14="http://schemas.microsoft.com/office/word/2010/wordml" w14:paraId="5B7DE918" wp14:textId="77777777">
      <w:pPr>
        <w:spacing w:before="0" w:after="120" w:line="360" w:lineRule="auto"/>
        <w:ind w:left="504" w:hanging="504"/>
        <w:jc w:val="both"/>
      </w:pPr>
      <w:r>
        <w:rPr>
          <w:rFonts w:ascii="Arial" w:hAnsi="Arial" w:cs="Arial"/>
          <w:sz w:val="24"/>
        </w:rPr>
        <w:t>2. Braun, V. and Clarke, V. (2022) Thematic Analysis: A Practical Guide. London: SAGE.</w:t>
      </w:r>
    </w:p>
    <w:p xmlns:wp14="http://schemas.microsoft.com/office/word/2010/wordml" w14:paraId="69391701" wp14:textId="77777777">
      <w:pPr>
        <w:spacing w:before="0" w:after="120" w:line="360" w:lineRule="auto"/>
        <w:ind w:left="504" w:hanging="504"/>
        <w:jc w:val="both"/>
      </w:pPr>
      <w:r>
        <w:rPr>
          <w:rFonts w:ascii="Arial" w:hAnsi="Arial" w:cs="Arial"/>
          <w:sz w:val="24"/>
        </w:rPr>
        <w:t>3. BRCGS (2022) Global Standard Food Safety, Issue 9. London: BRCGS.</w:t>
      </w:r>
    </w:p>
    <w:p xmlns:wp14="http://schemas.microsoft.com/office/word/2010/wordml" w14:paraId="1DFED4BA" wp14:textId="77777777">
      <w:pPr>
        <w:spacing w:before="0" w:after="120" w:line="360" w:lineRule="auto"/>
        <w:ind w:left="504" w:hanging="504"/>
        <w:jc w:val="both"/>
      </w:pPr>
      <w:r>
        <w:rPr>
          <w:rFonts w:ascii="Arial" w:hAnsi="Arial" w:cs="Arial"/>
          <w:sz w:val="24"/>
        </w:rPr>
        <w:t>4. Bryman, A. and Bell, E. (2023) Business Research Methods. 5th edn. Oxford: Oxford University Press.</w:t>
      </w:r>
    </w:p>
    <w:p xmlns:wp14="http://schemas.microsoft.com/office/word/2010/wordml" w14:paraId="66D12062" wp14:textId="77777777">
      <w:pPr>
        <w:spacing w:before="0" w:after="120" w:line="360" w:lineRule="auto"/>
        <w:ind w:left="504" w:hanging="504"/>
        <w:jc w:val="both"/>
      </w:pPr>
      <w:r>
        <w:rPr>
          <w:rFonts w:ascii="Arial" w:hAnsi="Arial" w:cs="Arial"/>
          <w:sz w:val="24"/>
        </w:rPr>
        <w:t>5. Clayton, D.A., Griffith, C.J., Price, P. and Peters, A.C. (2002) 'Food handlers' beliefs and self-reported practices', International Journal of Environmental Health Research, 12(1), pp. 25-39.</w:t>
      </w:r>
    </w:p>
    <w:p xmlns:wp14="http://schemas.microsoft.com/office/word/2010/wordml" w14:paraId="58F3032E" wp14:textId="77777777">
      <w:pPr>
        <w:spacing w:before="0" w:after="120" w:line="360" w:lineRule="auto"/>
        <w:ind w:left="504" w:hanging="504"/>
        <w:jc w:val="both"/>
      </w:pPr>
      <w:r>
        <w:rPr>
          <w:rFonts w:ascii="Arial" w:hAnsi="Arial" w:cs="Arial"/>
          <w:sz w:val="24"/>
        </w:rPr>
        <w:t>6. Creswell, J.W. and Creswell, J.D. (2023) Research Design: Qualitative, Quantitative and Mixed Methods Approaches. 6th edn. London: SAGE.</w:t>
      </w:r>
    </w:p>
    <w:p xmlns:wp14="http://schemas.microsoft.com/office/word/2010/wordml" w14:paraId="79E4C29C" wp14:textId="77777777">
      <w:pPr>
        <w:spacing w:before="0" w:after="120" w:line="360" w:lineRule="auto"/>
        <w:ind w:left="504" w:hanging="504"/>
        <w:jc w:val="both"/>
      </w:pPr>
      <w:r>
        <w:rPr>
          <w:rFonts w:ascii="Arial" w:hAnsi="Arial" w:cs="Arial"/>
          <w:sz w:val="24"/>
        </w:rPr>
        <w:t>7. De Boeck, E., Jacxsens, L., Bollaerts, M. and Vlerick, P. (2015) 'Food safety climate in food processing organisations: development and validation of a self-assessment tool', Trends in Food Science &amp; Technology, 46(2), pp. 242-251.</w:t>
      </w:r>
    </w:p>
    <w:p xmlns:wp14="http://schemas.microsoft.com/office/word/2010/wordml" w14:paraId="716ACEE1" wp14:textId="77777777">
      <w:pPr>
        <w:spacing w:before="0" w:after="120" w:line="360" w:lineRule="auto"/>
        <w:ind w:left="504" w:hanging="504"/>
        <w:jc w:val="both"/>
      </w:pPr>
      <w:r>
        <w:rPr>
          <w:rFonts w:ascii="Arial" w:hAnsi="Arial" w:cs="Arial"/>
          <w:sz w:val="24"/>
        </w:rPr>
        <w:t>8. Food Standards Agency (2017) Hazard Analysis and Critical Control Point (HACCP). Available at: https://www.food.gov.uk/business-guidance/hazard-analysis-and-critical-control-point-haccp (Accessed: 24 June 2026).</w:t>
      </w:r>
    </w:p>
    <w:p xmlns:wp14="http://schemas.microsoft.com/office/word/2010/wordml" w14:paraId="085FDC42" wp14:textId="77777777">
      <w:pPr>
        <w:spacing w:before="0" w:after="120" w:line="360" w:lineRule="auto"/>
        <w:ind w:left="504" w:hanging="504"/>
        <w:jc w:val="both"/>
      </w:pPr>
      <w:r>
        <w:rPr>
          <w:rFonts w:ascii="Arial" w:hAnsi="Arial" w:cs="Arial"/>
          <w:sz w:val="24"/>
        </w:rPr>
        <w:t>9. Food Standards Agency (2024) Foodborne Disease Policy Overview. Available at: https://www.food.gov.uk/board-papers/foodborne-disease-policy-overview (Accessed: 24 June 2026).</w:t>
      </w:r>
    </w:p>
    <w:p xmlns:wp14="http://schemas.microsoft.com/office/word/2010/wordml" w14:paraId="6460D1A0" wp14:textId="77777777">
      <w:pPr>
        <w:spacing w:before="0" w:after="120" w:line="360" w:lineRule="auto"/>
        <w:ind w:left="504" w:hanging="504"/>
        <w:jc w:val="both"/>
      </w:pPr>
      <w:r>
        <w:rPr>
          <w:rFonts w:ascii="Arial" w:hAnsi="Arial" w:cs="Arial"/>
          <w:sz w:val="24"/>
        </w:rPr>
        <w:t>10. Global Food Safety Initiative (GFSI) (2018) A Culture of Food Safety: A Position Paper from the Global Food Safety Initiative. Paris: GFSI.</w:t>
      </w:r>
    </w:p>
    <w:p xmlns:wp14="http://schemas.microsoft.com/office/word/2010/wordml" w14:paraId="0DA87A41" wp14:textId="77777777">
      <w:pPr>
        <w:spacing w:before="0" w:after="120" w:line="360" w:lineRule="auto"/>
        <w:ind w:left="504" w:hanging="504"/>
        <w:jc w:val="both"/>
      </w:pPr>
      <w:r>
        <w:rPr>
          <w:rFonts w:ascii="Arial" w:hAnsi="Arial" w:cs="Arial"/>
          <w:sz w:val="24"/>
        </w:rPr>
        <w:t>11. Griffith, C.J., Livesey, K.M. and Clayton, D. (2010) 'The assessment of food safety culture', British Food Journal, 112(4), pp. 439-456.</w:t>
      </w:r>
    </w:p>
    <w:p xmlns:wp14="http://schemas.microsoft.com/office/word/2010/wordml" w14:paraId="07B74559" wp14:textId="77777777">
      <w:pPr>
        <w:spacing w:before="0" w:after="120" w:line="360" w:lineRule="auto"/>
        <w:ind w:left="504" w:hanging="504"/>
        <w:jc w:val="both"/>
      </w:pPr>
      <w:r>
        <w:rPr>
          <w:rFonts w:ascii="Arial" w:hAnsi="Arial" w:cs="Arial"/>
          <w:sz w:val="24"/>
        </w:rPr>
        <w:t>12. Jespersen, L., Griffiths, M., Maclaurin, T., Chapman, B. and Wallace, C.A. (2016) 'Measurement of food safety culture using survey and maturity profiling tools', Food Control, 66, pp. 174-182.</w:t>
      </w:r>
    </w:p>
    <w:p xmlns:wp14="http://schemas.microsoft.com/office/word/2010/wordml" w14:paraId="188E1B9B" wp14:textId="77777777">
      <w:pPr>
        <w:spacing w:before="0" w:after="120" w:line="360" w:lineRule="auto"/>
        <w:jc w:val="both"/>
      </w:pPr>
      <w:r>
        <w:rPr>
          <w:rFonts w:ascii="Arial" w:hAnsi="Arial" w:cs="Arial"/>
          <w:sz w:val="24"/>
        </w:rPr>
        <w:t>13. Lincoln, Y.S. and Guba, E.G. (1985) Naturalistic Inquiry. Newbury Park, CA: SAGE.</w:t>
      </w:r>
    </w:p>
    <w:p xmlns:wp14="http://schemas.microsoft.com/office/word/2010/wordml" w14:paraId="390D81F7" wp14:textId="77777777">
      <w:pPr>
        <w:spacing w:before="0" w:after="120" w:line="360" w:lineRule="auto"/>
        <w:ind w:left="504" w:hanging="504"/>
        <w:jc w:val="both"/>
      </w:pPr>
      <w:r>
        <w:rPr>
          <w:rFonts w:ascii="Arial" w:hAnsi="Arial" w:cs="Arial"/>
          <w:sz w:val="24"/>
        </w:rPr>
        <w:t>14. Nyarugwe, S.P., Linnemann, A.R., Hofstede, G.J., Fogliano, V. and Luning, P.A. (2016) 'Determinants for conducting food safety culture research', Trends in Food Science &amp; Technology, 56, pp. 77-87.</w:t>
      </w:r>
    </w:p>
    <w:p xmlns:wp14="http://schemas.microsoft.com/office/word/2010/wordml" w14:paraId="4A97B77C" wp14:textId="77777777">
      <w:pPr>
        <w:spacing w:before="0" w:after="120" w:line="360" w:lineRule="auto"/>
        <w:ind w:left="504" w:hanging="504"/>
        <w:jc w:val="both"/>
      </w:pPr>
      <w:r>
        <w:rPr>
          <w:rFonts w:ascii="Arial" w:hAnsi="Arial" w:cs="Arial"/>
          <w:sz w:val="24"/>
        </w:rPr>
        <w:t>15. Powell, D.A., Jacob, C.J. and Chapman, B.J. (2011) 'Enhancing food safety culture to reduce rates of foodborne illness', Food Control, 22(6), pp. 817-822.</w:t>
      </w:r>
    </w:p>
    <w:p xmlns:wp14="http://schemas.microsoft.com/office/word/2010/wordml" w14:paraId="4B1850EB" wp14:textId="77777777">
      <w:pPr>
        <w:spacing w:before="0" w:after="120" w:line="360" w:lineRule="auto"/>
        <w:ind w:left="504" w:hanging="504"/>
        <w:jc w:val="both"/>
      </w:pPr>
      <w:r>
        <w:rPr>
          <w:rFonts w:ascii="Arial" w:hAnsi="Arial" w:cs="Arial"/>
          <w:sz w:val="24"/>
        </w:rPr>
        <w:t>16. Saunders, M.N.K., Lewis, P. and Thornhill, A. (2023) Research Methods for Business Students. 9th edn. Harlow: Pearson.</w:t>
      </w:r>
    </w:p>
    <w:p xmlns:wp14="http://schemas.microsoft.com/office/word/2010/wordml" w14:paraId="3F92FEDC" wp14:textId="77777777">
      <w:pPr>
        <w:spacing w:before="0" w:after="120" w:line="360" w:lineRule="auto"/>
        <w:ind w:left="504" w:hanging="504"/>
        <w:jc w:val="both"/>
      </w:pPr>
      <w:r>
        <w:rPr>
          <w:rFonts w:ascii="Arial" w:hAnsi="Arial" w:cs="Arial"/>
          <w:sz w:val="24"/>
        </w:rPr>
        <w:t>17. Seaman, P. and Eves, A. (2006) 'The management of food safety: the role of food hygiene training in the UK service sector', International Journal of Hospitality Management, 25(2), pp. 278-296.</w:t>
      </w:r>
    </w:p>
    <w:p xmlns:wp14="http://schemas.microsoft.com/office/word/2010/wordml" w14:paraId="437DC89D" wp14:textId="77777777">
      <w:pPr>
        <w:spacing w:before="0" w:after="120" w:line="360" w:lineRule="auto"/>
        <w:ind w:left="504" w:hanging="504"/>
        <w:jc w:val="both"/>
      </w:pPr>
      <w:r>
        <w:rPr>
          <w:rFonts w:ascii="Arial" w:hAnsi="Arial" w:cs="Arial"/>
          <w:sz w:val="24"/>
        </w:rPr>
        <w:t>18. Williamson, A., Lombardi, D.A., Folkard, S., Stutts, J., Courtney, T.K. and Connor, J.L. (2011) 'The link between fatigue and safety', Accident Analysis &amp; Prevention, 43(2), pp. 498-515.</w:t>
      </w:r>
    </w:p>
    <w:p xmlns:wp14="http://schemas.microsoft.com/office/word/2010/wordml" w14:paraId="5EAA9990" wp14:textId="77777777">
      <w:pPr>
        <w:spacing w:before="0" w:after="120" w:line="360" w:lineRule="auto"/>
        <w:ind w:left="504" w:hanging="504"/>
        <w:jc w:val="both"/>
      </w:pPr>
      <w:r>
        <w:rPr>
          <w:rFonts w:ascii="Arial" w:hAnsi="Arial" w:cs="Arial"/>
          <w:sz w:val="24"/>
        </w:rPr>
        <w:t>19. Zanin, L.M., da Cunha, D.T., de Rosso, V.V., Capriles, V.D. and Stedefeldt, E. (2017) 'Knowledge, attitudes and practices of food handlers in food safety: an integrative review', Food Research International, 100, pp. 53-62.</w:t>
      </w:r>
    </w:p>
    <w:sectPr w:rsidRPr="0006063C" w:rsidR="00FC693F" w:rsidSect="00034616">
      <w:footerReference w:type="default" r:id="rId11"/>
      <w:pgSz w:w="12240" w:h="15840" w:orient="portrait"/>
      <w:pgMar w:top="1152" w:right="1224" w:bottom="1152"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60061E4C" wp14:textId="77777777">
    <w:pPr>
      <w:pStyle w:val="Footer"/>
    </w:p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2BB00774"/>
    <w:rsid w:val="4B6B3E10"/>
    <w:rsid w:val="6DFE148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3EF2C306-7320-47D0-B802-657D2AC968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pPr>
      <w:spacing w:after="120" w:line="360" w:lineRule="auto"/>
    </w:pPr>
    <w:rPr>
      <w:rFonts w:ascii="Arial" w:hAnsi="Arial" w:eastAsia="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160" w:line="360" w:lineRule="auto"/>
      <w:outlineLvl w:val="0"/>
    </w:pPr>
    <w:rPr>
      <w:rFonts w:ascii="Arial" w:hAnsi="Arial" w:eastAsia="Arial" w:asciiTheme="majorHAnsi" w:hAnsiTheme="majorHAnsi" w:eastAsiaTheme="majorEastAsia" w:cstheme="majorBidi"/>
      <w:b/>
      <w:bCs/>
      <w:color w:val="000000"/>
      <w:sz w:val="36"/>
      <w:szCs w:val="28"/>
    </w:rPr>
  </w:style>
  <w:style w:type="paragraph" w:styleId="Heading2">
    <w:name w:val="heading 2"/>
    <w:basedOn w:val="Normal"/>
    <w:next w:val="Normal"/>
    <w:link w:val="Heading2Char"/>
    <w:uiPriority w:val="9"/>
    <w:unhideWhenUsed/>
    <w:qFormat/>
    <w:rsid w:val="00FC693F"/>
    <w:pPr>
      <w:keepNext/>
      <w:keepLines/>
      <w:spacing w:before="200" w:after="160" w:line="360" w:lineRule="auto"/>
      <w:outlineLvl w:val="1"/>
    </w:pPr>
    <w:rPr>
      <w:rFonts w:ascii="Arial" w:hAnsi="Arial" w:eastAsia="Arial" w:asciiTheme="majorHAnsi" w:hAnsiTheme="majorHAnsi" w:eastAsiaTheme="majorEastAsia" w:cstheme="majorBidi"/>
      <w:b/>
      <w:bCs/>
      <w:color w:val="000000"/>
      <w:sz w:val="32"/>
      <w:szCs w:val="26"/>
    </w:rPr>
  </w:style>
  <w:style w:type="paragraph" w:styleId="Heading3">
    <w:name w:val="heading 3"/>
    <w:basedOn w:val="Normal"/>
    <w:next w:val="Normal"/>
    <w:link w:val="Heading3Char"/>
    <w:uiPriority w:val="9"/>
    <w:unhideWhenUsed/>
    <w:qFormat/>
    <w:rsid w:val="00FC693F"/>
    <w:pPr>
      <w:keepNext/>
      <w:keepLines/>
      <w:spacing w:before="200" w:after="0" w:line="360" w:lineRule="auto"/>
      <w:outlineLvl w:val="2"/>
    </w:pPr>
    <w:rPr>
      <w:rFonts w:ascii="Arial" w:hAnsi="Arial" w:asciiTheme="majorHAnsi" w:hAnsiTheme="majorHAnsi" w:eastAsiaTheme="majorEastAsia" w:cstheme="majorBidi"/>
      <w:b/>
      <w:bCs/>
      <w:color w:val="4F81BD" w:themeColor="accent1"/>
      <w:sz w:val="3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160" w:line="276" w:lineRule="auto"/>
      <w:contextualSpacing/>
    </w:pPr>
    <w:rPr>
      <w:rFonts w:ascii="Arial" w:hAnsi="Arial" w:eastAsia="Arial" w:asciiTheme="majorHAnsi" w:hAnsiTheme="majorHAnsi" w:eastAsiaTheme="majorEastAsia" w:cstheme="majorBidi"/>
      <w:b/>
      <w:color w:val="000000"/>
      <w:spacing w:val="5"/>
      <w:kern w:val="28"/>
      <w:sz w:val="36"/>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line="360" w:lineRule="auto"/>
    </w:pPr>
    <w:rPr>
      <w:rFonts w:ascii="Arial" w:hAnsi="Arial" w:eastAsia="Arial"/>
      <w:sz w:val="24"/>
    </w:r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1.png" Id="rId9" /><Relationship Type="http://schemas.openxmlformats.org/officeDocument/2006/relationships/footer" Target="footer1.xml" Id="rId11" /><Relationship Type="http://schemas.openxmlformats.org/officeDocument/2006/relationships/image" Target="media/image2.png" Id="rId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Research Proposal - Food Safety and Hygiene Compliance</dc:title>
  <dc:subject>BMSW5014 Developing a Research Proposal</dc:subject>
  <dc:creator>Daniel-Mihai Naica</dc:creator>
  <keywords>food safety, hygiene compliance, night shift, meat processing, research proposal</keywords>
  <dc:description>Formatted final version with Tuesday teaching-date table and Gantt chart: Arial 12 body, 16 subtitles, 18 title, justified, 1.5 spacing.</dc:description>
  <lastModifiedBy>Daniel Naica</lastModifiedBy>
  <revision>3</revision>
  <dcterms:created xsi:type="dcterms:W3CDTF">2013-12-23T23:15:00.0000000Z</dcterms:created>
  <dcterms:modified xsi:type="dcterms:W3CDTF">2026-06-26T15:50:21.4409776Z</dcterms:modified>
  <category/>
</coreProperties>
</file>