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B5F11" w:rsidRDefault="000B5F11" w:rsidP="00A561A2">
      <w:pPr>
        <w:pStyle w:val="BodyText"/>
        <w:spacing w:before="162" w:line="264" w:lineRule="auto"/>
        <w:ind w:right="283"/>
        <w:jc w:val="both"/>
        <w:rPr>
          <w:b/>
          <w:bCs/>
        </w:rPr>
      </w:pPr>
      <w:r>
        <w:rPr>
          <w:b/>
          <w:bCs/>
        </w:rPr>
        <w:t>James Patrick</w:t>
      </w:r>
    </w:p>
    <w:p w:rsidR="000B5F11" w:rsidRDefault="000B5F11" w:rsidP="00A561A2">
      <w:pPr>
        <w:pStyle w:val="BodyText"/>
        <w:spacing w:before="162" w:line="264" w:lineRule="auto"/>
        <w:ind w:right="283"/>
        <w:jc w:val="both"/>
        <w:rPr>
          <w:b/>
          <w:bCs/>
        </w:rPr>
      </w:pPr>
      <w:r>
        <w:rPr>
          <w:b/>
          <w:bCs/>
        </w:rPr>
        <w:t xml:space="preserve">CIPD Number - </w:t>
      </w:r>
      <w:r w:rsidR="00151881">
        <w:rPr>
          <w:b/>
          <w:bCs/>
        </w:rPr>
        <w:t>86358516</w:t>
      </w:r>
    </w:p>
    <w:p w:rsidR="000B5F11" w:rsidRDefault="000B5F11" w:rsidP="00A561A2">
      <w:pPr>
        <w:pStyle w:val="BodyText"/>
        <w:spacing w:before="162" w:line="264" w:lineRule="auto"/>
        <w:ind w:right="283"/>
        <w:jc w:val="both"/>
        <w:rPr>
          <w:b/>
          <w:bCs/>
        </w:rPr>
      </w:pPr>
      <w:r>
        <w:rPr>
          <w:b/>
          <w:bCs/>
        </w:rPr>
        <w:t>Word Count - 395</w:t>
      </w:r>
      <w:r w:rsidR="00AB3A53">
        <w:rPr>
          <w:b/>
          <w:bCs/>
        </w:rPr>
        <w:t>6</w:t>
      </w:r>
    </w:p>
    <w:p w:rsidR="000B5F11" w:rsidRDefault="000B5F11" w:rsidP="00A561A2">
      <w:pPr>
        <w:pStyle w:val="BodyText"/>
        <w:spacing w:before="162" w:line="264" w:lineRule="auto"/>
        <w:ind w:right="283"/>
        <w:jc w:val="both"/>
        <w:rPr>
          <w:b/>
          <w:bCs/>
        </w:rPr>
      </w:pPr>
    </w:p>
    <w:p w:rsidR="00A561A2" w:rsidRPr="00A561A2" w:rsidRDefault="00A561A2" w:rsidP="00A561A2">
      <w:pPr>
        <w:pStyle w:val="BodyText"/>
        <w:spacing w:before="162" w:line="264" w:lineRule="auto"/>
        <w:ind w:right="283"/>
        <w:jc w:val="both"/>
        <w:rPr>
          <w:rFonts w:ascii="Calibri" w:hAnsi="Calibri" w:cs="Calibri"/>
          <w:b/>
          <w:bCs/>
          <w:sz w:val="24"/>
          <w:szCs w:val="24"/>
        </w:rPr>
      </w:pPr>
      <w:r w:rsidRPr="00A561A2">
        <w:rPr>
          <w:b/>
          <w:bCs/>
        </w:rPr>
        <w:t xml:space="preserve">Section One –Report </w:t>
      </w:r>
    </w:p>
    <w:p w:rsidR="00937246" w:rsidRPr="00A561A2" w:rsidRDefault="00A561A2" w:rsidP="00A561A2">
      <w:pPr>
        <w:pStyle w:val="BodyText"/>
        <w:spacing w:before="162" w:line="264" w:lineRule="auto"/>
        <w:ind w:right="283"/>
        <w:jc w:val="both"/>
        <w:rPr>
          <w:rFonts w:ascii="Calibri" w:hAnsi="Calibri" w:cs="Calibri"/>
          <w:b/>
          <w:bCs/>
          <w:sz w:val="24"/>
          <w:szCs w:val="24"/>
        </w:rPr>
      </w:pPr>
      <w:r w:rsidRPr="00A561A2">
        <w:rPr>
          <w:rFonts w:ascii="Calibri" w:hAnsi="Calibri" w:cs="Calibri"/>
          <w:b/>
          <w:bCs/>
          <w:sz w:val="24"/>
          <w:szCs w:val="24"/>
        </w:rPr>
        <w:t xml:space="preserve">(AC 1.1) - </w:t>
      </w:r>
      <w:r w:rsidR="00937246" w:rsidRPr="00A561A2">
        <w:rPr>
          <w:rFonts w:ascii="Calibri" w:hAnsi="Calibri" w:cs="Calibri"/>
          <w:b/>
          <w:bCs/>
          <w:sz w:val="24"/>
          <w:szCs w:val="24"/>
        </w:rPr>
        <w:t xml:space="preserve">Evaluate the concept of evidence-based practice and assess how approaches to evidence-based practice can be used to provide insight that supports sound decision-making across a range of people practices and organisational issues. </w:t>
      </w:r>
    </w:p>
    <w:p w:rsidR="00937246" w:rsidRPr="00A47B1C" w:rsidRDefault="00937246">
      <w:pPr>
        <w:rPr>
          <w:rFonts w:ascii="Calibri" w:hAnsi="Calibri" w:cs="Calibri"/>
        </w:rPr>
      </w:pPr>
    </w:p>
    <w:p w:rsidR="00CB162E" w:rsidRPr="00AB3A53" w:rsidRDefault="00937246" w:rsidP="00AB3A53">
      <w:pPr>
        <w:spacing w:line="480" w:lineRule="auto"/>
        <w:ind w:firstLine="360"/>
        <w:rPr>
          <w:rFonts w:ascii="Calibri" w:hAnsi="Calibri" w:cs="Calibri"/>
          <w:color w:val="000000" w:themeColor="text1"/>
        </w:rPr>
      </w:pPr>
      <w:r w:rsidRPr="00A47B1C">
        <w:rPr>
          <w:rFonts w:ascii="Calibri" w:hAnsi="Calibri" w:cs="Calibri"/>
        </w:rPr>
        <w:t xml:space="preserve">Evidence-based practice serves the purpose of </w:t>
      </w:r>
      <w:r w:rsidR="00090545" w:rsidRPr="00A47B1C">
        <w:rPr>
          <w:rFonts w:ascii="Calibri" w:hAnsi="Calibri" w:cs="Calibri"/>
        </w:rPr>
        <w:t>allowing its intended user</w:t>
      </w:r>
      <w:r w:rsidRPr="00A47B1C">
        <w:rPr>
          <w:rFonts w:ascii="Calibri" w:hAnsi="Calibri" w:cs="Calibri"/>
        </w:rPr>
        <w:t xml:space="preserve"> to make sound decisions and judgements to guide organisational action to achieve a desired effect or intended action. When implementing an evidence-based approach to guide </w:t>
      </w:r>
      <w:r w:rsidR="00627C2B" w:rsidRPr="00A47B1C">
        <w:rPr>
          <w:rFonts w:ascii="Calibri" w:hAnsi="Calibri" w:cs="Calibri"/>
        </w:rPr>
        <w:t xml:space="preserve">organisational </w:t>
      </w:r>
      <w:r w:rsidRPr="00A47B1C">
        <w:rPr>
          <w:rFonts w:ascii="Calibri" w:hAnsi="Calibri" w:cs="Calibri"/>
        </w:rPr>
        <w:t xml:space="preserve">decision making the organisation must apply critical thinking with unanimously </w:t>
      </w:r>
      <w:r w:rsidR="00627C2B" w:rsidRPr="00A47B1C">
        <w:rPr>
          <w:rFonts w:ascii="Calibri" w:hAnsi="Calibri" w:cs="Calibri"/>
        </w:rPr>
        <w:t xml:space="preserve">agreed methods of documentations </w:t>
      </w:r>
      <w:r w:rsidR="00627C2B" w:rsidRPr="00A47B1C">
        <w:rPr>
          <w:rFonts w:ascii="Calibri" w:hAnsi="Calibri" w:cs="Calibri"/>
          <w:color w:val="000000" w:themeColor="text1"/>
        </w:rPr>
        <w:t>(</w:t>
      </w:r>
      <w:proofErr w:type="spellStart"/>
      <w:r w:rsidR="00627C2B" w:rsidRPr="00A47B1C">
        <w:rPr>
          <w:rFonts w:ascii="Calibri" w:hAnsi="Calibri" w:cs="Calibri"/>
          <w:color w:val="000000" w:themeColor="text1"/>
        </w:rPr>
        <w:t>Portney</w:t>
      </w:r>
      <w:proofErr w:type="spellEnd"/>
      <w:r w:rsidR="00627C2B" w:rsidRPr="00A47B1C">
        <w:rPr>
          <w:rFonts w:ascii="Calibri" w:hAnsi="Calibri" w:cs="Calibri"/>
          <w:color w:val="000000" w:themeColor="text1"/>
        </w:rPr>
        <w:t xml:space="preserve">, 2020). This diminishes the influence of preconceived biases, hearsay evidence, personal experiences and stories on decision-makers. This is supported by Dias and Marques (2021) who argue that individually all of these forms of evidence lack factual integrity when used in isolation. </w:t>
      </w:r>
      <w:r w:rsidR="00EC2C19" w:rsidRPr="00A47B1C">
        <w:rPr>
          <w:rFonts w:ascii="Calibri" w:hAnsi="Calibri" w:cs="Calibri"/>
          <w:color w:val="000000" w:themeColor="text1"/>
        </w:rPr>
        <w:t>It is imperative that people professionals advocate for an evidence-based approach to increase the legitimacy of the decisions made within organisations which will direct impact the lives, actions, physical and mental health of people across the globe (Lemieux et al., 2018).</w:t>
      </w:r>
    </w:p>
    <w:p w:rsidR="0081088F" w:rsidRPr="00A47B1C" w:rsidRDefault="00EC2C19" w:rsidP="000B5F11">
      <w:pPr>
        <w:spacing w:line="480" w:lineRule="auto"/>
        <w:rPr>
          <w:rFonts w:ascii="Calibri" w:hAnsi="Calibri" w:cs="Calibri"/>
        </w:rPr>
      </w:pPr>
      <w:r w:rsidRPr="00A47B1C">
        <w:rPr>
          <w:rFonts w:ascii="Calibri" w:hAnsi="Calibri" w:cs="Calibri"/>
        </w:rPr>
        <w:tab/>
        <w:t xml:space="preserve">Evidence-based practice </w:t>
      </w:r>
      <w:r w:rsidR="000610F1" w:rsidRPr="00A47B1C">
        <w:rPr>
          <w:rFonts w:ascii="Calibri" w:hAnsi="Calibri" w:cs="Calibri"/>
        </w:rPr>
        <w:t>pivots</w:t>
      </w:r>
      <w:r w:rsidRPr="00A47B1C">
        <w:rPr>
          <w:rFonts w:ascii="Calibri" w:hAnsi="Calibri" w:cs="Calibri"/>
        </w:rPr>
        <w:t xml:space="preserve"> on the ide</w:t>
      </w:r>
      <w:r w:rsidR="000610F1" w:rsidRPr="00A47B1C">
        <w:rPr>
          <w:rFonts w:ascii="Calibri" w:hAnsi="Calibri" w:cs="Calibri"/>
        </w:rPr>
        <w:t>ology</w:t>
      </w:r>
      <w:r w:rsidRPr="00A47B1C">
        <w:rPr>
          <w:rFonts w:ascii="Calibri" w:hAnsi="Calibri" w:cs="Calibri"/>
        </w:rPr>
        <w:t xml:space="preserve"> that sound decisions are made through critical thinking, which involves relying on credible information (Gubbins et al., 2018). This approach ensures that actions and decisions are more likely to achieve the desired outcomes, as opposed to relying on anecdotes, </w:t>
      </w:r>
      <w:r w:rsidR="00CB162E" w:rsidRPr="00A47B1C">
        <w:rPr>
          <w:rFonts w:ascii="Calibri" w:hAnsi="Calibri" w:cs="Calibri"/>
        </w:rPr>
        <w:t xml:space="preserve">archaic </w:t>
      </w:r>
      <w:r w:rsidRPr="00A47B1C">
        <w:rPr>
          <w:rFonts w:ascii="Calibri" w:hAnsi="Calibri" w:cs="Calibri"/>
        </w:rPr>
        <w:t>practices,</w:t>
      </w:r>
      <w:r w:rsidR="00CB162E" w:rsidRPr="00A47B1C">
        <w:rPr>
          <w:rFonts w:ascii="Calibri" w:hAnsi="Calibri" w:cs="Calibri"/>
        </w:rPr>
        <w:t xml:space="preserve"> preconceived </w:t>
      </w:r>
      <w:r w:rsidR="007C74D9" w:rsidRPr="00A47B1C">
        <w:rPr>
          <w:rFonts w:ascii="Calibri" w:hAnsi="Calibri" w:cs="Calibri"/>
        </w:rPr>
        <w:t>conceptions, and</w:t>
      </w:r>
      <w:r w:rsidRPr="00A47B1C">
        <w:rPr>
          <w:rFonts w:ascii="Calibri" w:hAnsi="Calibri" w:cs="Calibri"/>
        </w:rPr>
        <w:t xml:space="preserve"> personal experiences, which </w:t>
      </w:r>
      <w:r w:rsidR="00892A34" w:rsidRPr="00A47B1C">
        <w:rPr>
          <w:rFonts w:ascii="Calibri" w:hAnsi="Calibri" w:cs="Calibri"/>
        </w:rPr>
        <w:t xml:space="preserve">contain biases and lack reliability when used individually </w:t>
      </w:r>
      <w:r w:rsidRPr="00A47B1C">
        <w:rPr>
          <w:rFonts w:ascii="Calibri" w:hAnsi="Calibri" w:cs="Calibri"/>
        </w:rPr>
        <w:t>(</w:t>
      </w:r>
      <w:proofErr w:type="spellStart"/>
      <w:r w:rsidRPr="00A47B1C">
        <w:rPr>
          <w:rFonts w:ascii="Calibri" w:hAnsi="Calibri" w:cs="Calibri"/>
        </w:rPr>
        <w:t>Lehane</w:t>
      </w:r>
      <w:proofErr w:type="spellEnd"/>
      <w:r w:rsidRPr="00A47B1C">
        <w:rPr>
          <w:rFonts w:ascii="Calibri" w:hAnsi="Calibri" w:cs="Calibri"/>
        </w:rPr>
        <w:t xml:space="preserve"> et al., 2019). </w:t>
      </w:r>
      <w:r w:rsidR="00CB162E" w:rsidRPr="00A47B1C">
        <w:rPr>
          <w:rFonts w:ascii="Calibri" w:hAnsi="Calibri" w:cs="Calibri"/>
        </w:rPr>
        <w:t xml:space="preserve">Dias and Marques (2021) state that the culmination of organisational data, up-to-date </w:t>
      </w:r>
      <w:r w:rsidR="007C74D9" w:rsidRPr="00A47B1C">
        <w:rPr>
          <w:rFonts w:ascii="Calibri" w:hAnsi="Calibri" w:cs="Calibri"/>
        </w:rPr>
        <w:t>academia</w:t>
      </w:r>
      <w:r w:rsidR="00CB162E" w:rsidRPr="00A47B1C">
        <w:rPr>
          <w:rFonts w:ascii="Calibri" w:hAnsi="Calibri" w:cs="Calibri"/>
        </w:rPr>
        <w:t xml:space="preserve">, and critical thinking into </w:t>
      </w:r>
      <w:r w:rsidR="00090545" w:rsidRPr="00A47B1C">
        <w:rPr>
          <w:rFonts w:ascii="Calibri" w:hAnsi="Calibri" w:cs="Calibri"/>
        </w:rPr>
        <w:t xml:space="preserve">a </w:t>
      </w:r>
      <w:r w:rsidR="00CB162E" w:rsidRPr="00A47B1C">
        <w:rPr>
          <w:rFonts w:ascii="Calibri" w:hAnsi="Calibri" w:cs="Calibri"/>
        </w:rPr>
        <w:t xml:space="preserve">human resource </w:t>
      </w:r>
      <w:r w:rsidR="00CB162E" w:rsidRPr="00A47B1C">
        <w:rPr>
          <w:rFonts w:ascii="Calibri" w:hAnsi="Calibri" w:cs="Calibri"/>
        </w:rPr>
        <w:lastRenderedPageBreak/>
        <w:t xml:space="preserve">management </w:t>
      </w:r>
      <w:r w:rsidR="00090545" w:rsidRPr="00A47B1C">
        <w:rPr>
          <w:rFonts w:ascii="Calibri" w:hAnsi="Calibri" w:cs="Calibri"/>
        </w:rPr>
        <w:t>evidence system has the power to create noteworthy outcomes within an organisation</w:t>
      </w:r>
      <w:r w:rsidR="00892A34" w:rsidRPr="00A47B1C">
        <w:rPr>
          <w:rFonts w:ascii="Calibri" w:hAnsi="Calibri" w:cs="Calibri"/>
        </w:rPr>
        <w:t xml:space="preserve"> when the information is used to guide decisions. </w:t>
      </w:r>
      <w:r w:rsidRPr="00A47B1C">
        <w:rPr>
          <w:rFonts w:ascii="Calibri" w:hAnsi="Calibri" w:cs="Calibri"/>
        </w:rPr>
        <w:t xml:space="preserve">Evidence-based decision-making combines logical reflection and the application of </w:t>
      </w:r>
      <w:r w:rsidR="00892A34" w:rsidRPr="00A47B1C">
        <w:rPr>
          <w:rFonts w:ascii="Calibri" w:hAnsi="Calibri" w:cs="Calibri"/>
        </w:rPr>
        <w:t>trustworthy</w:t>
      </w:r>
      <w:r w:rsidR="00090545" w:rsidRPr="00A47B1C">
        <w:rPr>
          <w:rFonts w:ascii="Calibri" w:hAnsi="Calibri" w:cs="Calibri"/>
        </w:rPr>
        <w:t xml:space="preserve"> </w:t>
      </w:r>
      <w:r w:rsidRPr="00A47B1C">
        <w:rPr>
          <w:rFonts w:ascii="Calibri" w:hAnsi="Calibri" w:cs="Calibri"/>
        </w:rPr>
        <w:t>information, reducing decision-makers' reliance on anecdotes,</w:t>
      </w:r>
      <w:r w:rsidR="00892A34" w:rsidRPr="00A47B1C">
        <w:rPr>
          <w:rFonts w:ascii="Calibri" w:hAnsi="Calibri" w:cs="Calibri"/>
        </w:rPr>
        <w:t xml:space="preserve"> general assumptions</w:t>
      </w:r>
      <w:r w:rsidRPr="00A47B1C">
        <w:rPr>
          <w:rFonts w:ascii="Calibri" w:hAnsi="Calibri" w:cs="Calibri"/>
        </w:rPr>
        <w:t xml:space="preserve">, </w:t>
      </w:r>
      <w:r w:rsidR="00892A34" w:rsidRPr="00A47B1C">
        <w:rPr>
          <w:rFonts w:ascii="Calibri" w:hAnsi="Calibri" w:cs="Calibri"/>
        </w:rPr>
        <w:t>previous experiences</w:t>
      </w:r>
      <w:r w:rsidRPr="00A47B1C">
        <w:rPr>
          <w:rFonts w:ascii="Calibri" w:hAnsi="Calibri" w:cs="Calibri"/>
        </w:rPr>
        <w:t xml:space="preserve">, all of which </w:t>
      </w:r>
      <w:r w:rsidR="00892A34" w:rsidRPr="00A47B1C">
        <w:rPr>
          <w:rFonts w:ascii="Calibri" w:hAnsi="Calibri" w:cs="Calibri"/>
        </w:rPr>
        <w:t>can be</w:t>
      </w:r>
      <w:r w:rsidRPr="00A47B1C">
        <w:rPr>
          <w:rFonts w:ascii="Calibri" w:hAnsi="Calibri" w:cs="Calibri"/>
        </w:rPr>
        <w:t xml:space="preserve"> </w:t>
      </w:r>
      <w:r w:rsidR="00892A34" w:rsidRPr="00A47B1C">
        <w:rPr>
          <w:rFonts w:ascii="Calibri" w:hAnsi="Calibri" w:cs="Calibri"/>
        </w:rPr>
        <w:t>fundamentally</w:t>
      </w:r>
      <w:r w:rsidRPr="00A47B1C">
        <w:rPr>
          <w:rFonts w:ascii="Calibri" w:hAnsi="Calibri" w:cs="Calibri"/>
        </w:rPr>
        <w:t xml:space="preserve"> unreliable</w:t>
      </w:r>
      <w:r w:rsidR="00892A34" w:rsidRPr="00A47B1C">
        <w:rPr>
          <w:rFonts w:ascii="Calibri" w:hAnsi="Calibri" w:cs="Calibri"/>
        </w:rPr>
        <w:t xml:space="preserve"> sources </w:t>
      </w:r>
      <w:r w:rsidRPr="00A47B1C">
        <w:rPr>
          <w:rFonts w:ascii="Calibri" w:hAnsi="Calibri" w:cs="Calibri"/>
        </w:rPr>
        <w:t>(Gubbins et al., 2018).</w:t>
      </w:r>
      <w:r w:rsidR="007C74D9" w:rsidRPr="00A47B1C">
        <w:rPr>
          <w:rFonts w:ascii="Calibri" w:hAnsi="Calibri" w:cs="Calibri"/>
        </w:rPr>
        <w:t xml:space="preserve"> </w:t>
      </w:r>
    </w:p>
    <w:p w:rsidR="0081088F" w:rsidRPr="00A47B1C" w:rsidRDefault="0081088F" w:rsidP="00AB3A53">
      <w:pPr>
        <w:spacing w:line="480" w:lineRule="auto"/>
        <w:ind w:firstLine="360"/>
        <w:rPr>
          <w:rFonts w:ascii="Calibri" w:hAnsi="Calibri" w:cs="Calibri"/>
        </w:rPr>
      </w:pPr>
      <w:r w:rsidRPr="00A47B1C">
        <w:rPr>
          <w:rFonts w:ascii="Calibri" w:hAnsi="Calibri" w:cs="Calibri"/>
        </w:rPr>
        <w:t>CIPD (2024) highlight the importance of organisational analysis to make effective evidence-based decisions taking into account credibility of the evidence used for analytics. There are four main types of evidence that should be considered which are:</w:t>
      </w:r>
    </w:p>
    <w:p w:rsidR="0081088F" w:rsidRPr="00A47B1C" w:rsidRDefault="0081088F" w:rsidP="0081088F">
      <w:pPr>
        <w:rPr>
          <w:rFonts w:ascii="Calibri" w:hAnsi="Calibri" w:cs="Calibri"/>
        </w:rPr>
      </w:pPr>
    </w:p>
    <w:p w:rsidR="0081088F" w:rsidRPr="00A47B1C" w:rsidRDefault="0081088F" w:rsidP="0081088F">
      <w:pPr>
        <w:pStyle w:val="ListParagraph"/>
        <w:numPr>
          <w:ilvl w:val="0"/>
          <w:numId w:val="2"/>
        </w:numPr>
        <w:rPr>
          <w:rFonts w:ascii="Calibri" w:hAnsi="Calibri" w:cs="Calibri"/>
          <w:szCs w:val="24"/>
        </w:rPr>
      </w:pPr>
      <w:r w:rsidRPr="00A47B1C">
        <w:rPr>
          <w:rFonts w:ascii="Calibri" w:hAnsi="Calibri" w:cs="Calibri"/>
          <w:szCs w:val="24"/>
        </w:rPr>
        <w:t xml:space="preserve">Scientific literature and academic research surrounding the highlighted area of concern. </w:t>
      </w:r>
    </w:p>
    <w:p w:rsidR="00591BFD" w:rsidRPr="00A47B1C" w:rsidRDefault="0081088F" w:rsidP="00934553">
      <w:pPr>
        <w:pStyle w:val="ListParagraph"/>
        <w:numPr>
          <w:ilvl w:val="0"/>
          <w:numId w:val="2"/>
        </w:numPr>
        <w:rPr>
          <w:rFonts w:ascii="Calibri" w:hAnsi="Calibri" w:cs="Calibri"/>
          <w:szCs w:val="24"/>
        </w:rPr>
      </w:pPr>
      <w:proofErr w:type="spellStart"/>
      <w:r w:rsidRPr="00A47B1C">
        <w:rPr>
          <w:rFonts w:ascii="Calibri" w:hAnsi="Calibri" w:cs="Calibri"/>
          <w:szCs w:val="24"/>
        </w:rPr>
        <w:t>Organisational</w:t>
      </w:r>
      <w:proofErr w:type="spellEnd"/>
      <w:r w:rsidRPr="00A47B1C">
        <w:rPr>
          <w:rFonts w:ascii="Calibri" w:hAnsi="Calibri" w:cs="Calibri"/>
          <w:szCs w:val="24"/>
        </w:rPr>
        <w:t xml:space="preserve"> Data which can be collected externally from stakeholders (like satisfaction surveys or repeat custom) or internally from staff (such as satisfaction rates and job retention). </w:t>
      </w:r>
    </w:p>
    <w:p w:rsidR="0081088F" w:rsidRPr="00A47B1C" w:rsidRDefault="0081088F" w:rsidP="00934553">
      <w:pPr>
        <w:pStyle w:val="ListParagraph"/>
        <w:numPr>
          <w:ilvl w:val="0"/>
          <w:numId w:val="2"/>
        </w:numPr>
        <w:rPr>
          <w:rFonts w:ascii="Calibri" w:hAnsi="Calibri" w:cs="Calibri"/>
          <w:szCs w:val="24"/>
        </w:rPr>
      </w:pPr>
      <w:r w:rsidRPr="00A47B1C">
        <w:rPr>
          <w:rFonts w:ascii="Calibri" w:hAnsi="Calibri" w:cs="Calibri"/>
          <w:szCs w:val="24"/>
        </w:rPr>
        <w:t xml:space="preserve">Experiential evidence gathered from insights of professionals and </w:t>
      </w:r>
      <w:proofErr w:type="spellStart"/>
      <w:r w:rsidRPr="00A47B1C">
        <w:rPr>
          <w:rFonts w:ascii="Calibri" w:hAnsi="Calibri" w:cs="Calibri"/>
          <w:szCs w:val="24"/>
        </w:rPr>
        <w:t>organisational</w:t>
      </w:r>
      <w:proofErr w:type="spellEnd"/>
      <w:r w:rsidRPr="00A47B1C">
        <w:rPr>
          <w:rFonts w:ascii="Calibri" w:hAnsi="Calibri" w:cs="Calibri"/>
          <w:szCs w:val="24"/>
        </w:rPr>
        <w:t xml:space="preserve"> leaders are crucial for making effective decisions. </w:t>
      </w:r>
    </w:p>
    <w:p w:rsidR="00937246" w:rsidRPr="00AB3A53" w:rsidRDefault="00A561A2" w:rsidP="00AB3A53">
      <w:pPr>
        <w:pStyle w:val="ListParagraph"/>
        <w:numPr>
          <w:ilvl w:val="0"/>
          <w:numId w:val="2"/>
        </w:numPr>
        <w:rPr>
          <w:rFonts w:ascii="Calibri" w:hAnsi="Calibri" w:cs="Calibri"/>
          <w:szCs w:val="24"/>
        </w:rPr>
      </w:pPr>
      <w:r w:rsidRPr="00A47B1C">
        <w:rPr>
          <w:rFonts w:ascii="Calibri" w:hAnsi="Calibri" w:cs="Calibri"/>
          <w:szCs w:val="24"/>
        </w:rPr>
        <w:t>Stakeholders’</w:t>
      </w:r>
      <w:r w:rsidR="0081088F" w:rsidRPr="00A47B1C">
        <w:rPr>
          <w:rFonts w:ascii="Calibri" w:hAnsi="Calibri" w:cs="Calibri"/>
          <w:szCs w:val="24"/>
        </w:rPr>
        <w:t xml:space="preserve"> expectations to assess how each party will be </w:t>
      </w:r>
      <w:proofErr w:type="gramStart"/>
      <w:r w:rsidR="0081088F" w:rsidRPr="00A47B1C">
        <w:rPr>
          <w:rFonts w:ascii="Calibri" w:hAnsi="Calibri" w:cs="Calibri"/>
          <w:szCs w:val="24"/>
        </w:rPr>
        <w:t>effected</w:t>
      </w:r>
      <w:proofErr w:type="gramEnd"/>
      <w:r w:rsidR="0081088F" w:rsidRPr="00A47B1C">
        <w:rPr>
          <w:rFonts w:ascii="Calibri" w:hAnsi="Calibri" w:cs="Calibri"/>
          <w:szCs w:val="24"/>
        </w:rPr>
        <w:t xml:space="preserve"> by the decision or change. </w:t>
      </w:r>
    </w:p>
    <w:p w:rsidR="00AB3A53" w:rsidRDefault="00AB3A53">
      <w:pPr>
        <w:rPr>
          <w:rFonts w:ascii="Calibri" w:hAnsi="Calibri" w:cs="Calibri"/>
        </w:rPr>
      </w:pPr>
    </w:p>
    <w:p w:rsidR="00AB3A53" w:rsidRPr="00A47B1C" w:rsidRDefault="00AB3A53">
      <w:pPr>
        <w:rPr>
          <w:rFonts w:ascii="Calibri" w:hAnsi="Calibri" w:cs="Calibri"/>
        </w:rPr>
      </w:pPr>
    </w:p>
    <w:p w:rsidR="007C74D9" w:rsidRPr="00A561A2" w:rsidRDefault="00A561A2" w:rsidP="00A561A2">
      <w:pPr>
        <w:spacing w:before="120"/>
        <w:rPr>
          <w:rFonts w:ascii="Calibri" w:hAnsi="Calibri" w:cs="Calibri"/>
          <w:b/>
          <w:bCs/>
        </w:rPr>
      </w:pPr>
      <w:r w:rsidRPr="00A561A2">
        <w:rPr>
          <w:rFonts w:ascii="Calibri" w:hAnsi="Calibri" w:cs="Calibri"/>
          <w:b/>
          <w:bCs/>
        </w:rPr>
        <w:t xml:space="preserve">(AC 1.2) - </w:t>
      </w:r>
      <w:r w:rsidR="007C74D9" w:rsidRPr="00A561A2">
        <w:rPr>
          <w:rFonts w:ascii="Calibri" w:hAnsi="Calibri" w:cs="Calibri"/>
          <w:b/>
          <w:bCs/>
          <w:color w:val="000000" w:themeColor="text1"/>
        </w:rPr>
        <w:t xml:space="preserve">Evaluate one appropriate analysis tool and one appropriate analysis method that might be applied by organisations to recognise and diagnose issues, challenges, and opportunities. </w:t>
      </w:r>
    </w:p>
    <w:p w:rsidR="00937246" w:rsidRPr="00A47B1C" w:rsidRDefault="00937246">
      <w:pPr>
        <w:rPr>
          <w:rFonts w:ascii="Calibri" w:hAnsi="Calibri" w:cs="Calibri"/>
        </w:rPr>
      </w:pPr>
    </w:p>
    <w:p w:rsidR="007C74D9" w:rsidRPr="00A47B1C" w:rsidRDefault="007C74D9">
      <w:pPr>
        <w:rPr>
          <w:rFonts w:ascii="Calibri" w:hAnsi="Calibri" w:cs="Calibri"/>
        </w:rPr>
      </w:pPr>
    </w:p>
    <w:p w:rsidR="007C74D9" w:rsidRPr="00A47B1C" w:rsidRDefault="00F5591D" w:rsidP="000B5F11">
      <w:pPr>
        <w:spacing w:line="480" w:lineRule="auto"/>
        <w:rPr>
          <w:rFonts w:ascii="Calibri" w:hAnsi="Calibri" w:cs="Calibri"/>
        </w:rPr>
      </w:pPr>
      <w:r w:rsidRPr="00A47B1C">
        <w:rPr>
          <w:rFonts w:ascii="Calibri" w:hAnsi="Calibri" w:cs="Calibri"/>
        </w:rPr>
        <w:t xml:space="preserve">Organisations have the ability to utilise various methodologies and tools to analyse various aspects of their business, such as culture, efficiency, and workforce views. This allows </w:t>
      </w:r>
      <w:r w:rsidR="00535095" w:rsidRPr="00A47B1C">
        <w:rPr>
          <w:rFonts w:ascii="Calibri" w:hAnsi="Calibri" w:cs="Calibri"/>
        </w:rPr>
        <w:t xml:space="preserve">the decision-makers to </w:t>
      </w:r>
      <w:r w:rsidRPr="00A47B1C">
        <w:rPr>
          <w:rFonts w:ascii="Calibri" w:hAnsi="Calibri" w:cs="Calibri"/>
        </w:rPr>
        <w:t>make informed decisions to be made</w:t>
      </w:r>
      <w:r w:rsidR="00535095" w:rsidRPr="00A47B1C">
        <w:rPr>
          <w:rFonts w:ascii="Calibri" w:hAnsi="Calibri" w:cs="Calibri"/>
        </w:rPr>
        <w:t xml:space="preserve">, </w:t>
      </w:r>
      <w:r w:rsidRPr="00A47B1C">
        <w:rPr>
          <w:rFonts w:ascii="Calibri" w:hAnsi="Calibri" w:cs="Calibri"/>
        </w:rPr>
        <w:t>strategically improv</w:t>
      </w:r>
      <w:r w:rsidR="00535095" w:rsidRPr="00A47B1C">
        <w:rPr>
          <w:rFonts w:ascii="Calibri" w:hAnsi="Calibri" w:cs="Calibri"/>
        </w:rPr>
        <w:t xml:space="preserve">ing </w:t>
      </w:r>
      <w:r w:rsidRPr="00A47B1C">
        <w:rPr>
          <w:rFonts w:ascii="Calibri" w:hAnsi="Calibri" w:cs="Calibri"/>
        </w:rPr>
        <w:t xml:space="preserve">organisational output </w:t>
      </w:r>
      <w:r w:rsidR="00535095" w:rsidRPr="00A47B1C">
        <w:rPr>
          <w:rFonts w:ascii="Calibri" w:hAnsi="Calibri" w:cs="Calibri"/>
        </w:rPr>
        <w:t xml:space="preserve">in regards to the </w:t>
      </w:r>
      <w:r w:rsidR="001E60C3" w:rsidRPr="00A47B1C">
        <w:rPr>
          <w:rFonts w:ascii="Calibri" w:hAnsi="Calibri" w:cs="Calibri"/>
        </w:rPr>
        <w:t>area of concern</w:t>
      </w:r>
      <w:r w:rsidRPr="00A47B1C">
        <w:rPr>
          <w:rFonts w:ascii="Calibri" w:hAnsi="Calibri" w:cs="Calibri"/>
        </w:rPr>
        <w:t xml:space="preserve"> (</w:t>
      </w:r>
      <w:proofErr w:type="spellStart"/>
      <w:r w:rsidRPr="00A47B1C">
        <w:rPr>
          <w:rFonts w:ascii="Calibri" w:hAnsi="Calibri" w:cs="Calibri"/>
        </w:rPr>
        <w:t>Portney</w:t>
      </w:r>
      <w:proofErr w:type="spellEnd"/>
      <w:r w:rsidRPr="00A47B1C">
        <w:rPr>
          <w:rFonts w:ascii="Calibri" w:hAnsi="Calibri" w:cs="Calibri"/>
        </w:rPr>
        <w:t>, 2020)</w:t>
      </w:r>
      <w:r w:rsidR="00535095" w:rsidRPr="00A47B1C">
        <w:rPr>
          <w:rFonts w:ascii="Calibri" w:hAnsi="Calibri" w:cs="Calibri"/>
        </w:rPr>
        <w:t xml:space="preserve">. Analytical </w:t>
      </w:r>
      <w:r w:rsidR="00535095" w:rsidRPr="00A47B1C">
        <w:rPr>
          <w:rFonts w:ascii="Calibri" w:hAnsi="Calibri" w:cs="Calibri"/>
        </w:rPr>
        <w:lastRenderedPageBreak/>
        <w:t xml:space="preserve">methodologies and tools have the ability to scrutinize </w:t>
      </w:r>
      <w:r w:rsidR="001E60C3" w:rsidRPr="00A47B1C">
        <w:rPr>
          <w:rFonts w:ascii="Calibri" w:hAnsi="Calibri" w:cs="Calibri"/>
        </w:rPr>
        <w:t xml:space="preserve">qualitive and quantitative data </w:t>
      </w:r>
      <w:r w:rsidR="00535095" w:rsidRPr="00A47B1C">
        <w:rPr>
          <w:rFonts w:ascii="Calibri" w:hAnsi="Calibri" w:cs="Calibri"/>
        </w:rPr>
        <w:t xml:space="preserve">that effect the organisation both externally and internally. Gubbins et al. (2018) emphasises the importance of selecting the most appropriate analysis tool and methodology due to the high volume of different approaches available to organisation to use. </w:t>
      </w:r>
    </w:p>
    <w:p w:rsidR="00CA1AE2" w:rsidRPr="00A47B1C" w:rsidRDefault="00495637" w:rsidP="00AB3A53">
      <w:pPr>
        <w:spacing w:line="480" w:lineRule="auto"/>
        <w:ind w:firstLine="360"/>
        <w:rPr>
          <w:rFonts w:ascii="Calibri" w:hAnsi="Calibri" w:cs="Calibri"/>
        </w:rPr>
      </w:pPr>
      <w:r w:rsidRPr="00A47B1C">
        <w:rPr>
          <w:rFonts w:ascii="Calibri" w:hAnsi="Calibri" w:cs="Calibri"/>
        </w:rPr>
        <w:t xml:space="preserve">One example of an analysis tool </w:t>
      </w:r>
      <w:r w:rsidR="007646E6" w:rsidRPr="00A47B1C">
        <w:rPr>
          <w:rFonts w:ascii="Calibri" w:hAnsi="Calibri" w:cs="Calibri"/>
        </w:rPr>
        <w:t xml:space="preserve">PESTLE. This analytical tool allows analysis </w:t>
      </w:r>
      <w:r w:rsidR="00CA1AE2" w:rsidRPr="00A47B1C">
        <w:rPr>
          <w:rFonts w:ascii="Calibri" w:hAnsi="Calibri" w:cs="Calibri"/>
        </w:rPr>
        <w:t>of</w:t>
      </w:r>
      <w:r w:rsidR="007646E6" w:rsidRPr="00A47B1C">
        <w:rPr>
          <w:rFonts w:ascii="Calibri" w:hAnsi="Calibri" w:cs="Calibri"/>
        </w:rPr>
        <w:t xml:space="preserve"> political, economic, social, technical, legal, and environmental external factors which could </w:t>
      </w:r>
      <w:r w:rsidR="00CA1AE2" w:rsidRPr="00A47B1C">
        <w:rPr>
          <w:rFonts w:ascii="Calibri" w:hAnsi="Calibri" w:cs="Calibri"/>
        </w:rPr>
        <w:t>affect</w:t>
      </w:r>
      <w:r w:rsidR="007646E6" w:rsidRPr="00A47B1C">
        <w:rPr>
          <w:rFonts w:ascii="Calibri" w:hAnsi="Calibri" w:cs="Calibri"/>
        </w:rPr>
        <w:t xml:space="preserve"> an organisation.  Riaz et al. (2019) states that the PESTLE paradigm is a simple framework which can be employed in a broad range of organisational environments and assists decision-makers in making judgements rooted in evidence</w:t>
      </w:r>
      <w:r w:rsidR="00CA1AE2" w:rsidRPr="00A47B1C">
        <w:rPr>
          <w:rFonts w:ascii="Calibri" w:hAnsi="Calibri" w:cs="Calibri"/>
        </w:rPr>
        <w:t>. This analysis tool focusses on the external factors which affect an organisation and is a simple but useful tool for numerous reasons. for example</w:t>
      </w:r>
      <w:r w:rsidR="00735E5B" w:rsidRPr="00A47B1C">
        <w:rPr>
          <w:rFonts w:ascii="Calibri" w:hAnsi="Calibri" w:cs="Calibri"/>
        </w:rPr>
        <w:t>:</w:t>
      </w:r>
    </w:p>
    <w:p w:rsidR="00CA1AE2" w:rsidRPr="00A47B1C" w:rsidRDefault="00CA1AE2" w:rsidP="000B5F11">
      <w:pPr>
        <w:pStyle w:val="ListParagraph"/>
        <w:numPr>
          <w:ilvl w:val="0"/>
          <w:numId w:val="3"/>
        </w:numPr>
        <w:spacing w:line="480" w:lineRule="auto"/>
        <w:rPr>
          <w:rFonts w:ascii="Calibri" w:hAnsi="Calibri" w:cs="Calibri"/>
          <w:szCs w:val="24"/>
        </w:rPr>
      </w:pPr>
      <w:r w:rsidRPr="00A47B1C">
        <w:rPr>
          <w:rFonts w:ascii="Calibri" w:hAnsi="Calibri" w:cs="Calibri"/>
          <w:szCs w:val="24"/>
        </w:rPr>
        <w:t>The release of new products to the market</w:t>
      </w:r>
    </w:p>
    <w:p w:rsidR="007C74D9" w:rsidRPr="00A47B1C" w:rsidRDefault="00CA1AE2" w:rsidP="000B5F11">
      <w:pPr>
        <w:pStyle w:val="ListParagraph"/>
        <w:numPr>
          <w:ilvl w:val="0"/>
          <w:numId w:val="3"/>
        </w:numPr>
        <w:spacing w:line="480" w:lineRule="auto"/>
        <w:rPr>
          <w:rFonts w:ascii="Calibri" w:hAnsi="Calibri" w:cs="Calibri"/>
          <w:szCs w:val="24"/>
        </w:rPr>
      </w:pPr>
      <w:r w:rsidRPr="00A47B1C">
        <w:rPr>
          <w:rFonts w:ascii="Calibri" w:hAnsi="Calibri" w:cs="Calibri"/>
          <w:szCs w:val="24"/>
        </w:rPr>
        <w:t xml:space="preserve">Ensuring </w:t>
      </w:r>
      <w:proofErr w:type="spellStart"/>
      <w:r w:rsidRPr="00A47B1C">
        <w:rPr>
          <w:rFonts w:ascii="Calibri" w:hAnsi="Calibri" w:cs="Calibri"/>
          <w:szCs w:val="24"/>
        </w:rPr>
        <w:t>organisations</w:t>
      </w:r>
      <w:proofErr w:type="spellEnd"/>
      <w:r w:rsidRPr="00A47B1C">
        <w:rPr>
          <w:rFonts w:ascii="Calibri" w:hAnsi="Calibri" w:cs="Calibri"/>
          <w:szCs w:val="24"/>
        </w:rPr>
        <w:t xml:space="preserve"> adhere to legislation changes, for example </w:t>
      </w:r>
      <w:r w:rsidR="00735E5B" w:rsidRPr="00A47B1C">
        <w:rPr>
          <w:rFonts w:ascii="Calibri" w:hAnsi="Calibri" w:cs="Calibri"/>
          <w:szCs w:val="24"/>
        </w:rPr>
        <w:t>building companies had to adapt their processes with the 2022 update to ‘Building regulations: doors and windows’ meaning that any window below 800mm from the floor needed to be constructed of safety glass (Welsh Government, 2024).</w:t>
      </w:r>
    </w:p>
    <w:p w:rsidR="00735E5B" w:rsidRPr="00A47B1C" w:rsidRDefault="00735E5B" w:rsidP="000B5F11">
      <w:pPr>
        <w:spacing w:line="480" w:lineRule="auto"/>
        <w:rPr>
          <w:rFonts w:ascii="Calibri" w:hAnsi="Calibri" w:cs="Calibri"/>
        </w:rPr>
      </w:pPr>
      <w:r w:rsidRPr="00A47B1C">
        <w:rPr>
          <w:rFonts w:ascii="Calibri" w:hAnsi="Calibri" w:cs="Calibri"/>
        </w:rPr>
        <w:t xml:space="preserve">Taylor (2019) argues that this tool is beneficial as it gives its users a range of perspectives from a global viewpoint which the organisation can delve into whilst analysing a concept. </w:t>
      </w:r>
      <w:r w:rsidR="00A561A2" w:rsidRPr="00A47B1C">
        <w:rPr>
          <w:rFonts w:ascii="Calibri" w:hAnsi="Calibri" w:cs="Calibri"/>
        </w:rPr>
        <w:t>However,</w:t>
      </w:r>
      <w:r w:rsidRPr="00A47B1C">
        <w:rPr>
          <w:rFonts w:ascii="Calibri" w:hAnsi="Calibri" w:cs="Calibri"/>
        </w:rPr>
        <w:t xml:space="preserve"> users need to be cautious to ensure that they capture sufficient amount of information for each category to ensure that the analysis is credible. </w:t>
      </w:r>
    </w:p>
    <w:p w:rsidR="007C74D9" w:rsidRPr="00A47B1C" w:rsidRDefault="007C74D9" w:rsidP="000B5F11">
      <w:pPr>
        <w:spacing w:line="480" w:lineRule="auto"/>
        <w:rPr>
          <w:rFonts w:ascii="Calibri" w:hAnsi="Calibri" w:cs="Calibri"/>
        </w:rPr>
      </w:pPr>
    </w:p>
    <w:p w:rsidR="007C74D9" w:rsidRPr="00A47B1C" w:rsidRDefault="001E60C3" w:rsidP="000B5F11">
      <w:pPr>
        <w:spacing w:line="480" w:lineRule="auto"/>
        <w:rPr>
          <w:rFonts w:ascii="Calibri" w:hAnsi="Calibri" w:cs="Calibri"/>
        </w:rPr>
      </w:pPr>
      <w:r w:rsidRPr="00A47B1C">
        <w:rPr>
          <w:rFonts w:ascii="Calibri" w:hAnsi="Calibri" w:cs="Calibri"/>
        </w:rPr>
        <w:t xml:space="preserve">A useful analysis method to </w:t>
      </w:r>
      <w:r w:rsidR="00DB65AD" w:rsidRPr="00A47B1C">
        <w:rPr>
          <w:rFonts w:ascii="Calibri" w:hAnsi="Calibri" w:cs="Calibri"/>
        </w:rPr>
        <w:t xml:space="preserve">build a sound evidence-based approach to decision making would be to follow the 6 A steps (CIPD, 2024). These 6 steps are said to increase the </w:t>
      </w:r>
      <w:r w:rsidR="00DB65AD" w:rsidRPr="00A47B1C">
        <w:rPr>
          <w:rFonts w:ascii="Calibri" w:hAnsi="Calibri" w:cs="Calibri"/>
        </w:rPr>
        <w:lastRenderedPageBreak/>
        <w:t>likelihood of a favourable outcome and acceptance of the organisational change. The 6 steps include</w:t>
      </w:r>
    </w:p>
    <w:p w:rsidR="00DB65AD" w:rsidRPr="00A47B1C" w:rsidRDefault="00DB65AD"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Asking questions to translate the initial issue into an ‘answerable question’ (CIPD, 2024)</w:t>
      </w:r>
    </w:p>
    <w:p w:rsidR="00DB65AD" w:rsidRPr="00A47B1C" w:rsidRDefault="00DB65AD"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Acquiring credible primary and secondary qualitative and/or quantitative evidence to give further insight into the issue and how it could be resolved.</w:t>
      </w:r>
    </w:p>
    <w:p w:rsidR="00DB65AD" w:rsidRPr="00A47B1C" w:rsidRDefault="00DB65AD"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 xml:space="preserve">Appraising all of the information gathered to ensure that it is from trustworthy and reliable sources. </w:t>
      </w:r>
    </w:p>
    <w:p w:rsidR="00DB65AD" w:rsidRPr="00A47B1C" w:rsidRDefault="00DB65AD"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 xml:space="preserve">Aggregating the evidence and forming </w:t>
      </w:r>
      <w:r w:rsidR="008E2900" w:rsidRPr="00A47B1C">
        <w:rPr>
          <w:rFonts w:ascii="Calibri" w:hAnsi="Calibri" w:cs="Calibri"/>
          <w:szCs w:val="24"/>
        </w:rPr>
        <w:t xml:space="preserve">an action plan, generating SMART targets or making decisions to move forward form the evidence. </w:t>
      </w:r>
    </w:p>
    <w:p w:rsidR="008E2900" w:rsidRPr="00A47B1C" w:rsidRDefault="008E2900"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 xml:space="preserve">Applying the information learnt and ensuring it aligns with the decisions that will </w:t>
      </w:r>
      <w:r w:rsidR="00A561A2" w:rsidRPr="00A47B1C">
        <w:rPr>
          <w:rFonts w:ascii="Calibri" w:hAnsi="Calibri" w:cs="Calibri"/>
          <w:szCs w:val="24"/>
        </w:rPr>
        <w:t>affect</w:t>
      </w:r>
      <w:r w:rsidRPr="00A47B1C">
        <w:rPr>
          <w:rFonts w:ascii="Calibri" w:hAnsi="Calibri" w:cs="Calibri"/>
          <w:szCs w:val="24"/>
        </w:rPr>
        <w:t xml:space="preserve"> the </w:t>
      </w:r>
      <w:proofErr w:type="spellStart"/>
      <w:r w:rsidRPr="00A47B1C">
        <w:rPr>
          <w:rFonts w:ascii="Calibri" w:hAnsi="Calibri" w:cs="Calibri"/>
          <w:szCs w:val="24"/>
        </w:rPr>
        <w:t>organsiation</w:t>
      </w:r>
      <w:proofErr w:type="spellEnd"/>
      <w:r w:rsidRPr="00A47B1C">
        <w:rPr>
          <w:rFonts w:ascii="Calibri" w:hAnsi="Calibri" w:cs="Calibri"/>
          <w:szCs w:val="24"/>
        </w:rPr>
        <w:t xml:space="preserve">. </w:t>
      </w:r>
    </w:p>
    <w:p w:rsidR="008E2900" w:rsidRPr="00A47B1C" w:rsidRDefault="008E2900" w:rsidP="000B5F11">
      <w:pPr>
        <w:pStyle w:val="ListParagraph"/>
        <w:numPr>
          <w:ilvl w:val="0"/>
          <w:numId w:val="6"/>
        </w:numPr>
        <w:spacing w:line="480" w:lineRule="auto"/>
        <w:rPr>
          <w:rFonts w:ascii="Calibri" w:hAnsi="Calibri" w:cs="Calibri"/>
          <w:szCs w:val="24"/>
        </w:rPr>
      </w:pPr>
      <w:r w:rsidRPr="00A47B1C">
        <w:rPr>
          <w:rFonts w:ascii="Calibri" w:hAnsi="Calibri" w:cs="Calibri"/>
          <w:szCs w:val="24"/>
        </w:rPr>
        <w:t xml:space="preserve">Assessing the situation to see if the decisions made have had the intended impact on the organization or if the process needs to be repeated to enact further change. </w:t>
      </w:r>
    </w:p>
    <w:p w:rsidR="000B5F11" w:rsidRPr="00AB3A53" w:rsidRDefault="008E2900" w:rsidP="00AB3A53">
      <w:pPr>
        <w:spacing w:line="480" w:lineRule="auto"/>
        <w:rPr>
          <w:rFonts w:ascii="Calibri" w:hAnsi="Calibri" w:cs="Calibri"/>
        </w:rPr>
      </w:pPr>
      <w:r w:rsidRPr="00A47B1C">
        <w:rPr>
          <w:rFonts w:ascii="Calibri" w:hAnsi="Calibri" w:cs="Calibri"/>
        </w:rPr>
        <w:t xml:space="preserve">This approach is useful as it removes personable aspects form the </w:t>
      </w:r>
      <w:r w:rsidR="00A561A2" w:rsidRPr="00A47B1C">
        <w:rPr>
          <w:rFonts w:ascii="Calibri" w:hAnsi="Calibri" w:cs="Calibri"/>
        </w:rPr>
        <w:t>decision-making</w:t>
      </w:r>
      <w:r w:rsidRPr="00A47B1C">
        <w:rPr>
          <w:rFonts w:ascii="Calibri" w:hAnsi="Calibri" w:cs="Calibri"/>
        </w:rPr>
        <w:t xml:space="preserve"> process and creates a strict framework to build unbiased decisions from (Adam et al., 2022).</w:t>
      </w:r>
    </w:p>
    <w:p w:rsidR="000B5F11" w:rsidRDefault="000B5F11" w:rsidP="00A561A2">
      <w:pPr>
        <w:pStyle w:val="BodyText"/>
        <w:spacing w:before="162" w:line="264" w:lineRule="auto"/>
        <w:ind w:right="283"/>
        <w:jc w:val="both"/>
        <w:rPr>
          <w:rFonts w:ascii="Calibri" w:hAnsi="Calibri" w:cs="Calibri"/>
          <w:b/>
          <w:bCs/>
          <w:sz w:val="24"/>
          <w:szCs w:val="24"/>
        </w:rPr>
      </w:pPr>
    </w:p>
    <w:p w:rsidR="00AB3A53" w:rsidRDefault="00AB3A53" w:rsidP="00A561A2">
      <w:pPr>
        <w:pStyle w:val="BodyText"/>
        <w:spacing w:before="162" w:line="264" w:lineRule="auto"/>
        <w:ind w:right="283"/>
        <w:jc w:val="both"/>
        <w:rPr>
          <w:rFonts w:ascii="Calibri" w:hAnsi="Calibri" w:cs="Calibri"/>
          <w:b/>
          <w:bCs/>
          <w:sz w:val="24"/>
          <w:szCs w:val="24"/>
        </w:rPr>
      </w:pPr>
    </w:p>
    <w:p w:rsidR="00B25AE5" w:rsidRPr="00A561A2" w:rsidRDefault="00A561A2" w:rsidP="00A561A2">
      <w:pPr>
        <w:pStyle w:val="BodyText"/>
        <w:spacing w:before="162" w:line="264" w:lineRule="auto"/>
        <w:ind w:right="283"/>
        <w:jc w:val="both"/>
        <w:rPr>
          <w:rFonts w:ascii="Calibri" w:hAnsi="Calibri" w:cs="Calibri"/>
          <w:b/>
          <w:bCs/>
          <w:sz w:val="24"/>
          <w:szCs w:val="24"/>
        </w:rPr>
      </w:pPr>
      <w:r w:rsidRPr="00A561A2">
        <w:rPr>
          <w:rFonts w:ascii="Calibri" w:hAnsi="Calibri" w:cs="Calibri"/>
          <w:b/>
          <w:bCs/>
          <w:sz w:val="24"/>
          <w:szCs w:val="24"/>
        </w:rPr>
        <w:t xml:space="preserve">(AC 1.3) - </w:t>
      </w:r>
      <w:r w:rsidR="00B25AE5" w:rsidRPr="00A561A2">
        <w:rPr>
          <w:rFonts w:ascii="Calibri" w:hAnsi="Calibri" w:cs="Calibri"/>
          <w:b/>
          <w:bCs/>
          <w:sz w:val="24"/>
          <w:szCs w:val="24"/>
        </w:rPr>
        <w:t>Explain the main principles of critical thinking and describe how these might apply to your own and others’ ideas</w:t>
      </w:r>
      <w:r w:rsidR="00B25AE5" w:rsidRPr="00A561A2" w:rsidDel="00D23744">
        <w:rPr>
          <w:rFonts w:ascii="Calibri" w:hAnsi="Calibri" w:cs="Calibri"/>
          <w:b/>
          <w:bCs/>
          <w:sz w:val="24"/>
          <w:szCs w:val="24"/>
        </w:rPr>
        <w:t xml:space="preserve"> </w:t>
      </w:r>
      <w:r w:rsidR="00B25AE5" w:rsidRPr="00A561A2">
        <w:rPr>
          <w:rFonts w:ascii="Calibri" w:hAnsi="Calibri" w:cs="Calibri"/>
          <w:b/>
          <w:bCs/>
          <w:sz w:val="24"/>
          <w:szCs w:val="24"/>
        </w:rPr>
        <w:t xml:space="preserve">to assist objective and rational debate.  </w:t>
      </w:r>
    </w:p>
    <w:p w:rsidR="00A561A2" w:rsidRPr="00A47B1C" w:rsidRDefault="00A561A2" w:rsidP="00A561A2">
      <w:pPr>
        <w:pStyle w:val="BodyText"/>
        <w:spacing w:before="162" w:line="264" w:lineRule="auto"/>
        <w:ind w:right="283"/>
        <w:jc w:val="both"/>
        <w:rPr>
          <w:rFonts w:ascii="Calibri" w:hAnsi="Calibri" w:cs="Calibri"/>
          <w:sz w:val="24"/>
          <w:szCs w:val="24"/>
        </w:rPr>
      </w:pPr>
    </w:p>
    <w:p w:rsidR="00D22DDF" w:rsidRPr="00A47B1C" w:rsidRDefault="00543A16" w:rsidP="000B5F11">
      <w:pPr>
        <w:spacing w:line="480" w:lineRule="auto"/>
        <w:rPr>
          <w:rFonts w:ascii="Calibri" w:hAnsi="Calibri" w:cs="Calibri"/>
        </w:rPr>
      </w:pPr>
      <w:r w:rsidRPr="00A47B1C">
        <w:rPr>
          <w:rFonts w:ascii="Calibri" w:hAnsi="Calibri" w:cs="Calibri"/>
        </w:rPr>
        <w:t>Critical thinking can take a variety of shapes and forms</w:t>
      </w:r>
      <w:r w:rsidR="00D22DDF" w:rsidRPr="00A47B1C">
        <w:rPr>
          <w:rFonts w:ascii="Calibri" w:hAnsi="Calibri" w:cs="Calibri"/>
        </w:rPr>
        <w:t>. F</w:t>
      </w:r>
      <w:r w:rsidRPr="00A47B1C">
        <w:rPr>
          <w:rFonts w:ascii="Calibri" w:hAnsi="Calibri" w:cs="Calibri"/>
        </w:rPr>
        <w:t xml:space="preserve">orming a description of a situation, </w:t>
      </w:r>
      <w:r w:rsidR="00D22DDF" w:rsidRPr="00A47B1C">
        <w:rPr>
          <w:rFonts w:ascii="Calibri" w:hAnsi="Calibri" w:cs="Calibri"/>
        </w:rPr>
        <w:t xml:space="preserve">problem solving, risk assessment, data analysis, inquiry led learning, combining different viewpoints, and growth mindset are a handful of examples of critical thinking put into </w:t>
      </w:r>
      <w:r w:rsidR="00D22DDF" w:rsidRPr="00A47B1C">
        <w:rPr>
          <w:rFonts w:ascii="Calibri" w:hAnsi="Calibri" w:cs="Calibri"/>
        </w:rPr>
        <w:lastRenderedPageBreak/>
        <w:t xml:space="preserve">practice </w:t>
      </w:r>
      <w:r w:rsidR="00D22DDF" w:rsidRPr="00A47B1C">
        <w:rPr>
          <w:rFonts w:ascii="Calibri" w:hAnsi="Calibri" w:cs="Calibri"/>
          <w:color w:val="000000" w:themeColor="text1"/>
        </w:rPr>
        <w:t xml:space="preserve">(Khalaf, Zin, and </w:t>
      </w:r>
      <w:proofErr w:type="spellStart"/>
      <w:r w:rsidR="00D22DDF" w:rsidRPr="00A47B1C">
        <w:rPr>
          <w:rFonts w:ascii="Calibri" w:hAnsi="Calibri" w:cs="Calibri"/>
          <w:color w:val="000000" w:themeColor="text1"/>
        </w:rPr>
        <w:t>Bt</w:t>
      </w:r>
      <w:proofErr w:type="spellEnd"/>
      <w:r w:rsidR="00D22DDF" w:rsidRPr="00A47B1C">
        <w:rPr>
          <w:rFonts w:ascii="Calibri" w:hAnsi="Calibri" w:cs="Calibri"/>
          <w:color w:val="000000" w:themeColor="text1"/>
        </w:rPr>
        <w:t xml:space="preserve">, 2018). Critical thinking is a type of growth mindset which a person study, </w:t>
      </w:r>
      <w:r w:rsidR="00987E0B" w:rsidRPr="00A47B1C">
        <w:rPr>
          <w:rFonts w:ascii="Calibri" w:hAnsi="Calibri" w:cs="Calibri"/>
          <w:color w:val="000000" w:themeColor="text1"/>
        </w:rPr>
        <w:t xml:space="preserve">analyse, and construct a rationale surrounding a topic or subject. </w:t>
      </w:r>
      <w:proofErr w:type="spellStart"/>
      <w:r w:rsidR="00987E0B" w:rsidRPr="00A47B1C">
        <w:rPr>
          <w:rFonts w:ascii="Calibri" w:hAnsi="Calibri" w:cs="Calibri"/>
          <w:color w:val="000000" w:themeColor="text1"/>
        </w:rPr>
        <w:t>Portney</w:t>
      </w:r>
      <w:proofErr w:type="spellEnd"/>
      <w:r w:rsidR="00987E0B" w:rsidRPr="00A47B1C">
        <w:rPr>
          <w:rFonts w:ascii="Calibri" w:hAnsi="Calibri" w:cs="Calibri"/>
          <w:color w:val="000000" w:themeColor="text1"/>
        </w:rPr>
        <w:t xml:space="preserve"> (2020) says that this has appositive impact on a scenario and can increase the efficiency of the overall situation. Halpern </w:t>
      </w:r>
      <w:r w:rsidR="007957B3" w:rsidRPr="00A47B1C">
        <w:rPr>
          <w:rFonts w:ascii="Calibri" w:hAnsi="Calibri" w:cs="Calibri"/>
          <w:color w:val="000000" w:themeColor="text1"/>
        </w:rPr>
        <w:t xml:space="preserve">(2007) states that the crucial components if critical thinking are a person’s capability of reflecting on and evaluating their process of thought (Open university, 2024) He continues by adding that critical thinking necessitates an analytical skillset and </w:t>
      </w:r>
      <w:proofErr w:type="spellStart"/>
      <w:proofErr w:type="gramStart"/>
      <w:r w:rsidR="007957B3" w:rsidRPr="00A47B1C">
        <w:rPr>
          <w:rFonts w:ascii="Calibri" w:hAnsi="Calibri" w:cs="Calibri"/>
          <w:color w:val="000000" w:themeColor="text1"/>
        </w:rPr>
        <w:t>a</w:t>
      </w:r>
      <w:proofErr w:type="spellEnd"/>
      <w:proofErr w:type="gramEnd"/>
      <w:r w:rsidR="007957B3" w:rsidRPr="00A47B1C">
        <w:rPr>
          <w:rFonts w:ascii="Calibri" w:hAnsi="Calibri" w:cs="Calibri"/>
          <w:color w:val="000000" w:themeColor="text1"/>
        </w:rPr>
        <w:t xml:space="preserve"> acknowledgement of a set of rules that decision making can happen within, whilst also understanding that the rules may need to be flouted to achieve a desired result (Open University, 2024).</w:t>
      </w:r>
      <w:r w:rsidR="008D5249" w:rsidRPr="00A47B1C">
        <w:rPr>
          <w:rFonts w:ascii="Calibri" w:hAnsi="Calibri" w:cs="Calibri"/>
        </w:rPr>
        <w:t xml:space="preserve"> Some examples of the fundamentals of critical thinking are:</w:t>
      </w:r>
    </w:p>
    <w:p w:rsidR="008D5249" w:rsidRPr="00A47B1C" w:rsidRDefault="008D5249" w:rsidP="000B5F11">
      <w:pPr>
        <w:pStyle w:val="ListParagraph"/>
        <w:numPr>
          <w:ilvl w:val="0"/>
          <w:numId w:val="8"/>
        </w:numPr>
        <w:spacing w:line="480" w:lineRule="auto"/>
        <w:rPr>
          <w:rFonts w:ascii="Calibri" w:hAnsi="Calibri" w:cs="Calibri"/>
          <w:szCs w:val="24"/>
        </w:rPr>
      </w:pPr>
      <w:r w:rsidRPr="00A47B1C">
        <w:rPr>
          <w:rFonts w:ascii="Calibri" w:hAnsi="Calibri" w:cs="Calibri"/>
          <w:szCs w:val="24"/>
        </w:rPr>
        <w:t xml:space="preserve">Relevant subject knowledge </w:t>
      </w:r>
    </w:p>
    <w:p w:rsidR="008D5249" w:rsidRPr="00A47B1C" w:rsidRDefault="008D5249" w:rsidP="000B5F11">
      <w:pPr>
        <w:pStyle w:val="ListParagraph"/>
        <w:numPr>
          <w:ilvl w:val="0"/>
          <w:numId w:val="8"/>
        </w:numPr>
        <w:spacing w:line="480" w:lineRule="auto"/>
        <w:rPr>
          <w:rFonts w:ascii="Calibri" w:hAnsi="Calibri" w:cs="Calibri"/>
          <w:szCs w:val="24"/>
        </w:rPr>
      </w:pPr>
      <w:r w:rsidRPr="00A47B1C">
        <w:rPr>
          <w:rFonts w:ascii="Calibri" w:hAnsi="Calibri" w:cs="Calibri"/>
          <w:szCs w:val="24"/>
        </w:rPr>
        <w:t>Open mindedness</w:t>
      </w:r>
    </w:p>
    <w:p w:rsidR="008D5249" w:rsidRPr="00A47B1C" w:rsidRDefault="008D5249" w:rsidP="000B5F11">
      <w:pPr>
        <w:pStyle w:val="ListParagraph"/>
        <w:numPr>
          <w:ilvl w:val="0"/>
          <w:numId w:val="8"/>
        </w:numPr>
        <w:spacing w:line="480" w:lineRule="auto"/>
        <w:rPr>
          <w:rFonts w:ascii="Calibri" w:hAnsi="Calibri" w:cs="Calibri"/>
          <w:szCs w:val="24"/>
        </w:rPr>
      </w:pPr>
      <w:r w:rsidRPr="00A47B1C">
        <w:rPr>
          <w:rFonts w:ascii="Calibri" w:hAnsi="Calibri" w:cs="Calibri"/>
          <w:szCs w:val="24"/>
        </w:rPr>
        <w:t>Inquisitiveness</w:t>
      </w:r>
    </w:p>
    <w:p w:rsidR="008D5249" w:rsidRPr="00A47B1C" w:rsidRDefault="008D5249" w:rsidP="000B5F11">
      <w:pPr>
        <w:pStyle w:val="ListParagraph"/>
        <w:numPr>
          <w:ilvl w:val="0"/>
          <w:numId w:val="8"/>
        </w:numPr>
        <w:spacing w:line="480" w:lineRule="auto"/>
        <w:rPr>
          <w:rFonts w:ascii="Calibri" w:hAnsi="Calibri" w:cs="Calibri"/>
          <w:szCs w:val="24"/>
        </w:rPr>
      </w:pPr>
      <w:r w:rsidRPr="00A47B1C">
        <w:rPr>
          <w:rFonts w:ascii="Calibri" w:hAnsi="Calibri" w:cs="Calibri"/>
          <w:szCs w:val="24"/>
        </w:rPr>
        <w:t>Building a balanced rationale on a desire topic/question</w:t>
      </w:r>
    </w:p>
    <w:p w:rsidR="000955CF" w:rsidRPr="00A47B1C" w:rsidRDefault="000955CF" w:rsidP="000B5F11">
      <w:pPr>
        <w:pStyle w:val="ListParagraph"/>
        <w:numPr>
          <w:ilvl w:val="0"/>
          <w:numId w:val="8"/>
        </w:numPr>
        <w:spacing w:line="480" w:lineRule="auto"/>
        <w:rPr>
          <w:rFonts w:ascii="Calibri" w:hAnsi="Calibri" w:cs="Calibri"/>
          <w:szCs w:val="24"/>
        </w:rPr>
      </w:pPr>
      <w:r w:rsidRPr="00A47B1C">
        <w:rPr>
          <w:rFonts w:ascii="Calibri" w:hAnsi="Calibri" w:cs="Calibri"/>
          <w:szCs w:val="24"/>
        </w:rPr>
        <w:t>Detail orientated on an inquisition</w:t>
      </w:r>
    </w:p>
    <w:p w:rsidR="0057551F" w:rsidRPr="00A47B1C" w:rsidRDefault="000955CF" w:rsidP="000B5F11">
      <w:pPr>
        <w:spacing w:line="480" w:lineRule="auto"/>
        <w:rPr>
          <w:rFonts w:ascii="Calibri" w:hAnsi="Calibri" w:cs="Calibri"/>
        </w:rPr>
      </w:pPr>
      <w:r w:rsidRPr="00A47B1C">
        <w:rPr>
          <w:rFonts w:ascii="Calibri" w:hAnsi="Calibri" w:cs="Calibri"/>
        </w:rPr>
        <w:t xml:space="preserve">Critical thinking is the utilisation of </w:t>
      </w:r>
      <w:r w:rsidR="0057551F" w:rsidRPr="00A47B1C">
        <w:rPr>
          <w:rFonts w:ascii="Calibri" w:hAnsi="Calibri" w:cs="Calibri"/>
        </w:rPr>
        <w:t>existing knowledge, the acquisition of new knowledge and information to critically assess all viewpoints of an argument. Evaluating its strengths and weaknesses to form an and individualised opinion, solution, or perspective on the source material (Open University, 2024)</w:t>
      </w:r>
    </w:p>
    <w:p w:rsidR="0057551F" w:rsidRPr="00A47B1C" w:rsidRDefault="0057551F" w:rsidP="000B5F11">
      <w:pPr>
        <w:spacing w:line="480" w:lineRule="auto"/>
        <w:rPr>
          <w:rFonts w:ascii="Calibri" w:hAnsi="Calibri" w:cs="Calibri"/>
        </w:rPr>
      </w:pPr>
      <w:r w:rsidRPr="00A47B1C">
        <w:rPr>
          <w:rFonts w:ascii="Calibri" w:hAnsi="Calibri" w:cs="Calibri"/>
        </w:rPr>
        <w:tab/>
        <w:t>Critical thinking can be seen in practice in a variety of situation in the workplace</w:t>
      </w:r>
      <w:r w:rsidR="00A85E90" w:rsidRPr="00A47B1C">
        <w:rPr>
          <w:rFonts w:ascii="Calibri" w:hAnsi="Calibri" w:cs="Calibri"/>
        </w:rPr>
        <w:t>, f</w:t>
      </w:r>
      <w:r w:rsidRPr="00A47B1C">
        <w:rPr>
          <w:rFonts w:ascii="Calibri" w:hAnsi="Calibri" w:cs="Calibri"/>
        </w:rPr>
        <w:t>or example:</w:t>
      </w:r>
    </w:p>
    <w:p w:rsidR="0057551F" w:rsidRPr="00A47B1C" w:rsidRDefault="0057551F" w:rsidP="000B5F11">
      <w:pPr>
        <w:pStyle w:val="ListParagraph"/>
        <w:numPr>
          <w:ilvl w:val="0"/>
          <w:numId w:val="9"/>
        </w:numPr>
        <w:spacing w:line="480" w:lineRule="auto"/>
        <w:rPr>
          <w:rFonts w:ascii="Calibri" w:hAnsi="Calibri" w:cs="Calibri"/>
          <w:szCs w:val="24"/>
        </w:rPr>
      </w:pPr>
      <w:r w:rsidRPr="00A47B1C">
        <w:rPr>
          <w:rFonts w:ascii="Calibri" w:hAnsi="Calibri" w:cs="Calibri"/>
          <w:szCs w:val="24"/>
        </w:rPr>
        <w:t xml:space="preserve">It is required for conflict resolution when there is a dispute of opinion. Both parties must observe the situation, actively listen to the other’s point of view, articulate their rationale for their personal perspective, and understand the information that is being </w:t>
      </w:r>
      <w:r w:rsidRPr="00A47B1C">
        <w:rPr>
          <w:rFonts w:ascii="Calibri" w:hAnsi="Calibri" w:cs="Calibri"/>
          <w:szCs w:val="24"/>
        </w:rPr>
        <w:lastRenderedPageBreak/>
        <w:t xml:space="preserve">delivered. To progress they must both come to an agreement on how move forward to continue the work. This is a practical example of how critical thinking is imperative for building teamwork </w:t>
      </w:r>
      <w:r w:rsidR="00F0563E" w:rsidRPr="00A47B1C">
        <w:rPr>
          <w:rFonts w:ascii="Calibri" w:hAnsi="Calibri" w:cs="Calibri"/>
          <w:szCs w:val="24"/>
        </w:rPr>
        <w:t xml:space="preserve">skills and working with others. </w:t>
      </w:r>
    </w:p>
    <w:p w:rsidR="00987E0B" w:rsidRPr="00AB3A53" w:rsidRDefault="00F0563E" w:rsidP="00AB3A53">
      <w:pPr>
        <w:pStyle w:val="ListParagraph"/>
        <w:numPr>
          <w:ilvl w:val="0"/>
          <w:numId w:val="9"/>
        </w:numPr>
        <w:spacing w:line="480" w:lineRule="auto"/>
        <w:rPr>
          <w:rFonts w:ascii="Calibri" w:hAnsi="Calibri" w:cs="Calibri"/>
          <w:szCs w:val="24"/>
        </w:rPr>
      </w:pPr>
      <w:r w:rsidRPr="00A47B1C">
        <w:rPr>
          <w:rFonts w:ascii="Calibri" w:hAnsi="Calibri" w:cs="Calibri"/>
          <w:szCs w:val="24"/>
        </w:rPr>
        <w:t>For launching a new product to market critical thinking must be undergone to understand the needs of the market, what their product offers, and what the unique selling point would be to differentiate their product from any that are preexisting. The company would be required to use their current knowledge of the market to assess what they think the market gap would be, gather data and conduct research to determine if their knowledge is correct, adapt their product using the information available to ensure they are meeting the needs of the consumer, and make evidence-bas</w:t>
      </w:r>
      <w:r w:rsidRPr="00AB3A53">
        <w:rPr>
          <w:rFonts w:ascii="Calibri" w:hAnsi="Calibri" w:cs="Calibri"/>
        </w:rPr>
        <w:t>ed decisions to adapt their product ready to go to sale.</w:t>
      </w:r>
    </w:p>
    <w:p w:rsidR="00B25AE5" w:rsidRDefault="00B25AE5">
      <w:pPr>
        <w:rPr>
          <w:rFonts w:ascii="Calibri" w:hAnsi="Calibri" w:cs="Calibri"/>
        </w:rPr>
      </w:pPr>
    </w:p>
    <w:p w:rsidR="00AB3A53" w:rsidRPr="00A47B1C" w:rsidRDefault="00AB3A53">
      <w:pPr>
        <w:rPr>
          <w:rFonts w:ascii="Calibri" w:hAnsi="Calibri" w:cs="Calibri"/>
        </w:rPr>
      </w:pPr>
    </w:p>
    <w:p w:rsidR="002D246D" w:rsidRPr="00A561A2" w:rsidRDefault="00A561A2" w:rsidP="00A561A2">
      <w:pPr>
        <w:pStyle w:val="BodyText"/>
        <w:spacing w:before="162" w:line="264" w:lineRule="auto"/>
        <w:ind w:right="283"/>
        <w:jc w:val="both"/>
        <w:rPr>
          <w:rFonts w:ascii="Calibri" w:eastAsiaTheme="minorEastAsia" w:hAnsi="Calibri" w:cs="Calibri"/>
          <w:b/>
          <w:bCs/>
          <w:sz w:val="24"/>
          <w:szCs w:val="24"/>
        </w:rPr>
      </w:pPr>
      <w:r w:rsidRPr="00A561A2">
        <w:rPr>
          <w:rFonts w:ascii="Calibri" w:hAnsi="Calibri" w:cs="Calibri"/>
          <w:b/>
          <w:bCs/>
          <w:sz w:val="24"/>
          <w:szCs w:val="24"/>
        </w:rPr>
        <w:t xml:space="preserve">(AC 1.4) - </w:t>
      </w:r>
      <w:r w:rsidR="002D246D" w:rsidRPr="00A561A2">
        <w:rPr>
          <w:rFonts w:ascii="Calibri" w:hAnsi="Calibri" w:cs="Calibri"/>
          <w:b/>
          <w:bCs/>
          <w:sz w:val="24"/>
          <w:szCs w:val="24"/>
        </w:rPr>
        <w:t xml:space="preserve">Explain three decision-making processes that can be applied to ensure that effective outcomes are achieved. </w:t>
      </w:r>
    </w:p>
    <w:p w:rsidR="002D246D" w:rsidRPr="00A47B1C" w:rsidRDefault="002D246D" w:rsidP="002D246D">
      <w:pPr>
        <w:rPr>
          <w:rFonts w:ascii="Calibri" w:hAnsi="Calibri" w:cs="Calibri"/>
        </w:rPr>
      </w:pPr>
    </w:p>
    <w:p w:rsidR="008F5013" w:rsidRPr="00A47B1C" w:rsidRDefault="008F5013" w:rsidP="002D246D">
      <w:pPr>
        <w:ind w:firstLine="360"/>
        <w:rPr>
          <w:rFonts w:ascii="Calibri" w:hAnsi="Calibri" w:cs="Calibri"/>
          <w:color w:val="000000" w:themeColor="text1"/>
        </w:rPr>
      </w:pPr>
    </w:p>
    <w:p w:rsidR="002D246D" w:rsidRPr="00AB3A53" w:rsidRDefault="002D246D" w:rsidP="00AB3A53">
      <w:pPr>
        <w:spacing w:line="480" w:lineRule="auto"/>
        <w:ind w:firstLine="360"/>
        <w:rPr>
          <w:rFonts w:ascii="Calibri" w:hAnsi="Calibri" w:cs="Calibri"/>
          <w:color w:val="000000" w:themeColor="text1"/>
        </w:rPr>
      </w:pPr>
      <w:r w:rsidRPr="00A47B1C">
        <w:rPr>
          <w:rFonts w:ascii="Calibri" w:hAnsi="Calibri" w:cs="Calibri"/>
          <w:color w:val="000000" w:themeColor="text1"/>
        </w:rPr>
        <w:t xml:space="preserve">Pellegrini, </w:t>
      </w:r>
      <w:proofErr w:type="spellStart"/>
      <w:r w:rsidRPr="00A47B1C">
        <w:rPr>
          <w:rFonts w:ascii="Calibri" w:hAnsi="Calibri" w:cs="Calibri"/>
          <w:color w:val="000000" w:themeColor="text1"/>
        </w:rPr>
        <w:t>Rizzi</w:t>
      </w:r>
      <w:proofErr w:type="spellEnd"/>
      <w:r w:rsidRPr="00A47B1C">
        <w:rPr>
          <w:rFonts w:ascii="Calibri" w:hAnsi="Calibri" w:cs="Calibri"/>
          <w:color w:val="000000" w:themeColor="text1"/>
        </w:rPr>
        <w:t xml:space="preserve">, and Frey (2018) state that all </w:t>
      </w:r>
      <w:r w:rsidR="0089101C" w:rsidRPr="00A47B1C">
        <w:rPr>
          <w:rFonts w:ascii="Calibri" w:hAnsi="Calibri" w:cs="Calibri"/>
          <w:color w:val="000000" w:themeColor="text1"/>
        </w:rPr>
        <w:t>decision-making</w:t>
      </w:r>
      <w:r w:rsidRPr="00A47B1C">
        <w:rPr>
          <w:rFonts w:ascii="Calibri" w:hAnsi="Calibri" w:cs="Calibri"/>
          <w:color w:val="000000" w:themeColor="text1"/>
        </w:rPr>
        <w:t xml:space="preserve"> t</w:t>
      </w:r>
      <w:r w:rsidR="0089101C" w:rsidRPr="00A47B1C">
        <w:rPr>
          <w:rFonts w:ascii="Calibri" w:hAnsi="Calibri" w:cs="Calibri"/>
          <w:color w:val="000000" w:themeColor="text1"/>
        </w:rPr>
        <w:t>echniques</w:t>
      </w:r>
      <w:r w:rsidRPr="00A47B1C">
        <w:rPr>
          <w:rFonts w:ascii="Calibri" w:hAnsi="Calibri" w:cs="Calibri"/>
          <w:color w:val="000000" w:themeColor="text1"/>
        </w:rPr>
        <w:t xml:space="preserve"> involve </w:t>
      </w:r>
      <w:r w:rsidR="008F5013" w:rsidRPr="00A47B1C">
        <w:rPr>
          <w:rFonts w:ascii="Calibri" w:hAnsi="Calibri" w:cs="Calibri"/>
          <w:color w:val="000000" w:themeColor="text1"/>
        </w:rPr>
        <w:t xml:space="preserve">making a </w:t>
      </w:r>
      <w:r w:rsidR="00AF4FED" w:rsidRPr="00A47B1C">
        <w:rPr>
          <w:rFonts w:ascii="Calibri" w:hAnsi="Calibri" w:cs="Calibri"/>
          <w:color w:val="000000" w:themeColor="text1"/>
        </w:rPr>
        <w:t>conscious decision</w:t>
      </w:r>
      <w:r w:rsidR="008F5013" w:rsidRPr="00A47B1C">
        <w:rPr>
          <w:rFonts w:ascii="Calibri" w:hAnsi="Calibri" w:cs="Calibri"/>
          <w:color w:val="000000" w:themeColor="text1"/>
        </w:rPr>
        <w:t xml:space="preserve"> to respond to an </w:t>
      </w:r>
      <w:r w:rsidR="00291C45" w:rsidRPr="00A47B1C">
        <w:rPr>
          <w:rFonts w:ascii="Calibri" w:hAnsi="Calibri" w:cs="Calibri"/>
          <w:color w:val="000000" w:themeColor="text1"/>
        </w:rPr>
        <w:t>initial stimulus</w:t>
      </w:r>
      <w:r w:rsidR="008F5013" w:rsidRPr="00A47B1C">
        <w:rPr>
          <w:rFonts w:ascii="Calibri" w:hAnsi="Calibri" w:cs="Calibri"/>
          <w:color w:val="000000" w:themeColor="text1"/>
        </w:rPr>
        <w:t xml:space="preserve">, a choice of action plan and </w:t>
      </w:r>
      <w:r w:rsidR="00AF4FED" w:rsidRPr="00A47B1C">
        <w:rPr>
          <w:rFonts w:ascii="Calibri" w:hAnsi="Calibri" w:cs="Calibri"/>
          <w:color w:val="000000" w:themeColor="text1"/>
        </w:rPr>
        <w:t xml:space="preserve">its </w:t>
      </w:r>
      <w:r w:rsidR="008F5013" w:rsidRPr="00A47B1C">
        <w:rPr>
          <w:rFonts w:ascii="Calibri" w:hAnsi="Calibri" w:cs="Calibri"/>
          <w:color w:val="000000" w:themeColor="text1"/>
        </w:rPr>
        <w:t>implem</w:t>
      </w:r>
      <w:r w:rsidR="00AF4FED" w:rsidRPr="00A47B1C">
        <w:rPr>
          <w:rFonts w:ascii="Calibri" w:hAnsi="Calibri" w:cs="Calibri"/>
          <w:color w:val="000000" w:themeColor="text1"/>
        </w:rPr>
        <w:t>entation</w:t>
      </w:r>
      <w:r w:rsidR="008F5013" w:rsidRPr="00A47B1C">
        <w:rPr>
          <w:rFonts w:ascii="Calibri" w:hAnsi="Calibri" w:cs="Calibri"/>
          <w:color w:val="000000" w:themeColor="text1"/>
        </w:rPr>
        <w:t xml:space="preserve">, </w:t>
      </w:r>
      <w:r w:rsidR="00AF4FED" w:rsidRPr="00A47B1C">
        <w:rPr>
          <w:rFonts w:ascii="Calibri" w:hAnsi="Calibri" w:cs="Calibri"/>
          <w:color w:val="000000" w:themeColor="text1"/>
        </w:rPr>
        <w:t>whilst</w:t>
      </w:r>
      <w:r w:rsidR="0089101C" w:rsidRPr="00A47B1C">
        <w:rPr>
          <w:rFonts w:ascii="Calibri" w:hAnsi="Calibri" w:cs="Calibri"/>
          <w:color w:val="000000" w:themeColor="text1"/>
        </w:rPr>
        <w:t xml:space="preserve"> generating</w:t>
      </w:r>
      <w:r w:rsidR="008F5013" w:rsidRPr="00A47B1C">
        <w:rPr>
          <w:rFonts w:ascii="Calibri" w:hAnsi="Calibri" w:cs="Calibri"/>
          <w:color w:val="000000" w:themeColor="text1"/>
        </w:rPr>
        <w:t xml:space="preserve"> an opinion on a situation.</w:t>
      </w:r>
      <w:r w:rsidR="0089101C" w:rsidRPr="00A47B1C">
        <w:rPr>
          <w:rFonts w:ascii="Calibri" w:hAnsi="Calibri" w:cs="Calibri"/>
          <w:color w:val="000000" w:themeColor="text1"/>
        </w:rPr>
        <w:t xml:space="preserve"> Making choices requires critically assessing a subject or issue to gain an overview of the situation. </w:t>
      </w:r>
      <w:r w:rsidR="005A123A" w:rsidRPr="00A47B1C">
        <w:rPr>
          <w:rFonts w:ascii="Calibri" w:hAnsi="Calibri" w:cs="Calibri"/>
          <w:color w:val="000000" w:themeColor="text1"/>
        </w:rPr>
        <w:t>Human resource professionals use d</w:t>
      </w:r>
      <w:r w:rsidR="0089101C" w:rsidRPr="00A47B1C">
        <w:rPr>
          <w:rFonts w:ascii="Calibri" w:hAnsi="Calibri" w:cs="Calibri"/>
          <w:color w:val="000000" w:themeColor="text1"/>
        </w:rPr>
        <w:t xml:space="preserve">ecision making processes as an aid </w:t>
      </w:r>
      <w:r w:rsidR="005A123A" w:rsidRPr="00A47B1C">
        <w:rPr>
          <w:rFonts w:ascii="Calibri" w:hAnsi="Calibri" w:cs="Calibri"/>
          <w:color w:val="000000" w:themeColor="text1"/>
        </w:rPr>
        <w:t xml:space="preserve">in </w:t>
      </w:r>
      <w:r w:rsidR="0089101C" w:rsidRPr="00A47B1C">
        <w:rPr>
          <w:rFonts w:ascii="Calibri" w:hAnsi="Calibri" w:cs="Calibri"/>
          <w:color w:val="000000" w:themeColor="text1"/>
        </w:rPr>
        <w:t xml:space="preserve">assist </w:t>
      </w:r>
      <w:r w:rsidR="005A123A" w:rsidRPr="00A47B1C">
        <w:rPr>
          <w:rFonts w:ascii="Calibri" w:hAnsi="Calibri" w:cs="Calibri"/>
          <w:color w:val="000000" w:themeColor="text1"/>
        </w:rPr>
        <w:t>them</w:t>
      </w:r>
      <w:r w:rsidR="0089101C" w:rsidRPr="00A47B1C">
        <w:rPr>
          <w:rFonts w:ascii="Calibri" w:hAnsi="Calibri" w:cs="Calibri"/>
          <w:color w:val="000000" w:themeColor="text1"/>
        </w:rPr>
        <w:t xml:space="preserve"> in assessing situation</w:t>
      </w:r>
      <w:r w:rsidR="005A123A" w:rsidRPr="00A47B1C">
        <w:rPr>
          <w:rFonts w:ascii="Calibri" w:hAnsi="Calibri" w:cs="Calibri"/>
          <w:color w:val="000000" w:themeColor="text1"/>
        </w:rPr>
        <w:t>s</w:t>
      </w:r>
      <w:r w:rsidR="0089101C" w:rsidRPr="00A47B1C">
        <w:rPr>
          <w:rFonts w:ascii="Calibri" w:hAnsi="Calibri" w:cs="Calibri"/>
          <w:color w:val="000000" w:themeColor="text1"/>
        </w:rPr>
        <w:t xml:space="preserve"> and </w:t>
      </w:r>
      <w:r w:rsidR="005A123A" w:rsidRPr="00A47B1C">
        <w:rPr>
          <w:rFonts w:ascii="Calibri" w:hAnsi="Calibri" w:cs="Calibri"/>
          <w:color w:val="000000" w:themeColor="text1"/>
        </w:rPr>
        <w:t>generate logical and practical solutions that impact the organisation (CIPD, 2024)</w:t>
      </w:r>
    </w:p>
    <w:p w:rsidR="000B5F11" w:rsidRPr="00A47B1C" w:rsidRDefault="005A123A" w:rsidP="00AB3A53">
      <w:pPr>
        <w:spacing w:line="480" w:lineRule="auto"/>
        <w:ind w:firstLine="360"/>
        <w:rPr>
          <w:rFonts w:ascii="Calibri" w:hAnsi="Calibri" w:cs="Calibri"/>
        </w:rPr>
      </w:pPr>
      <w:r w:rsidRPr="00A47B1C">
        <w:rPr>
          <w:rFonts w:ascii="Calibri" w:hAnsi="Calibri" w:cs="Calibri"/>
        </w:rPr>
        <w:t xml:space="preserve">De Bono created a metaphor of wearing six different coloured hats to act as a simple, yet effective, model to provoke critical thinking and </w:t>
      </w:r>
      <w:r w:rsidR="0038631D" w:rsidRPr="00A47B1C">
        <w:rPr>
          <w:rFonts w:ascii="Calibri" w:hAnsi="Calibri" w:cs="Calibri"/>
        </w:rPr>
        <w:t>generate solutions to overcoming obstacles and issues (</w:t>
      </w:r>
      <w:proofErr w:type="spellStart"/>
      <w:r w:rsidR="0038631D" w:rsidRPr="00A47B1C">
        <w:rPr>
          <w:rFonts w:ascii="Calibri" w:hAnsi="Calibri" w:cs="Calibri"/>
          <w:color w:val="232323"/>
          <w:shd w:val="clear" w:color="auto" w:fill="FFFFFF"/>
        </w:rPr>
        <w:t>Kivunja</w:t>
      </w:r>
      <w:proofErr w:type="spellEnd"/>
      <w:r w:rsidR="0038631D" w:rsidRPr="00A47B1C">
        <w:rPr>
          <w:rFonts w:ascii="Calibri" w:hAnsi="Calibri" w:cs="Calibri"/>
        </w:rPr>
        <w:t xml:space="preserve">, 2015). De Bono recognised flaws in typical decision-making process, </w:t>
      </w:r>
      <w:r w:rsidR="0038631D" w:rsidRPr="00A47B1C">
        <w:rPr>
          <w:rFonts w:ascii="Calibri" w:hAnsi="Calibri" w:cs="Calibri"/>
        </w:rPr>
        <w:lastRenderedPageBreak/>
        <w:t>stating that users succumb</w:t>
      </w:r>
      <w:r w:rsidR="00FF689F" w:rsidRPr="00A47B1C">
        <w:rPr>
          <w:rFonts w:ascii="Calibri" w:hAnsi="Calibri" w:cs="Calibri"/>
        </w:rPr>
        <w:t xml:space="preserve">, biases, </w:t>
      </w:r>
      <w:r w:rsidR="0038631D" w:rsidRPr="00A47B1C">
        <w:rPr>
          <w:rFonts w:ascii="Calibri" w:hAnsi="Calibri" w:cs="Calibri"/>
        </w:rPr>
        <w:t>leaning toward gut feelings, helplessness of not knowing what direction to take, and confusion of trying to process large quantities of information simultaneously. De Bono devised his Six thinking Hats as a method of creating a systematic structure to decision making. The six different hats represent an alternative cognitive approach to analysis and critical thinking</w:t>
      </w:r>
      <w:r w:rsidR="000B3DA3" w:rsidRPr="00A47B1C">
        <w:rPr>
          <w:rFonts w:ascii="Calibri" w:hAnsi="Calibri" w:cs="Calibri"/>
        </w:rPr>
        <w:t>. The users would wear a different colour hat to think about an issue from that perspective. The Green Hat looks at creative solutions and tries to think outside of the box; the White Hat looks at data and the known facts surrounding the issue; Red Hat looks at the user’s intuition and emotive feelings; Yellow Hat looks at the benefits and the optimism of the situation; Black Hat focusses on the risks involved; Blue Hat acts as control and pulls all of the information together (The De Bono Group, 2024). Wearing each hat in turn allows the</w:t>
      </w:r>
      <w:r w:rsidR="00FF689F" w:rsidRPr="00A47B1C">
        <w:rPr>
          <w:rFonts w:ascii="Calibri" w:hAnsi="Calibri" w:cs="Calibri"/>
        </w:rPr>
        <w:t xml:space="preserve"> user to reflect on the problem with a different philosophical lens, offering a rounded view of the solutions to move forward effectively (</w:t>
      </w:r>
      <w:proofErr w:type="spellStart"/>
      <w:r w:rsidR="00FF689F" w:rsidRPr="00A47B1C">
        <w:rPr>
          <w:rFonts w:ascii="Calibri" w:hAnsi="Calibri" w:cs="Calibri"/>
          <w:color w:val="232323"/>
          <w:shd w:val="clear" w:color="auto" w:fill="FFFFFF"/>
        </w:rPr>
        <w:t>Kivunja</w:t>
      </w:r>
      <w:proofErr w:type="spellEnd"/>
      <w:r w:rsidR="00FF689F" w:rsidRPr="00A47B1C">
        <w:rPr>
          <w:rFonts w:ascii="Calibri" w:hAnsi="Calibri" w:cs="Calibri"/>
        </w:rPr>
        <w:t>, 2015).</w:t>
      </w:r>
    </w:p>
    <w:p w:rsidR="000B5F11" w:rsidRDefault="00FF689F" w:rsidP="000B5F11">
      <w:pPr>
        <w:spacing w:line="480" w:lineRule="auto"/>
        <w:rPr>
          <w:rFonts w:ascii="Calibri" w:hAnsi="Calibri" w:cs="Calibri"/>
        </w:rPr>
      </w:pPr>
      <w:r w:rsidRPr="00A47B1C">
        <w:rPr>
          <w:rFonts w:ascii="Calibri" w:hAnsi="Calibri" w:cs="Calibri"/>
        </w:rPr>
        <w:tab/>
        <w:t xml:space="preserve"> An alternative method is Best Practice Approach. This is a popular </w:t>
      </w:r>
      <w:r w:rsidR="00CA23B6" w:rsidRPr="00A47B1C">
        <w:rPr>
          <w:rFonts w:ascii="Calibri" w:hAnsi="Calibri" w:cs="Calibri"/>
        </w:rPr>
        <w:t>decision-making</w:t>
      </w:r>
      <w:r w:rsidRPr="00A47B1C">
        <w:rPr>
          <w:rFonts w:ascii="Calibri" w:hAnsi="Calibri" w:cs="Calibri"/>
        </w:rPr>
        <w:t xml:space="preserve"> tool, particularly in regards to HR activities and policy</w:t>
      </w:r>
      <w:r w:rsidR="00CA23B6" w:rsidRPr="00A47B1C">
        <w:rPr>
          <w:rFonts w:ascii="Calibri" w:hAnsi="Calibri" w:cs="Calibri"/>
        </w:rPr>
        <w:t>. The approach dictates that there are a set of practices that can be used in a wide arrange of situations that will create enhanced organisational performance. Best Practice approaches have been generated to assist all aspects of HRM. Pfeffer (1998) created lists surrounding hiring, sharing information, and organisational scrutiny. Additional practices were created in 1999 by Guest which build upon Pfeffer</w:t>
      </w:r>
      <w:r w:rsidR="00AF4FED" w:rsidRPr="00A47B1C">
        <w:rPr>
          <w:rFonts w:ascii="Calibri" w:hAnsi="Calibri" w:cs="Calibri"/>
        </w:rPr>
        <w:t xml:space="preserve"> which</w:t>
      </w:r>
      <w:r w:rsidR="00CA23B6" w:rsidRPr="00A47B1C">
        <w:rPr>
          <w:rFonts w:ascii="Calibri" w:hAnsi="Calibri" w:cs="Calibri"/>
        </w:rPr>
        <w:t xml:space="preserve"> look at organisational training, communication, and job roles. </w:t>
      </w:r>
    </w:p>
    <w:p w:rsidR="00650516" w:rsidRPr="00A47B1C" w:rsidRDefault="00171432" w:rsidP="00AB3A53">
      <w:pPr>
        <w:spacing w:line="480" w:lineRule="auto"/>
        <w:ind w:firstLine="720"/>
        <w:rPr>
          <w:rFonts w:ascii="Calibri" w:hAnsi="Calibri" w:cs="Calibri"/>
        </w:rPr>
      </w:pPr>
      <w:r w:rsidRPr="00A47B1C">
        <w:rPr>
          <w:rFonts w:ascii="Calibri" w:hAnsi="Calibri" w:cs="Calibri"/>
        </w:rPr>
        <w:t xml:space="preserve">Ashman and </w:t>
      </w:r>
      <w:proofErr w:type="spellStart"/>
      <w:r w:rsidRPr="00A47B1C">
        <w:rPr>
          <w:rFonts w:ascii="Calibri" w:hAnsi="Calibri" w:cs="Calibri"/>
        </w:rPr>
        <w:t>Sweller</w:t>
      </w:r>
      <w:proofErr w:type="spellEnd"/>
      <w:r w:rsidRPr="00A47B1C">
        <w:rPr>
          <w:rFonts w:ascii="Calibri" w:hAnsi="Calibri" w:cs="Calibri"/>
        </w:rPr>
        <w:t xml:space="preserve"> (2020) describe</w:t>
      </w:r>
      <w:r w:rsidR="00650516" w:rsidRPr="00A47B1C">
        <w:rPr>
          <w:rFonts w:ascii="Calibri" w:hAnsi="Calibri" w:cs="Calibri"/>
        </w:rPr>
        <w:t>s</w:t>
      </w:r>
      <w:r w:rsidRPr="00A47B1C">
        <w:rPr>
          <w:rFonts w:ascii="Calibri" w:hAnsi="Calibri" w:cs="Calibri"/>
        </w:rPr>
        <w:t xml:space="preserve"> Problem Solving as the practice of linking issues to prior events to draw conclusions and form opinion</w:t>
      </w:r>
      <w:r w:rsidR="00150911" w:rsidRPr="00A47B1C">
        <w:rPr>
          <w:rFonts w:ascii="Calibri" w:hAnsi="Calibri" w:cs="Calibri"/>
        </w:rPr>
        <w:t>s</w:t>
      </w:r>
      <w:r w:rsidRPr="00A47B1C">
        <w:rPr>
          <w:rFonts w:ascii="Calibri" w:hAnsi="Calibri" w:cs="Calibri"/>
        </w:rPr>
        <w:t xml:space="preserve">. They suggest that reporting the root of an issue is not necessary, however, it is possible to </w:t>
      </w:r>
      <w:r w:rsidR="00150911" w:rsidRPr="00A47B1C">
        <w:rPr>
          <w:rFonts w:ascii="Calibri" w:hAnsi="Calibri" w:cs="Calibri"/>
        </w:rPr>
        <w:t xml:space="preserve">determine what is needed and what the accessible possibilities are to generate an appropriate solution. The method was </w:t>
      </w:r>
      <w:r w:rsidR="00150911" w:rsidRPr="00A47B1C">
        <w:rPr>
          <w:rFonts w:ascii="Calibri" w:hAnsi="Calibri" w:cs="Calibri"/>
        </w:rPr>
        <w:lastRenderedPageBreak/>
        <w:t xml:space="preserve">originally formed as a psychological process to actively obtain a desired result from the current position of </w:t>
      </w:r>
      <w:r w:rsidR="00650516" w:rsidRPr="00A47B1C">
        <w:rPr>
          <w:rFonts w:ascii="Calibri" w:hAnsi="Calibri" w:cs="Calibri"/>
        </w:rPr>
        <w:t>its</w:t>
      </w:r>
      <w:r w:rsidR="00150911" w:rsidRPr="00A47B1C">
        <w:rPr>
          <w:rFonts w:ascii="Calibri" w:hAnsi="Calibri" w:cs="Calibri"/>
        </w:rPr>
        <w:t xml:space="preserve"> user (Pellegrini et al., 2018). The process dictates that risk </w:t>
      </w:r>
      <w:r w:rsidR="00650516" w:rsidRPr="00A47B1C">
        <w:rPr>
          <w:rFonts w:ascii="Calibri" w:hAnsi="Calibri" w:cs="Calibri"/>
        </w:rPr>
        <w:t>identification, analysis of available information, and evaluation of all available choices are vital in problem solving. They all culminate in finding a viable solution to the problem (</w:t>
      </w:r>
      <w:r w:rsidR="00650516" w:rsidRPr="00A47B1C">
        <w:rPr>
          <w:rFonts w:ascii="Calibri" w:hAnsi="Calibri" w:cs="Calibri"/>
          <w:color w:val="000000" w:themeColor="text1"/>
        </w:rPr>
        <w:t xml:space="preserve">Ashman &amp; </w:t>
      </w:r>
      <w:proofErr w:type="spellStart"/>
      <w:r w:rsidR="00650516" w:rsidRPr="00A47B1C">
        <w:rPr>
          <w:rFonts w:ascii="Calibri" w:hAnsi="Calibri" w:cs="Calibri"/>
          <w:color w:val="000000" w:themeColor="text1"/>
        </w:rPr>
        <w:t>Sweller</w:t>
      </w:r>
      <w:proofErr w:type="spellEnd"/>
      <w:r w:rsidR="00650516" w:rsidRPr="00A47B1C">
        <w:rPr>
          <w:rFonts w:ascii="Calibri" w:hAnsi="Calibri" w:cs="Calibri"/>
          <w:color w:val="000000" w:themeColor="text1"/>
        </w:rPr>
        <w:t>, 2020)</w:t>
      </w:r>
      <w:r w:rsidR="00AB3A53">
        <w:rPr>
          <w:rFonts w:ascii="Calibri" w:hAnsi="Calibri" w:cs="Calibri"/>
          <w:color w:val="000000" w:themeColor="text1"/>
        </w:rPr>
        <w:t>.</w:t>
      </w:r>
    </w:p>
    <w:p w:rsidR="00AB3A53" w:rsidRDefault="00AB3A53" w:rsidP="00A561A2">
      <w:pPr>
        <w:pStyle w:val="BodyText"/>
        <w:spacing w:before="162" w:line="264" w:lineRule="auto"/>
        <w:ind w:right="283"/>
        <w:jc w:val="both"/>
        <w:rPr>
          <w:rFonts w:ascii="Calibri" w:hAnsi="Calibri" w:cs="Calibri"/>
          <w:b/>
          <w:bCs/>
        </w:rPr>
      </w:pPr>
    </w:p>
    <w:p w:rsidR="00AB3A53" w:rsidRDefault="00AB3A53" w:rsidP="00A561A2">
      <w:pPr>
        <w:pStyle w:val="BodyText"/>
        <w:spacing w:before="162" w:line="264" w:lineRule="auto"/>
        <w:ind w:right="283"/>
        <w:jc w:val="both"/>
        <w:rPr>
          <w:rFonts w:ascii="Calibri" w:hAnsi="Calibri" w:cs="Calibri"/>
          <w:b/>
          <w:bCs/>
        </w:rPr>
      </w:pPr>
    </w:p>
    <w:p w:rsidR="00650516" w:rsidRPr="00A561A2" w:rsidRDefault="00A561A2" w:rsidP="00A561A2">
      <w:pPr>
        <w:pStyle w:val="BodyText"/>
        <w:spacing w:before="162" w:line="264" w:lineRule="auto"/>
        <w:ind w:right="283"/>
        <w:jc w:val="both"/>
        <w:rPr>
          <w:rFonts w:ascii="Calibri" w:eastAsiaTheme="minorEastAsia" w:hAnsi="Calibri" w:cs="Calibri"/>
          <w:b/>
          <w:bCs/>
        </w:rPr>
      </w:pPr>
      <w:r w:rsidRPr="00A561A2">
        <w:rPr>
          <w:rFonts w:ascii="Calibri" w:hAnsi="Calibri" w:cs="Calibri"/>
          <w:b/>
          <w:bCs/>
        </w:rPr>
        <w:t xml:space="preserve">(AC 1.5) - </w:t>
      </w:r>
      <w:r w:rsidR="00650516" w:rsidRPr="00A561A2">
        <w:rPr>
          <w:rFonts w:ascii="Calibri" w:hAnsi="Calibri" w:cs="Calibri"/>
          <w:b/>
          <w:bCs/>
        </w:rPr>
        <w:t xml:space="preserve">Assess three different ethical </w:t>
      </w:r>
      <w:r w:rsidR="00650516" w:rsidRPr="00A561A2">
        <w:rPr>
          <w:rFonts w:ascii="Calibri" w:hAnsi="Calibri" w:cs="Calibri"/>
          <w:b/>
          <w:bCs/>
          <w:color w:val="000000" w:themeColor="text1"/>
        </w:rPr>
        <w:t xml:space="preserve">perspectives and explain </w:t>
      </w:r>
      <w:r w:rsidR="00650516" w:rsidRPr="00A561A2">
        <w:rPr>
          <w:rFonts w:ascii="Calibri" w:hAnsi="Calibri" w:cs="Calibri"/>
          <w:b/>
          <w:bCs/>
        </w:rPr>
        <w:t xml:space="preserve">how understanding of these can be used to inform and influence moral decision-making. </w:t>
      </w:r>
    </w:p>
    <w:p w:rsidR="008154CC" w:rsidRPr="00A47B1C" w:rsidRDefault="008154CC">
      <w:pPr>
        <w:rPr>
          <w:rFonts w:ascii="Calibri" w:hAnsi="Calibri" w:cs="Calibri"/>
        </w:rPr>
      </w:pPr>
    </w:p>
    <w:p w:rsidR="000B5F11" w:rsidRDefault="008154CC" w:rsidP="00AB3A53">
      <w:pPr>
        <w:spacing w:line="480" w:lineRule="auto"/>
        <w:ind w:firstLine="720"/>
        <w:rPr>
          <w:rFonts w:ascii="Calibri" w:hAnsi="Calibri" w:cs="Calibri"/>
          <w:color w:val="000000" w:themeColor="text1"/>
        </w:rPr>
      </w:pPr>
      <w:r w:rsidRPr="00A47B1C">
        <w:rPr>
          <w:rFonts w:ascii="Calibri" w:hAnsi="Calibri" w:cs="Calibri"/>
        </w:rPr>
        <w:t xml:space="preserve">Making ethical decisions allow organisations to establish trust through respect, empathy, justice, adherence to societal norms, and demonstrating respect </w:t>
      </w:r>
      <w:r w:rsidRPr="00A47B1C">
        <w:rPr>
          <w:rFonts w:ascii="Calibri" w:hAnsi="Calibri" w:cs="Calibri"/>
          <w:color w:val="000000" w:themeColor="text1"/>
        </w:rPr>
        <w:t xml:space="preserve">(Marseille and Kahn, 2019). Adhering to these build strong foundations for decision makers by highlighting necessary principles for daily behaviour. </w:t>
      </w:r>
    </w:p>
    <w:p w:rsidR="000B5F11" w:rsidRPr="00A47B1C" w:rsidRDefault="00C428F9" w:rsidP="00AB3A53">
      <w:pPr>
        <w:spacing w:line="480" w:lineRule="auto"/>
        <w:ind w:firstLine="720"/>
        <w:rPr>
          <w:rFonts w:ascii="Calibri" w:hAnsi="Calibri" w:cs="Calibri"/>
          <w:color w:val="000000" w:themeColor="text1"/>
        </w:rPr>
      </w:pPr>
      <w:r w:rsidRPr="00A47B1C">
        <w:rPr>
          <w:rFonts w:ascii="Calibri" w:hAnsi="Calibri" w:cs="Calibri"/>
          <w:color w:val="000000" w:themeColor="text1"/>
        </w:rPr>
        <w:t>Utilitarianism debates the morality of actions against what is right and wrong, and what outcome provide the most benefits or good for the highest proportion of people (Marseille and Kahn, 2019).</w:t>
      </w:r>
      <w:r w:rsidR="00C703F1" w:rsidRPr="00A47B1C">
        <w:rPr>
          <w:rFonts w:ascii="Calibri" w:hAnsi="Calibri" w:cs="Calibri"/>
          <w:color w:val="000000" w:themeColor="text1"/>
        </w:rPr>
        <w:t xml:space="preserve"> This philosophy suggests that decision-makers should ethically chose choices that benefit the highest proportion of people. In a Human Resource context, utilitarianism can </w:t>
      </w:r>
      <w:r w:rsidR="001E71B9" w:rsidRPr="00A47B1C">
        <w:rPr>
          <w:rFonts w:ascii="Calibri" w:hAnsi="Calibri" w:cs="Calibri"/>
          <w:color w:val="000000" w:themeColor="text1"/>
        </w:rPr>
        <w:t>navigate</w:t>
      </w:r>
      <w:r w:rsidR="00C703F1" w:rsidRPr="00A47B1C">
        <w:rPr>
          <w:rFonts w:ascii="Calibri" w:hAnsi="Calibri" w:cs="Calibri"/>
          <w:color w:val="000000" w:themeColor="text1"/>
        </w:rPr>
        <w:t xml:space="preserve"> HR practice and</w:t>
      </w:r>
      <w:r w:rsidR="001E71B9" w:rsidRPr="00A47B1C">
        <w:rPr>
          <w:rFonts w:ascii="Calibri" w:hAnsi="Calibri" w:cs="Calibri"/>
          <w:color w:val="000000" w:themeColor="text1"/>
        </w:rPr>
        <w:t xml:space="preserve"> policy towards enriching</w:t>
      </w:r>
      <w:r w:rsidR="00C703F1" w:rsidRPr="00A47B1C">
        <w:rPr>
          <w:rFonts w:ascii="Calibri" w:hAnsi="Calibri" w:cs="Calibri"/>
          <w:color w:val="000000" w:themeColor="text1"/>
        </w:rPr>
        <w:t xml:space="preserve"> </w:t>
      </w:r>
      <w:r w:rsidR="001E71B9" w:rsidRPr="00A47B1C">
        <w:rPr>
          <w:rFonts w:ascii="Calibri" w:hAnsi="Calibri" w:cs="Calibri"/>
          <w:color w:val="000000" w:themeColor="text1"/>
        </w:rPr>
        <w:t xml:space="preserve">employee experiences, efficiency and gratification (Vq Solutions, 2024). A utilitarian ideology would consider all approaches before implementing an approach that creates the greatest positive impact on percentage of the workforce and the organisation. </w:t>
      </w:r>
    </w:p>
    <w:p w:rsidR="000B5F11" w:rsidRDefault="00CC3B03" w:rsidP="00AB3A53">
      <w:pPr>
        <w:spacing w:line="480" w:lineRule="auto"/>
        <w:ind w:firstLine="720"/>
        <w:rPr>
          <w:rFonts w:ascii="Calibri" w:hAnsi="Calibri" w:cs="Calibri"/>
          <w:color w:val="000000" w:themeColor="text1"/>
        </w:rPr>
      </w:pPr>
      <w:r w:rsidRPr="00A47B1C">
        <w:rPr>
          <w:rFonts w:ascii="Calibri" w:hAnsi="Calibri" w:cs="Calibri"/>
          <w:color w:val="000000" w:themeColor="text1"/>
        </w:rPr>
        <w:t>Deontology dictates that the morality of an action is not defined by its outcome and whether the action aligns the governing rules and principles (Wang &amp;</w:t>
      </w:r>
      <w:r w:rsidR="00CB6F3F" w:rsidRPr="00A47B1C">
        <w:rPr>
          <w:rFonts w:ascii="Calibri" w:hAnsi="Calibri" w:cs="Calibri"/>
          <w:color w:val="000000" w:themeColor="text1"/>
        </w:rPr>
        <w:t xml:space="preserve">Gupta, 2020). In the context of people professions, it manifests through the adherence organisational policy, </w:t>
      </w:r>
      <w:r w:rsidR="00CB6F3F" w:rsidRPr="00A47B1C">
        <w:rPr>
          <w:rFonts w:ascii="Calibri" w:hAnsi="Calibri" w:cs="Calibri"/>
          <w:color w:val="000000" w:themeColor="text1"/>
        </w:rPr>
        <w:lastRenderedPageBreak/>
        <w:t>ethical guidelines, and code of conduct to ensure that the workforce is treated fairly and equally. The philosophy is suggestive that actions that produce positive outcome will continually be viewed as unethical if the violate the overriding governing structure (</w:t>
      </w:r>
      <w:proofErr w:type="spellStart"/>
      <w:r w:rsidR="00CB6F3F" w:rsidRPr="00A47B1C">
        <w:rPr>
          <w:rFonts w:ascii="Calibri" w:hAnsi="Calibri" w:cs="Calibri"/>
          <w:color w:val="000000" w:themeColor="text1"/>
        </w:rPr>
        <w:t>Vq</w:t>
      </w:r>
      <w:proofErr w:type="spellEnd"/>
      <w:r w:rsidR="00CB6F3F" w:rsidRPr="00A47B1C">
        <w:rPr>
          <w:rFonts w:ascii="Calibri" w:hAnsi="Calibri" w:cs="Calibri"/>
          <w:color w:val="000000" w:themeColor="text1"/>
        </w:rPr>
        <w:t xml:space="preserve"> Solutions, 2024).  Deontology</w:t>
      </w:r>
      <w:r w:rsidR="005C2640" w:rsidRPr="00A47B1C">
        <w:rPr>
          <w:rFonts w:ascii="Calibri" w:hAnsi="Calibri" w:cs="Calibri"/>
          <w:color w:val="000000" w:themeColor="text1"/>
        </w:rPr>
        <w:t xml:space="preserve"> aims to offer transparency and reduce discrimination, for example in regards to organisational process surrounds promotions. However, it</w:t>
      </w:r>
      <w:r w:rsidR="00CB6F3F" w:rsidRPr="00A47B1C">
        <w:rPr>
          <w:rFonts w:ascii="Calibri" w:hAnsi="Calibri" w:cs="Calibri"/>
          <w:color w:val="000000" w:themeColor="text1"/>
        </w:rPr>
        <w:t xml:space="preserve"> is often criticised for its rigidity and when this ethical approach is applied rigorously does not offer </w:t>
      </w:r>
      <w:r w:rsidR="005C2640" w:rsidRPr="00A47B1C">
        <w:rPr>
          <w:rFonts w:ascii="Calibri" w:hAnsi="Calibri" w:cs="Calibri"/>
          <w:color w:val="000000" w:themeColor="text1"/>
        </w:rPr>
        <w:t>‘ethical flexibility and pragmatic decision making.’ (</w:t>
      </w:r>
      <w:proofErr w:type="spellStart"/>
      <w:r w:rsidR="005C2640" w:rsidRPr="00A47B1C">
        <w:rPr>
          <w:rFonts w:ascii="Calibri" w:hAnsi="Calibri" w:cs="Calibri"/>
          <w:color w:val="000000" w:themeColor="text1"/>
        </w:rPr>
        <w:t>Vq</w:t>
      </w:r>
      <w:proofErr w:type="spellEnd"/>
      <w:r w:rsidR="005C2640" w:rsidRPr="00A47B1C">
        <w:rPr>
          <w:rFonts w:ascii="Calibri" w:hAnsi="Calibri" w:cs="Calibri"/>
          <w:color w:val="000000" w:themeColor="text1"/>
        </w:rPr>
        <w:t xml:space="preserve"> Solutions, 2024).</w:t>
      </w:r>
    </w:p>
    <w:p w:rsidR="005C2640" w:rsidRPr="00A47B1C" w:rsidRDefault="00CA533C" w:rsidP="000B5F11">
      <w:pPr>
        <w:spacing w:line="480" w:lineRule="auto"/>
        <w:ind w:firstLine="720"/>
        <w:rPr>
          <w:rFonts w:ascii="Calibri" w:hAnsi="Calibri" w:cs="Calibri"/>
          <w:color w:val="000000" w:themeColor="text1"/>
        </w:rPr>
      </w:pPr>
      <w:r w:rsidRPr="00A47B1C">
        <w:rPr>
          <w:rFonts w:ascii="Calibri" w:hAnsi="Calibri" w:cs="Calibri"/>
          <w:color w:val="000000" w:themeColor="text1"/>
        </w:rPr>
        <w:t>Ethical decisions based on community values and the collective good is at the core of the communitarian regime. Communitarianism advocates for decisions to benefit the wellbeing of the community rather than focussing on individuals. Decisions are to account for social norms, community views and customs</w:t>
      </w:r>
      <w:r w:rsidR="00934BCB" w:rsidRPr="00A47B1C">
        <w:rPr>
          <w:rFonts w:ascii="Calibri" w:hAnsi="Calibri" w:cs="Calibri"/>
          <w:color w:val="000000" w:themeColor="text1"/>
        </w:rPr>
        <w:t xml:space="preserve"> (</w:t>
      </w:r>
      <w:proofErr w:type="spellStart"/>
      <w:r w:rsidR="00934BCB" w:rsidRPr="00A47B1C">
        <w:rPr>
          <w:rFonts w:ascii="Calibri" w:hAnsi="Calibri" w:cs="Calibri"/>
          <w:color w:val="000000" w:themeColor="text1"/>
        </w:rPr>
        <w:t>Vq</w:t>
      </w:r>
      <w:proofErr w:type="spellEnd"/>
      <w:r w:rsidR="00934BCB" w:rsidRPr="00A47B1C">
        <w:rPr>
          <w:rFonts w:ascii="Calibri" w:hAnsi="Calibri" w:cs="Calibri"/>
          <w:color w:val="000000" w:themeColor="text1"/>
        </w:rPr>
        <w:t xml:space="preserve"> Solutions, 2024).</w:t>
      </w:r>
      <w:r w:rsidRPr="00A47B1C">
        <w:rPr>
          <w:rFonts w:ascii="Calibri" w:hAnsi="Calibri" w:cs="Calibri"/>
          <w:color w:val="000000" w:themeColor="text1"/>
        </w:rPr>
        <w:t xml:space="preserve"> This ethical lens guides HR to </w:t>
      </w:r>
      <w:r w:rsidR="00934BCB" w:rsidRPr="00A47B1C">
        <w:rPr>
          <w:rFonts w:ascii="Calibri" w:hAnsi="Calibri" w:cs="Calibri"/>
          <w:color w:val="000000" w:themeColor="text1"/>
        </w:rPr>
        <w:t>prioritise</w:t>
      </w:r>
      <w:r w:rsidRPr="00A47B1C">
        <w:rPr>
          <w:rFonts w:ascii="Calibri" w:hAnsi="Calibri" w:cs="Calibri"/>
          <w:color w:val="000000" w:themeColor="text1"/>
        </w:rPr>
        <w:t xml:space="preserve"> team work, organisation culture, community wellbeing and engagement. Decisions</w:t>
      </w:r>
      <w:r w:rsidR="00934BCB" w:rsidRPr="00A47B1C">
        <w:rPr>
          <w:rFonts w:ascii="Calibri" w:hAnsi="Calibri" w:cs="Calibri"/>
          <w:color w:val="000000" w:themeColor="text1"/>
        </w:rPr>
        <w:t xml:space="preserve"> to policy</w:t>
      </w:r>
      <w:r w:rsidRPr="00A47B1C">
        <w:rPr>
          <w:rFonts w:ascii="Calibri" w:hAnsi="Calibri" w:cs="Calibri"/>
          <w:color w:val="000000" w:themeColor="text1"/>
        </w:rPr>
        <w:t xml:space="preserve"> are to be made to reinforce the collective values</w:t>
      </w:r>
      <w:r w:rsidR="00934BCB" w:rsidRPr="00A47B1C">
        <w:rPr>
          <w:rFonts w:ascii="Calibri" w:hAnsi="Calibri" w:cs="Calibri"/>
          <w:color w:val="000000" w:themeColor="text1"/>
        </w:rPr>
        <w:t xml:space="preserve"> and</w:t>
      </w:r>
      <w:r w:rsidRPr="00A47B1C">
        <w:rPr>
          <w:rFonts w:ascii="Calibri" w:hAnsi="Calibri" w:cs="Calibri"/>
          <w:color w:val="000000" w:themeColor="text1"/>
        </w:rPr>
        <w:t xml:space="preserve"> communal</w:t>
      </w:r>
      <w:r w:rsidR="00934BCB" w:rsidRPr="00A47B1C">
        <w:rPr>
          <w:rFonts w:ascii="Calibri" w:hAnsi="Calibri" w:cs="Calibri"/>
          <w:color w:val="000000" w:themeColor="text1"/>
        </w:rPr>
        <w:t xml:space="preserve"> belonging. This ideology has come under critique as it can marginalise those who do not hold the views of the majority, for example historically LGBTQ+ concerns have ‘obscured from view’ </w:t>
      </w:r>
      <w:r w:rsidR="00934BCB" w:rsidRPr="00A47B1C">
        <w:rPr>
          <w:rFonts w:ascii="Calibri" w:hAnsi="Calibri" w:cs="Calibri"/>
          <w:color w:val="000000" w:themeColor="text1"/>
          <w:shd w:val="clear" w:color="auto" w:fill="FFFFFF"/>
        </w:rPr>
        <w:t>(Dhaliwal and Patel, 2012) in this ethical practice.</w:t>
      </w:r>
    </w:p>
    <w:p w:rsidR="00CB6F3F" w:rsidRPr="00A47B1C" w:rsidRDefault="00CB6F3F" w:rsidP="00CC3B03">
      <w:pPr>
        <w:ind w:firstLine="720"/>
        <w:rPr>
          <w:rFonts w:ascii="Calibri" w:hAnsi="Calibri" w:cs="Calibri"/>
          <w:color w:val="000000" w:themeColor="text1"/>
        </w:rPr>
      </w:pPr>
    </w:p>
    <w:p w:rsidR="00AB3A53" w:rsidRPr="00A47B1C" w:rsidRDefault="00AB3A53" w:rsidP="00AB3A53">
      <w:pPr>
        <w:rPr>
          <w:rFonts w:ascii="Calibri" w:hAnsi="Calibri" w:cs="Calibri"/>
          <w:color w:val="000000" w:themeColor="text1"/>
        </w:rPr>
      </w:pPr>
    </w:p>
    <w:p w:rsidR="001E71B9" w:rsidRPr="00A47B1C" w:rsidRDefault="001E71B9" w:rsidP="001E71B9">
      <w:pPr>
        <w:rPr>
          <w:rFonts w:ascii="Calibri" w:hAnsi="Calibri" w:cs="Calibri"/>
          <w:color w:val="000000" w:themeColor="text1"/>
        </w:rPr>
      </w:pPr>
    </w:p>
    <w:p w:rsidR="008C27F6" w:rsidRPr="00A561A2" w:rsidRDefault="00A561A2" w:rsidP="00A561A2">
      <w:pPr>
        <w:pStyle w:val="BodyText"/>
        <w:spacing w:before="162" w:line="264" w:lineRule="auto"/>
        <w:ind w:right="283"/>
        <w:jc w:val="both"/>
        <w:rPr>
          <w:rFonts w:ascii="Calibri" w:hAnsi="Calibri" w:cs="Calibri"/>
          <w:b/>
          <w:bCs/>
        </w:rPr>
      </w:pPr>
      <w:r w:rsidRPr="00A561A2">
        <w:rPr>
          <w:rFonts w:ascii="Calibri" w:hAnsi="Calibri" w:cs="Calibri"/>
          <w:b/>
          <w:bCs/>
        </w:rPr>
        <w:t xml:space="preserve">(AC 3.1) - </w:t>
      </w:r>
      <w:r w:rsidR="008C27F6" w:rsidRPr="00A561A2">
        <w:rPr>
          <w:rFonts w:ascii="Calibri" w:hAnsi="Calibri" w:cs="Calibri"/>
          <w:b/>
          <w:bCs/>
        </w:rPr>
        <w:t xml:space="preserve">Appraise </w:t>
      </w:r>
      <w:r w:rsidR="008C27F6" w:rsidRPr="00A561A2">
        <w:rPr>
          <w:rFonts w:ascii="Calibri" w:eastAsia="Times New Roman" w:hAnsi="Calibri" w:cs="Calibri"/>
          <w:b/>
          <w:bCs/>
        </w:rPr>
        <w:t>two different ways organisations measure financial and non-financial performance, providing one example of each.</w:t>
      </w:r>
      <w:r w:rsidR="008C27F6" w:rsidRPr="00A561A2">
        <w:rPr>
          <w:rFonts w:ascii="Calibri" w:hAnsi="Calibri" w:cs="Calibri"/>
          <w:b/>
          <w:bCs/>
        </w:rPr>
        <w:t xml:space="preserve"> </w:t>
      </w:r>
    </w:p>
    <w:p w:rsidR="0033449A" w:rsidRPr="00A47B1C" w:rsidRDefault="0033449A" w:rsidP="0033449A">
      <w:pPr>
        <w:pStyle w:val="BodyText"/>
        <w:spacing w:before="162" w:line="264" w:lineRule="auto"/>
        <w:ind w:left="1072" w:right="283"/>
        <w:jc w:val="both"/>
        <w:rPr>
          <w:rFonts w:ascii="Calibri" w:hAnsi="Calibri" w:cs="Calibri"/>
        </w:rPr>
      </w:pPr>
    </w:p>
    <w:p w:rsidR="001E71B9" w:rsidRPr="00A47B1C" w:rsidRDefault="00981AFA" w:rsidP="000B5F11">
      <w:pPr>
        <w:spacing w:line="480" w:lineRule="auto"/>
        <w:ind w:firstLine="360"/>
        <w:rPr>
          <w:rFonts w:ascii="Calibri" w:hAnsi="Calibri" w:cs="Calibri"/>
          <w:color w:val="000000" w:themeColor="text1"/>
        </w:rPr>
      </w:pPr>
      <w:r w:rsidRPr="00A47B1C">
        <w:rPr>
          <w:rFonts w:ascii="Calibri" w:hAnsi="Calibri" w:cs="Calibri"/>
          <w:color w:val="000000" w:themeColor="text1"/>
        </w:rPr>
        <w:t xml:space="preserve">There are a variety of tools that can be implemented to measure an organisations lucrativeness in relation to profitability and financial profit against its financial KPIs </w:t>
      </w:r>
      <w:r w:rsidR="0024508B" w:rsidRPr="00A47B1C">
        <w:rPr>
          <w:rFonts w:ascii="Calibri" w:hAnsi="Calibri" w:cs="Calibri"/>
          <w:color w:val="000000" w:themeColor="text1"/>
        </w:rPr>
        <w:t>(key performance indicators) (</w:t>
      </w:r>
      <w:proofErr w:type="spellStart"/>
      <w:r w:rsidR="0024508B" w:rsidRPr="00A47B1C">
        <w:rPr>
          <w:rFonts w:ascii="Calibri" w:hAnsi="Calibri" w:cs="Calibri"/>
          <w:color w:val="000000" w:themeColor="text1"/>
        </w:rPr>
        <w:t>Stobierski</w:t>
      </w:r>
      <w:proofErr w:type="spellEnd"/>
      <w:r w:rsidR="0024508B" w:rsidRPr="00A47B1C">
        <w:rPr>
          <w:rFonts w:ascii="Calibri" w:hAnsi="Calibri" w:cs="Calibri"/>
          <w:color w:val="000000" w:themeColor="text1"/>
        </w:rPr>
        <w:t xml:space="preserve">, 2020). The process of revieing the KPI documents is more commonly referred as financial statement analysis. </w:t>
      </w:r>
      <w:proofErr w:type="spellStart"/>
      <w:r w:rsidR="00FA73CB" w:rsidRPr="00A47B1C">
        <w:rPr>
          <w:rFonts w:ascii="Calibri" w:hAnsi="Calibri" w:cs="Calibri"/>
          <w:color w:val="000000" w:themeColor="text1"/>
        </w:rPr>
        <w:t>Stobierski</w:t>
      </w:r>
      <w:proofErr w:type="spellEnd"/>
      <w:r w:rsidR="00FA73CB" w:rsidRPr="00A47B1C">
        <w:rPr>
          <w:rFonts w:ascii="Calibri" w:hAnsi="Calibri" w:cs="Calibri"/>
          <w:color w:val="000000" w:themeColor="text1"/>
        </w:rPr>
        <w:t xml:space="preserve"> (2020</w:t>
      </w:r>
      <w:r w:rsidR="003034C7">
        <w:rPr>
          <w:rFonts w:ascii="Calibri" w:hAnsi="Calibri" w:cs="Calibri"/>
          <w:color w:val="000000" w:themeColor="text1"/>
        </w:rPr>
        <w:t xml:space="preserve">) </w:t>
      </w:r>
      <w:r w:rsidR="00FA73CB" w:rsidRPr="00A47B1C">
        <w:rPr>
          <w:rFonts w:ascii="Calibri" w:hAnsi="Calibri" w:cs="Calibri"/>
          <w:color w:val="000000" w:themeColor="text1"/>
        </w:rPr>
        <w:t xml:space="preserve">states that </w:t>
      </w:r>
      <w:r w:rsidR="00FA73CB" w:rsidRPr="00A47B1C">
        <w:rPr>
          <w:rFonts w:ascii="Calibri" w:hAnsi="Calibri" w:cs="Calibri"/>
          <w:color w:val="000000" w:themeColor="text1"/>
        </w:rPr>
        <w:lastRenderedPageBreak/>
        <w:t>p</w:t>
      </w:r>
      <w:r w:rsidR="0024508B" w:rsidRPr="00A47B1C">
        <w:rPr>
          <w:rFonts w:ascii="Calibri" w:hAnsi="Calibri" w:cs="Calibri"/>
          <w:color w:val="000000" w:themeColor="text1"/>
        </w:rPr>
        <w:t>erformance indicators, such as gross-profit margin</w:t>
      </w:r>
      <w:r w:rsidR="00FA73CB" w:rsidRPr="00A47B1C">
        <w:rPr>
          <w:rFonts w:ascii="Calibri" w:hAnsi="Calibri" w:cs="Calibri"/>
          <w:color w:val="000000" w:themeColor="text1"/>
        </w:rPr>
        <w:t xml:space="preserve"> and</w:t>
      </w:r>
      <w:r w:rsidR="0024508B" w:rsidRPr="00A47B1C">
        <w:rPr>
          <w:rFonts w:ascii="Calibri" w:hAnsi="Calibri" w:cs="Calibri"/>
          <w:color w:val="000000" w:themeColor="text1"/>
        </w:rPr>
        <w:t xml:space="preserve"> net-profit </w:t>
      </w:r>
      <w:r w:rsidR="00FA73CB" w:rsidRPr="00A47B1C">
        <w:rPr>
          <w:rFonts w:ascii="Calibri" w:hAnsi="Calibri" w:cs="Calibri"/>
          <w:color w:val="000000" w:themeColor="text1"/>
        </w:rPr>
        <w:t>margin are obtained from the following key documents:</w:t>
      </w:r>
    </w:p>
    <w:p w:rsidR="00FA73CB" w:rsidRPr="00A47B1C" w:rsidRDefault="00FA73CB" w:rsidP="000B5F11">
      <w:pPr>
        <w:pStyle w:val="ListParagraph"/>
        <w:numPr>
          <w:ilvl w:val="0"/>
          <w:numId w:val="12"/>
        </w:numPr>
        <w:spacing w:line="480" w:lineRule="auto"/>
        <w:rPr>
          <w:rFonts w:ascii="Calibri" w:hAnsi="Calibri" w:cs="Calibri"/>
          <w:color w:val="000000" w:themeColor="text1"/>
        </w:rPr>
      </w:pPr>
      <w:r w:rsidRPr="00A47B1C">
        <w:rPr>
          <w:rFonts w:ascii="Calibri" w:hAnsi="Calibri" w:cs="Calibri"/>
          <w:color w:val="000000" w:themeColor="text1"/>
        </w:rPr>
        <w:t>Balance sheet – an account of business’ liabilities and assets</w:t>
      </w:r>
    </w:p>
    <w:p w:rsidR="00FA73CB" w:rsidRPr="00A47B1C" w:rsidRDefault="00FA73CB" w:rsidP="000B5F11">
      <w:pPr>
        <w:pStyle w:val="ListParagraph"/>
        <w:numPr>
          <w:ilvl w:val="0"/>
          <w:numId w:val="12"/>
        </w:numPr>
        <w:spacing w:line="480" w:lineRule="auto"/>
        <w:rPr>
          <w:rFonts w:ascii="Calibri" w:hAnsi="Calibri" w:cs="Calibri"/>
          <w:color w:val="000000" w:themeColor="text1"/>
        </w:rPr>
      </w:pPr>
      <w:r w:rsidRPr="00A47B1C">
        <w:rPr>
          <w:rFonts w:ascii="Calibri" w:hAnsi="Calibri" w:cs="Calibri"/>
          <w:color w:val="000000" w:themeColor="text1"/>
        </w:rPr>
        <w:t>Income Statement – a review of business’ profits, expenditure and revenues over a defined period</w:t>
      </w:r>
    </w:p>
    <w:p w:rsidR="00FA73CB" w:rsidRPr="00A47B1C" w:rsidRDefault="00FA73CB" w:rsidP="000B5F11">
      <w:pPr>
        <w:pStyle w:val="ListParagraph"/>
        <w:numPr>
          <w:ilvl w:val="0"/>
          <w:numId w:val="12"/>
        </w:numPr>
        <w:spacing w:line="480" w:lineRule="auto"/>
        <w:rPr>
          <w:rFonts w:ascii="Calibri" w:hAnsi="Calibri" w:cs="Calibri"/>
          <w:color w:val="000000" w:themeColor="text1"/>
        </w:rPr>
      </w:pPr>
      <w:r w:rsidRPr="00A47B1C">
        <w:rPr>
          <w:rFonts w:ascii="Calibri" w:hAnsi="Calibri" w:cs="Calibri"/>
          <w:color w:val="000000" w:themeColor="text1"/>
        </w:rPr>
        <w:t>Cash Flow Statement – documentation of how cash flow is affected by the outcome of balance sheet and income statement.</w:t>
      </w:r>
    </w:p>
    <w:p w:rsidR="00FA73CB" w:rsidRPr="00A47B1C" w:rsidRDefault="00FA73CB" w:rsidP="000B5F11">
      <w:pPr>
        <w:pStyle w:val="ListParagraph"/>
        <w:numPr>
          <w:ilvl w:val="0"/>
          <w:numId w:val="12"/>
        </w:numPr>
        <w:spacing w:line="480" w:lineRule="auto"/>
        <w:rPr>
          <w:rFonts w:ascii="Calibri" w:hAnsi="Calibri" w:cs="Calibri"/>
          <w:color w:val="000000" w:themeColor="text1"/>
        </w:rPr>
      </w:pPr>
      <w:r w:rsidRPr="00A47B1C">
        <w:rPr>
          <w:rFonts w:ascii="Calibri" w:hAnsi="Calibri" w:cs="Calibri"/>
          <w:color w:val="000000" w:themeColor="text1"/>
        </w:rPr>
        <w:t xml:space="preserve">Annual Report – a comprehensive overview of the </w:t>
      </w:r>
      <w:proofErr w:type="spellStart"/>
      <w:r w:rsidRPr="00A47B1C">
        <w:rPr>
          <w:rFonts w:ascii="Calibri" w:hAnsi="Calibri" w:cs="Calibri"/>
          <w:color w:val="000000" w:themeColor="text1"/>
        </w:rPr>
        <w:t>organisation’s</w:t>
      </w:r>
      <w:proofErr w:type="spellEnd"/>
      <w:r w:rsidRPr="00A47B1C">
        <w:rPr>
          <w:rFonts w:ascii="Calibri" w:hAnsi="Calibri" w:cs="Calibri"/>
          <w:color w:val="000000" w:themeColor="text1"/>
        </w:rPr>
        <w:t xml:space="preserve"> operations and financial position.</w:t>
      </w:r>
    </w:p>
    <w:p w:rsidR="000C77AB" w:rsidRDefault="002526A0" w:rsidP="000B5F11">
      <w:pPr>
        <w:spacing w:line="480" w:lineRule="auto"/>
        <w:ind w:firstLine="360"/>
        <w:rPr>
          <w:rFonts w:ascii="Calibri" w:hAnsi="Calibri" w:cs="Calibri"/>
          <w:color w:val="000000" w:themeColor="text1"/>
        </w:rPr>
      </w:pPr>
      <w:r>
        <w:rPr>
          <w:rFonts w:ascii="Calibri" w:hAnsi="Calibri" w:cs="Calibri"/>
          <w:color w:val="000000" w:themeColor="text1"/>
        </w:rPr>
        <w:t>Quantifiable o</w:t>
      </w:r>
      <w:r w:rsidR="0033449A">
        <w:rPr>
          <w:rFonts w:ascii="Calibri" w:hAnsi="Calibri" w:cs="Calibri"/>
          <w:color w:val="000000" w:themeColor="text1"/>
        </w:rPr>
        <w:t xml:space="preserve">rganisational </w:t>
      </w:r>
      <w:r>
        <w:rPr>
          <w:rFonts w:ascii="Calibri" w:hAnsi="Calibri" w:cs="Calibri"/>
          <w:color w:val="000000" w:themeColor="text1"/>
        </w:rPr>
        <w:t xml:space="preserve">measures </w:t>
      </w:r>
      <w:r w:rsidR="0033449A">
        <w:rPr>
          <w:rFonts w:ascii="Calibri" w:hAnsi="Calibri" w:cs="Calibri"/>
          <w:color w:val="000000" w:themeColor="text1"/>
        </w:rPr>
        <w:t>which are not assess in monetary values are considered to be non-financial indicators. These can take shape a plethora of forms and give insight into</w:t>
      </w:r>
      <w:r w:rsidR="000C77AB">
        <w:rPr>
          <w:rFonts w:ascii="Calibri" w:hAnsi="Calibri" w:cs="Calibri"/>
          <w:color w:val="000000" w:themeColor="text1"/>
        </w:rPr>
        <w:t xml:space="preserve"> factors that impact an organisation. CIPD (2023) published ‘Effective Workforce Reporting’ looking at organisational trends and themes when analysing non-financial data. CIPD highlight the use of </w:t>
      </w:r>
      <w:r w:rsidR="00656A17">
        <w:rPr>
          <w:rFonts w:ascii="Calibri" w:hAnsi="Calibri" w:cs="Calibri"/>
          <w:color w:val="000000" w:themeColor="text1"/>
        </w:rPr>
        <w:t>c</w:t>
      </w:r>
      <w:r>
        <w:rPr>
          <w:rFonts w:ascii="Calibri" w:hAnsi="Calibri" w:cs="Calibri"/>
          <w:color w:val="000000" w:themeColor="text1"/>
        </w:rPr>
        <w:t>ustomer satisfaction</w:t>
      </w:r>
      <w:r w:rsidR="00656A17">
        <w:rPr>
          <w:rFonts w:ascii="Calibri" w:hAnsi="Calibri" w:cs="Calibri"/>
          <w:color w:val="000000" w:themeColor="text1"/>
        </w:rPr>
        <w:t xml:space="preserve"> surveys</w:t>
      </w:r>
      <w:r>
        <w:rPr>
          <w:rFonts w:ascii="Calibri" w:hAnsi="Calibri" w:cs="Calibri"/>
          <w:color w:val="000000" w:themeColor="text1"/>
        </w:rPr>
        <w:t xml:space="preserve"> as crucial source of data. O</w:t>
      </w:r>
      <w:r w:rsidR="00594C81">
        <w:rPr>
          <w:rFonts w:ascii="Calibri" w:hAnsi="Calibri" w:cs="Calibri"/>
          <w:color w:val="000000" w:themeColor="text1"/>
        </w:rPr>
        <w:t xml:space="preserve">rganisations </w:t>
      </w:r>
      <w:r>
        <w:rPr>
          <w:rFonts w:ascii="Calibri" w:hAnsi="Calibri" w:cs="Calibri"/>
          <w:color w:val="000000" w:themeColor="text1"/>
        </w:rPr>
        <w:t xml:space="preserve">should analyse data </w:t>
      </w:r>
      <w:r w:rsidR="00656A17">
        <w:rPr>
          <w:rFonts w:ascii="Calibri" w:hAnsi="Calibri" w:cs="Calibri"/>
          <w:color w:val="000000" w:themeColor="text1"/>
        </w:rPr>
        <w:t>from</w:t>
      </w:r>
      <w:r>
        <w:rPr>
          <w:rFonts w:ascii="Calibri" w:hAnsi="Calibri" w:cs="Calibri"/>
          <w:color w:val="000000" w:themeColor="text1"/>
        </w:rPr>
        <w:t xml:space="preserve"> its</w:t>
      </w:r>
      <w:r w:rsidR="00594C81">
        <w:rPr>
          <w:rFonts w:ascii="Calibri" w:hAnsi="Calibri" w:cs="Calibri"/>
          <w:color w:val="000000" w:themeColor="text1"/>
        </w:rPr>
        <w:t xml:space="preserve"> external stakeholders</w:t>
      </w:r>
      <w:r>
        <w:rPr>
          <w:rFonts w:ascii="Calibri" w:hAnsi="Calibri" w:cs="Calibri"/>
          <w:color w:val="000000" w:themeColor="text1"/>
        </w:rPr>
        <w:t>,</w:t>
      </w:r>
      <w:r w:rsidR="00594C81">
        <w:rPr>
          <w:rFonts w:ascii="Calibri" w:hAnsi="Calibri" w:cs="Calibri"/>
          <w:color w:val="000000" w:themeColor="text1"/>
        </w:rPr>
        <w:t xml:space="preserve"> looking at consumer repeat custom </w:t>
      </w:r>
      <w:r>
        <w:rPr>
          <w:rFonts w:ascii="Calibri" w:hAnsi="Calibri" w:cs="Calibri"/>
          <w:color w:val="000000" w:themeColor="text1"/>
        </w:rPr>
        <w:t xml:space="preserve">and customer satisfaction </w:t>
      </w:r>
      <w:r w:rsidR="00594C81">
        <w:rPr>
          <w:rFonts w:ascii="Calibri" w:hAnsi="Calibri" w:cs="Calibri"/>
          <w:color w:val="000000" w:themeColor="text1"/>
        </w:rPr>
        <w:t>(CIPD, 2023)</w:t>
      </w:r>
      <w:r>
        <w:rPr>
          <w:rFonts w:ascii="Calibri" w:hAnsi="Calibri" w:cs="Calibri"/>
          <w:color w:val="000000" w:themeColor="text1"/>
        </w:rPr>
        <w:t>. This is apparent with M&amp;S who identified key trends in their consumers wanting to be more environmentally conscious. M&amp;S have recognised this and pledged to have 100% recyclable packaging by 2025 to increase their customer satisfaction (M&amp;S, 2024)</w:t>
      </w:r>
      <w:r w:rsidR="00594C81">
        <w:rPr>
          <w:rFonts w:ascii="Calibri" w:hAnsi="Calibri" w:cs="Calibri"/>
          <w:color w:val="000000" w:themeColor="text1"/>
        </w:rPr>
        <w:t xml:space="preserve">. </w:t>
      </w:r>
      <w:r w:rsidR="00656A17">
        <w:rPr>
          <w:rFonts w:ascii="Calibri" w:hAnsi="Calibri" w:cs="Calibri"/>
          <w:color w:val="000000" w:themeColor="text1"/>
        </w:rPr>
        <w:t xml:space="preserve">Non-financial reporting gives a broader transparency to its stakeholders and allows a deeper understanding of the financial figures. </w:t>
      </w:r>
      <w:r w:rsidR="00594C81">
        <w:rPr>
          <w:rFonts w:ascii="Calibri" w:hAnsi="Calibri" w:cs="Calibri"/>
          <w:color w:val="000000" w:themeColor="text1"/>
        </w:rPr>
        <w:t>Al-</w:t>
      </w:r>
      <w:proofErr w:type="spellStart"/>
      <w:r w:rsidR="00594C81">
        <w:rPr>
          <w:rFonts w:ascii="Calibri" w:hAnsi="Calibri" w:cs="Calibri"/>
          <w:color w:val="000000" w:themeColor="text1"/>
        </w:rPr>
        <w:t>Mamary</w:t>
      </w:r>
      <w:proofErr w:type="spellEnd"/>
      <w:r w:rsidR="00594C81">
        <w:rPr>
          <w:rFonts w:ascii="Calibri" w:hAnsi="Calibri" w:cs="Calibri"/>
          <w:color w:val="000000" w:themeColor="text1"/>
        </w:rPr>
        <w:t xml:space="preserve"> et al. (2020) stresses the importance of non-financial analysis as these are more indicative of the organisation’s influence on its stakeholders and economic forecasting</w:t>
      </w:r>
      <w:r w:rsidR="00656A17">
        <w:rPr>
          <w:rFonts w:ascii="Calibri" w:hAnsi="Calibri" w:cs="Calibri"/>
          <w:color w:val="000000" w:themeColor="text1"/>
        </w:rPr>
        <w:t>.</w:t>
      </w:r>
    </w:p>
    <w:p w:rsidR="00A561A2" w:rsidRDefault="00A561A2" w:rsidP="00A561A2">
      <w:pPr>
        <w:pStyle w:val="BodyText"/>
        <w:spacing w:before="162" w:line="264" w:lineRule="auto"/>
        <w:ind w:right="283"/>
        <w:jc w:val="both"/>
      </w:pPr>
    </w:p>
    <w:p w:rsidR="00AB3A53" w:rsidRDefault="00AB3A53" w:rsidP="00A561A2">
      <w:pPr>
        <w:pStyle w:val="BodyText"/>
        <w:spacing w:before="162" w:line="264" w:lineRule="auto"/>
        <w:ind w:right="283"/>
        <w:jc w:val="both"/>
      </w:pPr>
    </w:p>
    <w:p w:rsidR="00594C81" w:rsidRPr="00A561A2" w:rsidRDefault="00A561A2" w:rsidP="00A561A2">
      <w:pPr>
        <w:pStyle w:val="BodyText"/>
        <w:spacing w:before="162" w:line="264" w:lineRule="auto"/>
        <w:ind w:right="283"/>
        <w:jc w:val="both"/>
        <w:rPr>
          <w:b/>
          <w:bCs/>
        </w:rPr>
      </w:pPr>
      <w:r w:rsidRPr="00A561A2">
        <w:rPr>
          <w:b/>
          <w:bCs/>
        </w:rPr>
        <w:t xml:space="preserve">(AC 3.2) - </w:t>
      </w:r>
      <w:r w:rsidR="00594C81" w:rsidRPr="00A561A2">
        <w:rPr>
          <w:b/>
          <w:bCs/>
        </w:rPr>
        <w:t xml:space="preserve">Explain how people practices add value in an organisation and identify two methods that might be used to measure the impact of people practices. </w:t>
      </w:r>
    </w:p>
    <w:p w:rsidR="00B53D8B" w:rsidRDefault="00B53D8B">
      <w:pPr>
        <w:rPr>
          <w:rFonts w:ascii="Calibri" w:hAnsi="Calibri" w:cs="Calibri"/>
        </w:rPr>
      </w:pPr>
    </w:p>
    <w:p w:rsidR="000B5F11" w:rsidRDefault="00D604B7" w:rsidP="00AB3A53">
      <w:pPr>
        <w:spacing w:line="480" w:lineRule="auto"/>
        <w:ind w:firstLine="357"/>
        <w:rPr>
          <w:rFonts w:ascii="Calibri" w:hAnsi="Calibri" w:cs="Calibri"/>
        </w:rPr>
      </w:pPr>
      <w:r>
        <w:rPr>
          <w:rFonts w:ascii="Calibri" w:hAnsi="Calibri" w:cs="Calibri"/>
        </w:rPr>
        <w:t>The additional value that people practice add to an organisation can be seen through a variety of way</w:t>
      </w:r>
      <w:r w:rsidR="001F23C4">
        <w:rPr>
          <w:rFonts w:ascii="Calibri" w:hAnsi="Calibri" w:cs="Calibri"/>
        </w:rPr>
        <w:t>s, such as delivering business objectives, assistance with administrative tasks, and providing learning and development opportunities.</w:t>
      </w:r>
      <w:r>
        <w:rPr>
          <w:rFonts w:ascii="Calibri" w:hAnsi="Calibri" w:cs="Calibri"/>
        </w:rPr>
        <w:t xml:space="preserve"> </w:t>
      </w:r>
    </w:p>
    <w:p w:rsidR="000B5F11" w:rsidRDefault="00D604B7" w:rsidP="00AB3A53">
      <w:pPr>
        <w:spacing w:line="480" w:lineRule="auto"/>
        <w:ind w:firstLine="357"/>
        <w:rPr>
          <w:rFonts w:ascii="Calibri" w:hAnsi="Calibri" w:cs="Calibri"/>
        </w:rPr>
      </w:pPr>
      <w:r>
        <w:rPr>
          <w:rFonts w:ascii="Calibri" w:hAnsi="Calibri" w:cs="Calibri"/>
        </w:rPr>
        <w:t>Taylor (2024) state</w:t>
      </w:r>
      <w:r w:rsidR="00B53D8B">
        <w:rPr>
          <w:rFonts w:ascii="Calibri" w:hAnsi="Calibri" w:cs="Calibri"/>
        </w:rPr>
        <w:t>s</w:t>
      </w:r>
      <w:r>
        <w:rPr>
          <w:rFonts w:ascii="Calibri" w:hAnsi="Calibri" w:cs="Calibri"/>
        </w:rPr>
        <w:t xml:space="preserve"> that benefits include </w:t>
      </w:r>
      <w:r w:rsidR="00B53D8B">
        <w:rPr>
          <w:rFonts w:ascii="Calibri" w:hAnsi="Calibri" w:cs="Calibri"/>
        </w:rPr>
        <w:t>‘enhanced productivity and morale’. Through effective evidence-based decisions and employee research people professionals are able to positively influence the attitudes of its workforce and increase productivity throughout the organisation. ‘</w:t>
      </w:r>
      <w:r w:rsidR="00B53D8B" w:rsidRPr="00B53D8B">
        <w:rPr>
          <w:rFonts w:ascii="Calibri" w:hAnsi="Calibri" w:cs="Calibri"/>
        </w:rPr>
        <w:t>Managers who prioritise open communication, do check-ins and appreciate efforts motivate their employees to give their best and perform unwaveringly, thus meeting the organisational requirements.</w:t>
      </w:r>
      <w:r w:rsidR="00B53D8B">
        <w:rPr>
          <w:rFonts w:ascii="Calibri" w:hAnsi="Calibri" w:cs="Calibri"/>
        </w:rPr>
        <w:t xml:space="preserve">’ (Taylor, 2024). Employee satisfaction can be </w:t>
      </w:r>
      <w:r w:rsidR="00A7764F">
        <w:rPr>
          <w:rFonts w:ascii="Calibri" w:hAnsi="Calibri" w:cs="Calibri"/>
        </w:rPr>
        <w:t>assessed</w:t>
      </w:r>
      <w:r w:rsidR="00B53D8B">
        <w:rPr>
          <w:rFonts w:ascii="Calibri" w:hAnsi="Calibri" w:cs="Calibri"/>
        </w:rPr>
        <w:t xml:space="preserve"> by gathering primary data from its workforce through the use of Employee Satisfaction Surveys</w:t>
      </w:r>
      <w:r w:rsidR="00A7764F">
        <w:rPr>
          <w:rFonts w:ascii="Calibri" w:hAnsi="Calibri" w:cs="Calibri"/>
        </w:rPr>
        <w:t xml:space="preserve"> (ESS)</w:t>
      </w:r>
      <w:r w:rsidR="00B53D8B">
        <w:rPr>
          <w:rFonts w:ascii="Calibri" w:hAnsi="Calibri" w:cs="Calibri"/>
        </w:rPr>
        <w:t xml:space="preserve">. </w:t>
      </w:r>
      <w:r w:rsidR="00A7764F">
        <w:rPr>
          <w:rFonts w:ascii="Calibri" w:hAnsi="Calibri" w:cs="Calibri"/>
        </w:rPr>
        <w:t xml:space="preserve">An ESS is a useful tool to measure the satisfaction levels against different aspects of the employee lifecycle such as organisational policy, benefits, recruitment and onboarding processes, and workforce attitudes to highlight a few. There are a variety of benefits to using an ESS, it empowers the recipient to have a say and give honest feedback to those who hold the power to incite change (Bright HR, 2023). There is no set format for how an ESS should be designed and it is an adaptable research method to gather qualitative and/or quantitative data from a large range of people. </w:t>
      </w:r>
      <w:r w:rsidR="001F23C4">
        <w:rPr>
          <w:rFonts w:ascii="Calibri" w:hAnsi="Calibri" w:cs="Calibri"/>
        </w:rPr>
        <w:t>HR professionals are able to analyse t</w:t>
      </w:r>
      <w:r w:rsidR="00A7764F">
        <w:rPr>
          <w:rFonts w:ascii="Calibri" w:hAnsi="Calibri" w:cs="Calibri"/>
        </w:rPr>
        <w:t>he information obtained through ESS</w:t>
      </w:r>
      <w:r w:rsidR="001F23C4">
        <w:rPr>
          <w:rFonts w:ascii="Calibri" w:hAnsi="Calibri" w:cs="Calibri"/>
        </w:rPr>
        <w:t xml:space="preserve">, highlighting themes and trends that are restricting employee and organisational growth. An example of this could be multiple employees articulating a frustration towards a lack of learning and development opportunities, or avenues for career progression.  </w:t>
      </w:r>
    </w:p>
    <w:p w:rsidR="00B53D8B" w:rsidRDefault="001F23C4" w:rsidP="000B5F11">
      <w:pPr>
        <w:spacing w:line="480" w:lineRule="auto"/>
        <w:ind w:firstLine="357"/>
        <w:rPr>
          <w:rFonts w:ascii="Calibri" w:hAnsi="Calibri" w:cs="Calibri"/>
        </w:rPr>
      </w:pPr>
      <w:r>
        <w:rPr>
          <w:rFonts w:ascii="Calibri" w:hAnsi="Calibri" w:cs="Calibri"/>
        </w:rPr>
        <w:lastRenderedPageBreak/>
        <w:t xml:space="preserve">Additionally, HR are able to access data related to absences and staff retention. Taylor (2020) states that </w:t>
      </w:r>
      <w:r w:rsidR="006715F3">
        <w:rPr>
          <w:rFonts w:ascii="Calibri" w:hAnsi="Calibri" w:cs="Calibri"/>
        </w:rPr>
        <w:t>statistically staff turnover and absence rates are significantly reduced when employee satisfaction is high. Therefore, high turnover and absence rates is suggestive that satisfaction is low within the organisation. By analysing this data people professionals are able to gain an insight into the organisation and put the necessary procedures in place to rectify any problems. Harrington (2024) found this to be true in a study across NHS Trusts within the UK stating that effective people management increased staff engagement and satisfaction whilst simultaneously decreasing staff absence and turnover.</w:t>
      </w:r>
    </w:p>
    <w:p w:rsidR="00AB3A53" w:rsidRDefault="00AB3A53" w:rsidP="00FF6914">
      <w:pPr>
        <w:rPr>
          <w:rFonts w:ascii="Calibri" w:hAnsi="Calibri" w:cs="Calibri"/>
        </w:rPr>
      </w:pPr>
    </w:p>
    <w:p w:rsidR="00AB3A53" w:rsidRDefault="00AB3A53" w:rsidP="00FF6914">
      <w:pPr>
        <w:rPr>
          <w:b/>
          <w:bCs/>
        </w:rPr>
      </w:pPr>
    </w:p>
    <w:p w:rsidR="00AB3A53" w:rsidRDefault="00AB3A53" w:rsidP="00FF6914">
      <w:pPr>
        <w:rPr>
          <w:b/>
          <w:bCs/>
        </w:rPr>
      </w:pPr>
    </w:p>
    <w:p w:rsidR="00FF6914" w:rsidRDefault="00FF6914" w:rsidP="00FF6914">
      <w:pPr>
        <w:rPr>
          <w:b/>
          <w:bCs/>
        </w:rPr>
      </w:pPr>
      <w:r w:rsidRPr="006D0179">
        <w:rPr>
          <w:b/>
          <w:bCs/>
        </w:rPr>
        <w:t>Section Two – Quantitative and qualitative analysis review</w:t>
      </w:r>
    </w:p>
    <w:p w:rsidR="00FF6914" w:rsidRDefault="00FF6914" w:rsidP="00FF6914">
      <w:pPr>
        <w:rPr>
          <w:b/>
          <w:bCs/>
        </w:rPr>
      </w:pPr>
    </w:p>
    <w:p w:rsidR="00FF6914" w:rsidRPr="006D0179" w:rsidRDefault="00FF6914" w:rsidP="00FF6914">
      <w:pPr>
        <w:rPr>
          <w:b/>
          <w:bCs/>
        </w:rPr>
      </w:pPr>
      <w:r w:rsidRPr="006D0179">
        <w:rPr>
          <w:b/>
          <w:bCs/>
        </w:rPr>
        <w:t>Review the Equality, Diversity, Inclusion and Salary data that is presented in Table 1 and provide analysis of it to show the:</w:t>
      </w:r>
    </w:p>
    <w:p w:rsidR="00FF6914" w:rsidRDefault="00FF6914" w:rsidP="00FF6914">
      <w:pPr>
        <w:rPr>
          <w:b/>
          <w:bCs/>
        </w:rPr>
      </w:pPr>
    </w:p>
    <w:p w:rsidR="00FF6914" w:rsidRDefault="00FF6914" w:rsidP="00FF6914">
      <w:pPr>
        <w:rPr>
          <w:b/>
          <w:bCs/>
        </w:rPr>
      </w:pPr>
    </w:p>
    <w:p w:rsidR="00FF6914" w:rsidRPr="008474A1" w:rsidRDefault="00FF6914" w:rsidP="00FF6914">
      <w:pPr>
        <w:pStyle w:val="ListParagraph"/>
        <w:numPr>
          <w:ilvl w:val="0"/>
          <w:numId w:val="14"/>
        </w:numPr>
        <w:spacing w:after="0" w:line="240" w:lineRule="auto"/>
        <w:jc w:val="left"/>
        <w:rPr>
          <w:b/>
          <w:bCs/>
        </w:rPr>
      </w:pPr>
      <w:r w:rsidRPr="006D0179">
        <w:rPr>
          <w:b/>
          <w:bCs/>
        </w:rPr>
        <w:t>percentage of each gender by type.</w:t>
      </w:r>
    </w:p>
    <w:p w:rsidR="00FF6914" w:rsidRDefault="00FF6914" w:rsidP="00FF6914">
      <w:pPr>
        <w:contextualSpacing/>
        <w:rPr>
          <w:b/>
          <w:bCs/>
        </w:rPr>
      </w:pPr>
    </w:p>
    <w:p w:rsidR="00FF6914" w:rsidRDefault="00FF6914" w:rsidP="00FF6914">
      <w:pPr>
        <w:contextualSpacing/>
        <w:rPr>
          <w:b/>
          <w:bCs/>
        </w:rPr>
      </w:pPr>
      <w:r>
        <w:rPr>
          <w:noProof/>
        </w:rPr>
        <w:drawing>
          <wp:inline distT="0" distB="0" distL="0" distR="0" wp14:anchorId="21908E9B" wp14:editId="41BB8AD4">
            <wp:extent cx="5731510" cy="3402366"/>
            <wp:effectExtent l="0" t="0" r="8890" b="13970"/>
            <wp:docPr id="427827935" name="Chart 1">
              <a:extLst xmlns:a="http://schemas.openxmlformats.org/drawingml/2006/main">
                <a:ext uri="{FF2B5EF4-FFF2-40B4-BE49-F238E27FC236}">
                  <a16:creationId xmlns:a16="http://schemas.microsoft.com/office/drawing/2014/main" id="{3993824B-0346-C048-50FC-B0F7EB6A75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F6914" w:rsidRDefault="00FF6914" w:rsidP="00FF6914">
      <w:pPr>
        <w:contextualSpacing/>
      </w:pPr>
      <w:r>
        <w:t>(Chart 1.1) – Percentage of gender as an organisation.</w:t>
      </w:r>
    </w:p>
    <w:p w:rsidR="00FF6914" w:rsidRPr="0052253F" w:rsidRDefault="00FF6914" w:rsidP="00FF6914">
      <w:pPr>
        <w:contextualSpacing/>
      </w:pPr>
    </w:p>
    <w:tbl>
      <w:tblPr>
        <w:tblpPr w:leftFromText="180" w:rightFromText="180" w:vertAnchor="text" w:horzAnchor="margin" w:tblpY="135"/>
        <w:tblW w:w="9055" w:type="dxa"/>
        <w:tblLook w:val="04A0" w:firstRow="1" w:lastRow="0" w:firstColumn="1" w:lastColumn="0" w:noHBand="0" w:noVBand="1"/>
      </w:tblPr>
      <w:tblGrid>
        <w:gridCol w:w="2271"/>
        <w:gridCol w:w="2003"/>
        <w:gridCol w:w="2191"/>
        <w:gridCol w:w="2590"/>
      </w:tblGrid>
      <w:tr w:rsidR="00FF6914" w:rsidRPr="008474A1" w:rsidTr="003B169E">
        <w:trPr>
          <w:trHeight w:val="346"/>
        </w:trPr>
        <w:tc>
          <w:tcPr>
            <w:tcW w:w="2271"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rsidR="00FF6914" w:rsidRPr="008474A1" w:rsidRDefault="00FF6914" w:rsidP="003B169E">
            <w:pPr>
              <w:rPr>
                <w:rFonts w:ascii="Calibri" w:eastAsia="Times New Roman" w:hAnsi="Calibri" w:cs="Calibri"/>
                <w:b/>
                <w:bCs/>
                <w:color w:val="000000"/>
                <w:kern w:val="0"/>
                <w:sz w:val="22"/>
                <w:szCs w:val="22"/>
                <w:lang w:eastAsia="en-GB"/>
                <w14:ligatures w14:val="none"/>
              </w:rPr>
            </w:pPr>
            <w:r w:rsidRPr="008474A1">
              <w:rPr>
                <w:rFonts w:ascii="Calibri" w:eastAsia="Times New Roman" w:hAnsi="Calibri" w:cs="Calibri"/>
                <w:b/>
                <w:bCs/>
                <w:color w:val="000000"/>
                <w:kern w:val="0"/>
                <w:sz w:val="22"/>
                <w:szCs w:val="22"/>
                <w:lang w:eastAsia="en-GB"/>
                <w14:ligatures w14:val="none"/>
              </w:rPr>
              <w:lastRenderedPageBreak/>
              <w:t xml:space="preserve">Gender </w:t>
            </w:r>
          </w:p>
        </w:tc>
        <w:tc>
          <w:tcPr>
            <w:tcW w:w="2003" w:type="dxa"/>
            <w:tcBorders>
              <w:top w:val="single" w:sz="8" w:space="0" w:color="auto"/>
              <w:left w:val="nil"/>
              <w:bottom w:val="single" w:sz="8" w:space="0" w:color="auto"/>
              <w:right w:val="single" w:sz="4" w:space="0" w:color="auto"/>
            </w:tcBorders>
            <w:shd w:val="clear" w:color="000000" w:fill="FFFFFF"/>
            <w:noWrap/>
            <w:vAlign w:val="bottom"/>
            <w:hideMark/>
          </w:tcPr>
          <w:p w:rsidR="00FF6914" w:rsidRPr="008474A1" w:rsidRDefault="00FF6914" w:rsidP="003B169E">
            <w:pPr>
              <w:rPr>
                <w:rFonts w:ascii="Calibri" w:eastAsia="Times New Roman" w:hAnsi="Calibri" w:cs="Calibri"/>
                <w:b/>
                <w:bCs/>
                <w:color w:val="000000"/>
                <w:kern w:val="0"/>
                <w:sz w:val="22"/>
                <w:szCs w:val="22"/>
                <w:lang w:eastAsia="en-GB"/>
                <w14:ligatures w14:val="none"/>
              </w:rPr>
            </w:pPr>
            <w:r w:rsidRPr="008474A1">
              <w:rPr>
                <w:rFonts w:ascii="Calibri" w:eastAsia="Times New Roman" w:hAnsi="Calibri" w:cs="Calibri"/>
                <w:b/>
                <w:bCs/>
                <w:color w:val="000000"/>
                <w:kern w:val="0"/>
                <w:sz w:val="22"/>
                <w:szCs w:val="22"/>
                <w:lang w:eastAsia="en-GB"/>
                <w14:ligatures w14:val="none"/>
              </w:rPr>
              <w:t xml:space="preserve">Male </w:t>
            </w:r>
          </w:p>
        </w:tc>
        <w:tc>
          <w:tcPr>
            <w:tcW w:w="2191" w:type="dxa"/>
            <w:tcBorders>
              <w:top w:val="single" w:sz="8" w:space="0" w:color="auto"/>
              <w:left w:val="nil"/>
              <w:bottom w:val="single" w:sz="8" w:space="0" w:color="auto"/>
              <w:right w:val="single" w:sz="4" w:space="0" w:color="auto"/>
            </w:tcBorders>
            <w:shd w:val="clear" w:color="000000" w:fill="FFFFFF"/>
            <w:noWrap/>
            <w:vAlign w:val="bottom"/>
            <w:hideMark/>
          </w:tcPr>
          <w:p w:rsidR="00FF6914" w:rsidRPr="008474A1" w:rsidRDefault="00FF6914" w:rsidP="003B169E">
            <w:pPr>
              <w:rPr>
                <w:rFonts w:ascii="Calibri" w:eastAsia="Times New Roman" w:hAnsi="Calibri" w:cs="Calibri"/>
                <w:b/>
                <w:bCs/>
                <w:color w:val="000000"/>
                <w:kern w:val="0"/>
                <w:sz w:val="22"/>
                <w:szCs w:val="22"/>
                <w:lang w:eastAsia="en-GB"/>
                <w14:ligatures w14:val="none"/>
              </w:rPr>
            </w:pPr>
            <w:r w:rsidRPr="008474A1">
              <w:rPr>
                <w:rFonts w:ascii="Calibri" w:eastAsia="Times New Roman" w:hAnsi="Calibri" w:cs="Calibri"/>
                <w:b/>
                <w:bCs/>
                <w:color w:val="000000"/>
                <w:kern w:val="0"/>
                <w:sz w:val="22"/>
                <w:szCs w:val="22"/>
                <w:lang w:eastAsia="en-GB"/>
                <w14:ligatures w14:val="none"/>
              </w:rPr>
              <w:t>Female</w:t>
            </w:r>
          </w:p>
        </w:tc>
        <w:tc>
          <w:tcPr>
            <w:tcW w:w="2590" w:type="dxa"/>
            <w:tcBorders>
              <w:top w:val="single" w:sz="8" w:space="0" w:color="auto"/>
              <w:left w:val="nil"/>
              <w:bottom w:val="single" w:sz="8" w:space="0" w:color="auto"/>
              <w:right w:val="single" w:sz="8" w:space="0" w:color="auto"/>
            </w:tcBorders>
            <w:shd w:val="clear" w:color="000000" w:fill="FFFFFF"/>
            <w:noWrap/>
            <w:vAlign w:val="bottom"/>
            <w:hideMark/>
          </w:tcPr>
          <w:p w:rsidR="00FF6914" w:rsidRPr="008474A1" w:rsidRDefault="00FF6914" w:rsidP="003B169E">
            <w:pPr>
              <w:rPr>
                <w:rFonts w:ascii="Calibri" w:eastAsia="Times New Roman" w:hAnsi="Calibri" w:cs="Calibri"/>
                <w:b/>
                <w:bCs/>
                <w:color w:val="000000"/>
                <w:kern w:val="0"/>
                <w:sz w:val="22"/>
                <w:szCs w:val="22"/>
                <w:lang w:eastAsia="en-GB"/>
                <w14:ligatures w14:val="none"/>
              </w:rPr>
            </w:pPr>
            <w:r w:rsidRPr="008474A1">
              <w:rPr>
                <w:rFonts w:ascii="Calibri" w:eastAsia="Times New Roman" w:hAnsi="Calibri" w:cs="Calibri"/>
                <w:b/>
                <w:bCs/>
                <w:color w:val="000000"/>
                <w:kern w:val="0"/>
                <w:sz w:val="22"/>
                <w:szCs w:val="22"/>
                <w:lang w:eastAsia="en-GB"/>
                <w14:ligatures w14:val="none"/>
              </w:rPr>
              <w:t>Non-binary</w:t>
            </w:r>
          </w:p>
        </w:tc>
      </w:tr>
      <w:tr w:rsidR="00FF6914" w:rsidRPr="008474A1" w:rsidTr="003B169E">
        <w:trPr>
          <w:trHeight w:val="346"/>
        </w:trPr>
        <w:tc>
          <w:tcPr>
            <w:tcW w:w="2271" w:type="dxa"/>
            <w:tcBorders>
              <w:top w:val="nil"/>
              <w:left w:val="single" w:sz="8" w:space="0" w:color="auto"/>
              <w:bottom w:val="single" w:sz="8" w:space="0" w:color="auto"/>
              <w:right w:val="single" w:sz="8" w:space="0" w:color="auto"/>
            </w:tcBorders>
            <w:shd w:val="clear" w:color="000000" w:fill="FFFFFF"/>
            <w:noWrap/>
            <w:vAlign w:val="bottom"/>
            <w:hideMark/>
          </w:tcPr>
          <w:p w:rsidR="00FF6914" w:rsidRPr="008474A1" w:rsidRDefault="00FF6914" w:rsidP="003B169E">
            <w:pPr>
              <w:rPr>
                <w:rFonts w:ascii="Calibri" w:eastAsia="Times New Roman" w:hAnsi="Calibri" w:cs="Calibri"/>
                <w:color w:val="000000"/>
                <w:kern w:val="0"/>
                <w:sz w:val="22"/>
                <w:szCs w:val="22"/>
                <w:lang w:eastAsia="en-GB"/>
                <w14:ligatures w14:val="none"/>
              </w:rPr>
            </w:pPr>
            <w:r w:rsidRPr="008474A1">
              <w:rPr>
                <w:rFonts w:ascii="Calibri" w:eastAsia="Times New Roman" w:hAnsi="Calibri" w:cs="Calibri"/>
                <w:color w:val="000000"/>
                <w:kern w:val="0"/>
                <w:sz w:val="22"/>
                <w:szCs w:val="22"/>
                <w:lang w:eastAsia="en-GB"/>
                <w14:ligatures w14:val="none"/>
              </w:rPr>
              <w:t>Number of Employees</w:t>
            </w:r>
          </w:p>
        </w:tc>
        <w:tc>
          <w:tcPr>
            <w:tcW w:w="2003" w:type="dxa"/>
            <w:tcBorders>
              <w:top w:val="nil"/>
              <w:left w:val="nil"/>
              <w:bottom w:val="single" w:sz="8" w:space="0" w:color="auto"/>
              <w:right w:val="single" w:sz="4" w:space="0" w:color="auto"/>
            </w:tcBorders>
            <w:shd w:val="clear" w:color="000000" w:fill="FFFFFF"/>
            <w:noWrap/>
            <w:vAlign w:val="bottom"/>
            <w:hideMark/>
          </w:tcPr>
          <w:p w:rsidR="00FF6914" w:rsidRPr="008474A1" w:rsidRDefault="00FF6914" w:rsidP="003B169E">
            <w:pPr>
              <w:jc w:val="right"/>
              <w:rPr>
                <w:rFonts w:ascii="Calibri" w:eastAsia="Times New Roman" w:hAnsi="Calibri" w:cs="Calibri"/>
                <w:color w:val="000000"/>
                <w:kern w:val="0"/>
                <w:sz w:val="22"/>
                <w:szCs w:val="22"/>
                <w:lang w:eastAsia="en-GB"/>
                <w14:ligatures w14:val="none"/>
              </w:rPr>
            </w:pPr>
            <w:r w:rsidRPr="008474A1">
              <w:rPr>
                <w:rFonts w:ascii="Calibri" w:eastAsia="Times New Roman" w:hAnsi="Calibri" w:cs="Calibri"/>
                <w:color w:val="000000"/>
                <w:kern w:val="0"/>
                <w:sz w:val="22"/>
                <w:szCs w:val="22"/>
                <w:lang w:eastAsia="en-GB"/>
                <w14:ligatures w14:val="none"/>
              </w:rPr>
              <w:t>140</w:t>
            </w:r>
          </w:p>
        </w:tc>
        <w:tc>
          <w:tcPr>
            <w:tcW w:w="2191" w:type="dxa"/>
            <w:tcBorders>
              <w:top w:val="nil"/>
              <w:left w:val="nil"/>
              <w:bottom w:val="single" w:sz="8" w:space="0" w:color="auto"/>
              <w:right w:val="single" w:sz="4" w:space="0" w:color="auto"/>
            </w:tcBorders>
            <w:shd w:val="clear" w:color="000000" w:fill="FFFFFF"/>
            <w:noWrap/>
            <w:vAlign w:val="bottom"/>
            <w:hideMark/>
          </w:tcPr>
          <w:p w:rsidR="00FF6914" w:rsidRPr="008474A1" w:rsidRDefault="00FF6914" w:rsidP="003B169E">
            <w:pPr>
              <w:jc w:val="right"/>
              <w:rPr>
                <w:rFonts w:ascii="Calibri" w:eastAsia="Times New Roman" w:hAnsi="Calibri" w:cs="Calibri"/>
                <w:color w:val="000000"/>
                <w:kern w:val="0"/>
                <w:sz w:val="22"/>
                <w:szCs w:val="22"/>
                <w:lang w:eastAsia="en-GB"/>
                <w14:ligatures w14:val="none"/>
              </w:rPr>
            </w:pPr>
            <w:r w:rsidRPr="008474A1">
              <w:rPr>
                <w:rFonts w:ascii="Calibri" w:eastAsia="Times New Roman" w:hAnsi="Calibri" w:cs="Calibri"/>
                <w:color w:val="000000"/>
                <w:kern w:val="0"/>
                <w:sz w:val="22"/>
                <w:szCs w:val="22"/>
                <w:lang w:eastAsia="en-GB"/>
                <w14:ligatures w14:val="none"/>
              </w:rPr>
              <w:t>118</w:t>
            </w:r>
          </w:p>
        </w:tc>
        <w:tc>
          <w:tcPr>
            <w:tcW w:w="2590" w:type="dxa"/>
            <w:tcBorders>
              <w:top w:val="nil"/>
              <w:left w:val="nil"/>
              <w:bottom w:val="single" w:sz="8" w:space="0" w:color="auto"/>
              <w:right w:val="single" w:sz="8" w:space="0" w:color="auto"/>
            </w:tcBorders>
            <w:shd w:val="clear" w:color="000000" w:fill="FFFFFF"/>
            <w:noWrap/>
            <w:vAlign w:val="bottom"/>
            <w:hideMark/>
          </w:tcPr>
          <w:p w:rsidR="00FF6914" w:rsidRPr="008474A1" w:rsidRDefault="00FF6914" w:rsidP="003B169E">
            <w:pPr>
              <w:jc w:val="right"/>
              <w:rPr>
                <w:rFonts w:ascii="Calibri" w:eastAsia="Times New Roman" w:hAnsi="Calibri" w:cs="Calibri"/>
                <w:color w:val="000000"/>
                <w:kern w:val="0"/>
                <w:sz w:val="22"/>
                <w:szCs w:val="22"/>
                <w:lang w:eastAsia="en-GB"/>
                <w14:ligatures w14:val="none"/>
              </w:rPr>
            </w:pPr>
            <w:r w:rsidRPr="008474A1">
              <w:rPr>
                <w:rFonts w:ascii="Calibri" w:eastAsia="Times New Roman" w:hAnsi="Calibri" w:cs="Calibri"/>
                <w:color w:val="000000"/>
                <w:kern w:val="0"/>
                <w:sz w:val="22"/>
                <w:szCs w:val="22"/>
                <w:lang w:eastAsia="en-GB"/>
                <w14:ligatures w14:val="none"/>
              </w:rPr>
              <w:t>2</w:t>
            </w:r>
          </w:p>
        </w:tc>
      </w:tr>
    </w:tbl>
    <w:p w:rsidR="00FF6914" w:rsidRPr="0052253F" w:rsidRDefault="00FF6914" w:rsidP="00FF6914">
      <w:pPr>
        <w:contextualSpacing/>
      </w:pPr>
      <w:r>
        <w:t>(Table 1.1) – Gender numbers across the organisation.</w:t>
      </w:r>
    </w:p>
    <w:p w:rsidR="00FF6914" w:rsidRDefault="00FF6914" w:rsidP="00FF6914">
      <w:pPr>
        <w:contextualSpacing/>
        <w:rPr>
          <w:b/>
          <w:bCs/>
        </w:rPr>
      </w:pPr>
    </w:p>
    <w:p w:rsidR="00FF6914" w:rsidRPr="00A16F50" w:rsidRDefault="00FF6914" w:rsidP="00FF6914">
      <w:pPr>
        <w:spacing w:line="480" w:lineRule="auto"/>
        <w:contextualSpacing/>
      </w:pPr>
      <w:r w:rsidRPr="00A16F50">
        <w:t>The organisation is comprised of 260 employees. 140 identified as male (54%), 118 identified as female (45</w:t>
      </w:r>
      <w:r>
        <w:t>%</w:t>
      </w:r>
      <w:r w:rsidRPr="00A16F50">
        <w:t>), and 2 employees identified as non-binary (1%). F</w:t>
      </w:r>
      <w:r>
        <w:t>ield et al. (2023) state in their report. ‘Women in the workplace’, that on average women account for 47% of an organisation’s workforce. The chart above demonstrates that this organisation, although marginally below, is in line with organisational averages for gender percentages.</w:t>
      </w:r>
    </w:p>
    <w:p w:rsidR="00FF6914" w:rsidRPr="006D0179" w:rsidRDefault="00FF6914" w:rsidP="00FF6914">
      <w:pPr>
        <w:contextualSpacing/>
        <w:rPr>
          <w:b/>
          <w:bCs/>
        </w:rPr>
      </w:pPr>
    </w:p>
    <w:p w:rsidR="00FF6914" w:rsidRDefault="00FF6914" w:rsidP="00FF6914">
      <w:pPr>
        <w:pStyle w:val="ListParagraph"/>
        <w:numPr>
          <w:ilvl w:val="0"/>
          <w:numId w:val="14"/>
        </w:numPr>
        <w:spacing w:after="0" w:line="240" w:lineRule="auto"/>
        <w:jc w:val="left"/>
        <w:rPr>
          <w:b/>
          <w:bCs/>
        </w:rPr>
      </w:pPr>
      <w:r w:rsidRPr="006D0179">
        <w:rPr>
          <w:b/>
          <w:bCs/>
        </w:rPr>
        <w:t>ethnicity as a percentage per team.</w:t>
      </w:r>
    </w:p>
    <w:p w:rsidR="00FF6914" w:rsidRDefault="00FF6914" w:rsidP="00FF6914">
      <w:pPr>
        <w:contextualSpacing/>
        <w:rPr>
          <w:b/>
          <w:bCs/>
        </w:rPr>
      </w:pPr>
    </w:p>
    <w:p w:rsidR="00FF6914" w:rsidRDefault="00FF6914" w:rsidP="00FF6914">
      <w:pPr>
        <w:spacing w:line="480" w:lineRule="auto"/>
        <w:ind w:firstLine="360"/>
        <w:contextualSpacing/>
      </w:pPr>
      <w:r w:rsidRPr="00BF7A5B">
        <w:t>Organisational data showed that employees defined themselves as one of 10 categories. The table below shows the numbers and percentages of the organisation in each ethnicity group.</w:t>
      </w:r>
      <w:r>
        <w:t xml:space="preserve"> </w:t>
      </w:r>
    </w:p>
    <w:p w:rsidR="00FF6914" w:rsidRDefault="00FF6914" w:rsidP="00FF6914">
      <w:pPr>
        <w:spacing w:line="480" w:lineRule="auto"/>
        <w:contextualSpacing/>
        <w:rPr>
          <w:b/>
          <w:bCs/>
        </w:rPr>
      </w:pPr>
      <w:r>
        <w:rPr>
          <w:noProof/>
        </w:rPr>
        <w:drawing>
          <wp:inline distT="0" distB="0" distL="0" distR="0" wp14:anchorId="52C9BB89" wp14:editId="202C4C6A">
            <wp:extent cx="5885420" cy="1133341"/>
            <wp:effectExtent l="0" t="0" r="0" b="0"/>
            <wp:docPr id="734168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16880" name="Picture 73416880"/>
                    <pic:cNvPicPr/>
                  </pic:nvPicPr>
                  <pic:blipFill>
                    <a:blip r:embed="rId8">
                      <a:extLst>
                        <a:ext uri="{28A0092B-C50C-407E-A947-70E740481C1C}">
                          <a14:useLocalDpi xmlns:a14="http://schemas.microsoft.com/office/drawing/2010/main" val="0"/>
                        </a:ext>
                      </a:extLst>
                    </a:blip>
                    <a:stretch>
                      <a:fillRect/>
                    </a:stretch>
                  </pic:blipFill>
                  <pic:spPr>
                    <a:xfrm>
                      <a:off x="0" y="0"/>
                      <a:ext cx="5939103" cy="1143679"/>
                    </a:xfrm>
                    <a:prstGeom prst="rect">
                      <a:avLst/>
                    </a:prstGeom>
                  </pic:spPr>
                </pic:pic>
              </a:graphicData>
            </a:graphic>
          </wp:inline>
        </w:drawing>
      </w:r>
    </w:p>
    <w:p w:rsidR="00FF6914" w:rsidRPr="0052253F" w:rsidRDefault="00FF6914" w:rsidP="00FF6914">
      <w:pPr>
        <w:spacing w:line="480" w:lineRule="auto"/>
        <w:contextualSpacing/>
      </w:pPr>
      <w:r>
        <w:t>(Table 1.2) – Percentages of ethnicity throughout the entire organisation.</w:t>
      </w:r>
    </w:p>
    <w:p w:rsidR="00FF6914" w:rsidRDefault="00FF6914" w:rsidP="00AB3A53">
      <w:pPr>
        <w:spacing w:line="480" w:lineRule="auto"/>
        <w:contextualSpacing/>
      </w:pPr>
      <w:r w:rsidRPr="00BF7A5B">
        <w:t>It is noteworthy that ‘White-British’ was the highest ethnicity group at 91.15% and the lowest groups were ‘Asian-Bangladesh’ and ‘Mixed-Other’</w:t>
      </w:r>
    </w:p>
    <w:p w:rsidR="00FF6914" w:rsidRPr="00AF0FBF" w:rsidRDefault="00FF6914" w:rsidP="00FF6914">
      <w:pPr>
        <w:spacing w:line="480" w:lineRule="auto"/>
        <w:ind w:firstLine="720"/>
        <w:contextualSpacing/>
      </w:pPr>
      <w:r>
        <w:rPr>
          <w:b/>
          <w:bCs/>
          <w:noProof/>
        </w:rPr>
        <w:lastRenderedPageBreak/>
        <w:drawing>
          <wp:anchor distT="0" distB="0" distL="114300" distR="114300" simplePos="0" relativeHeight="251659264" behindDoc="1" locked="0" layoutInCell="1" allowOverlap="1" wp14:anchorId="5E7C4996" wp14:editId="611FD97B">
            <wp:simplePos x="0" y="0"/>
            <wp:positionH relativeFrom="column">
              <wp:posOffset>-342900</wp:posOffset>
            </wp:positionH>
            <wp:positionV relativeFrom="paragraph">
              <wp:posOffset>692935</wp:posOffset>
            </wp:positionV>
            <wp:extent cx="6414770" cy="2726690"/>
            <wp:effectExtent l="0" t="0" r="0" b="3810"/>
            <wp:wrapTight wrapText="bothSides">
              <wp:wrapPolygon edited="0">
                <wp:start x="0" y="0"/>
                <wp:lineTo x="0" y="21530"/>
                <wp:lineTo x="21553" y="21530"/>
                <wp:lineTo x="21553" y="0"/>
                <wp:lineTo x="0" y="0"/>
              </wp:wrapPolygon>
            </wp:wrapTight>
            <wp:docPr id="20744548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54845" name="Picture 2074454845"/>
                    <pic:cNvPicPr/>
                  </pic:nvPicPr>
                  <pic:blipFill>
                    <a:blip r:embed="rId9">
                      <a:extLst>
                        <a:ext uri="{28A0092B-C50C-407E-A947-70E740481C1C}">
                          <a14:useLocalDpi xmlns:a14="http://schemas.microsoft.com/office/drawing/2010/main" val="0"/>
                        </a:ext>
                      </a:extLst>
                    </a:blip>
                    <a:stretch>
                      <a:fillRect/>
                    </a:stretch>
                  </pic:blipFill>
                  <pic:spPr>
                    <a:xfrm>
                      <a:off x="0" y="0"/>
                      <a:ext cx="6414770" cy="2726690"/>
                    </a:xfrm>
                    <a:prstGeom prst="rect">
                      <a:avLst/>
                    </a:prstGeom>
                  </pic:spPr>
                </pic:pic>
              </a:graphicData>
            </a:graphic>
            <wp14:sizeRelH relativeFrom="page">
              <wp14:pctWidth>0</wp14:pctWidth>
            </wp14:sizeRelH>
            <wp14:sizeRelV relativeFrom="page">
              <wp14:pctHeight>0</wp14:pctHeight>
            </wp14:sizeRelV>
          </wp:anchor>
        </w:drawing>
      </w:r>
      <w:r>
        <w:t>The following tables and charts look at ethnicity percentages in individual teams in further detail.</w:t>
      </w:r>
    </w:p>
    <w:p w:rsidR="00FF6914" w:rsidRDefault="00FF6914" w:rsidP="00FF6914">
      <w:pPr>
        <w:contextualSpacing/>
      </w:pPr>
      <w:r>
        <w:t>(Table 1.3) – Ethnicity numbers of entire organisation categorised into teams.</w:t>
      </w:r>
    </w:p>
    <w:p w:rsidR="00FF6914" w:rsidRPr="0052253F" w:rsidRDefault="00FF6914" w:rsidP="00FF6914">
      <w:pPr>
        <w:contextualSpacing/>
      </w:pPr>
    </w:p>
    <w:p w:rsidR="00FF6914" w:rsidRPr="00FA66CE" w:rsidRDefault="00FF6914" w:rsidP="00FF6914">
      <w:pPr>
        <w:contextualSpacing/>
      </w:pPr>
      <w:r>
        <w:rPr>
          <w:noProof/>
        </w:rPr>
        <w:lastRenderedPageBreak/>
        <w:drawing>
          <wp:anchor distT="0" distB="0" distL="114300" distR="114300" simplePos="0" relativeHeight="251661312" behindDoc="1" locked="0" layoutInCell="1" allowOverlap="1" wp14:anchorId="1DE7234B" wp14:editId="4741C565">
            <wp:simplePos x="0" y="0"/>
            <wp:positionH relativeFrom="column">
              <wp:posOffset>-323215</wp:posOffset>
            </wp:positionH>
            <wp:positionV relativeFrom="paragraph">
              <wp:posOffset>3345180</wp:posOffset>
            </wp:positionV>
            <wp:extent cx="6357620" cy="4098290"/>
            <wp:effectExtent l="0" t="0" r="17780" b="16510"/>
            <wp:wrapTight wrapText="bothSides">
              <wp:wrapPolygon edited="0">
                <wp:start x="0" y="0"/>
                <wp:lineTo x="0" y="21620"/>
                <wp:lineTo x="21617" y="21620"/>
                <wp:lineTo x="21617" y="0"/>
                <wp:lineTo x="0" y="0"/>
              </wp:wrapPolygon>
            </wp:wrapTight>
            <wp:docPr id="1098389615" name="Chart 1">
              <a:extLst xmlns:a="http://schemas.openxmlformats.org/drawingml/2006/main">
                <a:ext uri="{FF2B5EF4-FFF2-40B4-BE49-F238E27FC236}">
                  <a16:creationId xmlns:a16="http://schemas.microsoft.com/office/drawing/2014/main" id="{0EF37AD3-C344-FA14-D55D-0AA9D99D5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60288" behindDoc="1" locked="0" layoutInCell="1" allowOverlap="1" wp14:anchorId="413E82AB" wp14:editId="16279ED5">
            <wp:simplePos x="0" y="0"/>
            <wp:positionH relativeFrom="column">
              <wp:posOffset>-320040</wp:posOffset>
            </wp:positionH>
            <wp:positionV relativeFrom="paragraph">
              <wp:posOffset>0</wp:posOffset>
            </wp:positionV>
            <wp:extent cx="6433185" cy="2941320"/>
            <wp:effectExtent l="0" t="0" r="5715" b="5080"/>
            <wp:wrapTight wrapText="bothSides">
              <wp:wrapPolygon edited="0">
                <wp:start x="0" y="0"/>
                <wp:lineTo x="0" y="21544"/>
                <wp:lineTo x="21577" y="21544"/>
                <wp:lineTo x="21577" y="0"/>
                <wp:lineTo x="0" y="0"/>
              </wp:wrapPolygon>
            </wp:wrapTight>
            <wp:docPr id="19953265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26539" name="Picture 1995326539"/>
                    <pic:cNvPicPr/>
                  </pic:nvPicPr>
                  <pic:blipFill>
                    <a:blip r:embed="rId11">
                      <a:extLst>
                        <a:ext uri="{28A0092B-C50C-407E-A947-70E740481C1C}">
                          <a14:useLocalDpi xmlns:a14="http://schemas.microsoft.com/office/drawing/2010/main" val="0"/>
                        </a:ext>
                      </a:extLst>
                    </a:blip>
                    <a:stretch>
                      <a:fillRect/>
                    </a:stretch>
                  </pic:blipFill>
                  <pic:spPr>
                    <a:xfrm>
                      <a:off x="0" y="0"/>
                      <a:ext cx="6433185" cy="2941320"/>
                    </a:xfrm>
                    <a:prstGeom prst="rect">
                      <a:avLst/>
                    </a:prstGeom>
                  </pic:spPr>
                </pic:pic>
              </a:graphicData>
            </a:graphic>
            <wp14:sizeRelH relativeFrom="page">
              <wp14:pctWidth>0</wp14:pctWidth>
            </wp14:sizeRelH>
            <wp14:sizeRelV relativeFrom="page">
              <wp14:pctHeight>0</wp14:pctHeight>
            </wp14:sizeRelV>
          </wp:anchor>
        </w:drawing>
      </w:r>
      <w:r>
        <w:t>(Table 1.4) – Ethnicity percentages categorised into teams.</w:t>
      </w:r>
    </w:p>
    <w:p w:rsidR="00FF6914" w:rsidRPr="00C54769" w:rsidRDefault="00FF6914" w:rsidP="00FF6914">
      <w:pPr>
        <w:contextualSpacing/>
      </w:pPr>
      <w:r w:rsidRPr="00C54769">
        <w:t>(Chart 1.2)</w:t>
      </w:r>
      <w:r>
        <w:t xml:space="preserve"> – Ethnicity percentages categorised into teams. </w:t>
      </w:r>
    </w:p>
    <w:p w:rsidR="00FF6914" w:rsidRDefault="00FF6914" w:rsidP="00FF6914">
      <w:pPr>
        <w:contextualSpacing/>
        <w:rPr>
          <w:b/>
          <w:bCs/>
        </w:rPr>
      </w:pPr>
    </w:p>
    <w:p w:rsidR="000B5F11" w:rsidRDefault="00FF6914" w:rsidP="00AB3A53">
      <w:pPr>
        <w:spacing w:line="480" w:lineRule="auto"/>
        <w:ind w:firstLine="720"/>
        <w:contextualSpacing/>
      </w:pPr>
      <w:r>
        <w:t xml:space="preserve">There are a broad range of ethnicities which belong to the organisation, out of the total 260 people in its workforce 8.85% identify as something other than ‘White-British’. The </w:t>
      </w:r>
      <w:r>
        <w:lastRenderedPageBreak/>
        <w:t>data is indicative that the three teams which have the highest ratio of ethnic minority communities (EMC) to those identifying as ‘White -British’ are Business Services (22.22% EMC), Governance (33.33% EMC), and</w:t>
      </w:r>
      <w:r w:rsidRPr="00E50E37">
        <w:t xml:space="preserve"> </w:t>
      </w:r>
      <w:r>
        <w:t xml:space="preserve">Community Engagement (42.86% EMC). Five teams (facilities, lettings, marketing, property, and regeneration) were entirely formed from those in ‘White-British’ category. </w:t>
      </w:r>
    </w:p>
    <w:p w:rsidR="00FF6914" w:rsidRDefault="00FF6914" w:rsidP="000B5F11">
      <w:pPr>
        <w:spacing w:line="480" w:lineRule="auto"/>
      </w:pPr>
      <w:r>
        <w:tab/>
        <w:t>A more diverse workforce has higher probability ‘to outperform less diverse peers on profitability’ (Dixon-</w:t>
      </w:r>
      <w:proofErr w:type="spellStart"/>
      <w:r>
        <w:t>Fyle</w:t>
      </w:r>
      <w:proofErr w:type="spellEnd"/>
      <w:r>
        <w:t xml:space="preserve"> et al, 2020). UK average figures suggest that 18% of national population is from EMC (GOV, 2024). Organisational EMC percentages do not correlate to that of its locality. To increase diversity the company could consider changing its recruitment methods to increase applications from members of EMC. University College London (2022), suggest adding statements encouragements to job postings, and actively increase the inclusion of EMC during the shortlisting process. This would have minimal financial impact on the organisation; however, additional time may be required to shortlist suitable applicants. </w:t>
      </w:r>
    </w:p>
    <w:p w:rsidR="00FF6914" w:rsidRDefault="00FF6914"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Default="00AB3A53" w:rsidP="00FF6914">
      <w:pPr>
        <w:contextualSpacing/>
      </w:pPr>
    </w:p>
    <w:p w:rsidR="00AB3A53" w:rsidRPr="00A16F50" w:rsidRDefault="00AB3A53" w:rsidP="00FF6914">
      <w:pPr>
        <w:contextualSpacing/>
        <w:rPr>
          <w:b/>
          <w:bCs/>
        </w:rPr>
      </w:pPr>
    </w:p>
    <w:p w:rsidR="00FF6914" w:rsidRPr="000B5F11" w:rsidRDefault="00FF6914" w:rsidP="000B5F11">
      <w:pPr>
        <w:pStyle w:val="ListParagraph"/>
        <w:numPr>
          <w:ilvl w:val="0"/>
          <w:numId w:val="14"/>
        </w:numPr>
        <w:spacing w:after="0" w:line="240" w:lineRule="auto"/>
        <w:jc w:val="left"/>
        <w:rPr>
          <w:b/>
          <w:bCs/>
        </w:rPr>
      </w:pPr>
      <w:r w:rsidRPr="000B5F11">
        <w:rPr>
          <w:b/>
          <w:bCs/>
        </w:rPr>
        <w:lastRenderedPageBreak/>
        <w:t xml:space="preserve">disability percentage as an </w:t>
      </w:r>
      <w:proofErr w:type="spellStart"/>
      <w:r w:rsidRPr="000B5F11">
        <w:rPr>
          <w:b/>
          <w:bCs/>
        </w:rPr>
        <w:t>organisational</w:t>
      </w:r>
      <w:proofErr w:type="spellEnd"/>
      <w:r w:rsidRPr="000B5F11">
        <w:rPr>
          <w:b/>
          <w:bCs/>
        </w:rPr>
        <w:t xml:space="preserve"> whole and by teams. </w:t>
      </w:r>
    </w:p>
    <w:p w:rsidR="00FF6914" w:rsidRPr="008E40A5" w:rsidRDefault="00FF6914" w:rsidP="00FF6914">
      <w:pPr>
        <w:contextualSpacing/>
        <w:rPr>
          <w:b/>
          <w:bCs/>
        </w:rPr>
      </w:pPr>
    </w:p>
    <w:p w:rsidR="00FF6914" w:rsidRDefault="00FF6914" w:rsidP="00FF6914">
      <w:pPr>
        <w:contextualSpacing/>
        <w:rPr>
          <w:b/>
          <w:bCs/>
        </w:rPr>
      </w:pPr>
      <w:r>
        <w:rPr>
          <w:noProof/>
        </w:rPr>
        <w:drawing>
          <wp:inline distT="0" distB="0" distL="0" distR="0" wp14:anchorId="09051A83" wp14:editId="23D6D1DB">
            <wp:extent cx="5475642" cy="3506993"/>
            <wp:effectExtent l="0" t="0" r="10795" b="11430"/>
            <wp:docPr id="945650609" name="Chart 1">
              <a:extLst xmlns:a="http://schemas.openxmlformats.org/drawingml/2006/main">
                <a:ext uri="{FF2B5EF4-FFF2-40B4-BE49-F238E27FC236}">
                  <a16:creationId xmlns:a16="http://schemas.microsoft.com/office/drawing/2014/main" id="{4A70795B-CAED-C5F0-0637-441D753D67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F6914" w:rsidRPr="008E40A5" w:rsidRDefault="00FF6914" w:rsidP="00FF6914">
      <w:pPr>
        <w:contextualSpacing/>
      </w:pPr>
      <w:r w:rsidRPr="008E40A5">
        <w:t>(Chart 1.3)</w:t>
      </w:r>
    </w:p>
    <w:p w:rsidR="00FF6914" w:rsidRDefault="00FF6914" w:rsidP="00FF6914">
      <w:pPr>
        <w:contextualSpacing/>
        <w:rPr>
          <w:b/>
          <w:bCs/>
        </w:rPr>
      </w:pPr>
    </w:p>
    <w:p w:rsidR="00FF6914" w:rsidRPr="008E40A5" w:rsidRDefault="00FF6914" w:rsidP="000B5F11">
      <w:pPr>
        <w:spacing w:line="480" w:lineRule="auto"/>
        <w:contextualSpacing/>
      </w:pPr>
      <w:r>
        <w:t xml:space="preserve">21 (8%) of the 260 employees identify as disabled, with the remaining 239 (92%) identifying as non-disabled. </w:t>
      </w:r>
    </w:p>
    <w:p w:rsidR="00FF6914" w:rsidRDefault="00FF6914" w:rsidP="00FF6914">
      <w:pPr>
        <w:contextualSpacing/>
        <w:rPr>
          <w:b/>
          <w:bCs/>
        </w:rPr>
      </w:pPr>
    </w:p>
    <w:p w:rsidR="00FF6914" w:rsidRDefault="00FF6914" w:rsidP="00FF6914">
      <w:pPr>
        <w:contextualSpacing/>
        <w:rPr>
          <w:b/>
          <w:bCs/>
        </w:rPr>
      </w:pPr>
      <w:r>
        <w:rPr>
          <w:noProof/>
        </w:rPr>
        <w:drawing>
          <wp:inline distT="0" distB="0" distL="0" distR="0" wp14:anchorId="033D963B" wp14:editId="6CB8F679">
            <wp:extent cx="5613400" cy="3073400"/>
            <wp:effectExtent l="0" t="0" r="12700" b="12700"/>
            <wp:docPr id="909538083" name="Chart 1">
              <a:extLst xmlns:a="http://schemas.openxmlformats.org/drawingml/2006/main">
                <a:ext uri="{FF2B5EF4-FFF2-40B4-BE49-F238E27FC236}">
                  <a16:creationId xmlns:a16="http://schemas.microsoft.com/office/drawing/2014/main" id="{7CEAFE03-350D-F9FC-57B6-4CE981BF88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F6914" w:rsidRDefault="00FF6914" w:rsidP="00FF6914">
      <w:pPr>
        <w:contextualSpacing/>
      </w:pPr>
      <w:r>
        <w:t>(Chart 1.4)</w:t>
      </w:r>
    </w:p>
    <w:p w:rsidR="00FF6914" w:rsidRDefault="00FF6914" w:rsidP="00AB3A53">
      <w:pPr>
        <w:spacing w:line="480" w:lineRule="auto"/>
        <w:ind w:firstLine="720"/>
        <w:contextualSpacing/>
      </w:pPr>
      <w:r>
        <w:lastRenderedPageBreak/>
        <w:t xml:space="preserve">Teams with 20% or greater ratio of disabled members to non-disabled workers are Customer Services, Finance, and IT. Business Services, Directors, Facilities, Governance, Marketing, Regeneration, and Supported Housing had no employees who identified as disabled. </w:t>
      </w:r>
    </w:p>
    <w:p w:rsidR="00FF6914" w:rsidRDefault="00FF6914" w:rsidP="000B5F11">
      <w:pPr>
        <w:spacing w:line="480" w:lineRule="auto"/>
        <w:ind w:firstLine="360"/>
        <w:contextualSpacing/>
      </w:pPr>
      <w:r>
        <w:t xml:space="preserve">Facilities, Marketing, and Regeneration are teams which have no ethnicity diversity or disabled team members. The organisation should consider disability inclusion training to a safer working environment. This can encourage inclusive environments and culture creating a space where employees feel free to disclose things they made me cautious to otherwise. The training would teach the workforce how to use inclusive language and talk sensitively around disability. Training would have a financial and time impact on the organisation which would need to be considered in its budget forecasting. The organisation’s culture could benefit and strong connections with external stakeholders, such as Disability Mark, could be formed. </w:t>
      </w:r>
    </w:p>
    <w:p w:rsidR="00FF6914" w:rsidRPr="008E40A5" w:rsidRDefault="00FF6914" w:rsidP="00FF6914">
      <w:pPr>
        <w:contextualSpacing/>
      </w:pPr>
    </w:p>
    <w:p w:rsidR="00FF6914" w:rsidRPr="00D75E79" w:rsidRDefault="00FF6914" w:rsidP="00FF6914">
      <w:pPr>
        <w:contextualSpacing/>
        <w:rPr>
          <w:b/>
          <w:bCs/>
        </w:rPr>
      </w:pPr>
    </w:p>
    <w:p w:rsidR="00FF6914" w:rsidRPr="00B749AE" w:rsidRDefault="00FF6914" w:rsidP="00FF6914">
      <w:pPr>
        <w:pStyle w:val="ListParagraph"/>
        <w:numPr>
          <w:ilvl w:val="0"/>
          <w:numId w:val="14"/>
        </w:numPr>
        <w:spacing w:after="0" w:line="240" w:lineRule="auto"/>
        <w:jc w:val="left"/>
        <w:rPr>
          <w:b/>
          <w:bCs/>
        </w:rPr>
      </w:pPr>
      <w:r w:rsidRPr="006D0179">
        <w:rPr>
          <w:b/>
          <w:bCs/>
        </w:rPr>
        <w:t>salary difference across genders.</w:t>
      </w:r>
    </w:p>
    <w:p w:rsidR="00FF6914" w:rsidRPr="00B749AE" w:rsidRDefault="00FF6914" w:rsidP="00FF6914">
      <w:pPr>
        <w:contextualSpacing/>
      </w:pPr>
    </w:p>
    <w:tbl>
      <w:tblPr>
        <w:tblW w:w="6200" w:type="dxa"/>
        <w:tblLook w:val="04A0" w:firstRow="1" w:lastRow="0" w:firstColumn="1" w:lastColumn="0" w:noHBand="0" w:noVBand="1"/>
      </w:tblPr>
      <w:tblGrid>
        <w:gridCol w:w="1300"/>
        <w:gridCol w:w="2080"/>
        <w:gridCol w:w="1300"/>
        <w:gridCol w:w="1520"/>
      </w:tblGrid>
      <w:tr w:rsidR="00FF6914" w:rsidRPr="006009D9" w:rsidTr="003B169E">
        <w:trPr>
          <w:trHeight w:val="320"/>
        </w:trPr>
        <w:tc>
          <w:tcPr>
            <w:tcW w:w="1300" w:type="dxa"/>
            <w:tcBorders>
              <w:top w:val="single" w:sz="8" w:space="0" w:color="auto"/>
              <w:left w:val="single" w:sz="8" w:space="0" w:color="auto"/>
              <w:bottom w:val="single" w:sz="8" w:space="0" w:color="auto"/>
              <w:right w:val="single" w:sz="8" w:space="0" w:color="auto"/>
            </w:tcBorders>
            <w:shd w:val="clear" w:color="000000" w:fill="D9E1F2"/>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 </w:t>
            </w:r>
          </w:p>
        </w:tc>
        <w:tc>
          <w:tcPr>
            <w:tcW w:w="2080" w:type="dxa"/>
            <w:tcBorders>
              <w:top w:val="single" w:sz="8" w:space="0" w:color="auto"/>
              <w:left w:val="nil"/>
              <w:bottom w:val="single" w:sz="8" w:space="0" w:color="auto"/>
              <w:right w:val="single" w:sz="4" w:space="0" w:color="auto"/>
            </w:tcBorders>
            <w:shd w:val="clear" w:color="000000" w:fill="D9E1F2"/>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 xml:space="preserve">Employee Figures </w:t>
            </w:r>
          </w:p>
        </w:tc>
        <w:tc>
          <w:tcPr>
            <w:tcW w:w="1300" w:type="dxa"/>
            <w:tcBorders>
              <w:top w:val="single" w:sz="8" w:space="0" w:color="auto"/>
              <w:left w:val="nil"/>
              <w:bottom w:val="single" w:sz="8" w:space="0" w:color="auto"/>
              <w:right w:val="single" w:sz="4" w:space="0" w:color="auto"/>
            </w:tcBorders>
            <w:shd w:val="clear" w:color="000000" w:fill="D9E1F2"/>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Total Salary</w:t>
            </w:r>
          </w:p>
        </w:tc>
        <w:tc>
          <w:tcPr>
            <w:tcW w:w="1520" w:type="dxa"/>
            <w:tcBorders>
              <w:top w:val="single" w:sz="8" w:space="0" w:color="auto"/>
              <w:left w:val="nil"/>
              <w:bottom w:val="single" w:sz="8" w:space="0" w:color="auto"/>
              <w:right w:val="single" w:sz="8" w:space="0" w:color="auto"/>
            </w:tcBorders>
            <w:shd w:val="clear" w:color="000000" w:fill="D9E1F2"/>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 xml:space="preserve">Average Salary </w:t>
            </w:r>
          </w:p>
        </w:tc>
      </w:tr>
      <w:tr w:rsidR="00FF6914" w:rsidRPr="006009D9" w:rsidTr="003B169E">
        <w:trPr>
          <w:trHeight w:val="300"/>
        </w:trPr>
        <w:tc>
          <w:tcPr>
            <w:tcW w:w="1300" w:type="dxa"/>
            <w:tcBorders>
              <w:top w:val="nil"/>
              <w:left w:val="single" w:sz="8" w:space="0" w:color="auto"/>
              <w:bottom w:val="single" w:sz="4" w:space="0" w:color="auto"/>
              <w:right w:val="single" w:sz="8" w:space="0" w:color="auto"/>
            </w:tcBorders>
            <w:shd w:val="clear" w:color="000000" w:fill="8EA9DB"/>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Female</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118</w:t>
            </w:r>
          </w:p>
        </w:tc>
        <w:tc>
          <w:tcPr>
            <w:tcW w:w="130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3764235</w:t>
            </w:r>
          </w:p>
        </w:tc>
        <w:tc>
          <w:tcPr>
            <w:tcW w:w="152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31900</w:t>
            </w:r>
          </w:p>
        </w:tc>
      </w:tr>
      <w:tr w:rsidR="00FF6914" w:rsidRPr="006009D9" w:rsidTr="003B169E">
        <w:trPr>
          <w:trHeight w:val="300"/>
        </w:trPr>
        <w:tc>
          <w:tcPr>
            <w:tcW w:w="1300" w:type="dxa"/>
            <w:tcBorders>
              <w:top w:val="nil"/>
              <w:left w:val="single" w:sz="8" w:space="0" w:color="auto"/>
              <w:bottom w:val="single" w:sz="4" w:space="0" w:color="auto"/>
              <w:right w:val="single" w:sz="8" w:space="0" w:color="auto"/>
            </w:tcBorders>
            <w:shd w:val="clear" w:color="000000" w:fill="8EA9DB"/>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Male</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140</w:t>
            </w:r>
          </w:p>
        </w:tc>
        <w:tc>
          <w:tcPr>
            <w:tcW w:w="130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4453705</w:t>
            </w:r>
          </w:p>
        </w:tc>
        <w:tc>
          <w:tcPr>
            <w:tcW w:w="152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31812</w:t>
            </w:r>
          </w:p>
        </w:tc>
      </w:tr>
      <w:tr w:rsidR="00FF6914" w:rsidRPr="006009D9" w:rsidTr="003B169E">
        <w:trPr>
          <w:trHeight w:val="320"/>
        </w:trPr>
        <w:tc>
          <w:tcPr>
            <w:tcW w:w="1300" w:type="dxa"/>
            <w:tcBorders>
              <w:top w:val="nil"/>
              <w:left w:val="single" w:sz="8" w:space="0" w:color="auto"/>
              <w:bottom w:val="single" w:sz="8" w:space="0" w:color="auto"/>
              <w:right w:val="single" w:sz="8" w:space="0" w:color="auto"/>
            </w:tcBorders>
            <w:shd w:val="clear" w:color="000000" w:fill="8EA9DB"/>
            <w:noWrap/>
            <w:vAlign w:val="bottom"/>
            <w:hideMark/>
          </w:tcPr>
          <w:p w:rsidR="00FF6914" w:rsidRPr="006009D9" w:rsidRDefault="00FF6914" w:rsidP="003B169E">
            <w:pPr>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Non-binary</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2</w:t>
            </w:r>
          </w:p>
        </w:tc>
        <w:tc>
          <w:tcPr>
            <w:tcW w:w="130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39000</w:t>
            </w:r>
          </w:p>
        </w:tc>
        <w:tc>
          <w:tcPr>
            <w:tcW w:w="1520" w:type="dxa"/>
            <w:tcBorders>
              <w:top w:val="nil"/>
              <w:left w:val="nil"/>
              <w:bottom w:val="single" w:sz="4" w:space="0" w:color="auto"/>
              <w:right w:val="single" w:sz="4" w:space="0" w:color="auto"/>
            </w:tcBorders>
            <w:shd w:val="clear" w:color="000000" w:fill="B4C6E7"/>
            <w:noWrap/>
            <w:vAlign w:val="bottom"/>
            <w:hideMark/>
          </w:tcPr>
          <w:p w:rsidR="00FF6914" w:rsidRPr="006009D9" w:rsidRDefault="00FF6914" w:rsidP="003B169E">
            <w:pPr>
              <w:jc w:val="right"/>
              <w:rPr>
                <w:rFonts w:ascii="Calibri" w:eastAsia="Times New Roman" w:hAnsi="Calibri" w:cs="Calibri"/>
                <w:color w:val="000000"/>
                <w:kern w:val="0"/>
                <w:sz w:val="22"/>
                <w:szCs w:val="22"/>
                <w:lang w:eastAsia="en-GB"/>
                <w14:ligatures w14:val="none"/>
              </w:rPr>
            </w:pPr>
            <w:r w:rsidRPr="006009D9">
              <w:rPr>
                <w:rFonts w:ascii="Calibri" w:eastAsia="Times New Roman" w:hAnsi="Calibri" w:cs="Calibri"/>
                <w:color w:val="000000"/>
                <w:kern w:val="0"/>
                <w:sz w:val="22"/>
                <w:szCs w:val="22"/>
                <w:lang w:eastAsia="en-GB"/>
                <w14:ligatures w14:val="none"/>
              </w:rPr>
              <w:t>19500</w:t>
            </w:r>
          </w:p>
        </w:tc>
      </w:tr>
    </w:tbl>
    <w:p w:rsidR="00FF6914" w:rsidRDefault="00FF6914" w:rsidP="00FF6914">
      <w:pPr>
        <w:contextualSpacing/>
      </w:pPr>
      <w:r w:rsidRPr="006009D9">
        <w:t>(Table 1.</w:t>
      </w:r>
      <w:r>
        <w:t>5</w:t>
      </w:r>
      <w:r w:rsidRPr="006009D9">
        <w:t>)</w:t>
      </w:r>
    </w:p>
    <w:p w:rsidR="00FF6914" w:rsidRDefault="00FF6914" w:rsidP="00FF6914">
      <w:pPr>
        <w:contextualSpacing/>
      </w:pPr>
    </w:p>
    <w:p w:rsidR="00FF6914" w:rsidRDefault="00FF6914" w:rsidP="000B5F11">
      <w:pPr>
        <w:spacing w:line="480" w:lineRule="auto"/>
        <w:contextualSpacing/>
      </w:pPr>
      <w:r>
        <w:t xml:space="preserve">The table above demonstrates that the highest average salary is paid to female employees at £31900 FTE per annum. On average, Male salaries are paid 0.28% lower. The disparity is between Female and non-binary employees with a difference of 48.24%. </w:t>
      </w:r>
    </w:p>
    <w:p w:rsidR="00FF6914" w:rsidRDefault="00FF6914" w:rsidP="00FF6914">
      <w:pPr>
        <w:contextualSpacing/>
        <w:rPr>
          <w:b/>
          <w:bCs/>
        </w:rPr>
      </w:pPr>
    </w:p>
    <w:p w:rsidR="00AB3A53" w:rsidRDefault="00AB3A53" w:rsidP="00FF6914">
      <w:pPr>
        <w:contextualSpacing/>
        <w:rPr>
          <w:b/>
          <w:bCs/>
        </w:rPr>
      </w:pPr>
    </w:p>
    <w:p w:rsidR="00AB3A53" w:rsidRDefault="00AB3A53" w:rsidP="00FF6914">
      <w:pPr>
        <w:contextualSpacing/>
        <w:rPr>
          <w:b/>
          <w:bCs/>
        </w:rPr>
      </w:pPr>
    </w:p>
    <w:p w:rsidR="00AB3A53" w:rsidRDefault="00AB3A53" w:rsidP="00FF6914">
      <w:pPr>
        <w:contextualSpacing/>
        <w:rPr>
          <w:b/>
          <w:bCs/>
        </w:rPr>
      </w:pPr>
    </w:p>
    <w:p w:rsidR="00AB3A53" w:rsidRPr="00F44DD1" w:rsidRDefault="00AB3A53" w:rsidP="00FF6914">
      <w:pPr>
        <w:contextualSpacing/>
        <w:rPr>
          <w:b/>
          <w:bCs/>
        </w:rPr>
      </w:pPr>
    </w:p>
    <w:p w:rsidR="00FF6914" w:rsidRPr="006D0179" w:rsidRDefault="00FF6914" w:rsidP="00FF6914">
      <w:pPr>
        <w:pStyle w:val="ListParagraph"/>
        <w:numPr>
          <w:ilvl w:val="0"/>
          <w:numId w:val="14"/>
        </w:numPr>
        <w:spacing w:after="0" w:line="240" w:lineRule="auto"/>
        <w:jc w:val="left"/>
        <w:rPr>
          <w:b/>
          <w:bCs/>
        </w:rPr>
      </w:pPr>
      <w:r w:rsidRPr="006D0179">
        <w:rPr>
          <w:b/>
          <w:bCs/>
        </w:rPr>
        <w:t xml:space="preserve">overall average salary paid by the </w:t>
      </w:r>
      <w:proofErr w:type="spellStart"/>
      <w:r w:rsidRPr="006D0179">
        <w:rPr>
          <w:b/>
          <w:bCs/>
        </w:rPr>
        <w:t>organisation</w:t>
      </w:r>
      <w:proofErr w:type="spellEnd"/>
      <w:r w:rsidRPr="006D0179">
        <w:rPr>
          <w:b/>
          <w:bCs/>
        </w:rPr>
        <w:t>.</w:t>
      </w:r>
    </w:p>
    <w:p w:rsidR="00FF6914" w:rsidRDefault="00FF6914" w:rsidP="00FF6914">
      <w:pPr>
        <w:rPr>
          <w:b/>
          <w:bCs/>
        </w:rPr>
      </w:pPr>
    </w:p>
    <w:tbl>
      <w:tblPr>
        <w:tblW w:w="6620" w:type="dxa"/>
        <w:tblLook w:val="04A0" w:firstRow="1" w:lastRow="0" w:firstColumn="1" w:lastColumn="0" w:noHBand="0" w:noVBand="1"/>
      </w:tblPr>
      <w:tblGrid>
        <w:gridCol w:w="1391"/>
        <w:gridCol w:w="2080"/>
        <w:gridCol w:w="1620"/>
        <w:gridCol w:w="1620"/>
      </w:tblGrid>
      <w:tr w:rsidR="00FF6914" w:rsidRPr="00795516" w:rsidTr="003B169E">
        <w:trPr>
          <w:trHeight w:val="320"/>
        </w:trPr>
        <w:tc>
          <w:tcPr>
            <w:tcW w:w="1300" w:type="dxa"/>
            <w:tcBorders>
              <w:top w:val="single" w:sz="8" w:space="0" w:color="auto"/>
              <w:left w:val="single" w:sz="8" w:space="0" w:color="auto"/>
              <w:bottom w:val="single" w:sz="8" w:space="0" w:color="auto"/>
              <w:right w:val="single" w:sz="8" w:space="0" w:color="auto"/>
            </w:tcBorders>
            <w:shd w:val="clear" w:color="000000" w:fill="D9E1F2"/>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 </w:t>
            </w:r>
          </w:p>
        </w:tc>
        <w:tc>
          <w:tcPr>
            <w:tcW w:w="2080" w:type="dxa"/>
            <w:tcBorders>
              <w:top w:val="single" w:sz="8" w:space="0" w:color="auto"/>
              <w:left w:val="nil"/>
              <w:bottom w:val="single" w:sz="8" w:space="0" w:color="auto"/>
              <w:right w:val="single" w:sz="4" w:space="0" w:color="auto"/>
            </w:tcBorders>
            <w:shd w:val="clear" w:color="000000" w:fill="D9E1F2"/>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 xml:space="preserve">Employee Figures </w:t>
            </w:r>
          </w:p>
        </w:tc>
        <w:tc>
          <w:tcPr>
            <w:tcW w:w="1620" w:type="dxa"/>
            <w:tcBorders>
              <w:top w:val="single" w:sz="8" w:space="0" w:color="auto"/>
              <w:left w:val="nil"/>
              <w:bottom w:val="single" w:sz="8" w:space="0" w:color="auto"/>
              <w:right w:val="single" w:sz="4" w:space="0" w:color="auto"/>
            </w:tcBorders>
            <w:shd w:val="clear" w:color="000000" w:fill="D9E1F2"/>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Total Salary</w:t>
            </w:r>
          </w:p>
        </w:tc>
        <w:tc>
          <w:tcPr>
            <w:tcW w:w="1620" w:type="dxa"/>
            <w:tcBorders>
              <w:top w:val="single" w:sz="8" w:space="0" w:color="auto"/>
              <w:left w:val="nil"/>
              <w:bottom w:val="single" w:sz="8" w:space="0" w:color="auto"/>
              <w:right w:val="single" w:sz="8" w:space="0" w:color="auto"/>
            </w:tcBorders>
            <w:shd w:val="clear" w:color="000000" w:fill="D9E1F2"/>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 xml:space="preserve">Average Salary </w:t>
            </w:r>
          </w:p>
        </w:tc>
      </w:tr>
      <w:tr w:rsidR="00FF6914" w:rsidRPr="00795516" w:rsidTr="003B169E">
        <w:trPr>
          <w:trHeight w:val="300"/>
        </w:trPr>
        <w:tc>
          <w:tcPr>
            <w:tcW w:w="1300" w:type="dxa"/>
            <w:tcBorders>
              <w:top w:val="nil"/>
              <w:left w:val="single" w:sz="8" w:space="0" w:color="auto"/>
              <w:bottom w:val="single" w:sz="4" w:space="0" w:color="auto"/>
              <w:right w:val="single" w:sz="8" w:space="0" w:color="auto"/>
            </w:tcBorders>
            <w:shd w:val="clear" w:color="000000" w:fill="8EA9DB"/>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Female</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118</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3764235</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31900</w:t>
            </w:r>
          </w:p>
        </w:tc>
      </w:tr>
      <w:tr w:rsidR="00FF6914" w:rsidRPr="00795516" w:rsidTr="003B169E">
        <w:trPr>
          <w:trHeight w:val="300"/>
        </w:trPr>
        <w:tc>
          <w:tcPr>
            <w:tcW w:w="1300" w:type="dxa"/>
            <w:tcBorders>
              <w:top w:val="nil"/>
              <w:left w:val="single" w:sz="8" w:space="0" w:color="auto"/>
              <w:bottom w:val="single" w:sz="4" w:space="0" w:color="auto"/>
              <w:right w:val="single" w:sz="8" w:space="0" w:color="auto"/>
            </w:tcBorders>
            <w:shd w:val="clear" w:color="000000" w:fill="8EA9DB"/>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Male</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140</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4453705</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31812</w:t>
            </w:r>
          </w:p>
        </w:tc>
      </w:tr>
      <w:tr w:rsidR="00FF6914" w:rsidRPr="00795516" w:rsidTr="003B169E">
        <w:trPr>
          <w:trHeight w:val="320"/>
        </w:trPr>
        <w:tc>
          <w:tcPr>
            <w:tcW w:w="1300" w:type="dxa"/>
            <w:tcBorders>
              <w:top w:val="nil"/>
              <w:left w:val="single" w:sz="8" w:space="0" w:color="auto"/>
              <w:bottom w:val="single" w:sz="8" w:space="0" w:color="auto"/>
              <w:right w:val="single" w:sz="8" w:space="0" w:color="auto"/>
            </w:tcBorders>
            <w:shd w:val="clear" w:color="000000" w:fill="8EA9DB"/>
            <w:noWrap/>
            <w:vAlign w:val="bottom"/>
            <w:hideMark/>
          </w:tcPr>
          <w:p w:rsidR="00FF6914" w:rsidRPr="00795516" w:rsidRDefault="00FF6914" w:rsidP="003B169E">
            <w:pPr>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Non-binary</w:t>
            </w:r>
          </w:p>
        </w:tc>
        <w:tc>
          <w:tcPr>
            <w:tcW w:w="208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2</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39000</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19500</w:t>
            </w:r>
          </w:p>
        </w:tc>
      </w:tr>
      <w:tr w:rsidR="00FF6914" w:rsidRPr="00795516" w:rsidTr="003B169E">
        <w:trPr>
          <w:trHeight w:val="320"/>
        </w:trPr>
        <w:tc>
          <w:tcPr>
            <w:tcW w:w="1300" w:type="dxa"/>
            <w:tcBorders>
              <w:top w:val="single" w:sz="4" w:space="0" w:color="auto"/>
              <w:left w:val="single" w:sz="8" w:space="0" w:color="auto"/>
              <w:bottom w:val="single" w:sz="8" w:space="0" w:color="auto"/>
              <w:right w:val="single" w:sz="8" w:space="0" w:color="auto"/>
            </w:tcBorders>
            <w:shd w:val="clear" w:color="D9E1F2" w:fill="8EA9DB"/>
            <w:noWrap/>
            <w:vAlign w:val="bottom"/>
            <w:hideMark/>
          </w:tcPr>
          <w:p w:rsidR="00FF6914" w:rsidRPr="00795516" w:rsidRDefault="00FF6914" w:rsidP="003B169E">
            <w:pPr>
              <w:rPr>
                <w:rFonts w:ascii="Calibri" w:eastAsia="Times New Roman" w:hAnsi="Calibri" w:cs="Calibri"/>
                <w:b/>
                <w:bCs/>
                <w:color w:val="000000"/>
                <w:kern w:val="0"/>
                <w:sz w:val="22"/>
                <w:szCs w:val="22"/>
                <w:lang w:eastAsia="en-GB"/>
                <w14:ligatures w14:val="none"/>
              </w:rPr>
            </w:pPr>
            <w:r w:rsidRPr="00795516">
              <w:rPr>
                <w:rFonts w:ascii="Calibri" w:eastAsia="Times New Roman" w:hAnsi="Calibri" w:cs="Calibri"/>
                <w:b/>
                <w:bCs/>
                <w:color w:val="000000"/>
                <w:kern w:val="0"/>
                <w:sz w:val="22"/>
                <w:szCs w:val="22"/>
                <w:lang w:eastAsia="en-GB"/>
                <w14:ligatures w14:val="none"/>
              </w:rPr>
              <w:t>Organisation</w:t>
            </w:r>
          </w:p>
        </w:tc>
        <w:tc>
          <w:tcPr>
            <w:tcW w:w="2080" w:type="dxa"/>
            <w:tcBorders>
              <w:top w:val="nil"/>
              <w:left w:val="nil"/>
              <w:bottom w:val="single" w:sz="4" w:space="0" w:color="auto"/>
              <w:right w:val="single" w:sz="4" w:space="0" w:color="auto"/>
            </w:tcBorders>
            <w:shd w:val="clear" w:color="D9E1F2" w:fill="B4C6E7"/>
            <w:noWrap/>
            <w:vAlign w:val="bottom"/>
            <w:hideMark/>
          </w:tcPr>
          <w:p w:rsidR="00FF6914" w:rsidRPr="00795516" w:rsidRDefault="00FF6914" w:rsidP="003B169E">
            <w:pPr>
              <w:jc w:val="right"/>
              <w:rPr>
                <w:rFonts w:ascii="Calibri" w:eastAsia="Times New Roman" w:hAnsi="Calibri" w:cs="Calibri"/>
                <w:b/>
                <w:bCs/>
                <w:color w:val="000000"/>
                <w:kern w:val="0"/>
                <w:sz w:val="22"/>
                <w:szCs w:val="22"/>
                <w:lang w:eastAsia="en-GB"/>
                <w14:ligatures w14:val="none"/>
              </w:rPr>
            </w:pPr>
            <w:r w:rsidRPr="00795516">
              <w:rPr>
                <w:rFonts w:ascii="Calibri" w:eastAsia="Times New Roman" w:hAnsi="Calibri" w:cs="Calibri"/>
                <w:b/>
                <w:bCs/>
                <w:color w:val="000000"/>
                <w:kern w:val="0"/>
                <w:sz w:val="22"/>
                <w:szCs w:val="22"/>
                <w:lang w:eastAsia="en-GB"/>
                <w14:ligatures w14:val="none"/>
              </w:rPr>
              <w:t>260</w:t>
            </w:r>
          </w:p>
        </w:tc>
        <w:tc>
          <w:tcPr>
            <w:tcW w:w="1620" w:type="dxa"/>
            <w:tcBorders>
              <w:top w:val="nil"/>
              <w:left w:val="nil"/>
              <w:bottom w:val="single" w:sz="4" w:space="0" w:color="auto"/>
              <w:right w:val="single" w:sz="4" w:space="0" w:color="auto"/>
            </w:tcBorders>
            <w:shd w:val="clear" w:color="D9E1F2" w:fill="B4C6E7"/>
            <w:noWrap/>
            <w:vAlign w:val="bottom"/>
            <w:hideMark/>
          </w:tcPr>
          <w:p w:rsidR="00FF6914" w:rsidRPr="00795516" w:rsidRDefault="00FF6914" w:rsidP="003B169E">
            <w:pPr>
              <w:jc w:val="right"/>
              <w:rPr>
                <w:rFonts w:ascii="Calibri" w:eastAsia="Times New Roman" w:hAnsi="Calibri" w:cs="Calibri"/>
                <w:b/>
                <w:bCs/>
                <w:color w:val="000000"/>
                <w:kern w:val="0"/>
                <w:sz w:val="22"/>
                <w:szCs w:val="22"/>
                <w:lang w:eastAsia="en-GB"/>
                <w14:ligatures w14:val="none"/>
              </w:rPr>
            </w:pPr>
            <w:r w:rsidRPr="00795516">
              <w:rPr>
                <w:rFonts w:ascii="Calibri" w:eastAsia="Times New Roman" w:hAnsi="Calibri" w:cs="Calibri"/>
                <w:b/>
                <w:bCs/>
                <w:color w:val="000000"/>
                <w:kern w:val="0"/>
                <w:sz w:val="22"/>
                <w:szCs w:val="22"/>
                <w:lang w:eastAsia="en-GB"/>
                <w14:ligatures w14:val="none"/>
              </w:rPr>
              <w:t>8256940</w:t>
            </w:r>
          </w:p>
        </w:tc>
        <w:tc>
          <w:tcPr>
            <w:tcW w:w="1620" w:type="dxa"/>
            <w:tcBorders>
              <w:top w:val="nil"/>
              <w:left w:val="nil"/>
              <w:bottom w:val="single" w:sz="4" w:space="0" w:color="auto"/>
              <w:right w:val="single" w:sz="4" w:space="0" w:color="auto"/>
            </w:tcBorders>
            <w:shd w:val="clear" w:color="000000" w:fill="B4C6E7"/>
            <w:noWrap/>
            <w:vAlign w:val="bottom"/>
            <w:hideMark/>
          </w:tcPr>
          <w:p w:rsidR="00FF6914" w:rsidRPr="00795516" w:rsidRDefault="00FF6914" w:rsidP="003B169E">
            <w:pPr>
              <w:jc w:val="right"/>
              <w:rPr>
                <w:rFonts w:ascii="Calibri" w:eastAsia="Times New Roman" w:hAnsi="Calibri" w:cs="Calibri"/>
                <w:color w:val="000000"/>
                <w:kern w:val="0"/>
                <w:sz w:val="22"/>
                <w:szCs w:val="22"/>
                <w:lang w:eastAsia="en-GB"/>
                <w14:ligatures w14:val="none"/>
              </w:rPr>
            </w:pPr>
            <w:r w:rsidRPr="00795516">
              <w:rPr>
                <w:rFonts w:ascii="Calibri" w:eastAsia="Times New Roman" w:hAnsi="Calibri" w:cs="Calibri"/>
                <w:color w:val="000000"/>
                <w:kern w:val="0"/>
                <w:sz w:val="22"/>
                <w:szCs w:val="22"/>
                <w:lang w:eastAsia="en-GB"/>
                <w14:ligatures w14:val="none"/>
              </w:rPr>
              <w:t>31757</w:t>
            </w:r>
          </w:p>
        </w:tc>
      </w:tr>
    </w:tbl>
    <w:p w:rsidR="00FF6914" w:rsidRDefault="00FF6914" w:rsidP="00FF6914">
      <w:r>
        <w:t>(Table 1.6)</w:t>
      </w:r>
      <w:r w:rsidRPr="00795516">
        <w:t xml:space="preserve"> </w:t>
      </w:r>
    </w:p>
    <w:p w:rsidR="00FF6914" w:rsidRDefault="00FF6914" w:rsidP="00FF6914"/>
    <w:p w:rsidR="00FF6914" w:rsidRDefault="00FF6914" w:rsidP="00AB3A53">
      <w:pPr>
        <w:spacing w:line="480" w:lineRule="auto"/>
        <w:ind w:firstLine="720"/>
      </w:pPr>
      <w:r>
        <w:t>Comparisons of average salary demonstrates that employees are paid in line with organisational averages. Males receive +0.17% and females +0.45% above the organisational average. Non-binary receives -47.83% compared to the averages. However, this data needs to be treated with caution as there is a vast difference in gender numbers between non-binary employees, and the two that are present are in low level roles.</w:t>
      </w:r>
      <w:r w:rsidR="00AB3A53">
        <w:t xml:space="preserve"> </w:t>
      </w:r>
      <w:r>
        <w:t xml:space="preserve">Analysis of organisational data suggests that the organisation needs to put measures in place to increase diversity throughout its teams. </w:t>
      </w:r>
    </w:p>
    <w:p w:rsidR="00FF6914" w:rsidRDefault="00FF6914" w:rsidP="00FF6914"/>
    <w:p w:rsidR="000B5F11" w:rsidRPr="00AB3A53" w:rsidRDefault="00AB3A53">
      <w:pPr>
        <w:rPr>
          <w:b/>
          <w:bCs/>
        </w:rPr>
      </w:pPr>
      <w:r>
        <w:rPr>
          <w:b/>
          <w:bCs/>
        </w:rPr>
        <w:t xml:space="preserve">Review </w:t>
      </w:r>
      <w:r w:rsidRPr="00AB3A53">
        <w:rPr>
          <w:b/>
          <w:bCs/>
        </w:rPr>
        <w:t>feedback scores for a sample of 300 employees taken from a recent survey on hybrid working practices. Provide scrutiny of the applied scores, present written commentary on any themes or patterns that might be occurring, and present recommendations based on your findings.</w:t>
      </w:r>
    </w:p>
    <w:p w:rsidR="00AB3A53" w:rsidRDefault="00AB3A53"/>
    <w:p w:rsidR="00AB3A53" w:rsidRDefault="00AB3A53">
      <w:pPr>
        <w:rPr>
          <w:rFonts w:ascii="Calibri" w:hAnsi="Calibri" w:cs="Calibri"/>
        </w:rPr>
      </w:pPr>
    </w:p>
    <w:p w:rsidR="000B5F11" w:rsidRDefault="000B5F11" w:rsidP="000B5F11">
      <w:r>
        <w:rPr>
          <w:noProof/>
        </w:rPr>
        <w:drawing>
          <wp:inline distT="0" distB="0" distL="0" distR="0">
            <wp:extent cx="5730875" cy="2872105"/>
            <wp:effectExtent l="0" t="0" r="0" b="0"/>
            <wp:docPr id="746633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872105"/>
                    </a:xfrm>
                    <a:prstGeom prst="rect">
                      <a:avLst/>
                    </a:prstGeom>
                    <a:noFill/>
                    <a:ln>
                      <a:noFill/>
                    </a:ln>
                  </pic:spPr>
                </pic:pic>
              </a:graphicData>
            </a:graphic>
          </wp:inline>
        </w:drawing>
      </w:r>
    </w:p>
    <w:p w:rsidR="000B5F11" w:rsidRDefault="000B5F11" w:rsidP="000B5F11">
      <w:pPr>
        <w:rPr>
          <w:b/>
          <w:bCs/>
        </w:rPr>
      </w:pPr>
      <w:r>
        <w:rPr>
          <w:b/>
          <w:bCs/>
        </w:rPr>
        <w:lastRenderedPageBreak/>
        <w:t>(Table 2.1) – Employee responses in percentage rounded to nearest whole number</w:t>
      </w:r>
    </w:p>
    <w:p w:rsidR="000B5F11" w:rsidRDefault="000B5F11" w:rsidP="000B5F11"/>
    <w:p w:rsidR="000B5F11" w:rsidRDefault="000B5F11" w:rsidP="000B5F11"/>
    <w:p w:rsidR="000B5F11" w:rsidRDefault="00AB3A53" w:rsidP="00AB3A53">
      <w:pPr>
        <w:spacing w:line="480" w:lineRule="auto"/>
        <w:ind w:firstLine="720"/>
      </w:pPr>
      <w:r w:rsidRPr="00AB3A53">
        <w:t>The assessment brief</w:t>
      </w:r>
      <w:r w:rsidR="000B5F11">
        <w:t xml:space="preserve"> provides data regarding employee satisfaction rates </w:t>
      </w:r>
      <w:r>
        <w:t>concerning</w:t>
      </w:r>
      <w:r w:rsidR="000B5F11">
        <w:t xml:space="preserve"> the current hybrid working practices within the organisation. Table 2.1 has been modified to show the percentage of the sample who responded to each question. The survey asks 14 questions on the topic and requires participants to provide their responses using a Likert scale. This style is versatile, allows uniformity in participant responses, and advocates sentiment analysis (Bishop &amp; Herron, 2015)</w:t>
      </w:r>
    </w:p>
    <w:p w:rsidR="000B5F11" w:rsidRDefault="000B5F11" w:rsidP="00AB3A53">
      <w:pPr>
        <w:spacing w:line="480" w:lineRule="auto"/>
      </w:pPr>
      <w:r>
        <w:tab/>
        <w:t>There are themes that the respondents are favourable of a hybrid working model. 83% of the responders agreed or strongly agreed with the statement that their work-life balance and well-being were supported by a hybrid working approach (see chart 2.1)</w:t>
      </w:r>
    </w:p>
    <w:p w:rsidR="000B5F11" w:rsidRDefault="000B5F11" w:rsidP="000B5F11"/>
    <w:p w:rsidR="000B5F11" w:rsidRDefault="000B5F11" w:rsidP="000B5F11">
      <w:r>
        <w:rPr>
          <w:noProof/>
        </w:rPr>
        <w:drawing>
          <wp:inline distT="0" distB="0" distL="0" distR="0">
            <wp:extent cx="5306060" cy="2987675"/>
            <wp:effectExtent l="0" t="0" r="15240" b="9525"/>
            <wp:docPr id="1029606679" name="Chart 2">
              <a:extLst xmlns:a="http://schemas.openxmlformats.org/drawingml/2006/main">
                <a:ext uri="{FF2B5EF4-FFF2-40B4-BE49-F238E27FC236}">
                  <a16:creationId xmlns:a16="http://schemas.microsoft.com/office/drawing/2014/main" id="{08F3A1BC-9327-9640-7C6C-7F2C0EA7CB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t xml:space="preserve"> </w:t>
      </w:r>
    </w:p>
    <w:p w:rsidR="000B5F11" w:rsidRDefault="000B5F11" w:rsidP="000B5F11">
      <w:r>
        <w:t>(Chart 2.1)</w:t>
      </w:r>
    </w:p>
    <w:p w:rsidR="000B5F11" w:rsidRDefault="000B5F11" w:rsidP="000B5F11"/>
    <w:p w:rsidR="000B5F11" w:rsidRDefault="000B5F11" w:rsidP="00AB3A53">
      <w:pPr>
        <w:spacing w:line="480" w:lineRule="auto"/>
      </w:pPr>
      <w:r>
        <w:t xml:space="preserve">In addition to this to this 83% of recipients strongly disagreed or disagreed with the statement ‘I miss engaging with my colleagues in the workplace’. This is suggestive that workers are content with interacting with the workforce through other virtual methods. This </w:t>
      </w:r>
      <w:r>
        <w:lastRenderedPageBreak/>
        <w:t xml:space="preserve">could be a contributing factor for 59% of employees feeling that working from home removes conflict. </w:t>
      </w:r>
    </w:p>
    <w:p w:rsidR="000B5F11" w:rsidRDefault="000B5F11" w:rsidP="00AB3A53">
      <w:pPr>
        <w:spacing w:line="480" w:lineRule="auto"/>
      </w:pPr>
      <w:r>
        <w:tab/>
        <w:t xml:space="preserve">Nonetheless, this is directly in opposition to 60% of the workforce disagreeing that’s team work wasn’t affected.  Not all of the responses suggest that hybrid-working is having a positive impact on the workforce. This is evident from 85% saying that they were more stressed when working away from the workplace. </w:t>
      </w:r>
    </w:p>
    <w:p w:rsidR="000B5F11" w:rsidRDefault="000B5F11" w:rsidP="000B5F11"/>
    <w:p w:rsidR="000B5F11" w:rsidRDefault="000B5F11" w:rsidP="000B5F11">
      <w:r>
        <w:rPr>
          <w:noProof/>
        </w:rPr>
        <w:drawing>
          <wp:inline distT="0" distB="0" distL="0" distR="0">
            <wp:extent cx="5383530" cy="3451225"/>
            <wp:effectExtent l="0" t="0" r="13970" b="15875"/>
            <wp:docPr id="770000698" name="Chart 1">
              <a:extLst xmlns:a="http://schemas.openxmlformats.org/drawingml/2006/main">
                <a:ext uri="{FF2B5EF4-FFF2-40B4-BE49-F238E27FC236}">
                  <a16:creationId xmlns:a16="http://schemas.microsoft.com/office/drawing/2014/main" id="{08F3A1BC-9327-9640-7C6C-7F2C0EA7CB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B5F11" w:rsidRDefault="000B5F11" w:rsidP="000B5F11">
      <w:r>
        <w:t>(Chart 2.2)</w:t>
      </w:r>
    </w:p>
    <w:p w:rsidR="000B5F11" w:rsidRDefault="000B5F11" w:rsidP="000B5F11"/>
    <w:p w:rsidR="000B5F11" w:rsidRDefault="000B5F11" w:rsidP="00AB3A53">
      <w:pPr>
        <w:spacing w:line="480" w:lineRule="auto"/>
      </w:pPr>
      <w:r>
        <w:t xml:space="preserve">This trend of opposition to hybrid-working continues when analysing additional questions. Only 14% stated that they felt fully supported when working at home. Additionally, less than half of the workforce felt that they received the same recognition for their work when working remotely. </w:t>
      </w:r>
    </w:p>
    <w:p w:rsidR="000B5F11" w:rsidRDefault="000B5F11" w:rsidP="00AB3A53">
      <w:pPr>
        <w:spacing w:line="480" w:lineRule="auto"/>
      </w:pPr>
      <w:r>
        <w:tab/>
        <w:t xml:space="preserve"> It is possible that negative views to hybrid working could be rooted in the need for additional training. 2% stated they were unsure, 12% disagreed, and 39% disagreed that they could easily access resources when working from home. This is suggestive that the </w:t>
      </w:r>
      <w:r>
        <w:lastRenderedPageBreak/>
        <w:t xml:space="preserve">organisation could benefit from learning and development on accessing the necessary documents when working remotely. This could be delivered to managers who are able to disseminate and differentiate it to their teams, ensuring it is relevant. This would allow learning opportunities for the organisation for personal and professional growth. Risks include cost as it would require the organisation to invest time and money. However, the benefits would be present through work productivity and employee confidence when working away from the office (Forbes, 2021). </w:t>
      </w:r>
    </w:p>
    <w:p w:rsidR="000B5F11" w:rsidRDefault="000B5F11" w:rsidP="00AB3A53">
      <w:pPr>
        <w:spacing w:line="480" w:lineRule="auto"/>
      </w:pPr>
      <w:r>
        <w:tab/>
        <w:t xml:space="preserve">In conjunction with this the organisation could benefit by reviewing its guidelines and procedure around hybrid-working model. More than half of the organisation stated that they found it difficult to separate work and personal life when working remotely. When this is taken into account with factors previously discuss, the organisation could change their policy to actively make improvements for its staff. This could include things such as managers promoting regular breaks, opening lines of dialogue more frequently to check-in with the team, and reinforcing the importance of start and end times. There are risks involved with changing policy as it could take a lengthy period to enact the change as it would require further organisational research and analysis to determine the best decisions. However, the benefits, if realised would could increase productivity, have workers feel more supported, and feel like the organisation is listening to its employees.  </w:t>
      </w:r>
    </w:p>
    <w:p w:rsidR="000B5F11" w:rsidRDefault="000B5F11">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Default="009B4CCD">
      <w:pPr>
        <w:rPr>
          <w:rFonts w:ascii="Calibri" w:hAnsi="Calibri" w:cs="Calibri"/>
        </w:rPr>
      </w:pPr>
    </w:p>
    <w:p w:rsidR="009B4CCD" w:rsidRPr="009B4CCD" w:rsidRDefault="009B4CCD" w:rsidP="009B4CCD">
      <w:pPr>
        <w:rPr>
          <w:rFonts w:ascii="Calibri" w:hAnsi="Calibri" w:cs="Calibri"/>
          <w:b/>
          <w:bCs/>
        </w:rPr>
      </w:pPr>
      <w:r w:rsidRPr="009B4CCD">
        <w:rPr>
          <w:rFonts w:ascii="Calibri" w:hAnsi="Calibri" w:cs="Calibri"/>
          <w:b/>
          <w:bCs/>
        </w:rPr>
        <w:lastRenderedPageBreak/>
        <w:t>References</w:t>
      </w:r>
    </w:p>
    <w:p w:rsidR="009B4CCD" w:rsidRPr="00900498" w:rsidRDefault="009B4CCD" w:rsidP="009B4CCD">
      <w:pPr>
        <w:rPr>
          <w:rFonts w:ascii="Calibri" w:hAnsi="Calibri" w:cs="Calibri"/>
        </w:rPr>
      </w:pPr>
    </w:p>
    <w:p w:rsidR="009B4CCD" w:rsidRDefault="009B4CCD" w:rsidP="009B4CCD">
      <w:pPr>
        <w:spacing w:line="360" w:lineRule="auto"/>
        <w:rPr>
          <w:rFonts w:ascii="Calibri" w:hAnsi="Calibri" w:cs="Calibri"/>
        </w:rPr>
      </w:pPr>
      <w:r w:rsidRPr="00900498">
        <w:rPr>
          <w:rFonts w:ascii="Calibri" w:hAnsi="Calibri" w:cs="Calibri"/>
        </w:rPr>
        <w:t xml:space="preserve">Adam, F, </w:t>
      </w:r>
      <w:proofErr w:type="spellStart"/>
      <w:r w:rsidRPr="00900498">
        <w:rPr>
          <w:rFonts w:ascii="Calibri" w:hAnsi="Calibri" w:cs="Calibri"/>
        </w:rPr>
        <w:t>Kutchta</w:t>
      </w:r>
      <w:proofErr w:type="spellEnd"/>
      <w:r w:rsidRPr="00900498">
        <w:rPr>
          <w:rFonts w:ascii="Calibri" w:hAnsi="Calibri" w:cs="Calibri"/>
        </w:rPr>
        <w:t>, D and Stanek, S 2022). Rational Decisions in Organisations: Theoretical and Practical Aspects. (United States: CRC Press.</w:t>
      </w:r>
    </w:p>
    <w:p w:rsidR="009B4CCD" w:rsidRPr="00900498" w:rsidRDefault="009B4CCD" w:rsidP="009B4CCD">
      <w:pPr>
        <w:spacing w:line="360" w:lineRule="auto"/>
        <w:rPr>
          <w:rFonts w:ascii="Calibri" w:hAnsi="Calibri" w:cs="Calibri"/>
        </w:rPr>
      </w:pPr>
    </w:p>
    <w:p w:rsidR="009B4CCD" w:rsidRDefault="009B4CCD" w:rsidP="009B4CCD">
      <w:pPr>
        <w:autoSpaceDE w:val="0"/>
        <w:autoSpaceDN w:val="0"/>
        <w:adjustRightInd w:val="0"/>
        <w:spacing w:after="240" w:line="360" w:lineRule="auto"/>
        <w:rPr>
          <w:rFonts w:ascii="AppleSystemUIFont" w:hAnsi="AppleSystemUIFont" w:cs="AppleSystemUIFont"/>
          <w:kern w:val="0"/>
          <w:sz w:val="26"/>
          <w:szCs w:val="26"/>
        </w:rPr>
      </w:pPr>
      <w:r>
        <w:rPr>
          <w:rFonts w:ascii="AppleSystemUIFont" w:hAnsi="AppleSystemUIFont" w:cs="AppleSystemUIFont"/>
          <w:kern w:val="0"/>
          <w:sz w:val="26"/>
          <w:szCs w:val="26"/>
        </w:rPr>
        <w:t>Al-</w:t>
      </w:r>
      <w:proofErr w:type="spellStart"/>
      <w:r>
        <w:rPr>
          <w:rFonts w:ascii="AppleSystemUIFont" w:hAnsi="AppleSystemUIFont" w:cs="AppleSystemUIFont"/>
          <w:kern w:val="0"/>
          <w:sz w:val="26"/>
          <w:szCs w:val="26"/>
        </w:rPr>
        <w:t>Mamary</w:t>
      </w:r>
      <w:proofErr w:type="spellEnd"/>
      <w:r>
        <w:rPr>
          <w:rFonts w:ascii="AppleSystemUIFont" w:hAnsi="AppleSystemUIFont" w:cs="AppleSystemUIFont"/>
          <w:kern w:val="0"/>
          <w:sz w:val="26"/>
          <w:szCs w:val="26"/>
        </w:rPr>
        <w:t xml:space="preserve">, Y.H., </w:t>
      </w:r>
      <w:proofErr w:type="spellStart"/>
      <w:r>
        <w:rPr>
          <w:rFonts w:ascii="AppleSystemUIFont" w:hAnsi="AppleSystemUIFont" w:cs="AppleSystemUIFont"/>
          <w:kern w:val="0"/>
          <w:sz w:val="26"/>
          <w:szCs w:val="26"/>
        </w:rPr>
        <w:t>Alwaheeb</w:t>
      </w:r>
      <w:proofErr w:type="spellEnd"/>
      <w:r>
        <w:rPr>
          <w:rFonts w:ascii="AppleSystemUIFont" w:hAnsi="AppleSystemUIFont" w:cs="AppleSystemUIFont"/>
          <w:kern w:val="0"/>
          <w:sz w:val="26"/>
          <w:szCs w:val="26"/>
        </w:rPr>
        <w:t xml:space="preserve">, M.A., </w:t>
      </w:r>
      <w:proofErr w:type="spellStart"/>
      <w:r>
        <w:rPr>
          <w:rFonts w:ascii="AppleSystemUIFont" w:hAnsi="AppleSystemUIFont" w:cs="AppleSystemUIFont"/>
          <w:kern w:val="0"/>
          <w:sz w:val="26"/>
          <w:szCs w:val="26"/>
        </w:rPr>
        <w:t>Alshammari</w:t>
      </w:r>
      <w:proofErr w:type="spellEnd"/>
      <w:r>
        <w:rPr>
          <w:rFonts w:ascii="AppleSystemUIFont" w:hAnsi="AppleSystemUIFont" w:cs="AppleSystemUIFont"/>
          <w:kern w:val="0"/>
          <w:sz w:val="26"/>
          <w:szCs w:val="26"/>
        </w:rPr>
        <w:t xml:space="preserve">, N.G.M., </w:t>
      </w:r>
      <w:proofErr w:type="spellStart"/>
      <w:r>
        <w:rPr>
          <w:rFonts w:ascii="AppleSystemUIFont" w:hAnsi="AppleSystemUIFont" w:cs="AppleSystemUIFont"/>
          <w:kern w:val="0"/>
          <w:sz w:val="26"/>
          <w:szCs w:val="26"/>
        </w:rPr>
        <w:t>Abdulrab</w:t>
      </w:r>
      <w:proofErr w:type="spellEnd"/>
      <w:r>
        <w:rPr>
          <w:rFonts w:ascii="AppleSystemUIFont" w:hAnsi="AppleSystemUIFont" w:cs="AppleSystemUIFont"/>
          <w:kern w:val="0"/>
          <w:sz w:val="26"/>
          <w:szCs w:val="26"/>
        </w:rPr>
        <w:t xml:space="preserve">, M., </w:t>
      </w:r>
      <w:proofErr w:type="spellStart"/>
      <w:r>
        <w:rPr>
          <w:rFonts w:ascii="AppleSystemUIFont" w:hAnsi="AppleSystemUIFont" w:cs="AppleSystemUIFont"/>
          <w:kern w:val="0"/>
          <w:sz w:val="26"/>
          <w:szCs w:val="26"/>
        </w:rPr>
        <w:t>Balhareth</w:t>
      </w:r>
      <w:proofErr w:type="spellEnd"/>
      <w:r>
        <w:rPr>
          <w:rFonts w:ascii="AppleSystemUIFont" w:hAnsi="AppleSystemUIFont" w:cs="AppleSystemUIFont"/>
          <w:kern w:val="0"/>
          <w:sz w:val="26"/>
          <w:szCs w:val="26"/>
        </w:rPr>
        <w:t xml:space="preserve">, H. and </w:t>
      </w:r>
      <w:proofErr w:type="spellStart"/>
      <w:r>
        <w:rPr>
          <w:rFonts w:ascii="AppleSystemUIFont" w:hAnsi="AppleSystemUIFont" w:cs="AppleSystemUIFont"/>
          <w:kern w:val="0"/>
          <w:sz w:val="26"/>
          <w:szCs w:val="26"/>
        </w:rPr>
        <w:t>Soltane</w:t>
      </w:r>
      <w:proofErr w:type="spellEnd"/>
      <w:r>
        <w:rPr>
          <w:rFonts w:ascii="AppleSystemUIFont" w:hAnsi="AppleSystemUIFont" w:cs="AppleSystemUIFont"/>
          <w:kern w:val="0"/>
          <w:sz w:val="26"/>
          <w:szCs w:val="26"/>
        </w:rPr>
        <w:t xml:space="preserve">, H.B., 2020. The effect of entrepreneurial orientation on financial and non-financial performance in Saudi SMES: a review. Journal of Critical </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Bishop, P.A. and Herron, R.L. (2015). Use and Misuse of the Likert Item Responses and Other Ordinal Measures. </w:t>
      </w:r>
      <w:r w:rsidRPr="00900498">
        <w:rPr>
          <w:rFonts w:ascii="Calibri" w:hAnsi="Calibri" w:cs="Calibri"/>
          <w:i/>
          <w:iCs/>
          <w:kern w:val="0"/>
        </w:rPr>
        <w:t>International journal of exercise science</w:t>
      </w:r>
      <w:r w:rsidRPr="00900498">
        <w:rPr>
          <w:rFonts w:ascii="Calibri" w:hAnsi="Calibri" w:cs="Calibri"/>
          <w:kern w:val="0"/>
        </w:rPr>
        <w:t xml:space="preserve">, [online] 8(3), pp.297–302. Available at: </w:t>
      </w:r>
      <w:hyperlink r:id="rId17" w:history="1">
        <w:r w:rsidRPr="00900498">
          <w:rPr>
            <w:rFonts w:ascii="Calibri" w:hAnsi="Calibri" w:cs="Calibri"/>
            <w:kern w:val="0"/>
          </w:rPr>
          <w:t>https://www.ncbi.nlm.nih.gov/pmc/articles/PMC4833473</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Bright Hr (2023). </w:t>
      </w:r>
      <w:r w:rsidRPr="00900498">
        <w:rPr>
          <w:rFonts w:ascii="Calibri" w:hAnsi="Calibri" w:cs="Calibri"/>
          <w:i/>
          <w:iCs/>
          <w:kern w:val="0"/>
        </w:rPr>
        <w:t>Employee Satisfaction Surveys</w:t>
      </w:r>
      <w:r w:rsidRPr="00900498">
        <w:rPr>
          <w:rFonts w:ascii="Calibri" w:hAnsi="Calibri" w:cs="Calibri"/>
          <w:kern w:val="0"/>
        </w:rPr>
        <w:t xml:space="preserve">. [online] </w:t>
      </w:r>
      <w:proofErr w:type="spellStart"/>
      <w:r w:rsidRPr="00900498">
        <w:rPr>
          <w:rFonts w:ascii="Calibri" w:hAnsi="Calibri" w:cs="Calibri"/>
          <w:kern w:val="0"/>
        </w:rPr>
        <w:t>BrightHR</w:t>
      </w:r>
      <w:proofErr w:type="spellEnd"/>
      <w:r w:rsidRPr="00900498">
        <w:rPr>
          <w:rFonts w:ascii="Calibri" w:hAnsi="Calibri" w:cs="Calibri"/>
          <w:kern w:val="0"/>
        </w:rPr>
        <w:t xml:space="preserve">. Available at: </w:t>
      </w:r>
      <w:hyperlink r:id="rId18" w:history="1">
        <w:r w:rsidRPr="00900498">
          <w:rPr>
            <w:rFonts w:ascii="Calibri" w:hAnsi="Calibri" w:cs="Calibri"/>
            <w:kern w:val="0"/>
          </w:rPr>
          <w:t>https://www.brighthr.com/articles/culture-and-performance/employee-satisfaction-surveys/</w:t>
        </w:r>
      </w:hyperlink>
      <w:r w:rsidRPr="00900498">
        <w:rPr>
          <w:rFonts w:ascii="Calibri" w:hAnsi="Calibri" w:cs="Calibri"/>
          <w:kern w:val="0"/>
        </w:rPr>
        <w:t xml:space="preserve"> [Accessed 17 Jun. 2024].</w:t>
      </w:r>
    </w:p>
    <w:p w:rsidR="009B4CCD" w:rsidRPr="00900498" w:rsidRDefault="009B4CCD" w:rsidP="009B4CCD">
      <w:pPr>
        <w:spacing w:line="360" w:lineRule="auto"/>
        <w:rPr>
          <w:rFonts w:ascii="Calibri" w:hAnsi="Calibri" w:cs="Calibri"/>
        </w:rPr>
      </w:pPr>
      <w:r w:rsidRPr="00900498">
        <w:rPr>
          <w:rFonts w:ascii="Calibri" w:hAnsi="Calibri" w:cs="Calibri"/>
        </w:rPr>
        <w:t xml:space="preserve">Bryman, A, Bell, E and Harley, B (2018) </w:t>
      </w:r>
      <w:proofErr w:type="spellStart"/>
      <w:r w:rsidRPr="00900498">
        <w:rPr>
          <w:rFonts w:ascii="Calibri" w:hAnsi="Calibri" w:cs="Calibri"/>
          <w:i/>
          <w:iCs/>
        </w:rPr>
        <w:t>Buisness</w:t>
      </w:r>
      <w:proofErr w:type="spellEnd"/>
      <w:r w:rsidRPr="00900498">
        <w:rPr>
          <w:rFonts w:ascii="Calibri" w:hAnsi="Calibri" w:cs="Calibri"/>
          <w:i/>
          <w:iCs/>
        </w:rPr>
        <w:t xml:space="preserve"> Research Methods, 5</w:t>
      </w:r>
      <w:r w:rsidRPr="00900498">
        <w:rPr>
          <w:rFonts w:ascii="Calibri" w:hAnsi="Calibri" w:cs="Calibri"/>
          <w:i/>
          <w:iCs/>
          <w:vertAlign w:val="superscript"/>
        </w:rPr>
        <w:t>th</w:t>
      </w:r>
      <w:r w:rsidRPr="00900498">
        <w:rPr>
          <w:rFonts w:ascii="Calibri" w:hAnsi="Calibri" w:cs="Calibri"/>
          <w:i/>
          <w:iCs/>
        </w:rPr>
        <w:t xml:space="preserve"> ed, </w:t>
      </w:r>
      <w:r w:rsidRPr="00900498">
        <w:rPr>
          <w:rFonts w:ascii="Calibri" w:hAnsi="Calibri" w:cs="Calibri"/>
        </w:rPr>
        <w:t>Oxford: Oxford University press.</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CIPD (2024). </w:t>
      </w:r>
      <w:r w:rsidRPr="00900498">
        <w:rPr>
          <w:rFonts w:ascii="Calibri" w:hAnsi="Calibri" w:cs="Calibri"/>
          <w:i/>
          <w:iCs/>
          <w:kern w:val="0"/>
        </w:rPr>
        <w:t>CIPD | Evidence-based practice for effective decision-making | Factsheets</w:t>
      </w:r>
      <w:r w:rsidRPr="00900498">
        <w:rPr>
          <w:rFonts w:ascii="Calibri" w:hAnsi="Calibri" w:cs="Calibri"/>
          <w:kern w:val="0"/>
        </w:rPr>
        <w:t xml:space="preserve">. [online] CIPD. Available at: </w:t>
      </w:r>
      <w:hyperlink r:id="rId19" w:history="1">
        <w:r w:rsidRPr="00900498">
          <w:rPr>
            <w:rFonts w:ascii="Calibri" w:hAnsi="Calibri" w:cs="Calibri"/>
            <w:kern w:val="0"/>
          </w:rPr>
          <w:t>https://www.cipd.org/uk/knowledge/factsheets/evidence-based-practice-factsheet/</w:t>
        </w:r>
      </w:hyperlink>
      <w:r w:rsidRPr="00900498">
        <w:rPr>
          <w:rFonts w:ascii="Calibri" w:hAnsi="Calibri" w:cs="Calibri"/>
          <w:kern w:val="0"/>
        </w:rPr>
        <w:t xml:space="preserve"> [Accessed 17 Jun. 2024].</w:t>
      </w:r>
    </w:p>
    <w:p w:rsidR="009B4CCD" w:rsidRDefault="009B4CCD" w:rsidP="009B4CCD">
      <w:pPr>
        <w:spacing w:line="360" w:lineRule="auto"/>
        <w:rPr>
          <w:rFonts w:ascii="Calibri" w:hAnsi="Calibri" w:cs="Calibri"/>
          <w:color w:val="333333"/>
          <w:shd w:val="clear" w:color="auto" w:fill="FFFFFF"/>
        </w:rPr>
      </w:pPr>
      <w:r w:rsidRPr="00900498">
        <w:rPr>
          <w:rFonts w:ascii="Calibri" w:hAnsi="Calibri" w:cs="Calibri"/>
          <w:color w:val="333333"/>
          <w:shd w:val="clear" w:color="auto" w:fill="FFFFFF"/>
        </w:rPr>
        <w:t>Dhaliwal S, Patel P (2012) ‘Feminism in the Shadow of Multi-Faithism: Implications for South Asian Women in the UK’, pp. 169–188 in Roy S (ed.) </w:t>
      </w:r>
      <w:r w:rsidRPr="00900498">
        <w:rPr>
          <w:rStyle w:val="Emphasis"/>
          <w:rFonts w:ascii="Calibri" w:hAnsi="Calibri" w:cs="Calibri"/>
          <w:color w:val="333333"/>
          <w:shd w:val="clear" w:color="auto" w:fill="FFFFFF"/>
        </w:rPr>
        <w:t>New South Asian Feminisms: Paradoxes and Possibilities</w:t>
      </w:r>
      <w:r w:rsidRPr="00900498">
        <w:rPr>
          <w:rFonts w:ascii="Calibri" w:hAnsi="Calibri" w:cs="Calibri"/>
          <w:color w:val="333333"/>
          <w:shd w:val="clear" w:color="auto" w:fill="FFFFFF"/>
        </w:rPr>
        <w:t>. London: Zed Books.</w:t>
      </w:r>
    </w:p>
    <w:p w:rsidR="009B4CCD" w:rsidRDefault="009B4CCD" w:rsidP="009B4CCD">
      <w:pPr>
        <w:spacing w:line="360" w:lineRule="auto"/>
        <w:rPr>
          <w:rFonts w:ascii="AppleSystemUIFont" w:hAnsi="AppleSystemUIFont" w:cs="AppleSystemUIFont"/>
          <w:kern w:val="0"/>
          <w:sz w:val="26"/>
          <w:szCs w:val="26"/>
        </w:rPr>
      </w:pPr>
      <w:r>
        <w:rPr>
          <w:rFonts w:ascii="AppleSystemUIFont" w:hAnsi="AppleSystemUIFont" w:cs="AppleSystemUIFont"/>
          <w:kern w:val="0"/>
          <w:sz w:val="26"/>
          <w:szCs w:val="26"/>
        </w:rPr>
        <w:t>Dias, D.A. and Marques, C.R., 2021. From micro to macro: a note on the analysis of aggregate productivity dynamics using firm-level data. Journal of Productivity Analysis, 56(1).</w:t>
      </w:r>
    </w:p>
    <w:p w:rsidR="009B4CCD"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Dixon-</w:t>
      </w:r>
      <w:proofErr w:type="spellStart"/>
      <w:r w:rsidRPr="00900498">
        <w:rPr>
          <w:rFonts w:ascii="Calibri" w:hAnsi="Calibri" w:cs="Calibri"/>
          <w:kern w:val="0"/>
        </w:rPr>
        <w:t>Fyle</w:t>
      </w:r>
      <w:proofErr w:type="spellEnd"/>
      <w:r w:rsidRPr="00900498">
        <w:rPr>
          <w:rFonts w:ascii="Calibri" w:hAnsi="Calibri" w:cs="Calibri"/>
          <w:kern w:val="0"/>
        </w:rPr>
        <w:t xml:space="preserve">, S., Dolan, K., Hunt, V. and Prince, S. (2020). </w:t>
      </w:r>
      <w:r w:rsidRPr="00900498">
        <w:rPr>
          <w:rFonts w:ascii="Calibri" w:hAnsi="Calibri" w:cs="Calibri"/>
          <w:i/>
          <w:iCs/>
          <w:kern w:val="0"/>
        </w:rPr>
        <w:t>Diversity wins: How inclusion matters</w:t>
      </w:r>
      <w:r w:rsidRPr="00900498">
        <w:rPr>
          <w:rFonts w:ascii="Calibri" w:hAnsi="Calibri" w:cs="Calibri"/>
          <w:kern w:val="0"/>
        </w:rPr>
        <w:t xml:space="preserve">. [online] McKinsey &amp; Company. Available at: </w:t>
      </w:r>
      <w:hyperlink r:id="rId20" w:history="1">
        <w:r w:rsidRPr="00900498">
          <w:rPr>
            <w:rFonts w:ascii="Calibri" w:hAnsi="Calibri" w:cs="Calibri"/>
            <w:kern w:val="0"/>
          </w:rPr>
          <w:t>https://www.mckinsey.com/featured-insights/diversity-and-inclusion/diversity-wins-how-inclusion-matters</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lastRenderedPageBreak/>
        <w:t xml:space="preserve">Field, E., </w:t>
      </w:r>
      <w:proofErr w:type="spellStart"/>
      <w:r w:rsidRPr="00900498">
        <w:rPr>
          <w:rFonts w:ascii="Calibri" w:hAnsi="Calibri" w:cs="Calibri"/>
          <w:kern w:val="0"/>
        </w:rPr>
        <w:t>Krivkovich</w:t>
      </w:r>
      <w:proofErr w:type="spellEnd"/>
      <w:r w:rsidRPr="00900498">
        <w:rPr>
          <w:rFonts w:ascii="Calibri" w:hAnsi="Calibri" w:cs="Calibri"/>
          <w:kern w:val="0"/>
        </w:rPr>
        <w:t xml:space="preserve">, A., </w:t>
      </w:r>
      <w:proofErr w:type="spellStart"/>
      <w:r w:rsidRPr="00900498">
        <w:rPr>
          <w:rFonts w:ascii="Calibri" w:hAnsi="Calibri" w:cs="Calibri"/>
          <w:kern w:val="0"/>
        </w:rPr>
        <w:t>Kügele</w:t>
      </w:r>
      <w:proofErr w:type="spellEnd"/>
      <w:r w:rsidRPr="00900498">
        <w:rPr>
          <w:rFonts w:ascii="Calibri" w:hAnsi="Calibri" w:cs="Calibri"/>
          <w:kern w:val="0"/>
        </w:rPr>
        <w:t xml:space="preserve">, S., Robinson, N. and Yee, L. (2023). </w:t>
      </w:r>
      <w:r w:rsidRPr="00900498">
        <w:rPr>
          <w:rFonts w:ascii="Calibri" w:hAnsi="Calibri" w:cs="Calibri"/>
          <w:i/>
          <w:iCs/>
          <w:kern w:val="0"/>
        </w:rPr>
        <w:t>Women in the Workplace</w:t>
      </w:r>
      <w:r w:rsidRPr="00900498">
        <w:rPr>
          <w:rFonts w:ascii="Calibri" w:hAnsi="Calibri" w:cs="Calibri"/>
          <w:kern w:val="0"/>
        </w:rPr>
        <w:t xml:space="preserve">. [online] McKinsey. Available at: </w:t>
      </w:r>
      <w:hyperlink r:id="rId21" w:history="1">
        <w:r w:rsidRPr="00900498">
          <w:rPr>
            <w:rFonts w:ascii="Calibri" w:hAnsi="Calibri" w:cs="Calibri"/>
            <w:kern w:val="0"/>
          </w:rPr>
          <w:t>https://www.mckinsey.com/featured-insights/diversity-and-inclusion/women-in-the-workplace</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Forbes (2021). </w:t>
      </w:r>
      <w:r w:rsidRPr="00900498">
        <w:rPr>
          <w:rFonts w:ascii="Calibri" w:hAnsi="Calibri" w:cs="Calibri"/>
          <w:i/>
          <w:iCs/>
          <w:kern w:val="0"/>
        </w:rPr>
        <w:t xml:space="preserve">Council Post: HR Experts Explain 16 Benefits </w:t>
      </w:r>
      <w:proofErr w:type="gramStart"/>
      <w:r w:rsidRPr="00900498">
        <w:rPr>
          <w:rFonts w:ascii="Calibri" w:hAnsi="Calibri" w:cs="Calibri"/>
          <w:i/>
          <w:iCs/>
          <w:kern w:val="0"/>
        </w:rPr>
        <w:t>Of</w:t>
      </w:r>
      <w:proofErr w:type="gramEnd"/>
      <w:r w:rsidRPr="00900498">
        <w:rPr>
          <w:rFonts w:ascii="Calibri" w:hAnsi="Calibri" w:cs="Calibri"/>
          <w:i/>
          <w:iCs/>
          <w:kern w:val="0"/>
        </w:rPr>
        <w:t xml:space="preserve"> Training And Development</w:t>
      </w:r>
      <w:r w:rsidRPr="00900498">
        <w:rPr>
          <w:rFonts w:ascii="Calibri" w:hAnsi="Calibri" w:cs="Calibri"/>
          <w:kern w:val="0"/>
        </w:rPr>
        <w:t xml:space="preserve">. [online] Forbes. Available at: </w:t>
      </w:r>
      <w:hyperlink r:id="rId22" w:history="1">
        <w:r w:rsidRPr="00900498">
          <w:rPr>
            <w:rFonts w:ascii="Calibri" w:hAnsi="Calibri" w:cs="Calibri"/>
            <w:kern w:val="0"/>
          </w:rPr>
          <w:t>https://www.forbes.com/sites/forbeshumanresourcescouncil/2021/12/17/hr-experts-explain-16-benefits-of-training-and-development/</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GOV (2024). </w:t>
      </w:r>
      <w:r w:rsidRPr="00900498">
        <w:rPr>
          <w:rFonts w:ascii="Calibri" w:hAnsi="Calibri" w:cs="Calibri"/>
          <w:i/>
          <w:iCs/>
          <w:kern w:val="0"/>
        </w:rPr>
        <w:t>Ethnicity facts and figures</w:t>
      </w:r>
      <w:r w:rsidRPr="00900498">
        <w:rPr>
          <w:rFonts w:ascii="Calibri" w:hAnsi="Calibri" w:cs="Calibri"/>
          <w:kern w:val="0"/>
        </w:rPr>
        <w:t xml:space="preserve">. [online] www.ethnicity-facts-figures.service.gov.uk. Available at: </w:t>
      </w:r>
      <w:hyperlink r:id="rId23" w:history="1">
        <w:r w:rsidRPr="00900498">
          <w:rPr>
            <w:rFonts w:ascii="Calibri" w:hAnsi="Calibri" w:cs="Calibri"/>
            <w:kern w:val="0"/>
          </w:rPr>
          <w:t>https://www.ethnicity-facts-figures.service.gov.uk/#:~:text=Government%20data%20about%20the%20UK</w:t>
        </w:r>
      </w:hyperlink>
      <w:r w:rsidRPr="00900498">
        <w:rPr>
          <w:rFonts w:ascii="Calibri" w:hAnsi="Calibri" w:cs="Calibri"/>
          <w:kern w:val="0"/>
        </w:rPr>
        <w:t xml:space="preserve"> [Accessed 17 Jun. 2024].</w:t>
      </w:r>
    </w:p>
    <w:p w:rsidR="009B4CCD" w:rsidRPr="00900498" w:rsidRDefault="009B4CCD" w:rsidP="009B4CCD">
      <w:pPr>
        <w:spacing w:line="360" w:lineRule="auto"/>
        <w:rPr>
          <w:rFonts w:ascii="Calibri" w:hAnsi="Calibri" w:cs="Calibri"/>
        </w:rPr>
      </w:pPr>
      <w:r>
        <w:rPr>
          <w:rFonts w:ascii="AppleSystemUIFont" w:hAnsi="AppleSystemUIFont" w:cs="AppleSystemUIFont"/>
          <w:kern w:val="0"/>
          <w:sz w:val="26"/>
          <w:szCs w:val="26"/>
        </w:rPr>
        <w:t xml:space="preserve">Gubbins, C., Harney, B., van der </w:t>
      </w:r>
      <w:proofErr w:type="spellStart"/>
      <w:r>
        <w:rPr>
          <w:rFonts w:ascii="AppleSystemUIFont" w:hAnsi="AppleSystemUIFont" w:cs="AppleSystemUIFont"/>
          <w:kern w:val="0"/>
          <w:sz w:val="26"/>
          <w:szCs w:val="26"/>
        </w:rPr>
        <w:t>Werff</w:t>
      </w:r>
      <w:proofErr w:type="spellEnd"/>
      <w:r>
        <w:rPr>
          <w:rFonts w:ascii="AppleSystemUIFont" w:hAnsi="AppleSystemUIFont" w:cs="AppleSystemUIFont"/>
          <w:kern w:val="0"/>
          <w:sz w:val="26"/>
          <w:szCs w:val="26"/>
        </w:rPr>
        <w:t>, L. and Rousseau, D.M., 2018. Enhancing the trustworthiness and credibility of HRD: Evidence-based management to the rescue. Human Resource Development Quarterly, 29(3</w:t>
      </w:r>
      <w:proofErr w:type="gramStart"/>
      <w:r>
        <w:rPr>
          <w:rFonts w:ascii="AppleSystemUIFont" w:hAnsi="AppleSystemUIFont" w:cs="AppleSystemUIFont"/>
          <w:kern w:val="0"/>
          <w:sz w:val="26"/>
          <w:szCs w:val="26"/>
        </w:rPr>
        <w:t>).</w:t>
      </w:r>
      <w:r w:rsidRPr="00900498">
        <w:rPr>
          <w:rFonts w:ascii="Calibri" w:hAnsi="Calibri" w:cs="Calibri"/>
        </w:rPr>
        <w:t>Guest</w:t>
      </w:r>
      <w:proofErr w:type="gramEnd"/>
      <w:r w:rsidRPr="00900498">
        <w:rPr>
          <w:rFonts w:ascii="Calibri" w:hAnsi="Calibri" w:cs="Calibri"/>
        </w:rPr>
        <w:t>, D E (1999) The role of the psychological contract, in (eds) S J Perkins and St John Sandringham, Trust, Motivation and Commitment, Strategic Remuneration Centre, Faringdon</w:t>
      </w:r>
    </w:p>
    <w:p w:rsidR="009B4CCD" w:rsidRPr="00900498" w:rsidRDefault="009B4CCD" w:rsidP="009B4CCD">
      <w:pPr>
        <w:spacing w:line="360" w:lineRule="auto"/>
        <w:rPr>
          <w:rFonts w:ascii="Calibri" w:hAnsi="Calibri" w:cs="Calibri"/>
          <w:color w:val="000000"/>
          <w:shd w:val="clear" w:color="auto" w:fill="FFFFFF"/>
        </w:rPr>
      </w:pPr>
      <w:r w:rsidRPr="00900498">
        <w:rPr>
          <w:rFonts w:ascii="Calibri" w:hAnsi="Calibri" w:cs="Calibri"/>
          <w:color w:val="000000"/>
          <w:shd w:val="clear" w:color="auto" w:fill="FFFFFF"/>
        </w:rPr>
        <w:t>Halpern, D.F. (2007) ‘The nature and nurture of critical thinking’ in Sternberg, R., Roediger, R. and Halpern, D.F. (eds) </w:t>
      </w:r>
      <w:r w:rsidRPr="00900498">
        <w:rPr>
          <w:rFonts w:ascii="Calibri" w:hAnsi="Calibri" w:cs="Calibri"/>
          <w:i/>
          <w:iCs/>
          <w:color w:val="000000"/>
          <w:shd w:val="clear" w:color="auto" w:fill="FFFFFF"/>
        </w:rPr>
        <w:t>Critical Thinking in Psychology</w:t>
      </w:r>
      <w:r w:rsidRPr="00900498">
        <w:rPr>
          <w:rFonts w:ascii="Calibri" w:hAnsi="Calibri" w:cs="Calibri"/>
          <w:color w:val="000000"/>
          <w:shd w:val="clear" w:color="auto" w:fill="FFFFFF"/>
        </w:rPr>
        <w:t>, Cambridge, MA, Cambridge University Press.</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Harrington, S. (2024). </w:t>
      </w:r>
      <w:r w:rsidRPr="00900498">
        <w:rPr>
          <w:rFonts w:ascii="Calibri" w:hAnsi="Calibri" w:cs="Calibri"/>
          <w:i/>
          <w:iCs/>
          <w:kern w:val="0"/>
        </w:rPr>
        <w:t>Good people management does improve business performance: fact | The People Space</w:t>
      </w:r>
      <w:r w:rsidRPr="00900498">
        <w:rPr>
          <w:rFonts w:ascii="Calibri" w:hAnsi="Calibri" w:cs="Calibri"/>
          <w:kern w:val="0"/>
        </w:rPr>
        <w:t xml:space="preserve">. [online] www.thepeoplespace.com. Available at: </w:t>
      </w:r>
      <w:hyperlink r:id="rId24" w:history="1">
        <w:r w:rsidRPr="00900498">
          <w:rPr>
            <w:rFonts w:ascii="Calibri" w:hAnsi="Calibri" w:cs="Calibri"/>
            <w:kern w:val="0"/>
          </w:rPr>
          <w:t>https://www.thepeoplespace.com/practice/articles/good-people-management-does-improve-business-performance-fact</w:t>
        </w:r>
      </w:hyperlink>
      <w:r w:rsidRPr="00900498">
        <w:rPr>
          <w:rFonts w:ascii="Calibri" w:hAnsi="Calibri" w:cs="Calibri"/>
          <w:kern w:val="0"/>
        </w:rPr>
        <w:t xml:space="preserve"> [Accessed 17 Jun. 2024].</w:t>
      </w:r>
    </w:p>
    <w:p w:rsidR="009B4CCD" w:rsidRDefault="009B4CCD" w:rsidP="009B4CCD">
      <w:pPr>
        <w:autoSpaceDE w:val="0"/>
        <w:autoSpaceDN w:val="0"/>
        <w:adjustRightInd w:val="0"/>
        <w:spacing w:line="36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Khalaf, B.K., Zin, M. and </w:t>
      </w:r>
      <w:proofErr w:type="spellStart"/>
      <w:r>
        <w:rPr>
          <w:rFonts w:ascii="AppleSystemUIFont" w:hAnsi="AppleSystemUIFont" w:cs="AppleSystemUIFont"/>
          <w:kern w:val="0"/>
          <w:sz w:val="26"/>
          <w:szCs w:val="26"/>
        </w:rPr>
        <w:t>Bt</w:t>
      </w:r>
      <w:proofErr w:type="spellEnd"/>
      <w:r>
        <w:rPr>
          <w:rFonts w:ascii="AppleSystemUIFont" w:hAnsi="AppleSystemUIFont" w:cs="AppleSystemUIFont"/>
          <w:kern w:val="0"/>
          <w:sz w:val="26"/>
          <w:szCs w:val="26"/>
        </w:rPr>
        <w:t>, Z., 2018. Traditional and Inquiry-Based Learning Pedagogy: A Systematic Critical Review. International Journal of Instruction, 11(4).</w:t>
      </w:r>
    </w:p>
    <w:p w:rsidR="009B4CCD" w:rsidRPr="00900498" w:rsidRDefault="009B4CCD" w:rsidP="009B4CCD">
      <w:pPr>
        <w:autoSpaceDE w:val="0"/>
        <w:autoSpaceDN w:val="0"/>
        <w:adjustRightInd w:val="0"/>
        <w:spacing w:after="240" w:line="360" w:lineRule="auto"/>
        <w:rPr>
          <w:rFonts w:ascii="Calibri" w:hAnsi="Calibri" w:cs="Calibri"/>
          <w:kern w:val="0"/>
        </w:rPr>
      </w:pPr>
      <w:proofErr w:type="spellStart"/>
      <w:r w:rsidRPr="00900498">
        <w:rPr>
          <w:rFonts w:ascii="Calibri" w:hAnsi="Calibri" w:cs="Calibri"/>
          <w:kern w:val="0"/>
        </w:rPr>
        <w:t>Kivunja</w:t>
      </w:r>
      <w:proofErr w:type="spellEnd"/>
      <w:r w:rsidRPr="00900498">
        <w:rPr>
          <w:rFonts w:ascii="Calibri" w:hAnsi="Calibri" w:cs="Calibri"/>
          <w:kern w:val="0"/>
        </w:rPr>
        <w:t>, C. (2015). Using De Bono’s Six Thinking Hats Model to Teach Critical Thinking and Problem Solving Skills Essential for Success in the 21</w:t>
      </w:r>
      <w:proofErr w:type="gramStart"/>
      <w:r w:rsidRPr="00900498">
        <w:rPr>
          <w:rFonts w:ascii="Calibri" w:hAnsi="Calibri" w:cs="Calibri"/>
          <w:kern w:val="0"/>
        </w:rPr>
        <w:t>st  Century</w:t>
      </w:r>
      <w:proofErr w:type="gramEnd"/>
      <w:r w:rsidRPr="00900498">
        <w:rPr>
          <w:rFonts w:ascii="Calibri" w:hAnsi="Calibri" w:cs="Calibri"/>
          <w:kern w:val="0"/>
        </w:rPr>
        <w:t xml:space="preserve"> Economy. </w:t>
      </w:r>
      <w:r w:rsidRPr="00900498">
        <w:rPr>
          <w:rFonts w:ascii="Calibri" w:hAnsi="Calibri" w:cs="Calibri"/>
          <w:i/>
          <w:iCs/>
          <w:kern w:val="0"/>
        </w:rPr>
        <w:t>Creative Education</w:t>
      </w:r>
      <w:r w:rsidRPr="00900498">
        <w:rPr>
          <w:rFonts w:ascii="Calibri" w:hAnsi="Calibri" w:cs="Calibri"/>
          <w:kern w:val="0"/>
        </w:rPr>
        <w:t xml:space="preserve">, [online] 06(03), pp.380–391. </w:t>
      </w:r>
      <w:proofErr w:type="spellStart"/>
      <w:r w:rsidRPr="00900498">
        <w:rPr>
          <w:rFonts w:ascii="Calibri" w:hAnsi="Calibri" w:cs="Calibri"/>
          <w:kern w:val="0"/>
        </w:rPr>
        <w:t>doi:</w:t>
      </w:r>
      <w:hyperlink r:id="rId25" w:history="1">
        <w:r w:rsidRPr="00900498">
          <w:rPr>
            <w:rFonts w:ascii="Calibri" w:hAnsi="Calibri" w:cs="Calibri"/>
            <w:kern w:val="0"/>
          </w:rPr>
          <w:t>https</w:t>
        </w:r>
        <w:proofErr w:type="spellEnd"/>
        <w:r w:rsidRPr="00900498">
          <w:rPr>
            <w:rFonts w:ascii="Calibri" w:hAnsi="Calibri" w:cs="Calibri"/>
            <w:kern w:val="0"/>
          </w:rPr>
          <w:t>://doi.org/10.4236/ce.2015.63037</w:t>
        </w:r>
      </w:hyperlink>
      <w:r w:rsidRPr="00900498">
        <w:rPr>
          <w:rFonts w:ascii="Calibri" w:hAnsi="Calibri" w:cs="Calibri"/>
          <w:kern w:val="0"/>
        </w:rPr>
        <w:t>.</w:t>
      </w:r>
    </w:p>
    <w:p w:rsidR="009B4CCD" w:rsidRDefault="009B4CCD" w:rsidP="009B4CCD">
      <w:pPr>
        <w:pStyle w:val="ListParagraph"/>
        <w:ind w:left="0"/>
        <w:jc w:val="left"/>
        <w:rPr>
          <w:rFonts w:ascii="AppleSystemUIFont" w:hAnsi="AppleSystemUIFont" w:cs="AppleSystemUIFont"/>
          <w:sz w:val="26"/>
          <w:szCs w:val="26"/>
        </w:rPr>
      </w:pPr>
      <w:proofErr w:type="spellStart"/>
      <w:r>
        <w:rPr>
          <w:rFonts w:ascii="AppleSystemUIFont" w:hAnsi="AppleSystemUIFont" w:cs="AppleSystemUIFont"/>
          <w:sz w:val="26"/>
          <w:szCs w:val="26"/>
        </w:rPr>
        <w:lastRenderedPageBreak/>
        <w:t>Lehane</w:t>
      </w:r>
      <w:proofErr w:type="spellEnd"/>
      <w:r>
        <w:rPr>
          <w:rFonts w:ascii="AppleSystemUIFont" w:hAnsi="AppleSystemUIFont" w:cs="AppleSystemUIFont"/>
          <w:sz w:val="26"/>
          <w:szCs w:val="26"/>
        </w:rPr>
        <w:t xml:space="preserve">, E., Leahy-Warren, P., </w:t>
      </w:r>
      <w:proofErr w:type="spellStart"/>
      <w:r>
        <w:rPr>
          <w:rFonts w:ascii="AppleSystemUIFont" w:hAnsi="AppleSystemUIFont" w:cs="AppleSystemUIFont"/>
          <w:sz w:val="26"/>
          <w:szCs w:val="26"/>
        </w:rPr>
        <w:t>O’Riordan</w:t>
      </w:r>
      <w:proofErr w:type="spellEnd"/>
      <w:r>
        <w:rPr>
          <w:rFonts w:ascii="AppleSystemUIFont" w:hAnsi="AppleSystemUIFont" w:cs="AppleSystemUIFont"/>
          <w:sz w:val="26"/>
          <w:szCs w:val="26"/>
        </w:rPr>
        <w:t xml:space="preserve">, C., Savage, E., Drennan, J., </w:t>
      </w:r>
      <w:proofErr w:type="spellStart"/>
      <w:r>
        <w:rPr>
          <w:rFonts w:ascii="AppleSystemUIFont" w:hAnsi="AppleSystemUIFont" w:cs="AppleSystemUIFont"/>
          <w:sz w:val="26"/>
          <w:szCs w:val="26"/>
        </w:rPr>
        <w:t>O’Tuathaigh</w:t>
      </w:r>
      <w:proofErr w:type="spellEnd"/>
      <w:r>
        <w:rPr>
          <w:rFonts w:ascii="AppleSystemUIFont" w:hAnsi="AppleSystemUIFont" w:cs="AppleSystemUIFont"/>
          <w:sz w:val="26"/>
          <w:szCs w:val="26"/>
        </w:rPr>
        <w:t>, C., O’Connor, M., Corrigan, M., Burke, F., Hayes, M. and Lynch, H., 2019. Evidence-based practice education for healthcare professions: an expert view. BMJ evidence-based medicine, 24(3).</w:t>
      </w:r>
    </w:p>
    <w:p w:rsidR="009B4CCD" w:rsidRPr="00900498" w:rsidRDefault="009B4CCD" w:rsidP="009B4CCD">
      <w:pPr>
        <w:pStyle w:val="ListParagraph"/>
        <w:ind w:left="0"/>
        <w:jc w:val="left"/>
        <w:rPr>
          <w:rFonts w:ascii="Calibri" w:hAnsi="Calibri" w:cs="Calibri"/>
          <w:color w:val="000000" w:themeColor="text1"/>
          <w:szCs w:val="24"/>
        </w:rPr>
      </w:pPr>
      <w:r w:rsidRPr="00900498">
        <w:rPr>
          <w:rFonts w:ascii="Calibri" w:hAnsi="Calibri" w:cs="Calibri"/>
          <w:color w:val="000000" w:themeColor="text1"/>
          <w:szCs w:val="24"/>
        </w:rPr>
        <w:t xml:space="preserve">Lemieux, C.J., Groulx, M.W., Bocking, S. and </w:t>
      </w:r>
      <w:proofErr w:type="spellStart"/>
      <w:r w:rsidRPr="00900498">
        <w:rPr>
          <w:rFonts w:ascii="Calibri" w:hAnsi="Calibri" w:cs="Calibri"/>
          <w:color w:val="000000" w:themeColor="text1"/>
          <w:szCs w:val="24"/>
        </w:rPr>
        <w:t>Beechey</w:t>
      </w:r>
      <w:proofErr w:type="spellEnd"/>
      <w:r w:rsidRPr="00900498">
        <w:rPr>
          <w:rFonts w:ascii="Calibri" w:hAnsi="Calibri" w:cs="Calibri"/>
          <w:color w:val="000000" w:themeColor="text1"/>
          <w:szCs w:val="24"/>
        </w:rPr>
        <w:t>, T.J., 2018. Evidence-based decision-making in Canada’s protected areas organizations: Implications for management effectiveness. Facets, 3(1).</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M&amp;S (2024). </w:t>
      </w:r>
      <w:r w:rsidRPr="00900498">
        <w:rPr>
          <w:rFonts w:ascii="Calibri" w:hAnsi="Calibri" w:cs="Calibri"/>
          <w:i/>
          <w:iCs/>
          <w:kern w:val="0"/>
        </w:rPr>
        <w:t xml:space="preserve">LOTS TO DO LOTS DONE LOTS OF OPPORTUNITY R e s h a p </w:t>
      </w:r>
      <w:proofErr w:type="spellStart"/>
      <w:r w:rsidRPr="00900498">
        <w:rPr>
          <w:rFonts w:ascii="Calibri" w:hAnsi="Calibri" w:cs="Calibri"/>
          <w:i/>
          <w:iCs/>
          <w:kern w:val="0"/>
        </w:rPr>
        <w:t>i</w:t>
      </w:r>
      <w:proofErr w:type="spellEnd"/>
      <w:r w:rsidRPr="00900498">
        <w:rPr>
          <w:rFonts w:ascii="Calibri" w:hAnsi="Calibri" w:cs="Calibri"/>
          <w:i/>
          <w:iCs/>
          <w:kern w:val="0"/>
        </w:rPr>
        <w:t xml:space="preserve"> n g M&amp;S Marks and Spencer Group plc ESG Report 2024</w:t>
      </w:r>
      <w:r w:rsidRPr="00900498">
        <w:rPr>
          <w:rFonts w:ascii="Calibri" w:hAnsi="Calibri" w:cs="Calibri"/>
          <w:kern w:val="0"/>
        </w:rPr>
        <w:t xml:space="preserve">. [online] Available at: </w:t>
      </w:r>
      <w:hyperlink r:id="rId26" w:history="1">
        <w:r w:rsidRPr="00900498">
          <w:rPr>
            <w:rFonts w:ascii="Calibri" w:hAnsi="Calibri" w:cs="Calibri"/>
            <w:kern w:val="0"/>
          </w:rPr>
          <w:t>https://corporate.marksandspencer.com/sites/marksandspencer/files/2024-06/ESG_Report_2024.pdf</w:t>
        </w:r>
      </w:hyperlink>
      <w:r w:rsidRPr="00900498">
        <w:rPr>
          <w:rFonts w:ascii="Calibri" w:hAnsi="Calibri" w:cs="Calibri"/>
          <w:kern w:val="0"/>
        </w:rPr>
        <w:t xml:space="preserve"> [Accessed 17 Jun. 2024].</w:t>
      </w:r>
    </w:p>
    <w:p w:rsidR="009B4CCD" w:rsidRPr="00900498" w:rsidRDefault="009B4CCD" w:rsidP="009B4CCD">
      <w:pPr>
        <w:pStyle w:val="ListParagraph"/>
        <w:ind w:left="0"/>
        <w:jc w:val="left"/>
        <w:rPr>
          <w:rFonts w:ascii="Calibri" w:hAnsi="Calibri" w:cs="Calibri"/>
          <w:color w:val="000000" w:themeColor="text1"/>
          <w:szCs w:val="24"/>
        </w:rPr>
      </w:pPr>
      <w:r w:rsidRPr="00900498">
        <w:rPr>
          <w:rFonts w:ascii="Calibri" w:hAnsi="Calibri" w:cs="Calibri"/>
          <w:color w:val="000000" w:themeColor="text1"/>
          <w:szCs w:val="24"/>
        </w:rPr>
        <w:t>Marseille, E. and Kahn, J.G., 2019. Utilitarianism and the ethical foundations of cost-effectiveness analysis in resource allocation for global health. Philosophy, Ethics, and Humanities in Medicine, 14(1).</w:t>
      </w:r>
    </w:p>
    <w:p w:rsidR="009B4CCD"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Open University (2024). </w:t>
      </w:r>
      <w:r w:rsidRPr="00900498">
        <w:rPr>
          <w:rFonts w:ascii="Calibri" w:hAnsi="Calibri" w:cs="Calibri"/>
          <w:i/>
          <w:iCs/>
          <w:kern w:val="0"/>
        </w:rPr>
        <w:t>Succeeding in postgraduate study</w:t>
      </w:r>
      <w:r w:rsidRPr="00900498">
        <w:rPr>
          <w:rFonts w:ascii="Calibri" w:hAnsi="Calibri" w:cs="Calibri"/>
          <w:kern w:val="0"/>
        </w:rPr>
        <w:t xml:space="preserve">. [online] Succeeding in postgraduate study. Available at: </w:t>
      </w:r>
      <w:hyperlink r:id="rId27" w:history="1">
        <w:r w:rsidRPr="00900498">
          <w:rPr>
            <w:rFonts w:ascii="Calibri" w:hAnsi="Calibri" w:cs="Calibri"/>
            <w:kern w:val="0"/>
          </w:rPr>
          <w:t>https://www.open.edu/openlearn/mod/oucontent/view.php?id=51387&amp;section=2.2</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rPr>
        <w:t>Pfeffer, J (1998a) The Human Equation, Harvard Business School Press, Boston, MA</w:t>
      </w:r>
    </w:p>
    <w:p w:rsidR="009B4CCD" w:rsidRPr="00900498" w:rsidRDefault="009B4CCD" w:rsidP="009B4CCD">
      <w:pPr>
        <w:pStyle w:val="ListParagraph"/>
        <w:ind w:left="0"/>
        <w:jc w:val="left"/>
        <w:rPr>
          <w:rFonts w:ascii="Calibri" w:hAnsi="Calibri" w:cs="Calibri"/>
          <w:color w:val="000000" w:themeColor="text1"/>
          <w:szCs w:val="24"/>
        </w:rPr>
      </w:pPr>
      <w:proofErr w:type="spellStart"/>
      <w:r w:rsidRPr="00900498">
        <w:rPr>
          <w:rFonts w:ascii="Calibri" w:hAnsi="Calibri" w:cs="Calibri"/>
          <w:color w:val="000000" w:themeColor="text1"/>
          <w:szCs w:val="24"/>
        </w:rPr>
        <w:t>Portney</w:t>
      </w:r>
      <w:proofErr w:type="spellEnd"/>
      <w:r w:rsidRPr="00900498">
        <w:rPr>
          <w:rFonts w:ascii="Calibri" w:hAnsi="Calibri" w:cs="Calibri"/>
          <w:color w:val="000000" w:themeColor="text1"/>
          <w:szCs w:val="24"/>
        </w:rPr>
        <w:t>, L.G., 2020. Foundations of clinical research: applications to evidence-based practice. FA Davis.</w:t>
      </w:r>
    </w:p>
    <w:p w:rsidR="009B4CCD" w:rsidRPr="00900498" w:rsidRDefault="009B4CCD" w:rsidP="009B4CCD">
      <w:pPr>
        <w:autoSpaceDE w:val="0"/>
        <w:autoSpaceDN w:val="0"/>
        <w:adjustRightInd w:val="0"/>
        <w:spacing w:after="240" w:line="360" w:lineRule="auto"/>
        <w:rPr>
          <w:rFonts w:ascii="Calibri" w:hAnsi="Calibri" w:cs="Calibri"/>
          <w:kern w:val="0"/>
        </w:rPr>
      </w:pPr>
      <w:r>
        <w:rPr>
          <w:rFonts w:ascii="AppleSystemUIFont" w:hAnsi="AppleSystemUIFont" w:cs="AppleSystemUIFont"/>
          <w:kern w:val="0"/>
          <w:sz w:val="26"/>
          <w:szCs w:val="26"/>
        </w:rPr>
        <w:t>Reviews, 7(14</w:t>
      </w:r>
      <w:proofErr w:type="gramStart"/>
      <w:r>
        <w:rPr>
          <w:rFonts w:ascii="AppleSystemUIFont" w:hAnsi="AppleSystemUIFont" w:cs="AppleSystemUIFont"/>
          <w:kern w:val="0"/>
          <w:sz w:val="26"/>
          <w:szCs w:val="26"/>
        </w:rPr>
        <w:t>).</w:t>
      </w:r>
      <w:r w:rsidRPr="00900498">
        <w:rPr>
          <w:rFonts w:ascii="Calibri" w:hAnsi="Calibri" w:cs="Calibri"/>
          <w:kern w:val="0"/>
        </w:rPr>
        <w:t>Bell</w:t>
      </w:r>
      <w:proofErr w:type="gramEnd"/>
      <w:r w:rsidRPr="00900498">
        <w:rPr>
          <w:rFonts w:ascii="Calibri" w:hAnsi="Calibri" w:cs="Calibri"/>
          <w:kern w:val="0"/>
        </w:rPr>
        <w:t xml:space="preserve">, E., Bryman, A. and Harley, B. (2018). </w:t>
      </w:r>
      <w:r w:rsidRPr="00900498">
        <w:rPr>
          <w:rFonts w:ascii="Calibri" w:hAnsi="Calibri" w:cs="Calibri"/>
          <w:i/>
          <w:iCs/>
          <w:kern w:val="0"/>
        </w:rPr>
        <w:t>Business Research Methods</w:t>
      </w:r>
      <w:r w:rsidRPr="00900498">
        <w:rPr>
          <w:rFonts w:ascii="Calibri" w:hAnsi="Calibri" w:cs="Calibri"/>
          <w:kern w:val="0"/>
        </w:rPr>
        <w:t>. 5th ed. Oxford: Oxford University Press.</w:t>
      </w:r>
    </w:p>
    <w:p w:rsidR="009B4CCD" w:rsidRPr="00900498" w:rsidRDefault="009B4CCD" w:rsidP="009B4CCD">
      <w:pPr>
        <w:pStyle w:val="ListParagraph"/>
        <w:ind w:left="0"/>
        <w:jc w:val="left"/>
        <w:rPr>
          <w:rFonts w:ascii="Calibri" w:hAnsi="Calibri" w:cs="Calibri"/>
          <w:color w:val="000000" w:themeColor="text1"/>
          <w:szCs w:val="24"/>
        </w:rPr>
      </w:pPr>
      <w:r w:rsidRPr="00900498">
        <w:rPr>
          <w:rFonts w:ascii="Calibri" w:hAnsi="Calibri" w:cs="Calibri"/>
          <w:color w:val="000000" w:themeColor="text1"/>
          <w:szCs w:val="24"/>
        </w:rPr>
        <w:t>Riaz, M.T., Jahan, M.S., Arif, K.S. and Butt, W.H., 2019, November. Risk Assessment on Software Development using Fishbone Analysis. In 2019 International Conference on Data and Software Engineering (</w:t>
      </w:r>
      <w:proofErr w:type="spellStart"/>
      <w:r w:rsidRPr="00900498">
        <w:rPr>
          <w:rFonts w:ascii="Calibri" w:hAnsi="Calibri" w:cs="Calibri"/>
          <w:color w:val="000000" w:themeColor="text1"/>
          <w:szCs w:val="24"/>
        </w:rPr>
        <w:t>ICoDSE</w:t>
      </w:r>
      <w:proofErr w:type="spellEnd"/>
      <w:r w:rsidRPr="00900498">
        <w:rPr>
          <w:rFonts w:ascii="Calibri" w:hAnsi="Calibri" w:cs="Calibri"/>
          <w:color w:val="000000" w:themeColor="text1"/>
          <w:szCs w:val="24"/>
        </w:rPr>
        <w:t>) (pp. 1-6). IEEE.</w:t>
      </w:r>
    </w:p>
    <w:p w:rsidR="009B4CCD" w:rsidRPr="00900498" w:rsidRDefault="009B4CCD" w:rsidP="009B4CCD">
      <w:pPr>
        <w:pStyle w:val="NormalWeb"/>
        <w:spacing w:before="0" w:beforeAutospacing="0" w:after="240" w:afterAutospacing="0" w:line="360" w:lineRule="auto"/>
        <w:rPr>
          <w:rFonts w:ascii="Calibri" w:hAnsi="Calibri" w:cs="Calibri"/>
        </w:rPr>
      </w:pPr>
      <w:proofErr w:type="spellStart"/>
      <w:r w:rsidRPr="00900498">
        <w:rPr>
          <w:rFonts w:ascii="Calibri" w:hAnsi="Calibri" w:cs="Calibri"/>
        </w:rPr>
        <w:lastRenderedPageBreak/>
        <w:t>Stobierski</w:t>
      </w:r>
      <w:proofErr w:type="spellEnd"/>
      <w:r w:rsidRPr="00900498">
        <w:rPr>
          <w:rFonts w:ascii="Calibri" w:hAnsi="Calibri" w:cs="Calibri"/>
        </w:rPr>
        <w:t xml:space="preserve">, T. (2020). </w:t>
      </w:r>
      <w:r w:rsidRPr="00900498">
        <w:rPr>
          <w:rFonts w:ascii="Calibri" w:hAnsi="Calibri" w:cs="Calibri"/>
          <w:i/>
          <w:iCs/>
        </w:rPr>
        <w:t>13 Financial Performance Measures Managers Should Monitor | HBS Online</w:t>
      </w:r>
      <w:r w:rsidRPr="00900498">
        <w:rPr>
          <w:rFonts w:ascii="Calibri" w:hAnsi="Calibri" w:cs="Calibri"/>
        </w:rPr>
        <w:t>. [online] Harvard Business School Online. Available at: https://online.hbs.edu/blog/post/financial-performance-measures [Accessed 17 Jun. 2024].</w:t>
      </w:r>
    </w:p>
    <w:p w:rsidR="009B4CCD" w:rsidRPr="00900498" w:rsidRDefault="009B4CCD" w:rsidP="009B4CCD">
      <w:pPr>
        <w:spacing w:line="360" w:lineRule="auto"/>
        <w:rPr>
          <w:rFonts w:ascii="Calibri" w:hAnsi="Calibri" w:cs="Calibri"/>
        </w:rPr>
      </w:pPr>
      <w:r w:rsidRPr="00900498">
        <w:rPr>
          <w:rFonts w:ascii="Calibri" w:hAnsi="Calibri" w:cs="Calibri"/>
        </w:rPr>
        <w:t>Taylor, S., Woodhams, C. (2022). </w:t>
      </w:r>
      <w:r w:rsidRPr="00900498">
        <w:rPr>
          <w:rFonts w:ascii="Calibri" w:hAnsi="Calibri" w:cs="Calibri"/>
          <w:i/>
          <w:iCs/>
        </w:rPr>
        <w:t>Studying Human Resource Management: A Guide to the Study, Context and Practice of HR</w:t>
      </w:r>
      <w:r w:rsidRPr="00900498">
        <w:rPr>
          <w:rFonts w:ascii="Calibri" w:hAnsi="Calibri" w:cs="Calibri"/>
        </w:rPr>
        <w:t>. United Kingdom: Kogan Page.</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The De Bono Group (2024). </w:t>
      </w:r>
      <w:r w:rsidRPr="00900498">
        <w:rPr>
          <w:rFonts w:ascii="Calibri" w:hAnsi="Calibri" w:cs="Calibri"/>
          <w:i/>
          <w:iCs/>
          <w:kern w:val="0"/>
        </w:rPr>
        <w:t>Six thinking hats</w:t>
      </w:r>
      <w:r w:rsidRPr="00900498">
        <w:rPr>
          <w:rFonts w:ascii="Calibri" w:hAnsi="Calibri" w:cs="Calibri"/>
          <w:kern w:val="0"/>
        </w:rPr>
        <w:t xml:space="preserve">. [online] The De Bono Group. Available at: </w:t>
      </w:r>
      <w:hyperlink r:id="rId28" w:history="1">
        <w:r w:rsidRPr="00900498">
          <w:rPr>
            <w:rFonts w:ascii="Calibri" w:hAnsi="Calibri" w:cs="Calibri"/>
            <w:kern w:val="0"/>
          </w:rPr>
          <w:t>https://www.debonogroup.com/services/core-programs/six-thinking-hats/</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University College London (2022). </w:t>
      </w:r>
      <w:r w:rsidRPr="00900498">
        <w:rPr>
          <w:rFonts w:ascii="Calibri" w:hAnsi="Calibri" w:cs="Calibri"/>
          <w:i/>
          <w:iCs/>
          <w:kern w:val="0"/>
        </w:rPr>
        <w:t>Guide to positive action and inclusive recruitment</w:t>
      </w:r>
      <w:r w:rsidRPr="00900498">
        <w:rPr>
          <w:rFonts w:ascii="Calibri" w:hAnsi="Calibri" w:cs="Calibri"/>
          <w:kern w:val="0"/>
        </w:rPr>
        <w:t xml:space="preserve">. [online] UCL Human Resources. Available at: </w:t>
      </w:r>
      <w:hyperlink r:id="rId29" w:history="1">
        <w:r w:rsidRPr="00900498">
          <w:rPr>
            <w:rFonts w:ascii="Calibri" w:hAnsi="Calibri" w:cs="Calibri"/>
            <w:kern w:val="0"/>
          </w:rPr>
          <w:t>https://www.ucl.ac.uk/human-resources/guide-positive-action-and-inclusive-recruitment#:~:text=offering%20training%20or%20internships%20to</w:t>
        </w:r>
      </w:hyperlink>
      <w:r w:rsidRPr="00900498">
        <w:rPr>
          <w:rFonts w:ascii="Calibri" w:hAnsi="Calibri" w:cs="Calibri"/>
          <w:kern w:val="0"/>
        </w:rPr>
        <w:t xml:space="preserve"> [Accessed 17 Jun. 2024].</w:t>
      </w:r>
    </w:p>
    <w:p w:rsidR="009B4CCD" w:rsidRPr="00900498" w:rsidRDefault="009B4CCD" w:rsidP="009B4CCD">
      <w:pPr>
        <w:autoSpaceDE w:val="0"/>
        <w:autoSpaceDN w:val="0"/>
        <w:adjustRightInd w:val="0"/>
        <w:spacing w:after="240" w:line="360" w:lineRule="auto"/>
        <w:rPr>
          <w:rFonts w:ascii="Calibri" w:hAnsi="Calibri" w:cs="Calibri"/>
          <w:kern w:val="0"/>
        </w:rPr>
      </w:pPr>
      <w:proofErr w:type="spellStart"/>
      <w:r w:rsidRPr="00900498">
        <w:rPr>
          <w:rFonts w:ascii="Calibri" w:hAnsi="Calibri" w:cs="Calibri"/>
          <w:kern w:val="0"/>
        </w:rPr>
        <w:t>Vq</w:t>
      </w:r>
      <w:proofErr w:type="spellEnd"/>
      <w:r w:rsidRPr="00900498">
        <w:rPr>
          <w:rFonts w:ascii="Calibri" w:hAnsi="Calibri" w:cs="Calibri"/>
          <w:kern w:val="0"/>
        </w:rPr>
        <w:t xml:space="preserve"> Solutions (2024). </w:t>
      </w:r>
      <w:r w:rsidRPr="00900498">
        <w:rPr>
          <w:rFonts w:ascii="Calibri" w:hAnsi="Calibri" w:cs="Calibri"/>
          <w:i/>
          <w:iCs/>
          <w:kern w:val="0"/>
        </w:rPr>
        <w:t>News -</w:t>
      </w:r>
      <w:r w:rsidRPr="00900498">
        <w:rPr>
          <w:rFonts w:ascii="Calibri" w:hAnsi="Calibri" w:cs="Calibri"/>
          <w:kern w:val="0"/>
        </w:rPr>
        <w:t xml:space="preserve">. [online] www.vqsolutions.co.uk. Available at: </w:t>
      </w:r>
      <w:hyperlink r:id="rId30" w:history="1">
        <w:r w:rsidRPr="00900498">
          <w:rPr>
            <w:rFonts w:ascii="Calibri" w:hAnsi="Calibri" w:cs="Calibri"/>
            <w:kern w:val="0"/>
          </w:rPr>
          <w:t>https://www.vqsolutions.co.uk/page/show/9468?p=cipd-level-5-ethical-perspectives-and-moral-decision-making#:~:text=This%20principle%20suggests%20that%20the</w:t>
        </w:r>
      </w:hyperlink>
      <w:r w:rsidRPr="00900498">
        <w:rPr>
          <w:rFonts w:ascii="Calibri" w:hAnsi="Calibri" w:cs="Calibri"/>
          <w:kern w:val="0"/>
        </w:rPr>
        <w:t xml:space="preserve"> [Accessed 17 Jun. 2024].</w:t>
      </w:r>
    </w:p>
    <w:p w:rsidR="009B4CCD" w:rsidRPr="00900498" w:rsidRDefault="009B4CCD" w:rsidP="009B4CCD">
      <w:pPr>
        <w:pStyle w:val="ListParagraph"/>
        <w:ind w:left="0"/>
        <w:jc w:val="left"/>
        <w:rPr>
          <w:rFonts w:ascii="Calibri" w:hAnsi="Calibri" w:cs="Calibri"/>
          <w:color w:val="000000" w:themeColor="text1"/>
          <w:szCs w:val="24"/>
        </w:rPr>
      </w:pPr>
      <w:r w:rsidRPr="00900498">
        <w:rPr>
          <w:rFonts w:ascii="Calibri" w:hAnsi="Calibri" w:cs="Calibri"/>
          <w:color w:val="000000" w:themeColor="text1"/>
          <w:szCs w:val="24"/>
        </w:rPr>
        <w:t>Wang, S. and Gupta, M., 2020, June. Deontological ethics by monotonicity shape constraints. In International Conference on Artificial Intelligence and Statistics (pp. 2043-2054). PMLR.</w:t>
      </w:r>
    </w:p>
    <w:p w:rsidR="009B4CCD" w:rsidRPr="00900498" w:rsidRDefault="009B4CCD" w:rsidP="009B4CCD">
      <w:pPr>
        <w:autoSpaceDE w:val="0"/>
        <w:autoSpaceDN w:val="0"/>
        <w:adjustRightInd w:val="0"/>
        <w:spacing w:after="240" w:line="360" w:lineRule="auto"/>
        <w:rPr>
          <w:rFonts w:ascii="Calibri" w:hAnsi="Calibri" w:cs="Calibri"/>
          <w:kern w:val="0"/>
        </w:rPr>
      </w:pPr>
      <w:r w:rsidRPr="00900498">
        <w:rPr>
          <w:rFonts w:ascii="Calibri" w:hAnsi="Calibri" w:cs="Calibri"/>
          <w:kern w:val="0"/>
        </w:rPr>
        <w:t xml:space="preserve">Welsh Government (2024). </w:t>
      </w:r>
      <w:r w:rsidRPr="00900498">
        <w:rPr>
          <w:rFonts w:ascii="Calibri" w:hAnsi="Calibri" w:cs="Calibri"/>
          <w:i/>
          <w:iCs/>
          <w:kern w:val="0"/>
        </w:rPr>
        <w:t>Building regulations: doors and windows | GOV.WALES</w:t>
      </w:r>
      <w:r w:rsidRPr="00900498">
        <w:rPr>
          <w:rFonts w:ascii="Calibri" w:hAnsi="Calibri" w:cs="Calibri"/>
          <w:kern w:val="0"/>
        </w:rPr>
        <w:t xml:space="preserve">. [online] www.gov.wales. Available at: </w:t>
      </w:r>
      <w:hyperlink r:id="rId31" w:history="1">
        <w:r w:rsidRPr="00900498">
          <w:rPr>
            <w:rFonts w:ascii="Calibri" w:hAnsi="Calibri" w:cs="Calibri"/>
            <w:kern w:val="0"/>
          </w:rPr>
          <w:t>https://www.gov.wales/building-regulations-doors-and-windows</w:t>
        </w:r>
      </w:hyperlink>
      <w:r w:rsidRPr="00900498">
        <w:rPr>
          <w:rFonts w:ascii="Calibri" w:hAnsi="Calibri" w:cs="Calibri"/>
          <w:kern w:val="0"/>
        </w:rPr>
        <w:t xml:space="preserve"> [Accessed 17 Jun. 2024].</w:t>
      </w:r>
    </w:p>
    <w:p w:rsidR="009B4CCD" w:rsidRPr="00A47B1C" w:rsidRDefault="009B4CCD">
      <w:pPr>
        <w:rPr>
          <w:rFonts w:ascii="Calibri" w:hAnsi="Calibri" w:cs="Calibri"/>
        </w:rPr>
      </w:pPr>
    </w:p>
    <w:sectPr w:rsidR="009B4CCD" w:rsidRPr="00A47B1C">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4C2E" w:rsidRDefault="00614C2E" w:rsidP="000B5F11">
      <w:r>
        <w:separator/>
      </w:r>
    </w:p>
  </w:endnote>
  <w:endnote w:type="continuationSeparator" w:id="0">
    <w:p w:rsidR="00614C2E" w:rsidRDefault="00614C2E" w:rsidP="000B5F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117466"/>
      <w:docPartObj>
        <w:docPartGallery w:val="Page Numbers (Bottom of Page)"/>
        <w:docPartUnique/>
      </w:docPartObj>
    </w:sdtPr>
    <w:sdtContent>
      <w:p w:rsidR="000B5F11" w:rsidRDefault="000B5F11" w:rsidP="007524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B5F11" w:rsidRDefault="000B5F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4666181"/>
      <w:docPartObj>
        <w:docPartGallery w:val="Page Numbers (Bottom of Page)"/>
        <w:docPartUnique/>
      </w:docPartObj>
    </w:sdtPr>
    <w:sdtContent>
      <w:p w:rsidR="000B5F11" w:rsidRDefault="000B5F11" w:rsidP="007524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B5F11" w:rsidRDefault="000B5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4C2E" w:rsidRDefault="00614C2E" w:rsidP="000B5F11">
      <w:r>
        <w:separator/>
      </w:r>
    </w:p>
  </w:footnote>
  <w:footnote w:type="continuationSeparator" w:id="0">
    <w:p w:rsidR="00614C2E" w:rsidRDefault="00614C2E" w:rsidP="000B5F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54B97"/>
    <w:multiLevelType w:val="hybridMultilevel"/>
    <w:tmpl w:val="364A25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7B40A6"/>
    <w:multiLevelType w:val="hybridMultilevel"/>
    <w:tmpl w:val="DB3ADF7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 w15:restartNumberingAfterBreak="0">
    <w:nsid w:val="3964659D"/>
    <w:multiLevelType w:val="hybridMultilevel"/>
    <w:tmpl w:val="2C4A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E25D6"/>
    <w:multiLevelType w:val="hybridMultilevel"/>
    <w:tmpl w:val="6B08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15BAE"/>
    <w:multiLevelType w:val="hybridMultilevel"/>
    <w:tmpl w:val="F08241BC"/>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6" w15:restartNumberingAfterBreak="0">
    <w:nsid w:val="60EB51B8"/>
    <w:multiLevelType w:val="hybridMultilevel"/>
    <w:tmpl w:val="6E80A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811325"/>
    <w:multiLevelType w:val="hybridMultilevel"/>
    <w:tmpl w:val="34AE6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E1D28"/>
    <w:multiLevelType w:val="multilevel"/>
    <w:tmpl w:val="2DC2F6B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6B351CD0"/>
    <w:multiLevelType w:val="hybridMultilevel"/>
    <w:tmpl w:val="FDF08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4737D1"/>
    <w:multiLevelType w:val="hybridMultilevel"/>
    <w:tmpl w:val="13A85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01537D"/>
    <w:multiLevelType w:val="hybridMultilevel"/>
    <w:tmpl w:val="23FE1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663F10"/>
    <w:multiLevelType w:val="multilevel"/>
    <w:tmpl w:val="2CF63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7702196">
    <w:abstractNumId w:val="2"/>
  </w:num>
  <w:num w:numId="2" w16cid:durableId="2099985220">
    <w:abstractNumId w:val="12"/>
  </w:num>
  <w:num w:numId="3" w16cid:durableId="285621731">
    <w:abstractNumId w:val="10"/>
  </w:num>
  <w:num w:numId="4" w16cid:durableId="428551372">
    <w:abstractNumId w:val="3"/>
  </w:num>
  <w:num w:numId="5" w16cid:durableId="1628775808">
    <w:abstractNumId w:val="13"/>
  </w:num>
  <w:num w:numId="6" w16cid:durableId="232862792">
    <w:abstractNumId w:val="9"/>
  </w:num>
  <w:num w:numId="7" w16cid:durableId="471196">
    <w:abstractNumId w:val="0"/>
  </w:num>
  <w:num w:numId="8" w16cid:durableId="725572155">
    <w:abstractNumId w:val="5"/>
  </w:num>
  <w:num w:numId="9" w16cid:durableId="1882211307">
    <w:abstractNumId w:val="6"/>
  </w:num>
  <w:num w:numId="10" w16cid:durableId="1674449743">
    <w:abstractNumId w:val="8"/>
  </w:num>
  <w:num w:numId="11" w16cid:durableId="628975819">
    <w:abstractNumId w:val="1"/>
  </w:num>
  <w:num w:numId="12" w16cid:durableId="1327243484">
    <w:abstractNumId w:val="4"/>
  </w:num>
  <w:num w:numId="13" w16cid:durableId="1981228213">
    <w:abstractNumId w:val="7"/>
  </w:num>
  <w:num w:numId="14" w16cid:durableId="12521563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836"/>
    <w:rsid w:val="00000125"/>
    <w:rsid w:val="000610F1"/>
    <w:rsid w:val="00090545"/>
    <w:rsid w:val="000955CF"/>
    <w:rsid w:val="000A29B3"/>
    <w:rsid w:val="000B3DA3"/>
    <w:rsid w:val="000B5F11"/>
    <w:rsid w:val="000C77AB"/>
    <w:rsid w:val="00150911"/>
    <w:rsid w:val="00151881"/>
    <w:rsid w:val="00171432"/>
    <w:rsid w:val="001E60C3"/>
    <w:rsid w:val="001E71B9"/>
    <w:rsid w:val="001F23C4"/>
    <w:rsid w:val="0024508B"/>
    <w:rsid w:val="002526A0"/>
    <w:rsid w:val="00291C45"/>
    <w:rsid w:val="002C650D"/>
    <w:rsid w:val="002D246D"/>
    <w:rsid w:val="003034C7"/>
    <w:rsid w:val="0033449A"/>
    <w:rsid w:val="0038631D"/>
    <w:rsid w:val="003E6A39"/>
    <w:rsid w:val="00495637"/>
    <w:rsid w:val="004F46C9"/>
    <w:rsid w:val="00530B2C"/>
    <w:rsid w:val="00535095"/>
    <w:rsid w:val="00543A16"/>
    <w:rsid w:val="0057551F"/>
    <w:rsid w:val="00591BFD"/>
    <w:rsid w:val="00594C81"/>
    <w:rsid w:val="005A123A"/>
    <w:rsid w:val="005A597E"/>
    <w:rsid w:val="005C2640"/>
    <w:rsid w:val="00614C2E"/>
    <w:rsid w:val="00627C2B"/>
    <w:rsid w:val="00650516"/>
    <w:rsid w:val="00656A17"/>
    <w:rsid w:val="006715F3"/>
    <w:rsid w:val="00724D7D"/>
    <w:rsid w:val="00735E5B"/>
    <w:rsid w:val="007411A3"/>
    <w:rsid w:val="00751B20"/>
    <w:rsid w:val="007646E6"/>
    <w:rsid w:val="007957B3"/>
    <w:rsid w:val="007C74D9"/>
    <w:rsid w:val="0081088F"/>
    <w:rsid w:val="008154CC"/>
    <w:rsid w:val="0089101C"/>
    <w:rsid w:val="00892A34"/>
    <w:rsid w:val="008C27F6"/>
    <w:rsid w:val="008D5249"/>
    <w:rsid w:val="008E2900"/>
    <w:rsid w:val="008F5013"/>
    <w:rsid w:val="00934553"/>
    <w:rsid w:val="00934BCB"/>
    <w:rsid w:val="00937246"/>
    <w:rsid w:val="00981AFA"/>
    <w:rsid w:val="00987849"/>
    <w:rsid w:val="00987E0B"/>
    <w:rsid w:val="009B4CCD"/>
    <w:rsid w:val="00A47B1C"/>
    <w:rsid w:val="00A561A2"/>
    <w:rsid w:val="00A7764F"/>
    <w:rsid w:val="00A85E90"/>
    <w:rsid w:val="00AB3A53"/>
    <w:rsid w:val="00AF4FED"/>
    <w:rsid w:val="00B051F9"/>
    <w:rsid w:val="00B25AE5"/>
    <w:rsid w:val="00B53D8B"/>
    <w:rsid w:val="00BE7C0F"/>
    <w:rsid w:val="00C428F9"/>
    <w:rsid w:val="00C703F1"/>
    <w:rsid w:val="00C76836"/>
    <w:rsid w:val="00CA1AE2"/>
    <w:rsid w:val="00CA23B6"/>
    <w:rsid w:val="00CA533C"/>
    <w:rsid w:val="00CB162E"/>
    <w:rsid w:val="00CB6F3F"/>
    <w:rsid w:val="00CC3B03"/>
    <w:rsid w:val="00D22DDF"/>
    <w:rsid w:val="00D604B7"/>
    <w:rsid w:val="00DB65AD"/>
    <w:rsid w:val="00E07106"/>
    <w:rsid w:val="00E733DA"/>
    <w:rsid w:val="00EC2C19"/>
    <w:rsid w:val="00ED4F28"/>
    <w:rsid w:val="00F0563E"/>
    <w:rsid w:val="00F5591D"/>
    <w:rsid w:val="00FA73CB"/>
    <w:rsid w:val="00FF689F"/>
    <w:rsid w:val="00FF6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50391"/>
  <w15:chartTrackingRefBased/>
  <w15:docId w15:val="{B5F89277-D2B9-9A4E-980B-A216952EF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9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3DA"/>
    <w:pPr>
      <w:keepNext/>
      <w:keepLines/>
      <w:spacing w:before="200" w:line="480" w:lineRule="auto"/>
      <w:jc w:val="both"/>
      <w:outlineLvl w:val="1"/>
    </w:pPr>
    <w:rPr>
      <w:rFonts w:ascii="Times New Roman" w:eastAsiaTheme="majorEastAsia" w:hAnsi="Times New Roman" w:cstheme="majorBidi"/>
      <w:b/>
      <w:bCs/>
      <w:color w:val="000000" w:themeColor="text1"/>
      <w:kern w:val="0"/>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37246"/>
    <w:pPr>
      <w:widowControl w:val="0"/>
      <w:autoSpaceDE w:val="0"/>
      <w:autoSpaceDN w:val="0"/>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937246"/>
    <w:rPr>
      <w:rFonts w:ascii="Arial" w:eastAsia="Arial" w:hAnsi="Arial" w:cs="Arial"/>
      <w:kern w:val="0"/>
      <w:sz w:val="22"/>
      <w:szCs w:val="22"/>
      <w14:ligatures w14:val="none"/>
    </w:rPr>
  </w:style>
  <w:style w:type="paragraph" w:styleId="ListParagraph">
    <w:name w:val="List Paragraph"/>
    <w:basedOn w:val="Normal"/>
    <w:link w:val="ListParagraphChar"/>
    <w:uiPriority w:val="34"/>
    <w:qFormat/>
    <w:rsid w:val="00627C2B"/>
    <w:pPr>
      <w:spacing w:after="200" w:line="360" w:lineRule="auto"/>
      <w:ind w:left="720"/>
      <w:contextualSpacing/>
      <w:jc w:val="both"/>
    </w:pPr>
    <w:rPr>
      <w:rFonts w:ascii="Times New Roman" w:hAnsi="Times New Roman"/>
      <w:kern w:val="0"/>
      <w:szCs w:val="22"/>
      <w:lang w:val="en-US"/>
      <w14:ligatures w14:val="none"/>
    </w:rPr>
  </w:style>
  <w:style w:type="character" w:customStyle="1" w:styleId="ListParagraphChar">
    <w:name w:val="List Paragraph Char"/>
    <w:basedOn w:val="DefaultParagraphFont"/>
    <w:link w:val="ListParagraph"/>
    <w:uiPriority w:val="34"/>
    <w:rsid w:val="007C74D9"/>
    <w:rPr>
      <w:rFonts w:ascii="Times New Roman" w:hAnsi="Times New Roman"/>
      <w:kern w:val="0"/>
      <w:szCs w:val="22"/>
      <w:lang w:val="en-US"/>
      <w14:ligatures w14:val="none"/>
    </w:rPr>
  </w:style>
  <w:style w:type="character" w:styleId="Hyperlink">
    <w:name w:val="Hyperlink"/>
    <w:basedOn w:val="DefaultParagraphFont"/>
    <w:uiPriority w:val="99"/>
    <w:unhideWhenUsed/>
    <w:rsid w:val="007411A3"/>
    <w:rPr>
      <w:color w:val="0563C1" w:themeColor="hyperlink"/>
      <w:u w:val="single"/>
    </w:rPr>
  </w:style>
  <w:style w:type="character" w:styleId="UnresolvedMention">
    <w:name w:val="Unresolved Mention"/>
    <w:basedOn w:val="DefaultParagraphFont"/>
    <w:uiPriority w:val="99"/>
    <w:semiHidden/>
    <w:unhideWhenUsed/>
    <w:rsid w:val="007411A3"/>
    <w:rPr>
      <w:color w:val="605E5C"/>
      <w:shd w:val="clear" w:color="auto" w:fill="E1DFDD"/>
    </w:rPr>
  </w:style>
  <w:style w:type="character" w:customStyle="1" w:styleId="Heading2Char">
    <w:name w:val="Heading 2 Char"/>
    <w:basedOn w:val="DefaultParagraphFont"/>
    <w:link w:val="Heading2"/>
    <w:uiPriority w:val="9"/>
    <w:rsid w:val="00E733DA"/>
    <w:rPr>
      <w:rFonts w:ascii="Times New Roman" w:eastAsiaTheme="majorEastAsia" w:hAnsi="Times New Roman" w:cstheme="majorBidi"/>
      <w:b/>
      <w:bCs/>
      <w:color w:val="000000" w:themeColor="text1"/>
      <w:kern w:val="0"/>
      <w:szCs w:val="26"/>
      <w:lang w:val="en-US"/>
      <w14:ligatures w14:val="none"/>
    </w:rPr>
  </w:style>
  <w:style w:type="character" w:styleId="Strong">
    <w:name w:val="Strong"/>
    <w:basedOn w:val="DefaultParagraphFont"/>
    <w:uiPriority w:val="22"/>
    <w:qFormat/>
    <w:rsid w:val="00591BFD"/>
    <w:rPr>
      <w:b/>
      <w:bCs/>
    </w:rPr>
  </w:style>
  <w:style w:type="character" w:styleId="FollowedHyperlink">
    <w:name w:val="FollowedHyperlink"/>
    <w:basedOn w:val="DefaultParagraphFont"/>
    <w:uiPriority w:val="99"/>
    <w:semiHidden/>
    <w:unhideWhenUsed/>
    <w:rsid w:val="00DB65AD"/>
    <w:rPr>
      <w:color w:val="954F72" w:themeColor="followedHyperlink"/>
      <w:u w:val="single"/>
    </w:rPr>
  </w:style>
  <w:style w:type="character" w:customStyle="1" w:styleId="Heading1Char">
    <w:name w:val="Heading 1 Char"/>
    <w:basedOn w:val="DefaultParagraphFont"/>
    <w:link w:val="Heading1"/>
    <w:uiPriority w:val="9"/>
    <w:rsid w:val="008E290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428F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34BCB"/>
    <w:rPr>
      <w:i/>
      <w:iCs/>
    </w:rPr>
  </w:style>
  <w:style w:type="paragraph" w:styleId="Header">
    <w:name w:val="header"/>
    <w:basedOn w:val="Normal"/>
    <w:link w:val="HeaderChar"/>
    <w:uiPriority w:val="99"/>
    <w:unhideWhenUsed/>
    <w:rsid w:val="000B5F11"/>
    <w:pPr>
      <w:tabs>
        <w:tab w:val="center" w:pos="4513"/>
        <w:tab w:val="right" w:pos="9026"/>
      </w:tabs>
    </w:pPr>
  </w:style>
  <w:style w:type="character" w:customStyle="1" w:styleId="HeaderChar">
    <w:name w:val="Header Char"/>
    <w:basedOn w:val="DefaultParagraphFont"/>
    <w:link w:val="Header"/>
    <w:uiPriority w:val="99"/>
    <w:rsid w:val="000B5F11"/>
  </w:style>
  <w:style w:type="paragraph" w:styleId="Footer">
    <w:name w:val="footer"/>
    <w:basedOn w:val="Normal"/>
    <w:link w:val="FooterChar"/>
    <w:uiPriority w:val="99"/>
    <w:unhideWhenUsed/>
    <w:rsid w:val="000B5F11"/>
    <w:pPr>
      <w:tabs>
        <w:tab w:val="center" w:pos="4513"/>
        <w:tab w:val="right" w:pos="9026"/>
      </w:tabs>
    </w:pPr>
  </w:style>
  <w:style w:type="character" w:customStyle="1" w:styleId="FooterChar">
    <w:name w:val="Footer Char"/>
    <w:basedOn w:val="DefaultParagraphFont"/>
    <w:link w:val="Footer"/>
    <w:uiPriority w:val="99"/>
    <w:rsid w:val="000B5F11"/>
  </w:style>
  <w:style w:type="character" w:styleId="PageNumber">
    <w:name w:val="page number"/>
    <w:basedOn w:val="DefaultParagraphFont"/>
    <w:uiPriority w:val="99"/>
    <w:semiHidden/>
    <w:unhideWhenUsed/>
    <w:rsid w:val="000B5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5466">
      <w:bodyDiv w:val="1"/>
      <w:marLeft w:val="0"/>
      <w:marRight w:val="0"/>
      <w:marTop w:val="0"/>
      <w:marBottom w:val="0"/>
      <w:divBdr>
        <w:top w:val="none" w:sz="0" w:space="0" w:color="auto"/>
        <w:left w:val="none" w:sz="0" w:space="0" w:color="auto"/>
        <w:bottom w:val="none" w:sz="0" w:space="0" w:color="auto"/>
        <w:right w:val="none" w:sz="0" w:space="0" w:color="auto"/>
      </w:divBdr>
    </w:div>
    <w:div w:id="1169448170">
      <w:bodyDiv w:val="1"/>
      <w:marLeft w:val="0"/>
      <w:marRight w:val="0"/>
      <w:marTop w:val="0"/>
      <w:marBottom w:val="0"/>
      <w:divBdr>
        <w:top w:val="none" w:sz="0" w:space="0" w:color="auto"/>
        <w:left w:val="none" w:sz="0" w:space="0" w:color="auto"/>
        <w:bottom w:val="none" w:sz="0" w:space="0" w:color="auto"/>
        <w:right w:val="none" w:sz="0" w:space="0" w:color="auto"/>
      </w:divBdr>
    </w:div>
    <w:div w:id="1458987612">
      <w:bodyDiv w:val="1"/>
      <w:marLeft w:val="0"/>
      <w:marRight w:val="0"/>
      <w:marTop w:val="0"/>
      <w:marBottom w:val="0"/>
      <w:divBdr>
        <w:top w:val="none" w:sz="0" w:space="0" w:color="auto"/>
        <w:left w:val="none" w:sz="0" w:space="0" w:color="auto"/>
        <w:bottom w:val="none" w:sz="0" w:space="0" w:color="auto"/>
        <w:right w:val="none" w:sz="0" w:space="0" w:color="auto"/>
      </w:divBdr>
    </w:div>
    <w:div w:id="1631744934">
      <w:bodyDiv w:val="1"/>
      <w:marLeft w:val="0"/>
      <w:marRight w:val="0"/>
      <w:marTop w:val="0"/>
      <w:marBottom w:val="0"/>
      <w:divBdr>
        <w:top w:val="none" w:sz="0" w:space="0" w:color="auto"/>
        <w:left w:val="none" w:sz="0" w:space="0" w:color="auto"/>
        <w:bottom w:val="none" w:sz="0" w:space="0" w:color="auto"/>
        <w:right w:val="none" w:sz="0" w:space="0" w:color="auto"/>
      </w:divBdr>
    </w:div>
    <w:div w:id="199190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https://www.brighthr.com/articles/culture-and-performance/employee-satisfaction-surveys/" TargetMode="External"/><Relationship Id="rId26" Type="http://schemas.openxmlformats.org/officeDocument/2006/relationships/hyperlink" Target="https://corporate.marksandspencer.com/sites/marksandspencer/files/2024-06/ESG_Report_2024.pdf" TargetMode="External"/><Relationship Id="rId3" Type="http://schemas.openxmlformats.org/officeDocument/2006/relationships/settings" Target="settings.xml"/><Relationship Id="rId21" Type="http://schemas.openxmlformats.org/officeDocument/2006/relationships/hyperlink" Target="https://www.mckinsey.com/featured-insights/diversity-and-inclusion/women-in-the-workplace" TargetMode="External"/><Relationship Id="rId34"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hyperlink" Target="https://www.ncbi.nlm.nih.gov/pmc/articles/PMC4833473" TargetMode="External"/><Relationship Id="rId25" Type="http://schemas.openxmlformats.org/officeDocument/2006/relationships/hyperlink" Target="https://doi.org/10.4236/ce.2015.63037"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hyperlink" Target="https://www.mckinsey.com/featured-insights/diversity-and-inclusion/diversity-wins-how-inclusion-matters" TargetMode="External"/><Relationship Id="rId29" Type="http://schemas.openxmlformats.org/officeDocument/2006/relationships/hyperlink" Target="https://www.ucl.ac.uk/human-resources/guide-positive-action-and-inclusive-recruitment#:~:text=offering%20training%20or%20internships%20t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hepeoplespace.com/practice/articles/good-people-management-does-improve-business-performance-fact"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www.ethnicity-facts-figures.service.gov.uk/#:~:text=Government%20data%20about%20the%20UK" TargetMode="External"/><Relationship Id="rId28" Type="http://schemas.openxmlformats.org/officeDocument/2006/relationships/hyperlink" Target="https://www.debonogroup.com/services/core-programs/six-thinking-hats/" TargetMode="External"/><Relationship Id="rId10" Type="http://schemas.openxmlformats.org/officeDocument/2006/relationships/chart" Target="charts/chart2.xml"/><Relationship Id="rId19" Type="http://schemas.openxmlformats.org/officeDocument/2006/relationships/hyperlink" Target="https://www.cipd.org/uk/knowledge/factsheets/evidence-based-practice-factsheet/" TargetMode="External"/><Relationship Id="rId31" Type="http://schemas.openxmlformats.org/officeDocument/2006/relationships/hyperlink" Target="https://www.gov.wales/building-regulations-doors-and-window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forbes.com/sites/forbeshumanresourcescouncil/2021/12/17/hr-experts-explain-16-benefits-of-training-and-development/" TargetMode="External"/><Relationship Id="rId27" Type="http://schemas.openxmlformats.org/officeDocument/2006/relationships/hyperlink" Target="https://www.open.edu/openlearn/mod/oucontent/view.php?id=51387&amp;section=2.2" TargetMode="External"/><Relationship Id="rId30" Type="http://schemas.openxmlformats.org/officeDocument/2006/relationships/hyperlink" Target="https://www.vqsolutions.co.uk/page/show/9468?p=cipd-level-5-ethical-perspectives-and-moral-decision-making#:~:text=This%20principle%20suggests%20that%20the" TargetMode="External"/><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Users/jamespatrick/Downloads/Worksheet%20table%201%20Evidence%20Based%20Practice%20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amespatrick/Downloads/Worksheet%20table%201%20Evidence%20Based%20Practice%20202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amespatrick/Downloads/Worksheet%20table%201%20Evidence%20Based%20Practice%2020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amespatrick/Downloads/Worksheet%20table%201%20Evidence%20Based%20Practice%20202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amespatrick/Library/Containers/com.microsoft.Excel/Data/Library/Application%20Support/Microsoft/Worksheet%20in%20NEW%205CO02%20Evidence-based%20practice%20-%20June%202023%20(version%202).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amespatrick/Library/Containers/com.microsoft.Excel/Data/Library/Application%20Support/Microsoft/Worksheet%20in%20NEW%205CO02%20Evidence-based%20practice%20-%20June%202023%20(version%202).xlsb"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Percentage of Gender Across the Organisation</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41D2-404B-84C9-BB4BC50FBF10}"/>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41D2-404B-84C9-BB4BC50FBF10}"/>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41D2-404B-84C9-BB4BC50FBF10}"/>
              </c:ext>
            </c:extLst>
          </c:dPt>
          <c:dLbls>
            <c:spPr>
              <a:noFill/>
              <a:ln>
                <a:noFill/>
              </a:ln>
              <a:effectLst/>
            </c:spPr>
            <c:txPr>
              <a:bodyPr rot="0" spcFirstLastPara="1" vertOverflow="ellipsis" vert="horz" wrap="square" lIns="38100" tIns="19050" rIns="38100" bIns="19050" anchor="ctr" anchorCtr="1">
                <a:spAutoFit/>
              </a:bodyPr>
              <a:lstStyle/>
              <a:p>
                <a:pPr>
                  <a:defRPr sz="1200" b="0" i="1"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'Fictional general employee data'!$L$1:$N$1</c:f>
              <c:strCache>
                <c:ptCount val="3"/>
                <c:pt idx="0">
                  <c:v>Male </c:v>
                </c:pt>
                <c:pt idx="1">
                  <c:v>Female</c:v>
                </c:pt>
                <c:pt idx="2">
                  <c:v>Non-binary</c:v>
                </c:pt>
              </c:strCache>
            </c:strRef>
          </c:cat>
          <c:val>
            <c:numRef>
              <c:f>'Fictional general employee data'!$L$2:$N$2</c:f>
              <c:numCache>
                <c:formatCode>General</c:formatCode>
                <c:ptCount val="3"/>
                <c:pt idx="0">
                  <c:v>140</c:v>
                </c:pt>
                <c:pt idx="1">
                  <c:v>118</c:v>
                </c:pt>
                <c:pt idx="2">
                  <c:v>2</c:v>
                </c:pt>
              </c:numCache>
            </c:numRef>
          </c:val>
          <c:extLst>
            <c:ext xmlns:c16="http://schemas.microsoft.com/office/drawing/2014/chart" uri="{C3380CC4-5D6E-409C-BE32-E72D297353CC}">
              <c16:uniqueId val="{00000006-41D2-404B-84C9-BB4BC50FBF1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Ethinicty Percentage by Team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Sheet7!$B$48</c:f>
              <c:strCache>
                <c:ptCount val="1"/>
                <c:pt idx="0">
                  <c:v>Asian - Bangladesh</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Sheet7!$B$49:$B$66</c:f>
              <c:numCache>
                <c:formatCode>General</c:formatCode>
                <c:ptCount val="18"/>
                <c:pt idx="8" formatCode="0.00%">
                  <c:v>5.5555555555555552E-2</c:v>
                </c:pt>
              </c:numCache>
            </c:numRef>
          </c:val>
          <c:extLst>
            <c:ext xmlns:c16="http://schemas.microsoft.com/office/drawing/2014/chart" uri="{C3380CC4-5D6E-409C-BE32-E72D297353CC}">
              <c16:uniqueId val="{00000000-FDDD-0D4D-9647-C2DAFC849561}"/>
            </c:ext>
          </c:extLst>
        </c:ser>
        <c:ser>
          <c:idx val="1"/>
          <c:order val="1"/>
          <c:tx>
            <c:strRef>
              <c:f>Sheet7!$C$48</c:f>
              <c:strCache>
                <c:ptCount val="1"/>
                <c:pt idx="0">
                  <c:v>Black - Other</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Sheet7!$C$49:$C$66</c:f>
              <c:numCache>
                <c:formatCode>General</c:formatCode>
                <c:ptCount val="18"/>
                <c:pt idx="5" formatCode="0.00%">
                  <c:v>0.1</c:v>
                </c:pt>
                <c:pt idx="10" formatCode="0.00%">
                  <c:v>0.1111111111111111</c:v>
                </c:pt>
              </c:numCache>
            </c:numRef>
          </c:val>
          <c:extLst>
            <c:ext xmlns:c16="http://schemas.microsoft.com/office/drawing/2014/chart" uri="{C3380CC4-5D6E-409C-BE32-E72D297353CC}">
              <c16:uniqueId val="{00000001-FDDD-0D4D-9647-C2DAFC849561}"/>
            </c:ext>
          </c:extLst>
        </c:ser>
        <c:ser>
          <c:idx val="2"/>
          <c:order val="2"/>
          <c:tx>
            <c:strRef>
              <c:f>Sheet7!$D$48</c:f>
              <c:strCache>
                <c:ptCount val="1"/>
                <c:pt idx="0">
                  <c:v>Chinese</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Sheet7!$D$49:$D$66</c:f>
              <c:numCache>
                <c:formatCode>0.00%</c:formatCode>
                <c:ptCount val="18"/>
                <c:pt idx="1">
                  <c:v>0</c:v>
                </c:pt>
                <c:pt idx="2">
                  <c:v>6.6666666666666666E-2</c:v>
                </c:pt>
                <c:pt idx="13">
                  <c:v>9.0909090909090912E-2</c:v>
                </c:pt>
              </c:numCache>
            </c:numRef>
          </c:val>
          <c:extLst>
            <c:ext xmlns:c16="http://schemas.microsoft.com/office/drawing/2014/chart" uri="{C3380CC4-5D6E-409C-BE32-E72D297353CC}">
              <c16:uniqueId val="{00000002-FDDD-0D4D-9647-C2DAFC849561}"/>
            </c:ext>
          </c:extLst>
        </c:ser>
        <c:ser>
          <c:idx val="3"/>
          <c:order val="3"/>
          <c:tx>
            <c:strRef>
              <c:f>Sheet7!$E$48</c:f>
              <c:strCache>
                <c:ptCount val="1"/>
                <c:pt idx="0">
                  <c:v>Indian</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Sheet7!$E$49:$E$66</c:f>
              <c:numCache>
                <c:formatCode>0.00%</c:formatCode>
                <c:ptCount val="18"/>
                <c:pt idx="1">
                  <c:v>0.14285714285714285</c:v>
                </c:pt>
                <c:pt idx="3">
                  <c:v>0.2</c:v>
                </c:pt>
                <c:pt idx="5">
                  <c:v>0.1</c:v>
                </c:pt>
                <c:pt idx="6">
                  <c:v>0.33333333333333331</c:v>
                </c:pt>
              </c:numCache>
            </c:numRef>
          </c:val>
          <c:extLst>
            <c:ext xmlns:c16="http://schemas.microsoft.com/office/drawing/2014/chart" uri="{C3380CC4-5D6E-409C-BE32-E72D297353CC}">
              <c16:uniqueId val="{00000003-FDDD-0D4D-9647-C2DAFC849561}"/>
            </c:ext>
          </c:extLst>
        </c:ser>
        <c:ser>
          <c:idx val="4"/>
          <c:order val="4"/>
          <c:tx>
            <c:strRef>
              <c:f>Sheet7!$F$48</c:f>
              <c:strCache>
                <c:ptCount val="1"/>
                <c:pt idx="0">
                  <c:v>Mixed - Other</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Sheet7!$F$49:$F$66</c:f>
              <c:numCache>
                <c:formatCode>0.00%</c:formatCode>
                <c:ptCount val="18"/>
                <c:pt idx="1">
                  <c:v>0.14285714285714285</c:v>
                </c:pt>
              </c:numCache>
            </c:numRef>
          </c:val>
          <c:extLst>
            <c:ext xmlns:c16="http://schemas.microsoft.com/office/drawing/2014/chart" uri="{C3380CC4-5D6E-409C-BE32-E72D297353CC}">
              <c16:uniqueId val="{00000004-FDDD-0D4D-9647-C2DAFC849561}"/>
            </c:ext>
          </c:extLst>
        </c:ser>
        <c:ser>
          <c:idx val="5"/>
          <c:order val="5"/>
          <c:tx>
            <c:strRef>
              <c:f>Sheet7!$G$48</c:f>
              <c:strCache>
                <c:ptCount val="1"/>
                <c:pt idx="0">
                  <c:v>Pakistani</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Sheet7!$G$49:$G$66</c:f>
              <c:numCache>
                <c:formatCode>General</c:formatCode>
                <c:ptCount val="18"/>
                <c:pt idx="2" formatCode="0.00%">
                  <c:v>0.13333333333333333</c:v>
                </c:pt>
                <c:pt idx="14" formatCode="0.00%">
                  <c:v>1.0101010101010102E-2</c:v>
                </c:pt>
              </c:numCache>
            </c:numRef>
          </c:val>
          <c:extLst>
            <c:ext xmlns:c16="http://schemas.microsoft.com/office/drawing/2014/chart" uri="{C3380CC4-5D6E-409C-BE32-E72D297353CC}">
              <c16:uniqueId val="{00000005-FDDD-0D4D-9647-C2DAFC849561}"/>
            </c:ext>
          </c:extLst>
        </c:ser>
        <c:ser>
          <c:idx val="6"/>
          <c:order val="6"/>
          <c:tx>
            <c:strRef>
              <c:f>Sheet7!$H$48</c:f>
              <c:strCache>
                <c:ptCount val="1"/>
                <c:pt idx="0">
                  <c:v>White and Black Caribbean</c:v>
                </c:pt>
              </c:strCache>
            </c:strRef>
          </c:tx>
          <c:spPr>
            <a:gradFill rotWithShape="1">
              <a:gsLst>
                <a:gs pos="0">
                  <a:schemeClr val="accent1">
                    <a:lumMod val="60000"/>
                    <a:lumMod val="110000"/>
                    <a:satMod val="105000"/>
                    <a:tint val="67000"/>
                  </a:schemeClr>
                </a:gs>
                <a:gs pos="50000">
                  <a:schemeClr val="accent1">
                    <a:lumMod val="60000"/>
                    <a:lumMod val="105000"/>
                    <a:satMod val="103000"/>
                    <a:tint val="73000"/>
                  </a:schemeClr>
                </a:gs>
                <a:gs pos="100000">
                  <a:schemeClr val="accent1">
                    <a:lumMod val="60000"/>
                    <a:lumMod val="105000"/>
                    <a:satMod val="109000"/>
                    <a:tint val="81000"/>
                  </a:schemeClr>
                </a:gs>
              </a:gsLst>
              <a:lin ang="5400000" scaled="0"/>
            </a:gradFill>
            <a:ln w="9525" cap="flat" cmpd="sng" algn="ctr">
              <a:solidFill>
                <a:schemeClr val="accent1">
                  <a:lumMod val="60000"/>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Sheet7!$H$49:$H$66</c:f>
              <c:numCache>
                <c:formatCode>0.00%</c:formatCode>
                <c:ptCount val="18"/>
                <c:pt idx="1">
                  <c:v>0.14285714285714285</c:v>
                </c:pt>
                <c:pt idx="8">
                  <c:v>5.5555555555555552E-2</c:v>
                </c:pt>
                <c:pt idx="16">
                  <c:v>9.0909090909090912E-2</c:v>
                </c:pt>
              </c:numCache>
            </c:numRef>
          </c:val>
          <c:extLst>
            <c:ext xmlns:c16="http://schemas.microsoft.com/office/drawing/2014/chart" uri="{C3380CC4-5D6E-409C-BE32-E72D297353CC}">
              <c16:uniqueId val="{00000006-FDDD-0D4D-9647-C2DAFC849561}"/>
            </c:ext>
          </c:extLst>
        </c:ser>
        <c:ser>
          <c:idx val="7"/>
          <c:order val="7"/>
          <c:tx>
            <c:strRef>
              <c:f>Sheet7!$I$48</c:f>
              <c:strCache>
                <c:ptCount val="1"/>
                <c:pt idx="0">
                  <c:v>White British</c:v>
                </c:pt>
              </c:strCache>
            </c:strRef>
          </c:tx>
          <c:spPr>
            <a:gradFill rotWithShape="1">
              <a:gsLst>
                <a:gs pos="0">
                  <a:schemeClr val="accent2">
                    <a:lumMod val="60000"/>
                    <a:lumMod val="110000"/>
                    <a:satMod val="105000"/>
                    <a:tint val="67000"/>
                  </a:schemeClr>
                </a:gs>
                <a:gs pos="50000">
                  <a:schemeClr val="accent2">
                    <a:lumMod val="60000"/>
                    <a:lumMod val="105000"/>
                    <a:satMod val="103000"/>
                    <a:tint val="73000"/>
                  </a:schemeClr>
                </a:gs>
                <a:gs pos="100000">
                  <a:schemeClr val="accent2">
                    <a:lumMod val="60000"/>
                    <a:lumMod val="105000"/>
                    <a:satMod val="109000"/>
                    <a:tint val="81000"/>
                  </a:schemeClr>
                </a:gs>
              </a:gsLst>
              <a:lin ang="5400000" scaled="0"/>
            </a:gradFill>
            <a:ln w="9525" cap="flat" cmpd="sng" algn="ctr">
              <a:solidFill>
                <a:schemeClr val="accent2">
                  <a:lumMod val="60000"/>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Sheet7!$I$49:$I$66</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FDDD-0D4D-9647-C2DAFC849561}"/>
            </c:ext>
          </c:extLst>
        </c:ser>
        <c:ser>
          <c:idx val="8"/>
          <c:order val="8"/>
          <c:tx>
            <c:strRef>
              <c:f>Sheet7!$J$48</c:f>
              <c:strCache>
                <c:ptCount val="1"/>
                <c:pt idx="0">
                  <c:v>White Irish</c:v>
                </c:pt>
              </c:strCache>
            </c:strRef>
          </c:tx>
          <c:spPr>
            <a:gradFill rotWithShape="1">
              <a:gsLst>
                <a:gs pos="0">
                  <a:schemeClr val="accent3">
                    <a:lumMod val="60000"/>
                    <a:lumMod val="110000"/>
                    <a:satMod val="105000"/>
                    <a:tint val="67000"/>
                  </a:schemeClr>
                </a:gs>
                <a:gs pos="50000">
                  <a:schemeClr val="accent3">
                    <a:lumMod val="60000"/>
                    <a:lumMod val="105000"/>
                    <a:satMod val="103000"/>
                    <a:tint val="73000"/>
                  </a:schemeClr>
                </a:gs>
                <a:gs pos="100000">
                  <a:schemeClr val="accent3">
                    <a:lumMod val="60000"/>
                    <a:lumMod val="105000"/>
                    <a:satMod val="109000"/>
                    <a:tint val="81000"/>
                  </a:schemeClr>
                </a:gs>
              </a:gsLst>
              <a:lin ang="5400000" scaled="0"/>
            </a:gradFill>
            <a:ln w="9525" cap="flat" cmpd="sng" algn="ctr">
              <a:solidFill>
                <a:schemeClr val="accent3">
                  <a:lumMod val="60000"/>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Sheet7!$J$49:$J$66</c:f>
              <c:numCache>
                <c:formatCode>General</c:formatCode>
                <c:ptCount val="18"/>
                <c:pt idx="0" formatCode="0.00%">
                  <c:v>0.1111111111111111</c:v>
                </c:pt>
                <c:pt idx="9" formatCode="0.00%">
                  <c:v>5.2631578947368418E-2</c:v>
                </c:pt>
              </c:numCache>
            </c:numRef>
          </c:val>
          <c:extLst>
            <c:ext xmlns:c16="http://schemas.microsoft.com/office/drawing/2014/chart" uri="{C3380CC4-5D6E-409C-BE32-E72D297353CC}">
              <c16:uniqueId val="{00000008-FDDD-0D4D-9647-C2DAFC849561}"/>
            </c:ext>
          </c:extLst>
        </c:ser>
        <c:ser>
          <c:idx val="9"/>
          <c:order val="9"/>
          <c:tx>
            <c:strRef>
              <c:f>Sheet7!$K$48</c:f>
              <c:strCache>
                <c:ptCount val="1"/>
                <c:pt idx="0">
                  <c:v>White Other</c:v>
                </c:pt>
              </c:strCache>
            </c:strRef>
          </c:tx>
          <c:spPr>
            <a:gradFill rotWithShape="1">
              <a:gsLst>
                <a:gs pos="0">
                  <a:schemeClr val="accent4">
                    <a:lumMod val="60000"/>
                    <a:lumMod val="110000"/>
                    <a:satMod val="105000"/>
                    <a:tint val="67000"/>
                  </a:schemeClr>
                </a:gs>
                <a:gs pos="50000">
                  <a:schemeClr val="accent4">
                    <a:lumMod val="60000"/>
                    <a:lumMod val="105000"/>
                    <a:satMod val="103000"/>
                    <a:tint val="73000"/>
                  </a:schemeClr>
                </a:gs>
                <a:gs pos="100000">
                  <a:schemeClr val="accent4">
                    <a:lumMod val="60000"/>
                    <a:lumMod val="105000"/>
                    <a:satMod val="109000"/>
                    <a:tint val="81000"/>
                  </a:schemeClr>
                </a:gs>
              </a:gsLst>
              <a:lin ang="5400000" scaled="0"/>
            </a:gradFill>
            <a:ln w="9525" cap="flat" cmpd="sng" algn="ctr">
              <a:solidFill>
                <a:schemeClr val="accent4">
                  <a:lumMod val="60000"/>
                  <a:shade val="95000"/>
                </a:schemeClr>
              </a:solidFill>
              <a:round/>
            </a:ln>
            <a:effectLst/>
          </c:spPr>
          <c:invertIfNegative val="0"/>
          <c:cat>
            <c:strRef>
              <c:f>Sheet7!$A$49:$A$66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Sheet7!$K$49:$K$66</c:f>
              <c:numCache>
                <c:formatCode>General</c:formatCode>
                <c:ptCount val="18"/>
                <c:pt idx="0" formatCode="0.00%">
                  <c:v>0.1111111111111111</c:v>
                </c:pt>
                <c:pt idx="7" formatCode="0.00%">
                  <c:v>8.3333333333333329E-2</c:v>
                </c:pt>
                <c:pt idx="9" formatCode="0.00%">
                  <c:v>5.2631578947368418E-2</c:v>
                </c:pt>
                <c:pt idx="17" formatCode="0.00%">
                  <c:v>0.18181818181818182</c:v>
                </c:pt>
              </c:numCache>
            </c:numRef>
          </c:val>
          <c:extLst>
            <c:ext xmlns:c16="http://schemas.microsoft.com/office/drawing/2014/chart" uri="{C3380CC4-5D6E-409C-BE32-E72D297353CC}">
              <c16:uniqueId val="{00000009-FDDD-0D4D-9647-C2DAFC849561}"/>
            </c:ext>
          </c:extLst>
        </c:ser>
        <c:dLbls>
          <c:showLegendKey val="0"/>
          <c:showVal val="0"/>
          <c:showCatName val="0"/>
          <c:showSerName val="0"/>
          <c:showPercent val="0"/>
          <c:showBubbleSize val="0"/>
        </c:dLbls>
        <c:gapWidth val="150"/>
        <c:overlap val="100"/>
        <c:axId val="1234535535"/>
        <c:axId val="1234537247"/>
      </c:barChart>
      <c:catAx>
        <c:axId val="1234535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34537247"/>
        <c:crosses val="autoZero"/>
        <c:auto val="1"/>
        <c:lblAlgn val="ctr"/>
        <c:lblOffset val="100"/>
        <c:noMultiLvlLbl val="0"/>
      </c:catAx>
      <c:valAx>
        <c:axId val="12345372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34535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Disability</a:t>
            </a:r>
            <a:r>
              <a:rPr lang="en-GB" baseline="0"/>
              <a:t> Percentage of Organisation</a:t>
            </a:r>
            <a:endParaRPr lang="en-GB"/>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412-D241-B2DF-0B7A842E6B3F}"/>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412-D241-B2DF-0B7A842E6B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(diability!$O$2,diability!$P$2)</c:f>
              <c:strCache>
                <c:ptCount val="2"/>
                <c:pt idx="0">
                  <c:v>Disabled</c:v>
                </c:pt>
                <c:pt idx="1">
                  <c:v>Not Disabled</c:v>
                </c:pt>
              </c:strCache>
            </c:strRef>
          </c:cat>
          <c:val>
            <c:numRef>
              <c:f>(diability!$O$21,diability!$P$21)</c:f>
              <c:numCache>
                <c:formatCode>0.00%</c:formatCode>
                <c:ptCount val="2"/>
                <c:pt idx="0">
                  <c:v>8.0769230769230774E-2</c:v>
                </c:pt>
                <c:pt idx="1">
                  <c:v>0.91923076923076918</c:v>
                </c:pt>
              </c:numCache>
            </c:numRef>
          </c:val>
          <c:extLst>
            <c:ext xmlns:c16="http://schemas.microsoft.com/office/drawing/2014/chart" uri="{C3380CC4-5D6E-409C-BE32-E72D297353CC}">
              <c16:uniqueId val="{00000004-A412-D241-B2DF-0B7A842E6B3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 Percentage by Team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diability!$O$2</c:f>
              <c:strCache>
                <c:ptCount val="1"/>
                <c:pt idx="0">
                  <c:v>Disabled</c:v>
                </c:pt>
              </c:strCache>
            </c:strRef>
          </c:tx>
          <c:spPr>
            <a:solidFill>
              <a:schemeClr val="accent1"/>
            </a:solidFill>
            <a:ln>
              <a:noFill/>
            </a:ln>
            <a:effectLst/>
          </c:spPr>
          <c:invertIfNegative val="0"/>
          <c:cat>
            <c:strRef>
              <c:f>diability!$N$3:$N$20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diability!$O$3:$O$20</c:f>
              <c:numCache>
                <c:formatCode>0.00%</c:formatCode>
                <c:ptCount val="18"/>
                <c:pt idx="1">
                  <c:v>0.14285714285714285</c:v>
                </c:pt>
                <c:pt idx="2">
                  <c:v>0.2</c:v>
                </c:pt>
                <c:pt idx="5">
                  <c:v>0.2</c:v>
                </c:pt>
                <c:pt idx="7">
                  <c:v>8.3333333333333329E-2</c:v>
                </c:pt>
                <c:pt idx="8">
                  <c:v>0.1111111111111111</c:v>
                </c:pt>
                <c:pt idx="9">
                  <c:v>5.2631578947368418E-2</c:v>
                </c:pt>
                <c:pt idx="10">
                  <c:v>0.22222222222222221</c:v>
                </c:pt>
                <c:pt idx="11">
                  <c:v>0.1</c:v>
                </c:pt>
                <c:pt idx="13">
                  <c:v>0.18181818181818182</c:v>
                </c:pt>
                <c:pt idx="14">
                  <c:v>5.0505050505050504E-2</c:v>
                </c:pt>
                <c:pt idx="17">
                  <c:v>9.0909090909090912E-2</c:v>
                </c:pt>
              </c:numCache>
            </c:numRef>
          </c:val>
          <c:extLst>
            <c:ext xmlns:c16="http://schemas.microsoft.com/office/drawing/2014/chart" uri="{C3380CC4-5D6E-409C-BE32-E72D297353CC}">
              <c16:uniqueId val="{00000000-1F21-3043-B1BF-0171924C2CC2}"/>
            </c:ext>
          </c:extLst>
        </c:ser>
        <c:ser>
          <c:idx val="1"/>
          <c:order val="1"/>
          <c:tx>
            <c:strRef>
              <c:f>diability!$P$2</c:f>
              <c:strCache>
                <c:ptCount val="1"/>
                <c:pt idx="0">
                  <c:v>Not Disabled</c:v>
                </c:pt>
              </c:strCache>
            </c:strRef>
          </c:tx>
          <c:spPr>
            <a:solidFill>
              <a:schemeClr val="accent2"/>
            </a:solidFill>
            <a:ln>
              <a:noFill/>
            </a:ln>
            <a:effectLst/>
          </c:spPr>
          <c:invertIfNegative val="0"/>
          <c:cat>
            <c:strRef>
              <c:f>diability!$N$3:$N$20</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diability!$P$3:$P$20</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1F21-3043-B1BF-0171924C2CC2}"/>
            </c:ext>
          </c:extLst>
        </c:ser>
        <c:dLbls>
          <c:showLegendKey val="0"/>
          <c:showVal val="0"/>
          <c:showCatName val="0"/>
          <c:showSerName val="0"/>
          <c:showPercent val="0"/>
          <c:showBubbleSize val="0"/>
        </c:dLbls>
        <c:gapWidth val="219"/>
        <c:overlap val="-27"/>
        <c:axId val="1747587103"/>
        <c:axId val="1425825311"/>
      </c:barChart>
      <c:catAx>
        <c:axId val="174758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5825311"/>
        <c:crosses val="autoZero"/>
        <c:auto val="1"/>
        <c:lblAlgn val="ctr"/>
        <c:lblOffset val="100"/>
        <c:noMultiLvlLbl val="0"/>
      </c:catAx>
      <c:valAx>
        <c:axId val="1425825311"/>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7587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Hybrid working practices support my work-life balance and well-being.</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8600-CF45-B6C7-65F5646C8424}"/>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8600-CF45-B6C7-65F5646C8424}"/>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8600-CF45-B6C7-65F5646C8424}"/>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8600-CF45-B6C7-65F5646C8424}"/>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8600-CF45-B6C7-65F5646C84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Sheet1!$Q$10:$U$10</c:f>
              <c:strCache>
                <c:ptCount val="5"/>
                <c:pt idx="0">
                  <c:v>Fully Agree</c:v>
                </c:pt>
                <c:pt idx="1">
                  <c:v>Agree</c:v>
                </c:pt>
                <c:pt idx="2">
                  <c:v>Not Sure</c:v>
                </c:pt>
                <c:pt idx="3">
                  <c:v>Disagree</c:v>
                </c:pt>
                <c:pt idx="4">
                  <c:v>Strongly Disagree</c:v>
                </c:pt>
              </c:strCache>
            </c:strRef>
          </c:cat>
          <c:val>
            <c:numRef>
              <c:f>Sheet1!$Q$12:$U$12</c:f>
              <c:numCache>
                <c:formatCode>0.0%</c:formatCode>
                <c:ptCount val="5"/>
                <c:pt idx="0">
                  <c:v>0.53666666666666663</c:v>
                </c:pt>
                <c:pt idx="1">
                  <c:v>0.28666666666666668</c:v>
                </c:pt>
                <c:pt idx="2">
                  <c:v>3.6666666666666667E-2</c:v>
                </c:pt>
                <c:pt idx="3">
                  <c:v>0.11333333333333333</c:v>
                </c:pt>
                <c:pt idx="4">
                  <c:v>2.6666666666666668E-2</c:v>
                </c:pt>
              </c:numCache>
            </c:numRef>
          </c:val>
          <c:extLst>
            <c:ext xmlns:c16="http://schemas.microsoft.com/office/drawing/2014/chart" uri="{C3380CC4-5D6E-409C-BE32-E72D297353CC}">
              <c16:uniqueId val="{0000000A-8600-CF45-B6C7-65F5646C842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I feel less stressed when away from the workplace</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1561-154A-9FA7-3CA4BF24C604}"/>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1561-154A-9FA7-3CA4BF24C604}"/>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1561-154A-9FA7-3CA4BF24C604}"/>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1561-154A-9FA7-3CA4BF24C604}"/>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1561-154A-9FA7-3CA4BF24C60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Sheet1!$Q$10:$U$10</c:f>
              <c:strCache>
                <c:ptCount val="5"/>
                <c:pt idx="0">
                  <c:v>Fully Agree</c:v>
                </c:pt>
                <c:pt idx="1">
                  <c:v>Agree</c:v>
                </c:pt>
                <c:pt idx="2">
                  <c:v>Not Sure</c:v>
                </c:pt>
                <c:pt idx="3">
                  <c:v>Disagree</c:v>
                </c:pt>
                <c:pt idx="4">
                  <c:v>Strongly Disagree</c:v>
                </c:pt>
              </c:strCache>
            </c:strRef>
          </c:cat>
          <c:val>
            <c:numRef>
              <c:f>Sheet1!$Q$23:$U$23</c:f>
              <c:numCache>
                <c:formatCode>0.0%</c:formatCode>
                <c:ptCount val="5"/>
                <c:pt idx="0">
                  <c:v>0.13666666666666666</c:v>
                </c:pt>
                <c:pt idx="1">
                  <c:v>1.3333333333333334E-2</c:v>
                </c:pt>
                <c:pt idx="2">
                  <c:v>0</c:v>
                </c:pt>
                <c:pt idx="3">
                  <c:v>1.6666666666666666E-2</c:v>
                </c:pt>
                <c:pt idx="4">
                  <c:v>0.83333333333333337</c:v>
                </c:pt>
              </c:numCache>
            </c:numRef>
          </c:val>
          <c:extLst>
            <c:ext xmlns:c16="http://schemas.microsoft.com/office/drawing/2014/chart" uri="{C3380CC4-5D6E-409C-BE32-E72D297353CC}">
              <c16:uniqueId val="{0000000A-1561-154A-9FA7-3CA4BF24C60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5702</Words>
  <Characters>32507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Jamed Patrick</dc:creator>
  <cp:keywords/>
  <dc:description/>
  <cp:lastModifiedBy>Jamed Patrick</cp:lastModifiedBy>
  <cp:revision>3</cp:revision>
  <dcterms:created xsi:type="dcterms:W3CDTF">2024-06-17T21:29:00Z</dcterms:created>
  <dcterms:modified xsi:type="dcterms:W3CDTF">2024-06-17T22:14:00Z</dcterms:modified>
</cp:coreProperties>
</file>