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1AB0B" w14:textId="5B02B91D" w:rsidR="00BB025D" w:rsidRPr="00B162C3" w:rsidRDefault="0050226A" w:rsidP="00097AF6">
      <w:pPr>
        <w:jc w:val="center"/>
        <w:rPr>
          <w:rFonts w:ascii="Arial" w:hAnsi="Arial" w:cs="Arial"/>
          <w:b/>
          <w:bCs/>
          <w:sz w:val="24"/>
          <w:szCs w:val="24"/>
          <w:u w:val="single"/>
        </w:rPr>
      </w:pPr>
      <w:r w:rsidRPr="00B162C3">
        <w:rPr>
          <w:rFonts w:ascii="Arial" w:hAnsi="Arial" w:cs="Arial"/>
          <w:b/>
          <w:bCs/>
          <w:sz w:val="24"/>
          <w:szCs w:val="24"/>
          <w:u w:val="single"/>
        </w:rPr>
        <w:t>Paul Gilroy, The Black Atlantic: Modernity and Double Consciousness</w:t>
      </w:r>
    </w:p>
    <w:p w14:paraId="3A7C737B" w14:textId="6FE5AB84" w:rsidR="00CE47DB" w:rsidRPr="00CE55E6" w:rsidRDefault="00B162C3" w:rsidP="00B162C3">
      <w:pPr>
        <w:jc w:val="both"/>
        <w:rPr>
          <w:rFonts w:ascii="Arial" w:hAnsi="Arial" w:cs="Arial"/>
          <w:sz w:val="24"/>
          <w:szCs w:val="24"/>
        </w:rPr>
      </w:pPr>
      <w:r w:rsidRPr="00B162C3">
        <w:rPr>
          <w:rFonts w:ascii="Arial" w:hAnsi="Arial" w:cs="Arial"/>
          <w:sz w:val="24"/>
          <w:szCs w:val="24"/>
        </w:rPr>
        <w:t xml:space="preserve">A Sociologist scholar educated </w:t>
      </w:r>
      <w:r w:rsidR="00CE47DB">
        <w:rPr>
          <w:rFonts w:ascii="Arial" w:hAnsi="Arial" w:cs="Arial"/>
          <w:sz w:val="24"/>
          <w:szCs w:val="24"/>
        </w:rPr>
        <w:t>at</w:t>
      </w:r>
      <w:r w:rsidRPr="00B162C3">
        <w:rPr>
          <w:rFonts w:ascii="Arial" w:hAnsi="Arial" w:cs="Arial"/>
          <w:sz w:val="24"/>
          <w:szCs w:val="24"/>
        </w:rPr>
        <w:t xml:space="preserve"> the University of Birmingham</w:t>
      </w:r>
      <w:r w:rsidR="00CE47DB">
        <w:rPr>
          <w:rFonts w:ascii="Arial" w:hAnsi="Arial" w:cs="Arial"/>
          <w:sz w:val="24"/>
          <w:szCs w:val="24"/>
        </w:rPr>
        <w:t xml:space="preserve">, </w:t>
      </w:r>
      <w:r w:rsidR="002360F3">
        <w:rPr>
          <w:rFonts w:ascii="Arial" w:hAnsi="Arial" w:cs="Arial"/>
          <w:sz w:val="24"/>
          <w:szCs w:val="24"/>
        </w:rPr>
        <w:t xml:space="preserve">Paul </w:t>
      </w:r>
      <w:r w:rsidRPr="00B162C3">
        <w:rPr>
          <w:rFonts w:ascii="Arial" w:hAnsi="Arial" w:cs="Arial"/>
          <w:sz w:val="24"/>
          <w:szCs w:val="24"/>
        </w:rPr>
        <w:t>Gilroy</w:t>
      </w:r>
      <w:r w:rsidR="008579BE">
        <w:rPr>
          <w:rFonts w:ascii="Arial" w:hAnsi="Arial" w:cs="Arial"/>
          <w:sz w:val="24"/>
          <w:szCs w:val="24"/>
        </w:rPr>
        <w:t xml:space="preserve"> is an established, acknowledged and highly referenced author. His literary </w:t>
      </w:r>
      <w:r w:rsidR="00CE47DB">
        <w:rPr>
          <w:rFonts w:ascii="Arial" w:hAnsi="Arial" w:cs="Arial"/>
          <w:sz w:val="24"/>
          <w:szCs w:val="24"/>
        </w:rPr>
        <w:t>focus</w:t>
      </w:r>
      <w:r w:rsidR="008579BE">
        <w:rPr>
          <w:rFonts w:ascii="Arial" w:hAnsi="Arial" w:cs="Arial"/>
          <w:sz w:val="24"/>
          <w:szCs w:val="24"/>
        </w:rPr>
        <w:t xml:space="preserve"> is </w:t>
      </w:r>
      <w:r w:rsidR="00CE47DB">
        <w:rPr>
          <w:rFonts w:ascii="Arial" w:hAnsi="Arial" w:cs="Arial"/>
          <w:sz w:val="24"/>
          <w:szCs w:val="24"/>
        </w:rPr>
        <w:t>on race, racism and key influential figures</w:t>
      </w:r>
      <w:r w:rsidRPr="00B162C3">
        <w:rPr>
          <w:rFonts w:ascii="Arial" w:hAnsi="Arial" w:cs="Arial"/>
          <w:sz w:val="24"/>
          <w:szCs w:val="24"/>
        </w:rPr>
        <w:t xml:space="preserve"> </w:t>
      </w:r>
      <w:proofErr w:type="gramStart"/>
      <w:r w:rsidR="00CE47DB" w:rsidRPr="00B162C3">
        <w:rPr>
          <w:rFonts w:ascii="Arial" w:hAnsi="Arial" w:cs="Arial"/>
          <w:sz w:val="24"/>
          <w:szCs w:val="24"/>
        </w:rPr>
        <w:t>e.g.</w:t>
      </w:r>
      <w:proofErr w:type="gramEnd"/>
      <w:r w:rsidR="00CE47DB" w:rsidRPr="00B162C3">
        <w:rPr>
          <w:rFonts w:ascii="Arial" w:hAnsi="Arial" w:cs="Arial"/>
          <w:sz w:val="24"/>
          <w:szCs w:val="24"/>
        </w:rPr>
        <w:t xml:space="preserve"> W.E.B. Du Bois</w:t>
      </w:r>
      <w:r w:rsidR="00CE47DB">
        <w:rPr>
          <w:rFonts w:ascii="Arial" w:hAnsi="Arial" w:cs="Arial"/>
          <w:sz w:val="24"/>
          <w:szCs w:val="24"/>
        </w:rPr>
        <w:t xml:space="preserve">. </w:t>
      </w:r>
      <w:r w:rsidR="008C2392">
        <w:rPr>
          <w:rFonts w:ascii="Arial" w:hAnsi="Arial" w:cs="Arial"/>
          <w:sz w:val="24"/>
          <w:szCs w:val="24"/>
        </w:rPr>
        <w:t>With his emphasis on the c</w:t>
      </w:r>
      <w:r w:rsidRPr="00B162C3">
        <w:rPr>
          <w:rFonts w:ascii="Arial" w:hAnsi="Arial" w:cs="Arial"/>
          <w:sz w:val="24"/>
          <w:szCs w:val="24"/>
        </w:rPr>
        <w:t>ritical analysis of this subject</w:t>
      </w:r>
      <w:r w:rsidR="008C2392">
        <w:rPr>
          <w:rFonts w:ascii="Arial" w:hAnsi="Arial" w:cs="Arial"/>
          <w:sz w:val="24"/>
          <w:szCs w:val="24"/>
        </w:rPr>
        <w:t>, Gilroy was awarded the 1994 American Book Award. His</w:t>
      </w:r>
      <w:r w:rsidR="008C2392" w:rsidRPr="008C2392">
        <w:rPr>
          <w:rFonts w:ascii="Arial" w:hAnsi="Arial" w:cs="Arial"/>
          <w:sz w:val="24"/>
          <w:szCs w:val="24"/>
        </w:rPr>
        <w:t xml:space="preserve"> </w:t>
      </w:r>
      <w:r w:rsidR="008C2392" w:rsidRPr="00B162C3">
        <w:rPr>
          <w:rFonts w:ascii="Arial" w:hAnsi="Arial" w:cs="Arial"/>
          <w:sz w:val="24"/>
          <w:szCs w:val="24"/>
        </w:rPr>
        <w:t>literary</w:t>
      </w:r>
      <w:r w:rsidR="008C2392">
        <w:rPr>
          <w:rFonts w:ascii="Arial" w:hAnsi="Arial" w:cs="Arial"/>
          <w:sz w:val="24"/>
          <w:szCs w:val="24"/>
        </w:rPr>
        <w:t xml:space="preserve"> </w:t>
      </w:r>
      <w:r w:rsidR="008C2392" w:rsidRPr="00B162C3">
        <w:rPr>
          <w:rFonts w:ascii="Arial" w:hAnsi="Arial" w:cs="Arial"/>
          <w:sz w:val="24"/>
          <w:szCs w:val="24"/>
        </w:rPr>
        <w:t>and analytical pedigree</w:t>
      </w:r>
      <w:r w:rsidR="008C2392">
        <w:rPr>
          <w:rFonts w:ascii="Arial" w:hAnsi="Arial" w:cs="Arial"/>
          <w:sz w:val="24"/>
          <w:szCs w:val="24"/>
        </w:rPr>
        <w:t xml:space="preserve"> ensures that Gilroy is an appropriate person to </w:t>
      </w:r>
      <w:r w:rsidR="008C2392" w:rsidRPr="00CE55E6">
        <w:rPr>
          <w:rFonts w:ascii="Arial" w:hAnsi="Arial" w:cs="Arial"/>
          <w:sz w:val="24"/>
          <w:szCs w:val="24"/>
        </w:rPr>
        <w:t>comment on this topic</w:t>
      </w:r>
      <w:r w:rsidR="00CE47DB" w:rsidRPr="00CE55E6">
        <w:rPr>
          <w:rFonts w:ascii="Arial" w:hAnsi="Arial" w:cs="Arial"/>
          <w:sz w:val="24"/>
          <w:szCs w:val="24"/>
        </w:rPr>
        <w:t xml:space="preserve">. </w:t>
      </w:r>
    </w:p>
    <w:p w14:paraId="77864A7C" w14:textId="08FAA443" w:rsidR="002360F3" w:rsidRPr="00CE55E6" w:rsidRDefault="002360F3" w:rsidP="002360F3">
      <w:pPr>
        <w:jc w:val="both"/>
        <w:rPr>
          <w:rFonts w:ascii="Arial" w:hAnsi="Arial" w:cs="Arial"/>
          <w:sz w:val="24"/>
          <w:szCs w:val="24"/>
        </w:rPr>
      </w:pPr>
      <w:r w:rsidRPr="00CE55E6">
        <w:rPr>
          <w:rFonts w:ascii="Arial" w:hAnsi="Arial" w:cs="Arial"/>
          <w:sz w:val="24"/>
          <w:szCs w:val="24"/>
        </w:rPr>
        <w:t>Gilroy’s 1993 book “The Black Atlantic: Modernity and Double Consciousness”, provides an analysis of Black cultural mutation within the countries that it was combined with. Gilroy describes this as “one small area in the grand consequence of this historical conjunction</w:t>
      </w:r>
      <w:r w:rsidR="002B3EEE" w:rsidRPr="00CE55E6">
        <w:rPr>
          <w:rStyle w:val="FootnoteReference"/>
          <w:rFonts w:ascii="Arial" w:hAnsi="Arial" w:cs="Arial"/>
          <w:sz w:val="24"/>
          <w:szCs w:val="24"/>
        </w:rPr>
        <w:footnoteReference w:id="1"/>
      </w:r>
      <w:r w:rsidRPr="00CE55E6">
        <w:rPr>
          <w:rFonts w:ascii="Arial" w:hAnsi="Arial" w:cs="Arial"/>
          <w:sz w:val="24"/>
          <w:szCs w:val="24"/>
        </w:rPr>
        <w:t xml:space="preserve">”.  </w:t>
      </w:r>
    </w:p>
    <w:p w14:paraId="597E55C4" w14:textId="7AF4F81A" w:rsidR="00D26373" w:rsidRPr="00CE55E6" w:rsidRDefault="00D26373" w:rsidP="00D26373">
      <w:pPr>
        <w:jc w:val="both"/>
        <w:rPr>
          <w:rFonts w:ascii="Arial" w:hAnsi="Arial" w:cs="Arial"/>
          <w:sz w:val="24"/>
          <w:szCs w:val="24"/>
        </w:rPr>
      </w:pPr>
      <w:r w:rsidRPr="00CE55E6">
        <w:rPr>
          <w:rFonts w:ascii="Arial" w:hAnsi="Arial" w:cs="Arial"/>
          <w:sz w:val="24"/>
          <w:szCs w:val="24"/>
        </w:rPr>
        <w:t xml:space="preserve">The books first chapter seeks to address three main topics to analyse and discuss: race and culture, ethnicity and nationality and their impact on both the history and political traditions of Black citizens of the United Kingdom. </w:t>
      </w:r>
      <w:r w:rsidR="002360F3" w:rsidRPr="00CE55E6">
        <w:rPr>
          <w:rFonts w:ascii="Arial" w:hAnsi="Arial" w:cs="Arial"/>
          <w:sz w:val="24"/>
          <w:szCs w:val="24"/>
        </w:rPr>
        <w:t xml:space="preserve">Gilroy also </w:t>
      </w:r>
      <w:r w:rsidRPr="00CE55E6">
        <w:rPr>
          <w:rFonts w:ascii="Arial" w:hAnsi="Arial" w:cs="Arial"/>
          <w:sz w:val="24"/>
          <w:szCs w:val="24"/>
        </w:rPr>
        <w:t xml:space="preserve">addresses the problems associated with both American and British teachings of cultural studies, while additionally analysing the life writings of key Black nationalist Martin Robison Delany. </w:t>
      </w:r>
      <w:r w:rsidR="002360F3" w:rsidRPr="00CE55E6">
        <w:rPr>
          <w:rFonts w:ascii="Arial" w:hAnsi="Arial" w:cs="Arial"/>
          <w:sz w:val="24"/>
          <w:szCs w:val="24"/>
        </w:rPr>
        <w:t xml:space="preserve">Chapter one also covers </w:t>
      </w:r>
      <w:r w:rsidRPr="00CE55E6">
        <w:rPr>
          <w:rFonts w:ascii="Arial" w:hAnsi="Arial" w:cs="Arial"/>
          <w:sz w:val="24"/>
          <w:szCs w:val="24"/>
        </w:rPr>
        <w:t>how Black intellectuals address how Black culture being subservient to white culture</w:t>
      </w:r>
      <w:r w:rsidR="00502239" w:rsidRPr="00CE55E6">
        <w:rPr>
          <w:rFonts w:ascii="Arial" w:hAnsi="Arial" w:cs="Arial"/>
          <w:sz w:val="24"/>
          <w:szCs w:val="24"/>
        </w:rPr>
        <w:t xml:space="preserve">, </w:t>
      </w:r>
      <w:r w:rsidRPr="00CE55E6">
        <w:rPr>
          <w:rFonts w:ascii="Arial" w:hAnsi="Arial" w:cs="Arial"/>
          <w:sz w:val="24"/>
          <w:szCs w:val="24"/>
        </w:rPr>
        <w:t xml:space="preserve">hasn’t prevented </w:t>
      </w:r>
      <w:r w:rsidR="00502239" w:rsidRPr="00CE55E6">
        <w:rPr>
          <w:rFonts w:ascii="Arial" w:hAnsi="Arial" w:cs="Arial"/>
          <w:sz w:val="24"/>
          <w:szCs w:val="24"/>
        </w:rPr>
        <w:t xml:space="preserve">cross colour cultural </w:t>
      </w:r>
      <w:r w:rsidRPr="00CE55E6">
        <w:rPr>
          <w:rFonts w:ascii="Arial" w:hAnsi="Arial" w:cs="Arial"/>
          <w:sz w:val="24"/>
          <w:szCs w:val="24"/>
        </w:rPr>
        <w:t>influence</w:t>
      </w:r>
      <w:r w:rsidR="00502239" w:rsidRPr="00CE55E6">
        <w:rPr>
          <w:rFonts w:ascii="Arial" w:hAnsi="Arial" w:cs="Arial"/>
          <w:sz w:val="24"/>
          <w:szCs w:val="24"/>
        </w:rPr>
        <w:t xml:space="preserve">s to occur. </w:t>
      </w:r>
      <w:r w:rsidRPr="00CE55E6">
        <w:rPr>
          <w:rFonts w:ascii="Arial" w:hAnsi="Arial" w:cs="Arial"/>
          <w:sz w:val="24"/>
          <w:szCs w:val="24"/>
        </w:rPr>
        <w:t xml:space="preserve"> </w:t>
      </w:r>
    </w:p>
    <w:p w14:paraId="5FBB5ACB" w14:textId="5E9E1302" w:rsidR="00381039" w:rsidRPr="00CE55E6" w:rsidRDefault="00381039" w:rsidP="00381039">
      <w:pPr>
        <w:jc w:val="both"/>
        <w:rPr>
          <w:rFonts w:ascii="Arial" w:hAnsi="Arial" w:cs="Arial"/>
          <w:sz w:val="24"/>
          <w:szCs w:val="24"/>
        </w:rPr>
      </w:pPr>
      <w:r w:rsidRPr="00CE55E6">
        <w:rPr>
          <w:rFonts w:ascii="Arial" w:hAnsi="Arial" w:cs="Arial"/>
          <w:sz w:val="24"/>
          <w:szCs w:val="24"/>
        </w:rPr>
        <w:t xml:space="preserve">Through the analysis presented in this chapter, Gilroy has </w:t>
      </w:r>
      <w:proofErr w:type="gramStart"/>
      <w:r w:rsidRPr="00CE55E6">
        <w:rPr>
          <w:rFonts w:ascii="Arial" w:hAnsi="Arial" w:cs="Arial"/>
          <w:sz w:val="24"/>
          <w:szCs w:val="24"/>
        </w:rPr>
        <w:t>eluded</w:t>
      </w:r>
      <w:proofErr w:type="gramEnd"/>
      <w:r w:rsidRPr="00CE55E6">
        <w:rPr>
          <w:rFonts w:ascii="Arial" w:hAnsi="Arial" w:cs="Arial"/>
          <w:sz w:val="24"/>
          <w:szCs w:val="24"/>
        </w:rPr>
        <w:t xml:space="preserve"> to what he believes to be the fundamental main characteristics of the “Black Atlantic”. He interprets these as being, “the stereophonic, bilingual, or bifocal cultural forms”</w:t>
      </w:r>
      <w:r w:rsidR="00710788" w:rsidRPr="00CE55E6">
        <w:rPr>
          <w:rFonts w:ascii="Arial" w:hAnsi="Arial" w:cs="Arial"/>
          <w:sz w:val="24"/>
          <w:szCs w:val="24"/>
        </w:rPr>
        <w:t xml:space="preserve">. </w:t>
      </w:r>
      <w:r w:rsidRPr="00CE55E6">
        <w:rPr>
          <w:rFonts w:ascii="Arial" w:hAnsi="Arial" w:cs="Arial"/>
          <w:sz w:val="24"/>
          <w:szCs w:val="24"/>
        </w:rPr>
        <w:t>Gilroy judges</w:t>
      </w:r>
      <w:r w:rsidR="00710788" w:rsidRPr="00CE55E6">
        <w:rPr>
          <w:rFonts w:ascii="Arial" w:hAnsi="Arial" w:cs="Arial"/>
          <w:sz w:val="24"/>
          <w:szCs w:val="24"/>
        </w:rPr>
        <w:t xml:space="preserve"> these attributes </w:t>
      </w:r>
      <w:r w:rsidRPr="00CE55E6">
        <w:rPr>
          <w:rFonts w:ascii="Arial" w:hAnsi="Arial" w:cs="Arial"/>
          <w:sz w:val="24"/>
          <w:szCs w:val="24"/>
        </w:rPr>
        <w:t>not to be the sole property of the Black population</w:t>
      </w:r>
      <w:r w:rsidR="00710788" w:rsidRPr="00CE55E6">
        <w:rPr>
          <w:rFonts w:ascii="Arial" w:hAnsi="Arial" w:cs="Arial"/>
          <w:sz w:val="24"/>
          <w:szCs w:val="24"/>
        </w:rPr>
        <w:t xml:space="preserve">, but </w:t>
      </w:r>
      <w:r w:rsidRPr="00CE55E6">
        <w:rPr>
          <w:rFonts w:ascii="Arial" w:hAnsi="Arial" w:cs="Arial"/>
          <w:sz w:val="24"/>
          <w:szCs w:val="24"/>
        </w:rPr>
        <w:t xml:space="preserve">interconnected amongst “the structures of feeling, producing, communicating, and remembering of that I have heuristically called the black Atlantic world”. </w:t>
      </w:r>
    </w:p>
    <w:p w14:paraId="6F913CCF" w14:textId="2332C93E" w:rsidR="000D30EA" w:rsidRPr="00CE55E6" w:rsidRDefault="000D30EA" w:rsidP="000D30EA">
      <w:pPr>
        <w:jc w:val="both"/>
        <w:rPr>
          <w:rFonts w:ascii="Arial" w:hAnsi="Arial" w:cs="Arial"/>
          <w:sz w:val="24"/>
          <w:szCs w:val="24"/>
        </w:rPr>
      </w:pPr>
      <w:r w:rsidRPr="00CE55E6">
        <w:rPr>
          <w:rFonts w:ascii="Arial" w:hAnsi="Arial" w:cs="Arial"/>
          <w:sz w:val="24"/>
          <w:szCs w:val="24"/>
        </w:rPr>
        <w:t>This concept is compelling because the musical and linguistic impact of Black people, across numerous areas is evident. No matter what area, music, literature or verbal nuances</w:t>
      </w:r>
      <w:r w:rsidR="0010147F" w:rsidRPr="00CE55E6">
        <w:rPr>
          <w:rFonts w:ascii="Arial" w:hAnsi="Arial" w:cs="Arial"/>
          <w:sz w:val="24"/>
          <w:szCs w:val="24"/>
        </w:rPr>
        <w:t xml:space="preserve">, </w:t>
      </w:r>
      <w:r w:rsidRPr="00CE55E6">
        <w:rPr>
          <w:rFonts w:ascii="Arial" w:hAnsi="Arial" w:cs="Arial"/>
          <w:sz w:val="24"/>
          <w:szCs w:val="24"/>
        </w:rPr>
        <w:t>each has had an influence on our culture today. Even the “Bifocal” way in which these groups have viewed both history and culture</w:t>
      </w:r>
      <w:r w:rsidR="0010147F" w:rsidRPr="00CE55E6">
        <w:rPr>
          <w:rFonts w:ascii="Arial" w:hAnsi="Arial" w:cs="Arial"/>
          <w:sz w:val="24"/>
          <w:szCs w:val="24"/>
        </w:rPr>
        <w:t>,</w:t>
      </w:r>
      <w:r w:rsidRPr="00CE55E6">
        <w:rPr>
          <w:rFonts w:ascii="Arial" w:hAnsi="Arial" w:cs="Arial"/>
          <w:sz w:val="24"/>
          <w:szCs w:val="24"/>
        </w:rPr>
        <w:t xml:space="preserve"> has helped guide change</w:t>
      </w:r>
      <w:r w:rsidR="0010147F" w:rsidRPr="00CE55E6">
        <w:rPr>
          <w:rFonts w:ascii="Arial" w:hAnsi="Arial" w:cs="Arial"/>
          <w:sz w:val="24"/>
          <w:szCs w:val="24"/>
        </w:rPr>
        <w:t xml:space="preserve">. These changes have </w:t>
      </w:r>
      <w:r w:rsidRPr="00CE55E6">
        <w:rPr>
          <w:rFonts w:ascii="Arial" w:hAnsi="Arial" w:cs="Arial"/>
          <w:sz w:val="24"/>
          <w:szCs w:val="24"/>
        </w:rPr>
        <w:t xml:space="preserve">included the civil rights movement, </w:t>
      </w:r>
      <w:r w:rsidR="0010147F" w:rsidRPr="00CE55E6">
        <w:rPr>
          <w:rFonts w:ascii="Arial" w:hAnsi="Arial" w:cs="Arial"/>
          <w:sz w:val="24"/>
          <w:szCs w:val="24"/>
        </w:rPr>
        <w:t xml:space="preserve">political reformation and </w:t>
      </w:r>
      <w:r w:rsidRPr="00CE55E6">
        <w:rPr>
          <w:rFonts w:ascii="Arial" w:hAnsi="Arial" w:cs="Arial"/>
          <w:sz w:val="24"/>
          <w:szCs w:val="24"/>
        </w:rPr>
        <w:t xml:space="preserve">the inclusion of </w:t>
      </w:r>
      <w:r w:rsidR="0010147F" w:rsidRPr="00CE55E6">
        <w:rPr>
          <w:rFonts w:ascii="Arial" w:hAnsi="Arial" w:cs="Arial"/>
          <w:sz w:val="24"/>
          <w:szCs w:val="24"/>
        </w:rPr>
        <w:t xml:space="preserve">all </w:t>
      </w:r>
      <w:r w:rsidRPr="00CE55E6">
        <w:rPr>
          <w:rFonts w:ascii="Arial" w:hAnsi="Arial" w:cs="Arial"/>
          <w:sz w:val="24"/>
          <w:szCs w:val="24"/>
        </w:rPr>
        <w:t>minorities as</w:t>
      </w:r>
      <w:r w:rsidR="0010147F" w:rsidRPr="00CE55E6">
        <w:rPr>
          <w:rFonts w:ascii="Arial" w:hAnsi="Arial" w:cs="Arial"/>
          <w:sz w:val="24"/>
          <w:szCs w:val="24"/>
        </w:rPr>
        <w:t xml:space="preserve"> potential </w:t>
      </w:r>
      <w:r w:rsidRPr="00CE55E6">
        <w:rPr>
          <w:rFonts w:ascii="Arial" w:hAnsi="Arial" w:cs="Arial"/>
          <w:sz w:val="24"/>
          <w:szCs w:val="24"/>
        </w:rPr>
        <w:t>lead</w:t>
      </w:r>
      <w:r w:rsidR="0010147F" w:rsidRPr="00CE55E6">
        <w:rPr>
          <w:rFonts w:ascii="Arial" w:hAnsi="Arial" w:cs="Arial"/>
          <w:sz w:val="24"/>
          <w:szCs w:val="24"/>
        </w:rPr>
        <w:t>ers</w:t>
      </w:r>
      <w:r w:rsidRPr="00CE55E6">
        <w:rPr>
          <w:rFonts w:ascii="Arial" w:hAnsi="Arial" w:cs="Arial"/>
          <w:sz w:val="24"/>
          <w:szCs w:val="24"/>
        </w:rPr>
        <w:t xml:space="preserve"> and</w:t>
      </w:r>
      <w:r w:rsidR="0010147F" w:rsidRPr="00CE55E6">
        <w:rPr>
          <w:rFonts w:ascii="Arial" w:hAnsi="Arial" w:cs="Arial"/>
          <w:sz w:val="24"/>
          <w:szCs w:val="24"/>
        </w:rPr>
        <w:t xml:space="preserve"> all classed as</w:t>
      </w:r>
      <w:r w:rsidRPr="00CE55E6">
        <w:rPr>
          <w:rFonts w:ascii="Arial" w:hAnsi="Arial" w:cs="Arial"/>
          <w:sz w:val="24"/>
          <w:szCs w:val="24"/>
        </w:rPr>
        <w:t xml:space="preserve"> valued members of society</w:t>
      </w:r>
      <w:r w:rsidR="0010147F" w:rsidRPr="00CE55E6">
        <w:rPr>
          <w:rFonts w:ascii="Arial" w:hAnsi="Arial" w:cs="Arial"/>
          <w:sz w:val="24"/>
          <w:szCs w:val="24"/>
        </w:rPr>
        <w:t xml:space="preserve">. </w:t>
      </w:r>
      <w:r w:rsidR="00855C89" w:rsidRPr="00CE55E6">
        <w:rPr>
          <w:rFonts w:ascii="Arial" w:hAnsi="Arial" w:cs="Arial"/>
          <w:sz w:val="24"/>
          <w:szCs w:val="24"/>
        </w:rPr>
        <w:t xml:space="preserve">Knowing </w:t>
      </w:r>
      <w:r w:rsidR="007A7962" w:rsidRPr="00CE55E6">
        <w:rPr>
          <w:rFonts w:ascii="Arial" w:hAnsi="Arial" w:cs="Arial"/>
          <w:sz w:val="24"/>
          <w:szCs w:val="24"/>
        </w:rPr>
        <w:t xml:space="preserve">Gilroy’s identification of </w:t>
      </w:r>
      <w:r w:rsidR="00855C89" w:rsidRPr="00CE55E6">
        <w:rPr>
          <w:rFonts w:ascii="Arial" w:hAnsi="Arial" w:cs="Arial"/>
          <w:sz w:val="24"/>
          <w:szCs w:val="24"/>
        </w:rPr>
        <w:t>t</w:t>
      </w:r>
      <w:r w:rsidRPr="00CE55E6">
        <w:rPr>
          <w:rFonts w:ascii="Arial" w:hAnsi="Arial" w:cs="Arial"/>
          <w:sz w:val="24"/>
          <w:szCs w:val="24"/>
        </w:rPr>
        <w:t xml:space="preserve">hese characteristics make </w:t>
      </w:r>
      <w:r w:rsidR="007A7962" w:rsidRPr="00CE55E6">
        <w:rPr>
          <w:rFonts w:ascii="Arial" w:hAnsi="Arial" w:cs="Arial"/>
          <w:sz w:val="24"/>
          <w:szCs w:val="24"/>
        </w:rPr>
        <w:t>his</w:t>
      </w:r>
      <w:r w:rsidR="00855C89" w:rsidRPr="00CE55E6">
        <w:rPr>
          <w:rFonts w:ascii="Arial" w:hAnsi="Arial" w:cs="Arial"/>
          <w:sz w:val="24"/>
          <w:szCs w:val="24"/>
        </w:rPr>
        <w:t xml:space="preserve"> </w:t>
      </w:r>
      <w:r w:rsidRPr="00CE55E6">
        <w:rPr>
          <w:rFonts w:ascii="Arial" w:hAnsi="Arial" w:cs="Arial"/>
          <w:sz w:val="24"/>
          <w:szCs w:val="24"/>
        </w:rPr>
        <w:t>views of the subject easier to</w:t>
      </w:r>
      <w:r w:rsidR="007A7962" w:rsidRPr="00CE55E6">
        <w:rPr>
          <w:rFonts w:ascii="Arial" w:hAnsi="Arial" w:cs="Arial"/>
          <w:sz w:val="24"/>
          <w:szCs w:val="24"/>
        </w:rPr>
        <w:t xml:space="preserve"> </w:t>
      </w:r>
      <w:r w:rsidRPr="00CE55E6">
        <w:rPr>
          <w:rFonts w:ascii="Arial" w:hAnsi="Arial" w:cs="Arial"/>
          <w:sz w:val="24"/>
          <w:szCs w:val="24"/>
        </w:rPr>
        <w:t xml:space="preserve">understand and </w:t>
      </w:r>
      <w:r w:rsidR="007A7962" w:rsidRPr="00CE55E6">
        <w:rPr>
          <w:rFonts w:ascii="Arial" w:hAnsi="Arial" w:cs="Arial"/>
          <w:sz w:val="24"/>
          <w:szCs w:val="24"/>
        </w:rPr>
        <w:t>easer to follow</w:t>
      </w:r>
      <w:r w:rsidRPr="00CE55E6">
        <w:rPr>
          <w:rFonts w:ascii="Arial" w:hAnsi="Arial" w:cs="Arial"/>
          <w:sz w:val="24"/>
          <w:szCs w:val="24"/>
        </w:rPr>
        <w:t xml:space="preserve"> moving forward. </w:t>
      </w:r>
    </w:p>
    <w:p w14:paraId="675F8697" w14:textId="373C1B89" w:rsidR="00A8202C" w:rsidRPr="00CE55E6" w:rsidRDefault="00100683" w:rsidP="00100683">
      <w:pPr>
        <w:jc w:val="both"/>
        <w:rPr>
          <w:rFonts w:ascii="Arial" w:hAnsi="Arial" w:cs="Arial"/>
          <w:sz w:val="24"/>
          <w:szCs w:val="24"/>
        </w:rPr>
      </w:pPr>
      <w:r w:rsidRPr="00CE55E6">
        <w:rPr>
          <w:rFonts w:ascii="Arial" w:hAnsi="Arial" w:cs="Arial"/>
          <w:sz w:val="24"/>
          <w:szCs w:val="24"/>
        </w:rPr>
        <w:t>Overall, the books first chapter</w:t>
      </w:r>
      <w:r w:rsidR="002906B1" w:rsidRPr="00CE55E6">
        <w:rPr>
          <w:rFonts w:ascii="Arial" w:hAnsi="Arial" w:cs="Arial"/>
          <w:sz w:val="24"/>
          <w:szCs w:val="24"/>
        </w:rPr>
        <w:t xml:space="preserve"> is very </w:t>
      </w:r>
      <w:r w:rsidRPr="00CE55E6">
        <w:rPr>
          <w:rFonts w:ascii="Arial" w:hAnsi="Arial" w:cs="Arial"/>
          <w:sz w:val="24"/>
          <w:szCs w:val="24"/>
        </w:rPr>
        <w:t>well structure</w:t>
      </w:r>
      <w:r w:rsidR="002906B1" w:rsidRPr="00CE55E6">
        <w:rPr>
          <w:rFonts w:ascii="Arial" w:hAnsi="Arial" w:cs="Arial"/>
          <w:sz w:val="24"/>
          <w:szCs w:val="24"/>
        </w:rPr>
        <w:t>d and provides</w:t>
      </w:r>
      <w:r w:rsidRPr="00CE55E6">
        <w:rPr>
          <w:rFonts w:ascii="Arial" w:hAnsi="Arial" w:cs="Arial"/>
          <w:sz w:val="24"/>
          <w:szCs w:val="24"/>
        </w:rPr>
        <w:t xml:space="preserve"> Gilroy’s points</w:t>
      </w:r>
      <w:r w:rsidR="002906B1" w:rsidRPr="00CE55E6">
        <w:rPr>
          <w:rFonts w:ascii="Arial" w:hAnsi="Arial" w:cs="Arial"/>
          <w:sz w:val="24"/>
          <w:szCs w:val="24"/>
        </w:rPr>
        <w:t xml:space="preserve"> of view</w:t>
      </w:r>
      <w:r w:rsidRPr="00CE55E6">
        <w:rPr>
          <w:rFonts w:ascii="Arial" w:hAnsi="Arial" w:cs="Arial"/>
          <w:sz w:val="24"/>
          <w:szCs w:val="24"/>
        </w:rPr>
        <w:t xml:space="preserve"> followed by </w:t>
      </w:r>
      <w:r w:rsidR="002906B1" w:rsidRPr="00CE55E6">
        <w:rPr>
          <w:rFonts w:ascii="Arial" w:hAnsi="Arial" w:cs="Arial"/>
          <w:sz w:val="24"/>
          <w:szCs w:val="24"/>
        </w:rPr>
        <w:t xml:space="preserve">analysis of </w:t>
      </w:r>
      <w:r w:rsidRPr="00CE55E6">
        <w:rPr>
          <w:rFonts w:ascii="Arial" w:hAnsi="Arial" w:cs="Arial"/>
          <w:sz w:val="24"/>
          <w:szCs w:val="24"/>
        </w:rPr>
        <w:t xml:space="preserve">both historical context and personal judgement. This style of </w:t>
      </w:r>
      <w:r w:rsidR="002906B1" w:rsidRPr="00CE55E6">
        <w:rPr>
          <w:rFonts w:ascii="Arial" w:hAnsi="Arial" w:cs="Arial"/>
          <w:sz w:val="24"/>
          <w:szCs w:val="24"/>
        </w:rPr>
        <w:t xml:space="preserve">writing </w:t>
      </w:r>
      <w:r w:rsidRPr="00CE55E6">
        <w:rPr>
          <w:rFonts w:ascii="Arial" w:hAnsi="Arial" w:cs="Arial"/>
          <w:sz w:val="24"/>
          <w:szCs w:val="24"/>
        </w:rPr>
        <w:t>allows for more detailed coverage of th</w:t>
      </w:r>
      <w:r w:rsidR="002906B1" w:rsidRPr="00CE55E6">
        <w:rPr>
          <w:rFonts w:ascii="Arial" w:hAnsi="Arial" w:cs="Arial"/>
          <w:sz w:val="24"/>
          <w:szCs w:val="24"/>
        </w:rPr>
        <w:t>e</w:t>
      </w:r>
      <w:r w:rsidRPr="00CE55E6">
        <w:rPr>
          <w:rFonts w:ascii="Arial" w:hAnsi="Arial" w:cs="Arial"/>
          <w:sz w:val="24"/>
          <w:szCs w:val="24"/>
        </w:rPr>
        <w:t xml:space="preserve"> topic</w:t>
      </w:r>
      <w:r w:rsidR="002906B1" w:rsidRPr="00CE55E6">
        <w:rPr>
          <w:rFonts w:ascii="Arial" w:hAnsi="Arial" w:cs="Arial"/>
          <w:sz w:val="24"/>
          <w:szCs w:val="24"/>
        </w:rPr>
        <w:t xml:space="preserve">, </w:t>
      </w:r>
      <w:r w:rsidRPr="00CE55E6">
        <w:rPr>
          <w:rFonts w:ascii="Arial" w:hAnsi="Arial" w:cs="Arial"/>
          <w:sz w:val="24"/>
          <w:szCs w:val="24"/>
        </w:rPr>
        <w:t>with readers being able to understand Gilroy’s personal feeling</w:t>
      </w:r>
      <w:r w:rsidR="002906B1" w:rsidRPr="00CE55E6">
        <w:rPr>
          <w:rFonts w:ascii="Arial" w:hAnsi="Arial" w:cs="Arial"/>
          <w:sz w:val="24"/>
          <w:szCs w:val="24"/>
        </w:rPr>
        <w:t>s</w:t>
      </w:r>
      <w:r w:rsidRPr="00CE55E6">
        <w:rPr>
          <w:rFonts w:ascii="Arial" w:hAnsi="Arial" w:cs="Arial"/>
          <w:sz w:val="24"/>
          <w:szCs w:val="24"/>
        </w:rPr>
        <w:t xml:space="preserve"> on this subject</w:t>
      </w:r>
      <w:r w:rsidR="002906B1" w:rsidRPr="00CE55E6">
        <w:rPr>
          <w:rFonts w:ascii="Arial" w:hAnsi="Arial" w:cs="Arial"/>
          <w:sz w:val="24"/>
          <w:szCs w:val="24"/>
        </w:rPr>
        <w:t>. A</w:t>
      </w:r>
      <w:r w:rsidRPr="00CE55E6">
        <w:rPr>
          <w:rFonts w:ascii="Arial" w:hAnsi="Arial" w:cs="Arial"/>
          <w:sz w:val="24"/>
          <w:szCs w:val="24"/>
        </w:rPr>
        <w:t>lthough</w:t>
      </w:r>
      <w:r w:rsidR="002906B1" w:rsidRPr="00CE55E6">
        <w:rPr>
          <w:rFonts w:ascii="Arial" w:hAnsi="Arial" w:cs="Arial"/>
          <w:sz w:val="24"/>
          <w:szCs w:val="24"/>
        </w:rPr>
        <w:t xml:space="preserve"> the </w:t>
      </w:r>
      <w:r w:rsidR="00A8202C" w:rsidRPr="00CE55E6">
        <w:rPr>
          <w:rFonts w:ascii="Arial" w:hAnsi="Arial" w:cs="Arial"/>
          <w:sz w:val="24"/>
          <w:szCs w:val="24"/>
        </w:rPr>
        <w:t>cues are often</w:t>
      </w:r>
      <w:r w:rsidRPr="00CE55E6">
        <w:rPr>
          <w:rFonts w:ascii="Arial" w:hAnsi="Arial" w:cs="Arial"/>
          <w:sz w:val="24"/>
          <w:szCs w:val="24"/>
        </w:rPr>
        <w:t xml:space="preserve"> subtle, reading through his analysis</w:t>
      </w:r>
      <w:r w:rsidR="00A8202C" w:rsidRPr="00CE55E6">
        <w:rPr>
          <w:rFonts w:ascii="Arial" w:hAnsi="Arial" w:cs="Arial"/>
          <w:sz w:val="24"/>
          <w:szCs w:val="24"/>
        </w:rPr>
        <w:t xml:space="preserve">, Gilroy’s </w:t>
      </w:r>
      <w:r w:rsidRPr="00CE55E6">
        <w:rPr>
          <w:rFonts w:ascii="Arial" w:hAnsi="Arial" w:cs="Arial"/>
          <w:sz w:val="24"/>
          <w:szCs w:val="24"/>
        </w:rPr>
        <w:t>passion to explore this subject is evident</w:t>
      </w:r>
      <w:r w:rsidR="00A8202C" w:rsidRPr="00CE55E6">
        <w:rPr>
          <w:rFonts w:ascii="Arial" w:hAnsi="Arial" w:cs="Arial"/>
          <w:sz w:val="24"/>
          <w:szCs w:val="24"/>
        </w:rPr>
        <w:t xml:space="preserve">   </w:t>
      </w:r>
      <w:r w:rsidRPr="00CE55E6">
        <w:rPr>
          <w:rFonts w:ascii="Arial" w:hAnsi="Arial" w:cs="Arial"/>
          <w:sz w:val="24"/>
          <w:szCs w:val="24"/>
        </w:rPr>
        <w:t xml:space="preserve">and as he takes pleasure in </w:t>
      </w:r>
      <w:r w:rsidR="00A8202C" w:rsidRPr="00CE55E6">
        <w:rPr>
          <w:rFonts w:ascii="Arial" w:hAnsi="Arial" w:cs="Arial"/>
          <w:sz w:val="24"/>
          <w:szCs w:val="24"/>
        </w:rPr>
        <w:t>the</w:t>
      </w:r>
      <w:r w:rsidRPr="00CE55E6">
        <w:rPr>
          <w:rFonts w:ascii="Arial" w:hAnsi="Arial" w:cs="Arial"/>
          <w:sz w:val="24"/>
          <w:szCs w:val="24"/>
        </w:rPr>
        <w:t xml:space="preserve"> analysis. </w:t>
      </w:r>
    </w:p>
    <w:p w14:paraId="1E046914" w14:textId="7F810EF6" w:rsidR="00100683" w:rsidRPr="00CE55E6" w:rsidRDefault="00100683" w:rsidP="00100683">
      <w:pPr>
        <w:jc w:val="both"/>
        <w:rPr>
          <w:rFonts w:ascii="Arial" w:hAnsi="Arial" w:cs="Arial"/>
          <w:sz w:val="24"/>
          <w:szCs w:val="24"/>
        </w:rPr>
      </w:pPr>
      <w:r w:rsidRPr="00CE55E6">
        <w:rPr>
          <w:rFonts w:ascii="Arial" w:hAnsi="Arial" w:cs="Arial"/>
          <w:sz w:val="24"/>
          <w:szCs w:val="24"/>
        </w:rPr>
        <w:lastRenderedPageBreak/>
        <w:t xml:space="preserve">The significance of this text is that </w:t>
      </w:r>
      <w:r w:rsidR="00B27EAC" w:rsidRPr="00CE55E6">
        <w:rPr>
          <w:rFonts w:ascii="Arial" w:hAnsi="Arial" w:cs="Arial"/>
          <w:sz w:val="24"/>
          <w:szCs w:val="24"/>
        </w:rPr>
        <w:t xml:space="preserve">Paul </w:t>
      </w:r>
      <w:r w:rsidRPr="00CE55E6">
        <w:rPr>
          <w:rFonts w:ascii="Arial" w:hAnsi="Arial" w:cs="Arial"/>
          <w:sz w:val="24"/>
          <w:szCs w:val="24"/>
        </w:rPr>
        <w:t>Gilroy is examining his revolutionary new concept of the “Black Atlantic”</w:t>
      </w:r>
      <w:r w:rsidR="00B27EAC" w:rsidRPr="00CE55E6">
        <w:rPr>
          <w:rFonts w:ascii="Arial" w:hAnsi="Arial" w:cs="Arial"/>
          <w:sz w:val="24"/>
          <w:szCs w:val="24"/>
        </w:rPr>
        <w:t>. He is trying to identify and consolidate</w:t>
      </w:r>
      <w:r w:rsidRPr="00CE55E6">
        <w:rPr>
          <w:rFonts w:ascii="Arial" w:hAnsi="Arial" w:cs="Arial"/>
          <w:sz w:val="24"/>
          <w:szCs w:val="24"/>
        </w:rPr>
        <w:t xml:space="preserve"> a</w:t>
      </w:r>
      <w:r w:rsidR="00B27EAC" w:rsidRPr="00CE55E6">
        <w:rPr>
          <w:rFonts w:ascii="Arial" w:hAnsi="Arial" w:cs="Arial"/>
          <w:sz w:val="24"/>
          <w:szCs w:val="24"/>
        </w:rPr>
        <w:t>ny</w:t>
      </w:r>
      <w:r w:rsidRPr="00CE55E6">
        <w:rPr>
          <w:rFonts w:ascii="Arial" w:hAnsi="Arial" w:cs="Arial"/>
          <w:sz w:val="24"/>
          <w:szCs w:val="24"/>
        </w:rPr>
        <w:t xml:space="preserve"> connection</w:t>
      </w:r>
      <w:r w:rsidR="00B27EAC" w:rsidRPr="00CE55E6">
        <w:rPr>
          <w:rFonts w:ascii="Arial" w:hAnsi="Arial" w:cs="Arial"/>
          <w:sz w:val="24"/>
          <w:szCs w:val="24"/>
        </w:rPr>
        <w:t>s</w:t>
      </w:r>
      <w:r w:rsidR="003D688C" w:rsidRPr="00CE55E6">
        <w:rPr>
          <w:rFonts w:ascii="Arial" w:hAnsi="Arial" w:cs="Arial"/>
          <w:sz w:val="24"/>
          <w:szCs w:val="24"/>
        </w:rPr>
        <w:t xml:space="preserve"> </w:t>
      </w:r>
      <w:r w:rsidR="00B27EAC" w:rsidRPr="00CE55E6">
        <w:rPr>
          <w:rFonts w:ascii="Arial" w:hAnsi="Arial" w:cs="Arial"/>
          <w:sz w:val="24"/>
          <w:szCs w:val="24"/>
        </w:rPr>
        <w:t xml:space="preserve"> </w:t>
      </w:r>
      <w:r w:rsidRPr="00CE55E6">
        <w:rPr>
          <w:rFonts w:ascii="Arial" w:hAnsi="Arial" w:cs="Arial"/>
          <w:sz w:val="24"/>
          <w:szCs w:val="24"/>
        </w:rPr>
        <w:t xml:space="preserve"> established via the slave trade to Europe, Africa and America that survives even today. The concept additionally allows both historians and the general public to approach the subject of slavery and its’ impact on the world today, from a different and more intellectually interesting path. </w:t>
      </w:r>
    </w:p>
    <w:p w14:paraId="380A77FB" w14:textId="34D09F00" w:rsidR="00D06B5D" w:rsidRPr="00CE55E6" w:rsidRDefault="003D688C" w:rsidP="008B2FE4">
      <w:pPr>
        <w:jc w:val="both"/>
        <w:rPr>
          <w:rFonts w:ascii="Arial" w:hAnsi="Arial" w:cs="Arial"/>
          <w:sz w:val="24"/>
          <w:szCs w:val="24"/>
        </w:rPr>
      </w:pPr>
      <w:r w:rsidRPr="00CE55E6">
        <w:rPr>
          <w:rFonts w:ascii="Arial" w:hAnsi="Arial" w:cs="Arial"/>
          <w:sz w:val="24"/>
          <w:szCs w:val="24"/>
        </w:rPr>
        <w:t xml:space="preserve">Contained with the central part of chapter one, Gilroy clearly lays out his concepts on the importance of ships as they relate to the “Black Atlantic”.  </w:t>
      </w:r>
      <w:r w:rsidR="00D06B5D" w:rsidRPr="00CE55E6">
        <w:rPr>
          <w:rFonts w:ascii="Arial" w:hAnsi="Arial" w:cs="Arial"/>
          <w:sz w:val="24"/>
          <w:szCs w:val="24"/>
        </w:rPr>
        <w:t>He states that ships allow for a more focused examination of this time, and highlights several areas key to this topic, such as “the various projects for redemptive return to an African homeland, on the circulation of ideas and activists as well as the movement of key cultural and political artefacts”.</w:t>
      </w:r>
    </w:p>
    <w:p w14:paraId="7AF197D8" w14:textId="77777777" w:rsidR="000F7D4C" w:rsidRPr="00CE55E6" w:rsidRDefault="00D06B5D" w:rsidP="008B2FE4">
      <w:pPr>
        <w:jc w:val="both"/>
        <w:rPr>
          <w:rFonts w:ascii="Arial" w:hAnsi="Arial" w:cs="Arial"/>
          <w:sz w:val="24"/>
          <w:szCs w:val="24"/>
        </w:rPr>
      </w:pPr>
      <w:r w:rsidRPr="00CE55E6">
        <w:rPr>
          <w:rFonts w:ascii="Arial" w:hAnsi="Arial" w:cs="Arial"/>
          <w:sz w:val="24"/>
          <w:szCs w:val="24"/>
        </w:rPr>
        <w:t xml:space="preserve">The idea of the correlation of influential Black figures and the sea is evident because of the way that Gilroy takes special care to analyse the lives of Robert Wedderburn and William Davidson. </w:t>
      </w:r>
      <w:r w:rsidR="00417A89" w:rsidRPr="00CE55E6">
        <w:rPr>
          <w:rFonts w:ascii="Arial" w:hAnsi="Arial" w:cs="Arial"/>
          <w:sz w:val="24"/>
          <w:szCs w:val="24"/>
        </w:rPr>
        <w:t xml:space="preserve">Both men were black, sailors and revolutionary’s during their lifetimes. </w:t>
      </w:r>
      <w:r w:rsidR="003618CA" w:rsidRPr="00CE55E6">
        <w:rPr>
          <w:rFonts w:ascii="Arial" w:hAnsi="Arial" w:cs="Arial"/>
          <w:sz w:val="24"/>
          <w:szCs w:val="24"/>
        </w:rPr>
        <w:t xml:space="preserve">Gilroy reinforces </w:t>
      </w:r>
      <w:r w:rsidRPr="00CE55E6">
        <w:rPr>
          <w:rFonts w:ascii="Arial" w:hAnsi="Arial" w:cs="Arial"/>
          <w:sz w:val="24"/>
          <w:szCs w:val="24"/>
        </w:rPr>
        <w:t xml:space="preserve">his stance on the importance of ships as “moving to and </w:t>
      </w:r>
      <w:proofErr w:type="spellStart"/>
      <w:r w:rsidRPr="00CE55E6">
        <w:rPr>
          <w:rFonts w:ascii="Arial" w:hAnsi="Arial" w:cs="Arial"/>
          <w:sz w:val="24"/>
          <w:szCs w:val="24"/>
        </w:rPr>
        <w:t>fro</w:t>
      </w:r>
      <w:proofErr w:type="spellEnd"/>
      <w:r w:rsidRPr="00CE55E6">
        <w:rPr>
          <w:rFonts w:ascii="Arial" w:hAnsi="Arial" w:cs="Arial"/>
          <w:sz w:val="24"/>
          <w:szCs w:val="24"/>
        </w:rPr>
        <w:t xml:space="preserve"> between nations, crossing borders in modern machines that were themselves micro-systems of linguistic and political hybridity”</w:t>
      </w:r>
      <w:r w:rsidR="003618CA" w:rsidRPr="00CE55E6">
        <w:rPr>
          <w:rFonts w:ascii="Arial" w:hAnsi="Arial" w:cs="Arial"/>
          <w:sz w:val="24"/>
          <w:szCs w:val="24"/>
        </w:rPr>
        <w:t xml:space="preserve">. </w:t>
      </w:r>
    </w:p>
    <w:p w14:paraId="37A62051" w14:textId="20DB2F45" w:rsidR="007B18A1" w:rsidRDefault="000F7D4C" w:rsidP="008B2FE4">
      <w:pPr>
        <w:jc w:val="both"/>
        <w:rPr>
          <w:rFonts w:ascii="Arial" w:hAnsi="Arial" w:cs="Arial"/>
          <w:sz w:val="24"/>
          <w:szCs w:val="24"/>
        </w:rPr>
      </w:pPr>
      <w:r w:rsidRPr="00CE55E6">
        <w:rPr>
          <w:rFonts w:ascii="Arial" w:hAnsi="Arial" w:cs="Arial"/>
          <w:sz w:val="24"/>
          <w:szCs w:val="24"/>
        </w:rPr>
        <w:t xml:space="preserve">Paul Gilroy </w:t>
      </w:r>
      <w:r w:rsidR="00105C2C" w:rsidRPr="00CE55E6">
        <w:rPr>
          <w:rFonts w:ascii="Arial" w:hAnsi="Arial" w:cs="Arial"/>
          <w:sz w:val="24"/>
          <w:szCs w:val="24"/>
        </w:rPr>
        <w:t xml:space="preserve">agrees with </w:t>
      </w:r>
      <w:r w:rsidR="000729F9" w:rsidRPr="00CE55E6">
        <w:rPr>
          <w:rFonts w:ascii="Arial" w:hAnsi="Arial" w:cs="Arial"/>
          <w:sz w:val="24"/>
          <w:szCs w:val="24"/>
        </w:rPr>
        <w:t xml:space="preserve">American, Marxist </w:t>
      </w:r>
      <w:r w:rsidR="00105C2C" w:rsidRPr="00CE55E6">
        <w:rPr>
          <w:rFonts w:ascii="Arial" w:hAnsi="Arial" w:cs="Arial"/>
          <w:sz w:val="24"/>
          <w:szCs w:val="24"/>
        </w:rPr>
        <w:t xml:space="preserve">historian </w:t>
      </w:r>
      <w:r w:rsidR="00105C2C">
        <w:rPr>
          <w:rFonts w:ascii="Arial" w:hAnsi="Arial" w:cs="Arial"/>
          <w:sz w:val="24"/>
          <w:szCs w:val="24"/>
        </w:rPr>
        <w:t xml:space="preserve">Peter Linebaugh’s </w:t>
      </w:r>
      <w:r w:rsidRPr="000F7D4C">
        <w:rPr>
          <w:rFonts w:ascii="Arial" w:hAnsi="Arial" w:cs="Arial"/>
          <w:sz w:val="24"/>
          <w:szCs w:val="24"/>
        </w:rPr>
        <w:t>suggests that</w:t>
      </w:r>
      <w:r w:rsidR="000729F9">
        <w:rPr>
          <w:rFonts w:ascii="Arial" w:hAnsi="Arial" w:cs="Arial"/>
          <w:sz w:val="24"/>
          <w:szCs w:val="24"/>
        </w:rPr>
        <w:t xml:space="preserve"> the </w:t>
      </w:r>
      <w:r w:rsidRPr="00B162C3">
        <w:rPr>
          <w:rFonts w:ascii="Arial" w:hAnsi="Arial" w:cs="Arial"/>
          <w:sz w:val="24"/>
          <w:szCs w:val="24"/>
        </w:rPr>
        <w:t>communication between</w:t>
      </w:r>
      <w:r>
        <w:rPr>
          <w:rFonts w:ascii="Arial" w:hAnsi="Arial" w:cs="Arial"/>
          <w:sz w:val="24"/>
          <w:szCs w:val="24"/>
        </w:rPr>
        <w:t xml:space="preserve"> the </w:t>
      </w:r>
      <w:r w:rsidRPr="00B162C3">
        <w:rPr>
          <w:rFonts w:ascii="Arial" w:hAnsi="Arial" w:cs="Arial"/>
          <w:sz w:val="24"/>
          <w:szCs w:val="24"/>
        </w:rPr>
        <w:t>Black and White</w:t>
      </w:r>
      <w:r>
        <w:rPr>
          <w:rFonts w:ascii="Arial" w:hAnsi="Arial" w:cs="Arial"/>
          <w:sz w:val="24"/>
          <w:szCs w:val="24"/>
        </w:rPr>
        <w:t xml:space="preserve"> peoples</w:t>
      </w:r>
      <w:r w:rsidRPr="00B162C3">
        <w:rPr>
          <w:rFonts w:ascii="Arial" w:hAnsi="Arial" w:cs="Arial"/>
          <w:sz w:val="24"/>
          <w:szCs w:val="24"/>
        </w:rPr>
        <w:t xml:space="preserve"> of the Americas, European and African </w:t>
      </w:r>
      <w:r w:rsidR="007B18A1">
        <w:rPr>
          <w:rFonts w:ascii="Arial" w:hAnsi="Arial" w:cs="Arial"/>
          <w:sz w:val="24"/>
          <w:szCs w:val="24"/>
        </w:rPr>
        <w:t>Continents, that</w:t>
      </w:r>
      <w:r w:rsidRPr="00B162C3">
        <w:rPr>
          <w:rFonts w:ascii="Arial" w:hAnsi="Arial" w:cs="Arial"/>
          <w:sz w:val="24"/>
          <w:szCs w:val="24"/>
        </w:rPr>
        <w:t xml:space="preserve"> took place on these ships during the longer voyages across the Atlantic was a significant cultural and social exchange</w:t>
      </w:r>
      <w:r w:rsidR="007B18A1">
        <w:rPr>
          <w:rFonts w:ascii="Arial" w:hAnsi="Arial" w:cs="Arial"/>
          <w:sz w:val="24"/>
          <w:szCs w:val="24"/>
        </w:rPr>
        <w:t xml:space="preserve">. </w:t>
      </w:r>
    </w:p>
    <w:p w14:paraId="42709BF1" w14:textId="0D25445D" w:rsidR="00D06B5D" w:rsidRDefault="000729F9" w:rsidP="008B2FE4">
      <w:pPr>
        <w:jc w:val="both"/>
        <w:rPr>
          <w:rFonts w:ascii="Arial" w:hAnsi="Arial" w:cs="Arial"/>
          <w:sz w:val="24"/>
          <w:szCs w:val="24"/>
        </w:rPr>
      </w:pPr>
      <w:r>
        <w:rPr>
          <w:rFonts w:ascii="Arial" w:hAnsi="Arial" w:cs="Arial"/>
          <w:sz w:val="24"/>
          <w:szCs w:val="24"/>
        </w:rPr>
        <w:t>Although Gilroy discusses the use of ships with</w:t>
      </w:r>
      <w:r w:rsidR="00BB2E92">
        <w:rPr>
          <w:rFonts w:ascii="Arial" w:hAnsi="Arial" w:cs="Arial"/>
          <w:sz w:val="24"/>
          <w:szCs w:val="24"/>
        </w:rPr>
        <w:t>in</w:t>
      </w:r>
      <w:r>
        <w:rPr>
          <w:rFonts w:ascii="Arial" w:hAnsi="Arial" w:cs="Arial"/>
          <w:sz w:val="24"/>
          <w:szCs w:val="24"/>
        </w:rPr>
        <w:t xml:space="preserve"> this chapter, he doesn’t explain whether he is talking metaphorically or figuratively about them. The fact is that both is possible. The slave ship </w:t>
      </w:r>
      <w:r w:rsidR="00DB1B13">
        <w:rPr>
          <w:rFonts w:ascii="Arial" w:hAnsi="Arial" w:cs="Arial"/>
          <w:sz w:val="24"/>
          <w:szCs w:val="24"/>
        </w:rPr>
        <w:t>can be viewed a</w:t>
      </w:r>
      <w:r>
        <w:rPr>
          <w:rFonts w:ascii="Arial" w:hAnsi="Arial" w:cs="Arial"/>
          <w:sz w:val="24"/>
          <w:szCs w:val="24"/>
        </w:rPr>
        <w:t xml:space="preserve">s both a representation of </w:t>
      </w:r>
      <w:r w:rsidR="00BB2E92">
        <w:rPr>
          <w:rFonts w:ascii="Arial" w:hAnsi="Arial" w:cs="Arial"/>
          <w:sz w:val="24"/>
          <w:szCs w:val="24"/>
        </w:rPr>
        <w:t xml:space="preserve">the </w:t>
      </w:r>
      <w:r>
        <w:rPr>
          <w:rFonts w:ascii="Arial" w:hAnsi="Arial" w:cs="Arial"/>
          <w:sz w:val="24"/>
          <w:szCs w:val="24"/>
        </w:rPr>
        <w:t>unwilling</w:t>
      </w:r>
      <w:r w:rsidR="00BB2E92">
        <w:rPr>
          <w:rFonts w:ascii="Arial" w:hAnsi="Arial" w:cs="Arial"/>
          <w:sz w:val="24"/>
          <w:szCs w:val="24"/>
        </w:rPr>
        <w:t xml:space="preserve"> movement of</w:t>
      </w:r>
      <w:r>
        <w:rPr>
          <w:rFonts w:ascii="Arial" w:hAnsi="Arial" w:cs="Arial"/>
          <w:sz w:val="24"/>
          <w:szCs w:val="24"/>
        </w:rPr>
        <w:t xml:space="preserve"> black cultur</w:t>
      </w:r>
      <w:r w:rsidR="00BB2E92">
        <w:rPr>
          <w:rFonts w:ascii="Arial" w:hAnsi="Arial" w:cs="Arial"/>
          <w:sz w:val="24"/>
          <w:szCs w:val="24"/>
        </w:rPr>
        <w:t>e a</w:t>
      </w:r>
      <w:r>
        <w:rPr>
          <w:rFonts w:ascii="Arial" w:hAnsi="Arial" w:cs="Arial"/>
          <w:sz w:val="24"/>
          <w:szCs w:val="24"/>
        </w:rPr>
        <w:t>nd the actual movement of an unwilling cargo.</w:t>
      </w:r>
    </w:p>
    <w:p w14:paraId="1C9F7DC7" w14:textId="341312A1" w:rsidR="00B162C3" w:rsidRPr="00B162C3" w:rsidRDefault="00D432B2" w:rsidP="008B2FE4">
      <w:pPr>
        <w:jc w:val="both"/>
        <w:rPr>
          <w:rFonts w:ascii="Arial" w:hAnsi="Arial" w:cs="Arial"/>
          <w:sz w:val="24"/>
          <w:szCs w:val="24"/>
        </w:rPr>
      </w:pPr>
      <w:r>
        <w:rPr>
          <w:rFonts w:ascii="Arial" w:hAnsi="Arial" w:cs="Arial"/>
          <w:sz w:val="24"/>
          <w:szCs w:val="24"/>
        </w:rPr>
        <w:t>Overall</w:t>
      </w:r>
      <w:r w:rsidR="00DB1B13">
        <w:rPr>
          <w:rFonts w:ascii="Arial" w:hAnsi="Arial" w:cs="Arial"/>
          <w:sz w:val="24"/>
          <w:szCs w:val="24"/>
        </w:rPr>
        <w:t xml:space="preserve">, </w:t>
      </w:r>
      <w:r>
        <w:rPr>
          <w:rFonts w:ascii="Arial" w:hAnsi="Arial" w:cs="Arial"/>
          <w:sz w:val="24"/>
          <w:szCs w:val="24"/>
        </w:rPr>
        <w:t xml:space="preserve">this source </w:t>
      </w:r>
      <w:r w:rsidR="00690A55">
        <w:rPr>
          <w:rFonts w:ascii="Arial" w:hAnsi="Arial" w:cs="Arial"/>
          <w:sz w:val="24"/>
          <w:szCs w:val="24"/>
        </w:rPr>
        <w:t xml:space="preserve">provides </w:t>
      </w:r>
      <w:r w:rsidR="00EE0443">
        <w:rPr>
          <w:rFonts w:ascii="Arial" w:hAnsi="Arial" w:cs="Arial"/>
          <w:sz w:val="24"/>
          <w:szCs w:val="24"/>
        </w:rPr>
        <w:t>more avenues for the exploration of link</w:t>
      </w:r>
      <w:r w:rsidR="00490054">
        <w:rPr>
          <w:rFonts w:ascii="Arial" w:hAnsi="Arial" w:cs="Arial"/>
          <w:sz w:val="24"/>
          <w:szCs w:val="24"/>
        </w:rPr>
        <w:t>s</w:t>
      </w:r>
      <w:r w:rsidR="00EE0443">
        <w:rPr>
          <w:rFonts w:ascii="Arial" w:hAnsi="Arial" w:cs="Arial"/>
          <w:sz w:val="24"/>
          <w:szCs w:val="24"/>
        </w:rPr>
        <w:t xml:space="preserve"> between slavery and Black culture and our society today</w:t>
      </w:r>
      <w:r w:rsidR="00DB1B13">
        <w:rPr>
          <w:rFonts w:ascii="Arial" w:hAnsi="Arial" w:cs="Arial"/>
          <w:sz w:val="24"/>
          <w:szCs w:val="24"/>
        </w:rPr>
        <w:t>. It offers a</w:t>
      </w:r>
      <w:r w:rsidR="00EE0443">
        <w:rPr>
          <w:rFonts w:ascii="Arial" w:hAnsi="Arial" w:cs="Arial"/>
          <w:sz w:val="24"/>
          <w:szCs w:val="24"/>
        </w:rPr>
        <w:t xml:space="preserve"> detailed and diverse analysis of sources covering these periods and topic</w:t>
      </w:r>
      <w:r w:rsidR="00DB1B13">
        <w:rPr>
          <w:rFonts w:ascii="Arial" w:hAnsi="Arial" w:cs="Arial"/>
          <w:sz w:val="24"/>
          <w:szCs w:val="24"/>
        </w:rPr>
        <w:t>s</w:t>
      </w:r>
      <w:r w:rsidR="00EE0443">
        <w:rPr>
          <w:rFonts w:ascii="Arial" w:hAnsi="Arial" w:cs="Arial"/>
          <w:sz w:val="24"/>
          <w:szCs w:val="24"/>
        </w:rPr>
        <w:t>.</w:t>
      </w:r>
      <w:r w:rsidR="00DB1B13">
        <w:rPr>
          <w:rFonts w:ascii="Arial" w:hAnsi="Arial" w:cs="Arial"/>
          <w:sz w:val="24"/>
          <w:szCs w:val="24"/>
        </w:rPr>
        <w:t xml:space="preserve"> Chapter one of the book gives the reader a fantastic starting point </w:t>
      </w:r>
      <w:r w:rsidR="00490054">
        <w:rPr>
          <w:rFonts w:ascii="Arial" w:hAnsi="Arial" w:cs="Arial"/>
          <w:sz w:val="24"/>
          <w:szCs w:val="24"/>
        </w:rPr>
        <w:t>to</w:t>
      </w:r>
      <w:r w:rsidR="00DB1B13">
        <w:rPr>
          <w:rFonts w:ascii="Arial" w:hAnsi="Arial" w:cs="Arial"/>
          <w:sz w:val="24"/>
          <w:szCs w:val="24"/>
        </w:rPr>
        <w:t xml:space="preserve"> come to terms with the idea that Black</w:t>
      </w:r>
      <w:r w:rsidR="000E409E">
        <w:rPr>
          <w:rFonts w:ascii="Arial" w:hAnsi="Arial" w:cs="Arial"/>
          <w:sz w:val="24"/>
          <w:szCs w:val="24"/>
        </w:rPr>
        <w:t xml:space="preserve">, White or Ethnic </w:t>
      </w:r>
      <w:r w:rsidR="00DB1B13">
        <w:rPr>
          <w:rFonts w:ascii="Arial" w:hAnsi="Arial" w:cs="Arial"/>
          <w:sz w:val="24"/>
          <w:szCs w:val="24"/>
        </w:rPr>
        <w:t xml:space="preserve">culture is not </w:t>
      </w:r>
      <w:r w:rsidR="000E409E">
        <w:rPr>
          <w:rFonts w:ascii="Arial" w:hAnsi="Arial" w:cs="Arial"/>
          <w:sz w:val="24"/>
          <w:szCs w:val="24"/>
        </w:rPr>
        <w:t xml:space="preserve">a </w:t>
      </w:r>
      <w:r w:rsidR="00DB1B13">
        <w:rPr>
          <w:rFonts w:ascii="Arial" w:hAnsi="Arial" w:cs="Arial"/>
          <w:sz w:val="24"/>
          <w:szCs w:val="24"/>
        </w:rPr>
        <w:t>s</w:t>
      </w:r>
      <w:r w:rsidR="000E409E">
        <w:rPr>
          <w:rFonts w:ascii="Arial" w:hAnsi="Arial" w:cs="Arial"/>
          <w:sz w:val="24"/>
          <w:szCs w:val="24"/>
        </w:rPr>
        <w:t xml:space="preserve">ingular </w:t>
      </w:r>
      <w:r w:rsidR="00490054">
        <w:rPr>
          <w:rFonts w:ascii="Arial" w:hAnsi="Arial" w:cs="Arial"/>
          <w:sz w:val="24"/>
          <w:szCs w:val="24"/>
        </w:rPr>
        <w:t>c</w:t>
      </w:r>
      <w:r w:rsidR="000E409E">
        <w:rPr>
          <w:rFonts w:ascii="Arial" w:hAnsi="Arial" w:cs="Arial"/>
          <w:sz w:val="24"/>
          <w:szCs w:val="24"/>
        </w:rPr>
        <w:t xml:space="preserve">ulture, but we are all part of a multiracial, multicultural cornucopia of all nationalities. We are all one humanity, not defined by our ethnic colours. </w:t>
      </w:r>
      <w:r w:rsidR="00EE0443">
        <w:rPr>
          <w:rFonts w:ascii="Arial" w:hAnsi="Arial" w:cs="Arial"/>
          <w:sz w:val="24"/>
          <w:szCs w:val="24"/>
        </w:rPr>
        <w:t xml:space="preserve">  </w:t>
      </w:r>
    </w:p>
    <w:p w14:paraId="2CE825F7" w14:textId="77777777" w:rsidR="007400FC" w:rsidRDefault="007400FC" w:rsidP="004E1EF7">
      <w:pPr>
        <w:pStyle w:val="NoSpacing"/>
        <w:rPr>
          <w:rFonts w:ascii="Arial" w:hAnsi="Arial" w:cs="Arial"/>
          <w:b/>
          <w:bCs/>
          <w:sz w:val="24"/>
          <w:szCs w:val="24"/>
          <w:u w:val="single"/>
        </w:rPr>
      </w:pPr>
    </w:p>
    <w:p w14:paraId="241FA327" w14:textId="77777777" w:rsidR="007400FC" w:rsidRDefault="007400FC" w:rsidP="007400FC">
      <w:pPr>
        <w:pStyle w:val="NoSpacing"/>
        <w:jc w:val="center"/>
        <w:rPr>
          <w:rFonts w:ascii="Arial" w:hAnsi="Arial" w:cs="Arial"/>
          <w:b/>
          <w:bCs/>
          <w:sz w:val="24"/>
          <w:szCs w:val="24"/>
          <w:u w:val="single"/>
        </w:rPr>
      </w:pPr>
    </w:p>
    <w:p w14:paraId="56397471" w14:textId="6CC2D0CE" w:rsidR="00E044CF" w:rsidRDefault="007400FC" w:rsidP="007400FC">
      <w:pPr>
        <w:pStyle w:val="NoSpacing"/>
        <w:jc w:val="center"/>
        <w:rPr>
          <w:rFonts w:ascii="Arial" w:hAnsi="Arial" w:cs="Arial"/>
          <w:b/>
          <w:bCs/>
          <w:u w:val="single"/>
        </w:rPr>
      </w:pPr>
      <w:r w:rsidRPr="007400FC">
        <w:rPr>
          <w:rFonts w:ascii="Arial" w:hAnsi="Arial" w:cs="Arial"/>
          <w:b/>
          <w:bCs/>
          <w:sz w:val="24"/>
          <w:szCs w:val="24"/>
          <w:u w:val="single"/>
        </w:rPr>
        <w:t>Reference</w:t>
      </w:r>
      <w:r w:rsidRPr="007400FC">
        <w:rPr>
          <w:rFonts w:ascii="Arial" w:hAnsi="Arial" w:cs="Arial"/>
          <w:b/>
          <w:bCs/>
          <w:u w:val="single"/>
        </w:rPr>
        <w:t xml:space="preserve"> </w:t>
      </w:r>
    </w:p>
    <w:p w14:paraId="08D14D2D" w14:textId="27C1ABF0" w:rsidR="007400FC" w:rsidRPr="007400FC" w:rsidRDefault="007400FC" w:rsidP="007400FC">
      <w:pPr>
        <w:pStyle w:val="NoSpacing"/>
        <w:jc w:val="both"/>
        <w:rPr>
          <w:rFonts w:ascii="Arial" w:hAnsi="Arial" w:cs="Arial"/>
        </w:rPr>
      </w:pPr>
      <w:r w:rsidRPr="007400FC">
        <w:rPr>
          <w:rFonts w:ascii="Arial" w:hAnsi="Arial" w:cs="Arial"/>
        </w:rPr>
        <w:t>Paul Gilroy,</w:t>
      </w:r>
      <w:r>
        <w:rPr>
          <w:rFonts w:ascii="Arial" w:hAnsi="Arial" w:cs="Arial"/>
        </w:rPr>
        <w:t xml:space="preserve"> </w:t>
      </w:r>
      <w:r w:rsidRPr="007400FC">
        <w:rPr>
          <w:rFonts w:ascii="Arial" w:hAnsi="Arial" w:cs="Arial"/>
        </w:rPr>
        <w:t>“The Black Atlantic : Modernity and Double Consciousness”</w:t>
      </w:r>
      <w:r>
        <w:rPr>
          <w:rFonts w:ascii="Arial" w:hAnsi="Arial" w:cs="Arial"/>
        </w:rPr>
        <w:t xml:space="preserve">, </w:t>
      </w:r>
      <w:r w:rsidRPr="007400FC">
        <w:rPr>
          <w:rFonts w:ascii="Arial" w:hAnsi="Arial" w:cs="Arial"/>
        </w:rPr>
        <w:t>Harvard University Press, 1993</w:t>
      </w:r>
      <w:r>
        <w:rPr>
          <w:rFonts w:ascii="Arial" w:hAnsi="Arial" w:cs="Arial"/>
        </w:rPr>
        <w:t xml:space="preserve">, Pages </w:t>
      </w:r>
      <w:r w:rsidR="002B3EEE">
        <w:rPr>
          <w:rFonts w:ascii="Arial" w:hAnsi="Arial" w:cs="Arial"/>
        </w:rPr>
        <w:t xml:space="preserve">2,3,4,12, </w:t>
      </w:r>
      <w:r>
        <w:rPr>
          <w:rFonts w:ascii="Arial" w:hAnsi="Arial" w:cs="Arial"/>
        </w:rPr>
        <w:t>(Cited November 22</w:t>
      </w:r>
      <w:r>
        <w:rPr>
          <w:rFonts w:ascii="Arial" w:hAnsi="Arial" w:cs="Arial"/>
          <w:vertAlign w:val="superscript"/>
        </w:rPr>
        <w:t>nd</w:t>
      </w:r>
      <w:proofErr w:type="gramStart"/>
      <w:r>
        <w:rPr>
          <w:rFonts w:ascii="Arial" w:hAnsi="Arial" w:cs="Arial"/>
        </w:rPr>
        <w:t xml:space="preserve"> 2021</w:t>
      </w:r>
      <w:proofErr w:type="gramEnd"/>
      <w:r>
        <w:rPr>
          <w:rFonts w:ascii="Arial" w:hAnsi="Arial" w:cs="Arial"/>
        </w:rPr>
        <w:t xml:space="preserve">), Available from: </w:t>
      </w:r>
    </w:p>
    <w:sectPr w:rsidR="007400FC" w:rsidRPr="007400F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E50B3" w14:textId="77777777" w:rsidR="002A1F16" w:rsidRDefault="002A1F16" w:rsidP="00200990">
      <w:pPr>
        <w:spacing w:after="0" w:line="240" w:lineRule="auto"/>
      </w:pPr>
      <w:r>
        <w:separator/>
      </w:r>
    </w:p>
  </w:endnote>
  <w:endnote w:type="continuationSeparator" w:id="0">
    <w:p w14:paraId="75903F59" w14:textId="77777777" w:rsidR="002A1F16" w:rsidRDefault="002A1F16" w:rsidP="00200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EEB9A" w14:textId="77777777" w:rsidR="00DF2863" w:rsidRDefault="00DF28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64514" w14:textId="77777777" w:rsidR="00DF2863" w:rsidRDefault="00DF28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7B3E2" w14:textId="77777777" w:rsidR="00DF2863" w:rsidRDefault="00DF2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0F1A3" w14:textId="77777777" w:rsidR="002A1F16" w:rsidRDefault="002A1F16" w:rsidP="00200990">
      <w:pPr>
        <w:spacing w:after="0" w:line="240" w:lineRule="auto"/>
      </w:pPr>
      <w:r>
        <w:separator/>
      </w:r>
    </w:p>
  </w:footnote>
  <w:footnote w:type="continuationSeparator" w:id="0">
    <w:p w14:paraId="4AAC8406" w14:textId="77777777" w:rsidR="002A1F16" w:rsidRDefault="002A1F16" w:rsidP="00200990">
      <w:pPr>
        <w:spacing w:after="0" w:line="240" w:lineRule="auto"/>
      </w:pPr>
      <w:r>
        <w:continuationSeparator/>
      </w:r>
    </w:p>
  </w:footnote>
  <w:footnote w:id="1">
    <w:p w14:paraId="127C4ADA" w14:textId="30BAE6FD" w:rsidR="002B3EEE" w:rsidRDefault="002B3EEE">
      <w:pPr>
        <w:pStyle w:val="FootnoteText"/>
      </w:pPr>
      <w:r>
        <w:rPr>
          <w:rStyle w:val="FootnoteReference"/>
        </w:rPr>
        <w:footnoteRef/>
      </w:r>
      <w:r>
        <w:t xml:space="preserve"> </w:t>
      </w:r>
      <w:r w:rsidRPr="002B3EEE">
        <w:t>Paul Gilroy, “The Black Atlantic : Modernity and Double Consciousness”, Harvard University Press, 1993, Pages 2,3,4,12, (Cited November 22nd</w:t>
      </w:r>
      <w:proofErr w:type="gramStart"/>
      <w:r w:rsidRPr="002B3EEE">
        <w:t xml:space="preserve"> 2021</w:t>
      </w:r>
      <w:proofErr w:type="gramEnd"/>
      <w:r w:rsidRPr="002B3EEE">
        <w:t>), Available from: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7F722" w14:textId="77777777" w:rsidR="00DF2863" w:rsidRDefault="00DF28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45F72" w14:textId="69B2EB8A" w:rsidR="00200990" w:rsidRDefault="00200990" w:rsidP="00200990">
    <w:pPr>
      <w:pStyle w:val="Header"/>
      <w:jc w:val="center"/>
    </w:pPr>
    <w:r>
      <w:t xml:space="preserve">Kurtis Lloyd Williams (SN 1801031) </w:t>
    </w:r>
    <w:r>
      <w:tab/>
    </w:r>
    <w:r w:rsidRPr="00200990">
      <w:t>Routes and Roots of the Black Atlantic</w:t>
    </w:r>
    <w:r>
      <w:t xml:space="preserve"> Assessment 1 Gobbets</w:t>
    </w:r>
    <w:r w:rsidR="00DF2863">
      <w:t xml:space="preserve"> 1</w:t>
    </w:r>
  </w:p>
  <w:p w14:paraId="7E1CE91C" w14:textId="77777777" w:rsidR="00200990" w:rsidRDefault="002009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2B1F" w14:textId="77777777" w:rsidR="00DF2863" w:rsidRDefault="00DF28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990"/>
    <w:rsid w:val="00001ABC"/>
    <w:rsid w:val="00011D56"/>
    <w:rsid w:val="00015964"/>
    <w:rsid w:val="00052E5C"/>
    <w:rsid w:val="00061FC0"/>
    <w:rsid w:val="000729F9"/>
    <w:rsid w:val="00097AF6"/>
    <w:rsid w:val="000B481F"/>
    <w:rsid w:val="000B59BB"/>
    <w:rsid w:val="000D01D0"/>
    <w:rsid w:val="000D30EA"/>
    <w:rsid w:val="000E409E"/>
    <w:rsid w:val="000F69BF"/>
    <w:rsid w:val="000F7D4C"/>
    <w:rsid w:val="00100683"/>
    <w:rsid w:val="0010147F"/>
    <w:rsid w:val="00101E99"/>
    <w:rsid w:val="00105C2C"/>
    <w:rsid w:val="00133AAF"/>
    <w:rsid w:val="00136AEF"/>
    <w:rsid w:val="001B00C3"/>
    <w:rsid w:val="00200990"/>
    <w:rsid w:val="0022788B"/>
    <w:rsid w:val="002360F3"/>
    <w:rsid w:val="002906B1"/>
    <w:rsid w:val="002A1F16"/>
    <w:rsid w:val="002B3EEE"/>
    <w:rsid w:val="002B7F3D"/>
    <w:rsid w:val="002C4169"/>
    <w:rsid w:val="003618CA"/>
    <w:rsid w:val="00376595"/>
    <w:rsid w:val="00381039"/>
    <w:rsid w:val="0039607E"/>
    <w:rsid w:val="003D688C"/>
    <w:rsid w:val="003E752E"/>
    <w:rsid w:val="004050F2"/>
    <w:rsid w:val="00412820"/>
    <w:rsid w:val="00417A89"/>
    <w:rsid w:val="00446515"/>
    <w:rsid w:val="00490054"/>
    <w:rsid w:val="004A22E9"/>
    <w:rsid w:val="004E1EF7"/>
    <w:rsid w:val="004E3D4A"/>
    <w:rsid w:val="00502239"/>
    <w:rsid w:val="0050226A"/>
    <w:rsid w:val="00505947"/>
    <w:rsid w:val="00524C3F"/>
    <w:rsid w:val="00550E38"/>
    <w:rsid w:val="00624FC5"/>
    <w:rsid w:val="00653011"/>
    <w:rsid w:val="006561D4"/>
    <w:rsid w:val="006775FA"/>
    <w:rsid w:val="00685FA9"/>
    <w:rsid w:val="00690A55"/>
    <w:rsid w:val="006C1DDA"/>
    <w:rsid w:val="006F1A6D"/>
    <w:rsid w:val="007024F4"/>
    <w:rsid w:val="00710788"/>
    <w:rsid w:val="007123EA"/>
    <w:rsid w:val="007400FC"/>
    <w:rsid w:val="007A7962"/>
    <w:rsid w:val="007B076F"/>
    <w:rsid w:val="007B18A1"/>
    <w:rsid w:val="007B540B"/>
    <w:rsid w:val="007D4EA3"/>
    <w:rsid w:val="008333CB"/>
    <w:rsid w:val="00855C89"/>
    <w:rsid w:val="008579BE"/>
    <w:rsid w:val="00882590"/>
    <w:rsid w:val="008859CC"/>
    <w:rsid w:val="008A5E1A"/>
    <w:rsid w:val="008B2FE4"/>
    <w:rsid w:val="008C2392"/>
    <w:rsid w:val="008C7735"/>
    <w:rsid w:val="008D359B"/>
    <w:rsid w:val="008E4638"/>
    <w:rsid w:val="008F74BA"/>
    <w:rsid w:val="009206FA"/>
    <w:rsid w:val="0096325D"/>
    <w:rsid w:val="00973ECD"/>
    <w:rsid w:val="009759EB"/>
    <w:rsid w:val="00985812"/>
    <w:rsid w:val="00986249"/>
    <w:rsid w:val="00997142"/>
    <w:rsid w:val="009A7A6E"/>
    <w:rsid w:val="009E3AAE"/>
    <w:rsid w:val="009F1A5C"/>
    <w:rsid w:val="00A02CC5"/>
    <w:rsid w:val="00A10FD8"/>
    <w:rsid w:val="00A446D6"/>
    <w:rsid w:val="00A61D71"/>
    <w:rsid w:val="00A8202C"/>
    <w:rsid w:val="00A9156B"/>
    <w:rsid w:val="00AB2E27"/>
    <w:rsid w:val="00AF0366"/>
    <w:rsid w:val="00B162C3"/>
    <w:rsid w:val="00B27EAC"/>
    <w:rsid w:val="00B31EF8"/>
    <w:rsid w:val="00B40574"/>
    <w:rsid w:val="00B93FAA"/>
    <w:rsid w:val="00B944AD"/>
    <w:rsid w:val="00BB025D"/>
    <w:rsid w:val="00BB0416"/>
    <w:rsid w:val="00BB2E92"/>
    <w:rsid w:val="00C020E5"/>
    <w:rsid w:val="00C159FA"/>
    <w:rsid w:val="00C36B77"/>
    <w:rsid w:val="00C519D3"/>
    <w:rsid w:val="00C54ABA"/>
    <w:rsid w:val="00C718FB"/>
    <w:rsid w:val="00C83868"/>
    <w:rsid w:val="00CA54BC"/>
    <w:rsid w:val="00CB3DDF"/>
    <w:rsid w:val="00CE47DB"/>
    <w:rsid w:val="00CE55E6"/>
    <w:rsid w:val="00CF0B4B"/>
    <w:rsid w:val="00D06B5D"/>
    <w:rsid w:val="00D26373"/>
    <w:rsid w:val="00D42979"/>
    <w:rsid w:val="00D432B2"/>
    <w:rsid w:val="00DA420A"/>
    <w:rsid w:val="00DB1B13"/>
    <w:rsid w:val="00DD7588"/>
    <w:rsid w:val="00DF2863"/>
    <w:rsid w:val="00DF2DF8"/>
    <w:rsid w:val="00E044CF"/>
    <w:rsid w:val="00E52601"/>
    <w:rsid w:val="00E60227"/>
    <w:rsid w:val="00E71673"/>
    <w:rsid w:val="00E772EA"/>
    <w:rsid w:val="00EA05E0"/>
    <w:rsid w:val="00EB3D95"/>
    <w:rsid w:val="00ED14AA"/>
    <w:rsid w:val="00EE0443"/>
    <w:rsid w:val="00EF5A08"/>
    <w:rsid w:val="00F00348"/>
    <w:rsid w:val="00F04492"/>
    <w:rsid w:val="00F26093"/>
    <w:rsid w:val="00F31A86"/>
    <w:rsid w:val="00F3620B"/>
    <w:rsid w:val="00F379E5"/>
    <w:rsid w:val="00F412C4"/>
    <w:rsid w:val="00F45333"/>
    <w:rsid w:val="00F5363C"/>
    <w:rsid w:val="00F55F4E"/>
    <w:rsid w:val="00FB0838"/>
    <w:rsid w:val="00FC43CB"/>
    <w:rsid w:val="00FF4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64EBB"/>
  <w15:chartTrackingRefBased/>
  <w15:docId w15:val="{EBAC1D54-B1DA-45E0-8CA3-CB2D58AD6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990"/>
  </w:style>
  <w:style w:type="paragraph" w:styleId="Footer">
    <w:name w:val="footer"/>
    <w:basedOn w:val="Normal"/>
    <w:link w:val="FooterChar"/>
    <w:uiPriority w:val="99"/>
    <w:unhideWhenUsed/>
    <w:rsid w:val="00200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990"/>
  </w:style>
  <w:style w:type="paragraph" w:styleId="NoSpacing">
    <w:name w:val="No Spacing"/>
    <w:uiPriority w:val="1"/>
    <w:qFormat/>
    <w:rsid w:val="00E044CF"/>
    <w:pPr>
      <w:spacing w:after="0" w:line="240" w:lineRule="auto"/>
    </w:pPr>
  </w:style>
  <w:style w:type="paragraph" w:styleId="FootnoteText">
    <w:name w:val="footnote text"/>
    <w:basedOn w:val="Normal"/>
    <w:link w:val="FootnoteTextChar"/>
    <w:uiPriority w:val="99"/>
    <w:semiHidden/>
    <w:unhideWhenUsed/>
    <w:rsid w:val="002B3E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3EEE"/>
    <w:rPr>
      <w:sz w:val="20"/>
      <w:szCs w:val="20"/>
    </w:rPr>
  </w:style>
  <w:style w:type="character" w:styleId="FootnoteReference">
    <w:name w:val="footnote reference"/>
    <w:basedOn w:val="DefaultParagraphFont"/>
    <w:uiPriority w:val="99"/>
    <w:semiHidden/>
    <w:unhideWhenUsed/>
    <w:rsid w:val="002B3E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006E3-3DFF-4793-B4C5-FAF696083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TotalTime>
  <Pages>2</Pages>
  <Words>860</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Lloyd Williams (1801031)</dc:creator>
  <cp:keywords/>
  <dc:description/>
  <cp:lastModifiedBy>Kurtis Lloyd Williams (1801031)</cp:lastModifiedBy>
  <cp:revision>90</cp:revision>
  <dcterms:created xsi:type="dcterms:W3CDTF">2021-11-22T09:59:00Z</dcterms:created>
  <dcterms:modified xsi:type="dcterms:W3CDTF">2021-11-28T10:18:00Z</dcterms:modified>
</cp:coreProperties>
</file>