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76B38F" w14:textId="59290E90" w:rsidR="001362E5" w:rsidRDefault="00E13A98" w:rsidP="00E13A98">
      <w:pPr>
        <w:pStyle w:val="ListParagraph"/>
        <w:spacing w:line="360" w:lineRule="auto"/>
        <w:jc w:val="center"/>
        <w:rPr>
          <w:rFonts w:ascii="Times New Roman" w:hAnsi="Times New Roman" w:cs="Times New Roman"/>
          <w:u w:val="single"/>
        </w:rPr>
      </w:pPr>
      <w:r w:rsidRPr="00E13A98">
        <w:rPr>
          <w:rFonts w:ascii="Times New Roman" w:hAnsi="Times New Roman" w:cs="Times New Roman"/>
          <w:u w:val="single"/>
        </w:rPr>
        <w:t xml:space="preserve">Assessment in Physical Education </w:t>
      </w:r>
      <w:r>
        <w:rPr>
          <w:rFonts w:ascii="Times New Roman" w:hAnsi="Times New Roman" w:cs="Times New Roman"/>
          <w:u w:val="single"/>
        </w:rPr>
        <w:t>–</w:t>
      </w:r>
      <w:r w:rsidRPr="00E13A98">
        <w:rPr>
          <w:rFonts w:ascii="Times New Roman" w:hAnsi="Times New Roman" w:cs="Times New Roman"/>
          <w:u w:val="single"/>
        </w:rPr>
        <w:t xml:space="preserve"> Portfolio</w:t>
      </w:r>
    </w:p>
    <w:p w14:paraId="57D082F0" w14:textId="47DA1265" w:rsidR="00E13A98" w:rsidRPr="00E13A98" w:rsidRDefault="00E13A98" w:rsidP="00E13A98">
      <w:pPr>
        <w:spacing w:line="360" w:lineRule="auto"/>
        <w:rPr>
          <w:rFonts w:ascii="Times New Roman" w:hAnsi="Times New Roman" w:cs="Times New Roman"/>
          <w:u w:val="single"/>
        </w:rPr>
      </w:pPr>
    </w:p>
    <w:p w14:paraId="0D3BC741" w14:textId="397113AD" w:rsidR="00E13A98" w:rsidRDefault="008C3A61" w:rsidP="00E13A98">
      <w:pPr>
        <w:spacing w:line="360" w:lineRule="auto"/>
        <w:rPr>
          <w:rFonts w:ascii="Times New Roman" w:hAnsi="Times New Roman" w:cs="Times New Roman"/>
        </w:rPr>
      </w:pPr>
      <w:r>
        <w:rPr>
          <w:rFonts w:ascii="Times New Roman" w:hAnsi="Times New Roman" w:cs="Times New Roman"/>
        </w:rPr>
        <w:t xml:space="preserve">This essay will look at the current state of assessment in physical education as this is a topic that has not been adapted in many years and is a large part for so many students not engaging in physical activity in school. Within the essay is a rubric that aims to assess physical literacy the concept that looks at physical competence, motivation and confidence, knowledge and understanding and engagement levels in physical activity. </w:t>
      </w:r>
      <w:r w:rsidR="003F48FE">
        <w:rPr>
          <w:rFonts w:ascii="Times New Roman" w:hAnsi="Times New Roman" w:cs="Times New Roman"/>
        </w:rPr>
        <w:t xml:space="preserve">Physical education needs a new form of assessment </w:t>
      </w:r>
      <w:r w:rsidR="00BA57F5">
        <w:rPr>
          <w:rFonts w:ascii="Times New Roman" w:hAnsi="Times New Roman" w:cs="Times New Roman"/>
        </w:rPr>
        <w:t xml:space="preserve">as it is currently still reliant on traditional physical competence field tests for example the bleep test, this rubric has been created in order to try and better engagement within physical education lessons by creating an assessment that can both monitor progress as well as be used for peer feedback.  </w:t>
      </w:r>
      <w:r w:rsidR="00E56C6A">
        <w:rPr>
          <w:rFonts w:ascii="Times New Roman" w:hAnsi="Times New Roman" w:cs="Times New Roman"/>
        </w:rPr>
        <w:t>This essay will deep dive into the current state of assessment in physical education before explaining the theory behind the rubric that has been created</w:t>
      </w:r>
      <w:r w:rsidR="00D32B17">
        <w:rPr>
          <w:rFonts w:ascii="Times New Roman" w:hAnsi="Times New Roman" w:cs="Times New Roman"/>
        </w:rPr>
        <w:t xml:space="preserve">. After explaining how the rubric works a deep dive into the positives and negatives will be conducted to improve the rubric for future use. </w:t>
      </w:r>
    </w:p>
    <w:p w14:paraId="64617666" w14:textId="77777777" w:rsidR="005A15C3" w:rsidRPr="00EB3377" w:rsidRDefault="005A15C3" w:rsidP="00E13A98">
      <w:pPr>
        <w:spacing w:line="360" w:lineRule="auto"/>
        <w:rPr>
          <w:rFonts w:ascii="Times New Roman" w:hAnsi="Times New Roman" w:cs="Times New Roman"/>
        </w:rPr>
      </w:pPr>
    </w:p>
    <w:p w14:paraId="3E6E9702" w14:textId="59D513F2" w:rsidR="0069193E" w:rsidRDefault="008274B8" w:rsidP="008274B8">
      <w:pPr>
        <w:spacing w:line="360" w:lineRule="auto"/>
        <w:rPr>
          <w:rFonts w:ascii="Times New Roman" w:hAnsi="Times New Roman" w:cs="Times New Roman"/>
        </w:rPr>
      </w:pPr>
      <w:r>
        <w:rPr>
          <w:rFonts w:ascii="Times New Roman" w:hAnsi="Times New Roman" w:cs="Times New Roman"/>
        </w:rPr>
        <w:t xml:space="preserve">Assessment in physical education has been a largely scrutinised topic of recent years as there has been less requirement for meaningful assessment and students are just getting assessed because that’s what the curriculum expects. </w:t>
      </w:r>
      <w:r w:rsidR="000075DA">
        <w:rPr>
          <w:rFonts w:ascii="Times New Roman" w:hAnsi="Times New Roman" w:cs="Times New Roman"/>
        </w:rPr>
        <w:t>This is due to the holistic nature of physical education. Assessment in physical education should look at more than just physical scores for example a bleep test but should also take into consideration the development of cognitive, social and emotional domains of learning (Liang, Liang, 2025).</w:t>
      </w:r>
      <w:r w:rsidR="00000AAF">
        <w:rPr>
          <w:rFonts w:ascii="Times New Roman" w:hAnsi="Times New Roman" w:cs="Times New Roman"/>
        </w:rPr>
        <w:t xml:space="preserve"> Their paper shares about the current one-dimensional look at assessments in physical education and describe the current assessments as “very traditional”</w:t>
      </w:r>
      <w:r w:rsidR="00233B7F">
        <w:rPr>
          <w:rFonts w:ascii="Times New Roman" w:hAnsi="Times New Roman" w:cs="Times New Roman"/>
        </w:rPr>
        <w:t xml:space="preserve"> (Kirk, 2010)</w:t>
      </w:r>
      <w:r w:rsidR="00000AAF">
        <w:rPr>
          <w:rFonts w:ascii="Times New Roman" w:hAnsi="Times New Roman" w:cs="Times New Roman"/>
        </w:rPr>
        <w:t>. Using theories for example teaching games for understanding</w:t>
      </w:r>
      <w:r w:rsidR="000075DA">
        <w:rPr>
          <w:rFonts w:ascii="Times New Roman" w:hAnsi="Times New Roman" w:cs="Times New Roman"/>
        </w:rPr>
        <w:t xml:space="preserve"> </w:t>
      </w:r>
      <w:r w:rsidR="00000AAF">
        <w:rPr>
          <w:rFonts w:ascii="Times New Roman" w:hAnsi="Times New Roman" w:cs="Times New Roman"/>
        </w:rPr>
        <w:t>(Werner, Bunker &amp; Thorpe, 1996) aims to assess and reward students or participants for understanding rules which would increase knowledge and understanding of sports, this could include similar tactical understanding between invasion games. This style of assessing participants could be more beneficial as it is more holistic and less traditional. Without including more holistic assessment methods physical education becomes much more performance based</w:t>
      </w:r>
      <w:r w:rsidR="00E04B9B">
        <w:rPr>
          <w:rFonts w:ascii="Times New Roman" w:hAnsi="Times New Roman" w:cs="Times New Roman"/>
        </w:rPr>
        <w:t xml:space="preserve"> which heavily excludes the physically weaker students which could be a large factor in lowering levels of students engaging with physical activity (Bryan, Solmon, 2012). </w:t>
      </w:r>
      <w:r w:rsidR="005961DA">
        <w:rPr>
          <w:rFonts w:ascii="Times New Roman" w:hAnsi="Times New Roman" w:cs="Times New Roman"/>
        </w:rPr>
        <w:t xml:space="preserve">A theory that could help assessments is Whitehead’s theory of physical literacy (Whitehead, 2001). Her theory includes four domains being physical competence, knowledge and understanding, motivation and confidence and physical activity levels. Applying physical literacy to an </w:t>
      </w:r>
      <w:r w:rsidR="00560853">
        <w:rPr>
          <w:rFonts w:ascii="Times New Roman" w:hAnsi="Times New Roman" w:cs="Times New Roman"/>
        </w:rPr>
        <w:t xml:space="preserve">assessment criterion will help students as physical literacy supplies reasons for </w:t>
      </w:r>
      <w:r w:rsidR="00560853">
        <w:rPr>
          <w:rFonts w:ascii="Times New Roman" w:hAnsi="Times New Roman" w:cs="Times New Roman"/>
        </w:rPr>
        <w:lastRenderedPageBreak/>
        <w:t xml:space="preserve">students to be physically active. These reasons could include the social domain where students are active because their friends are active. </w:t>
      </w:r>
      <w:r w:rsidR="000764DD">
        <w:rPr>
          <w:rFonts w:ascii="Times New Roman" w:hAnsi="Times New Roman" w:cs="Times New Roman"/>
        </w:rPr>
        <w:t>The only drawback from this theory is that it is too holistic, finding a good way to assess social can be difficult as many different students have different social queues.</w:t>
      </w:r>
      <w:r w:rsidR="007418F2">
        <w:rPr>
          <w:rFonts w:ascii="Times New Roman" w:hAnsi="Times New Roman" w:cs="Times New Roman"/>
        </w:rPr>
        <w:t xml:space="preserve"> Having looked and used measurements that assess physical literacy in the past creating an effective and efficient rubric would be vital to the success of the rubric. </w:t>
      </w:r>
      <w:r w:rsidR="000764DD">
        <w:rPr>
          <w:rFonts w:ascii="Times New Roman" w:hAnsi="Times New Roman" w:cs="Times New Roman"/>
        </w:rPr>
        <w:t xml:space="preserve"> </w:t>
      </w:r>
      <w:r w:rsidR="007418F2">
        <w:rPr>
          <w:rFonts w:ascii="Times New Roman" w:hAnsi="Times New Roman" w:cs="Times New Roman"/>
        </w:rPr>
        <w:t xml:space="preserve">Previously the Canadian Assessment for Physical Literacy referred to as CAPL.2 (Active Healthy Kids Global Alliance, </w:t>
      </w:r>
      <w:proofErr w:type="spellStart"/>
      <w:r w:rsidR="007418F2">
        <w:rPr>
          <w:rFonts w:ascii="Times New Roman" w:hAnsi="Times New Roman" w:cs="Times New Roman"/>
        </w:rPr>
        <w:t>n.d</w:t>
      </w:r>
      <w:proofErr w:type="spellEnd"/>
      <w:r w:rsidR="007418F2">
        <w:rPr>
          <w:rFonts w:ascii="Times New Roman" w:hAnsi="Times New Roman" w:cs="Times New Roman"/>
        </w:rPr>
        <w:t>). This assessment combines both physical testing with a questionnaire based around motivation and confidence, knowledge and understanding and finally physical activity levels</w:t>
      </w:r>
      <w:r w:rsidR="00E66EA2">
        <w:rPr>
          <w:rFonts w:ascii="Times New Roman" w:hAnsi="Times New Roman" w:cs="Times New Roman"/>
        </w:rPr>
        <w:t xml:space="preserve">. Although this is the most widely accepted test for physical literacy it takes a long time to get large numbers of students through and does not allow students to be active between getting assessed. The final drawback is that the CAMSA obstacle course within needs two observers. </w:t>
      </w:r>
      <w:r w:rsidR="00264341">
        <w:rPr>
          <w:rFonts w:ascii="Times New Roman" w:hAnsi="Times New Roman" w:cs="Times New Roman"/>
        </w:rPr>
        <w:t xml:space="preserve">When designing the rubric physical competency tests we’re considered for example following TGMD-2 however the most realistic form of assessing children is having a fun and natural environment rather than a typical assessment. This rubric then will run throughout traditional physical education lessons to ensure students do not feel under pressure. Research from Oliver (2023) shows that physical testing can affect motivation and self-esteem both positively and negatively however there a less negative effect to these two domains when participants we’re only getting observed in traditional physical education lessons which shows that assessment in physical education needs to be changed. </w:t>
      </w:r>
      <w:r w:rsidR="00163B73">
        <w:rPr>
          <w:rFonts w:ascii="Times New Roman" w:hAnsi="Times New Roman" w:cs="Times New Roman"/>
        </w:rPr>
        <w:t>Another form of changing the way of assessing physical education could be through encouraging lifelong physical activity</w:t>
      </w:r>
      <w:r w:rsidR="00BB47DA">
        <w:rPr>
          <w:rFonts w:ascii="Times New Roman" w:hAnsi="Times New Roman" w:cs="Times New Roman"/>
        </w:rPr>
        <w:t xml:space="preserve"> (Loggia, et al, 2023). This paper shares that the more students understand the benefits of being physically active from a social aspect and for health benefits the more likely they are to be physically active throughout the life course.</w:t>
      </w:r>
      <w:r w:rsidR="00254014">
        <w:rPr>
          <w:rFonts w:ascii="Times New Roman" w:hAnsi="Times New Roman" w:cs="Times New Roman"/>
        </w:rPr>
        <w:t xml:space="preserve"> This comes from teaching the health benefits or training principles. This can be done </w:t>
      </w:r>
      <w:r w:rsidR="00B55D38">
        <w:rPr>
          <w:rFonts w:ascii="Times New Roman" w:hAnsi="Times New Roman" w:cs="Times New Roman"/>
        </w:rPr>
        <w:t xml:space="preserve">as a summative assessment at the end of the year. </w:t>
      </w:r>
      <w:r w:rsidR="00DB3C79">
        <w:rPr>
          <w:rFonts w:ascii="Times New Roman" w:hAnsi="Times New Roman" w:cs="Times New Roman"/>
        </w:rPr>
        <w:t xml:space="preserve">Alongside </w:t>
      </w:r>
      <w:r w:rsidR="0069193E">
        <w:rPr>
          <w:rFonts w:ascii="Times New Roman" w:hAnsi="Times New Roman" w:cs="Times New Roman"/>
        </w:rPr>
        <w:t>this student</w:t>
      </w:r>
      <w:r w:rsidR="00DB3C79">
        <w:rPr>
          <w:rFonts w:ascii="Times New Roman" w:hAnsi="Times New Roman" w:cs="Times New Roman"/>
        </w:rPr>
        <w:t xml:space="preserve"> will get knowledge of how to plan and evaluate activity allowing them to make informed decisions around being physically active throughout the life course. </w:t>
      </w:r>
    </w:p>
    <w:p w14:paraId="00BA8FFE" w14:textId="45C1F6FB" w:rsidR="00E13A98" w:rsidRPr="00EB3377" w:rsidRDefault="005760C6" w:rsidP="00E13A98">
      <w:pPr>
        <w:spacing w:line="360" w:lineRule="auto"/>
        <w:rPr>
          <w:rFonts w:ascii="Times New Roman" w:hAnsi="Times New Roman" w:cs="Times New Roman"/>
        </w:rPr>
      </w:pPr>
      <w:r>
        <w:rPr>
          <w:rFonts w:ascii="Times New Roman" w:hAnsi="Times New Roman" w:cs="Times New Roman"/>
        </w:rPr>
        <w:t>The rubric that has been created for this area will focus on</w:t>
      </w:r>
      <w:r w:rsidR="0069193E">
        <w:rPr>
          <w:rFonts w:ascii="Times New Roman" w:hAnsi="Times New Roman" w:cs="Times New Roman"/>
        </w:rPr>
        <w:t xml:space="preserve"> a holistic assessment of participants within physical education settings, it has been created like this as being physically active is determined by very different stimulus for different individuals</w:t>
      </w:r>
      <w:r>
        <w:rPr>
          <w:rFonts w:ascii="Times New Roman" w:hAnsi="Times New Roman" w:cs="Times New Roman"/>
        </w:rPr>
        <w:t xml:space="preserve"> </w:t>
      </w:r>
      <w:r w:rsidR="0069193E">
        <w:rPr>
          <w:rFonts w:ascii="Times New Roman" w:hAnsi="Times New Roman" w:cs="Times New Roman"/>
        </w:rPr>
        <w:t>(</w:t>
      </w:r>
      <w:proofErr w:type="spellStart"/>
      <w:r w:rsidR="0069193E">
        <w:rPr>
          <w:rFonts w:ascii="Times New Roman" w:hAnsi="Times New Roman" w:cs="Times New Roman"/>
        </w:rPr>
        <w:t>Pessman</w:t>
      </w:r>
      <w:proofErr w:type="spellEnd"/>
      <w:r w:rsidR="0069193E">
        <w:rPr>
          <w:rFonts w:ascii="Times New Roman" w:hAnsi="Times New Roman" w:cs="Times New Roman"/>
        </w:rPr>
        <w:t xml:space="preserve">, 2022). This can mean that some students possess better intrinsic motivation and want to do well whereas another student may be more extrinsically motivated meaning the use of rewards would gain better results from that participant. This can work socially too with </w:t>
      </w:r>
      <w:r w:rsidR="0069193E">
        <w:rPr>
          <w:rFonts w:ascii="Times New Roman" w:hAnsi="Times New Roman" w:cs="Times New Roman"/>
        </w:rPr>
        <w:lastRenderedPageBreak/>
        <w:t xml:space="preserve">certain individuals working well as a group and other groups struggling due to poor communication skills. </w:t>
      </w:r>
    </w:p>
    <w:p w14:paraId="40AAF9EF" w14:textId="77777777" w:rsidR="00335D4B" w:rsidRDefault="00335D4B" w:rsidP="00E13A98">
      <w:pPr>
        <w:spacing w:line="360" w:lineRule="auto"/>
        <w:rPr>
          <w:rFonts w:ascii="Times New Roman" w:hAnsi="Times New Roman" w:cs="Times New Roman"/>
        </w:rPr>
      </w:pPr>
    </w:p>
    <w:p w14:paraId="54FDFA7F" w14:textId="5BE022FC" w:rsidR="00E13A98" w:rsidRPr="0011236B" w:rsidRDefault="0011236B" w:rsidP="00E13A98">
      <w:pPr>
        <w:spacing w:line="360" w:lineRule="auto"/>
        <w:rPr>
          <w:rFonts w:ascii="Times New Roman" w:hAnsi="Times New Roman" w:cs="Times New Roman"/>
        </w:rPr>
      </w:pPr>
      <w:r>
        <w:rPr>
          <w:rFonts w:ascii="Times New Roman" w:hAnsi="Times New Roman" w:cs="Times New Roman"/>
        </w:rPr>
        <w:t xml:space="preserve">The rubric is split up into four subcategories that coincide with physical literacy, the theory that splits physical activity up into four domains. As physical literacy is becoming a more prominent theory in Wales with Sport Wales adopting it as their theory behind the journey of physical activity. Ideally the rubric that has been created will aim to assess participants aged nine to eleven years old. The benefit of this rubric is how straight forward it is to use and </w:t>
      </w:r>
      <w:r w:rsidR="007418F2">
        <w:rPr>
          <w:rFonts w:ascii="Times New Roman" w:hAnsi="Times New Roman" w:cs="Times New Roman"/>
        </w:rPr>
        <w:t>score;</w:t>
      </w:r>
      <w:r>
        <w:rPr>
          <w:rFonts w:ascii="Times New Roman" w:hAnsi="Times New Roman" w:cs="Times New Roman"/>
        </w:rPr>
        <w:t xml:space="preserve"> all students </w:t>
      </w:r>
      <w:r w:rsidR="007418F2">
        <w:rPr>
          <w:rFonts w:ascii="Times New Roman" w:hAnsi="Times New Roman" w:cs="Times New Roman"/>
        </w:rPr>
        <w:t>can be assessed using this within lessons over the course of the year or a half term. To work out the end result all that is needed to do is add up all of the scores from the four different domains, the score will always be out of 16. From understanding the score and where students need to improve can be a good way of setting targets and helping students improve.</w:t>
      </w:r>
    </w:p>
    <w:p w14:paraId="61817EFA" w14:textId="77777777" w:rsidR="0011236B" w:rsidRDefault="0011236B" w:rsidP="00E13A98">
      <w:pPr>
        <w:spacing w:line="360" w:lineRule="auto"/>
        <w:rPr>
          <w:rFonts w:ascii="Times New Roman" w:hAnsi="Times New Roman" w:cs="Times New Roman"/>
          <w:u w:val="single"/>
        </w:rPr>
      </w:pPr>
    </w:p>
    <w:tbl>
      <w:tblPr>
        <w:tblStyle w:val="TableGridLight"/>
        <w:tblW w:w="0" w:type="auto"/>
        <w:tblLook w:val="04A0" w:firstRow="1" w:lastRow="0" w:firstColumn="1" w:lastColumn="0" w:noHBand="0" w:noVBand="1"/>
      </w:tblPr>
      <w:tblGrid>
        <w:gridCol w:w="1882"/>
        <w:gridCol w:w="1819"/>
        <w:gridCol w:w="1736"/>
        <w:gridCol w:w="1754"/>
        <w:gridCol w:w="1825"/>
      </w:tblGrid>
      <w:tr w:rsidR="0011236B" w:rsidRPr="000814CD" w14:paraId="0F98BABD" w14:textId="77777777" w:rsidTr="005547C1">
        <w:tc>
          <w:tcPr>
            <w:tcW w:w="0" w:type="auto"/>
            <w:hideMark/>
          </w:tcPr>
          <w:p w14:paraId="409FC796" w14:textId="77777777" w:rsidR="0011236B" w:rsidRPr="0011236B" w:rsidRDefault="0011236B" w:rsidP="005547C1">
            <w:pPr>
              <w:jc w:val="center"/>
              <w:rPr>
                <w:rFonts w:ascii="Times New Roman" w:eastAsia="Times New Roman" w:hAnsi="Times New Roman" w:cs="Times New Roman"/>
                <w:b/>
                <w:bCs/>
                <w:kern w:val="0"/>
                <w:lang w:eastAsia="en-GB"/>
                <w14:ligatures w14:val="none"/>
              </w:rPr>
            </w:pPr>
            <w:r w:rsidRPr="0011236B">
              <w:rPr>
                <w:rFonts w:ascii="Times New Roman" w:eastAsia="Times New Roman" w:hAnsi="Times New Roman" w:cs="Times New Roman"/>
                <w:b/>
                <w:bCs/>
                <w:kern w:val="0"/>
                <w:lang w:eastAsia="en-GB"/>
                <w14:ligatures w14:val="none"/>
              </w:rPr>
              <w:t>Domain</w:t>
            </w:r>
          </w:p>
        </w:tc>
        <w:tc>
          <w:tcPr>
            <w:tcW w:w="0" w:type="auto"/>
            <w:hideMark/>
          </w:tcPr>
          <w:p w14:paraId="4CB8A0AE" w14:textId="77777777" w:rsidR="0011236B" w:rsidRPr="0011236B" w:rsidRDefault="0011236B" w:rsidP="005547C1">
            <w:pPr>
              <w:jc w:val="center"/>
              <w:rPr>
                <w:rFonts w:ascii="Times New Roman" w:eastAsia="Times New Roman" w:hAnsi="Times New Roman" w:cs="Times New Roman"/>
                <w:b/>
                <w:bCs/>
                <w:kern w:val="0"/>
                <w:lang w:eastAsia="en-GB"/>
                <w14:ligatures w14:val="none"/>
              </w:rPr>
            </w:pPr>
            <w:r w:rsidRPr="0011236B">
              <w:rPr>
                <w:rFonts w:ascii="Times New Roman" w:eastAsia="Times New Roman" w:hAnsi="Times New Roman" w:cs="Times New Roman"/>
                <w:b/>
                <w:bCs/>
                <w:kern w:val="0"/>
                <w:lang w:eastAsia="en-GB"/>
                <w14:ligatures w14:val="none"/>
              </w:rPr>
              <w:t>1 – Emerging</w:t>
            </w:r>
          </w:p>
        </w:tc>
        <w:tc>
          <w:tcPr>
            <w:tcW w:w="0" w:type="auto"/>
            <w:hideMark/>
          </w:tcPr>
          <w:p w14:paraId="61F90F39" w14:textId="77777777" w:rsidR="0011236B" w:rsidRPr="0011236B" w:rsidRDefault="0011236B" w:rsidP="005547C1">
            <w:pPr>
              <w:jc w:val="center"/>
              <w:rPr>
                <w:rFonts w:ascii="Times New Roman" w:eastAsia="Times New Roman" w:hAnsi="Times New Roman" w:cs="Times New Roman"/>
                <w:b/>
                <w:bCs/>
                <w:kern w:val="0"/>
                <w:lang w:eastAsia="en-GB"/>
                <w14:ligatures w14:val="none"/>
              </w:rPr>
            </w:pPr>
            <w:r w:rsidRPr="0011236B">
              <w:rPr>
                <w:rFonts w:ascii="Times New Roman" w:eastAsia="Times New Roman" w:hAnsi="Times New Roman" w:cs="Times New Roman"/>
                <w:b/>
                <w:bCs/>
                <w:kern w:val="0"/>
                <w:lang w:eastAsia="en-GB"/>
                <w14:ligatures w14:val="none"/>
              </w:rPr>
              <w:t>2 – Developing</w:t>
            </w:r>
          </w:p>
        </w:tc>
        <w:tc>
          <w:tcPr>
            <w:tcW w:w="0" w:type="auto"/>
            <w:hideMark/>
          </w:tcPr>
          <w:p w14:paraId="2AC9D9A5" w14:textId="77777777" w:rsidR="0011236B" w:rsidRPr="0011236B" w:rsidRDefault="0011236B" w:rsidP="005547C1">
            <w:pPr>
              <w:jc w:val="center"/>
              <w:rPr>
                <w:rFonts w:ascii="Times New Roman" w:eastAsia="Times New Roman" w:hAnsi="Times New Roman" w:cs="Times New Roman"/>
                <w:b/>
                <w:bCs/>
                <w:kern w:val="0"/>
                <w:lang w:eastAsia="en-GB"/>
                <w14:ligatures w14:val="none"/>
              </w:rPr>
            </w:pPr>
            <w:r w:rsidRPr="0011236B">
              <w:rPr>
                <w:rFonts w:ascii="Times New Roman" w:eastAsia="Times New Roman" w:hAnsi="Times New Roman" w:cs="Times New Roman"/>
                <w:b/>
                <w:bCs/>
                <w:kern w:val="0"/>
                <w:lang w:eastAsia="en-GB"/>
                <w14:ligatures w14:val="none"/>
              </w:rPr>
              <w:t>3 – Proficient</w:t>
            </w:r>
          </w:p>
        </w:tc>
        <w:tc>
          <w:tcPr>
            <w:tcW w:w="0" w:type="auto"/>
            <w:hideMark/>
          </w:tcPr>
          <w:p w14:paraId="1CAF63EA" w14:textId="77777777" w:rsidR="0011236B" w:rsidRPr="0011236B" w:rsidRDefault="0011236B" w:rsidP="005547C1">
            <w:pPr>
              <w:jc w:val="center"/>
              <w:rPr>
                <w:rFonts w:ascii="Times New Roman" w:eastAsia="Times New Roman" w:hAnsi="Times New Roman" w:cs="Times New Roman"/>
                <w:b/>
                <w:bCs/>
                <w:kern w:val="0"/>
                <w:lang w:eastAsia="en-GB"/>
                <w14:ligatures w14:val="none"/>
              </w:rPr>
            </w:pPr>
            <w:r w:rsidRPr="0011236B">
              <w:rPr>
                <w:rFonts w:ascii="Times New Roman" w:eastAsia="Times New Roman" w:hAnsi="Times New Roman" w:cs="Times New Roman"/>
                <w:b/>
                <w:bCs/>
                <w:kern w:val="0"/>
                <w:lang w:eastAsia="en-GB"/>
                <w14:ligatures w14:val="none"/>
              </w:rPr>
              <w:t>4 – Advanced</w:t>
            </w:r>
          </w:p>
        </w:tc>
      </w:tr>
      <w:tr w:rsidR="0011236B" w:rsidRPr="000814CD" w14:paraId="35FAE604" w14:textId="77777777" w:rsidTr="005547C1">
        <w:tc>
          <w:tcPr>
            <w:tcW w:w="0" w:type="auto"/>
            <w:hideMark/>
          </w:tcPr>
          <w:p w14:paraId="71409702"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b/>
                <w:bCs/>
                <w:kern w:val="0"/>
                <w:lang w:eastAsia="en-GB"/>
                <w14:ligatures w14:val="none"/>
              </w:rPr>
              <w:t>Physical Competence</w:t>
            </w:r>
            <w:r w:rsidRPr="0011236B">
              <w:rPr>
                <w:rFonts w:ascii="Times New Roman" w:eastAsia="Times New Roman" w:hAnsi="Times New Roman" w:cs="Times New Roman"/>
                <w:kern w:val="0"/>
                <w:lang w:eastAsia="en-GB"/>
                <w14:ligatures w14:val="none"/>
              </w:rPr>
              <w:t xml:space="preserve"> (movement skills, coordination, balance)</w:t>
            </w:r>
          </w:p>
        </w:tc>
        <w:tc>
          <w:tcPr>
            <w:tcW w:w="0" w:type="auto"/>
            <w:hideMark/>
          </w:tcPr>
          <w:p w14:paraId="55EE2A53"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Struggles with basic movement skills (running, jumping, throwing). Limited coordination and control.</w:t>
            </w:r>
          </w:p>
        </w:tc>
        <w:tc>
          <w:tcPr>
            <w:tcW w:w="0" w:type="auto"/>
            <w:hideMark/>
          </w:tcPr>
          <w:p w14:paraId="2CDAA312"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Can perform some basic skills but inconsistently or with limited control.</w:t>
            </w:r>
          </w:p>
        </w:tc>
        <w:tc>
          <w:tcPr>
            <w:tcW w:w="0" w:type="auto"/>
            <w:hideMark/>
          </w:tcPr>
          <w:p w14:paraId="5AAEB91D"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Demonstrates good control in most fundamental movement skills and simple sport activities.</w:t>
            </w:r>
          </w:p>
        </w:tc>
        <w:tc>
          <w:tcPr>
            <w:tcW w:w="0" w:type="auto"/>
            <w:hideMark/>
          </w:tcPr>
          <w:p w14:paraId="7C0063A0"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Performs a wide range of skills confidently and adapts movement to different games or environments.</w:t>
            </w:r>
          </w:p>
        </w:tc>
      </w:tr>
      <w:tr w:rsidR="0011236B" w:rsidRPr="000814CD" w14:paraId="0CCF8234" w14:textId="77777777" w:rsidTr="005547C1">
        <w:tc>
          <w:tcPr>
            <w:tcW w:w="0" w:type="auto"/>
            <w:hideMark/>
          </w:tcPr>
          <w:p w14:paraId="7556E8B6"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b/>
                <w:bCs/>
                <w:kern w:val="0"/>
                <w:lang w:eastAsia="en-GB"/>
                <w14:ligatures w14:val="none"/>
              </w:rPr>
              <w:t>Motivation &amp; Confidence</w:t>
            </w:r>
          </w:p>
        </w:tc>
        <w:tc>
          <w:tcPr>
            <w:tcW w:w="0" w:type="auto"/>
            <w:hideMark/>
          </w:tcPr>
          <w:p w14:paraId="222A9657"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Rarely chooses to participate in physical activity. Low confidence in movement tasks.</w:t>
            </w:r>
          </w:p>
        </w:tc>
        <w:tc>
          <w:tcPr>
            <w:tcW w:w="0" w:type="auto"/>
            <w:hideMark/>
          </w:tcPr>
          <w:p w14:paraId="56D6439F"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Participates when encouraged but may lack confidence or persistence.</w:t>
            </w:r>
          </w:p>
        </w:tc>
        <w:tc>
          <w:tcPr>
            <w:tcW w:w="0" w:type="auto"/>
            <w:hideMark/>
          </w:tcPr>
          <w:p w14:paraId="74ED178E"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Usually willing to participate and shows confidence in most activities.</w:t>
            </w:r>
          </w:p>
        </w:tc>
        <w:tc>
          <w:tcPr>
            <w:tcW w:w="0" w:type="auto"/>
            <w:hideMark/>
          </w:tcPr>
          <w:p w14:paraId="46AD98E6"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Highly motivated, enjoys challenges, and encourages others to participate.</w:t>
            </w:r>
          </w:p>
        </w:tc>
      </w:tr>
      <w:tr w:rsidR="0011236B" w:rsidRPr="000814CD" w14:paraId="416D543A" w14:textId="77777777" w:rsidTr="005547C1">
        <w:tc>
          <w:tcPr>
            <w:tcW w:w="0" w:type="auto"/>
            <w:hideMark/>
          </w:tcPr>
          <w:p w14:paraId="0FC2C5C8"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b/>
                <w:bCs/>
                <w:kern w:val="0"/>
                <w:lang w:eastAsia="en-GB"/>
                <w14:ligatures w14:val="none"/>
              </w:rPr>
              <w:t>Knowledge &amp; Understanding</w:t>
            </w:r>
          </w:p>
        </w:tc>
        <w:tc>
          <w:tcPr>
            <w:tcW w:w="0" w:type="auto"/>
            <w:hideMark/>
          </w:tcPr>
          <w:p w14:paraId="3E2A48AC"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Limited understanding of why physical activity is important or how to improve skills.</w:t>
            </w:r>
          </w:p>
        </w:tc>
        <w:tc>
          <w:tcPr>
            <w:tcW w:w="0" w:type="auto"/>
            <w:hideMark/>
          </w:tcPr>
          <w:p w14:paraId="7732BF1B"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Basic understanding of rules and benefits of physical activity.</w:t>
            </w:r>
          </w:p>
        </w:tc>
        <w:tc>
          <w:tcPr>
            <w:tcW w:w="0" w:type="auto"/>
            <w:hideMark/>
          </w:tcPr>
          <w:p w14:paraId="70DA59BB"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Understands rules, strategies, and the importance of being active for health.</w:t>
            </w:r>
          </w:p>
        </w:tc>
        <w:tc>
          <w:tcPr>
            <w:tcW w:w="0" w:type="auto"/>
            <w:hideMark/>
          </w:tcPr>
          <w:p w14:paraId="03B13C92"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Demonstrates strong understanding of tactics, health benefits, and how to improve performance.</w:t>
            </w:r>
          </w:p>
        </w:tc>
      </w:tr>
      <w:tr w:rsidR="0011236B" w:rsidRPr="000814CD" w14:paraId="69359BCE" w14:textId="77777777" w:rsidTr="005547C1">
        <w:tc>
          <w:tcPr>
            <w:tcW w:w="0" w:type="auto"/>
            <w:hideMark/>
          </w:tcPr>
          <w:p w14:paraId="1A450ED6"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b/>
                <w:bCs/>
                <w:kern w:val="0"/>
                <w:lang w:eastAsia="en-GB"/>
                <w14:ligatures w14:val="none"/>
              </w:rPr>
              <w:t>Engagement / Participation</w:t>
            </w:r>
          </w:p>
        </w:tc>
        <w:tc>
          <w:tcPr>
            <w:tcW w:w="0" w:type="auto"/>
            <w:hideMark/>
          </w:tcPr>
          <w:p w14:paraId="6656F272"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Rarely active outside structured lessons.</w:t>
            </w:r>
          </w:p>
        </w:tc>
        <w:tc>
          <w:tcPr>
            <w:tcW w:w="0" w:type="auto"/>
            <w:hideMark/>
          </w:tcPr>
          <w:p w14:paraId="309FDCED"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Occasionally participates in physical activity outside school.</w:t>
            </w:r>
          </w:p>
        </w:tc>
        <w:tc>
          <w:tcPr>
            <w:tcW w:w="0" w:type="auto"/>
            <w:hideMark/>
          </w:tcPr>
          <w:p w14:paraId="7FEB3DF2"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Regularly active in school and some activities outside school.</w:t>
            </w:r>
          </w:p>
        </w:tc>
        <w:tc>
          <w:tcPr>
            <w:tcW w:w="0" w:type="auto"/>
            <w:hideMark/>
          </w:tcPr>
          <w:p w14:paraId="7EB4628C" w14:textId="77777777" w:rsidR="0011236B" w:rsidRPr="0011236B" w:rsidRDefault="0011236B" w:rsidP="005547C1">
            <w:pPr>
              <w:rPr>
                <w:rFonts w:ascii="Times New Roman" w:eastAsia="Times New Roman" w:hAnsi="Times New Roman" w:cs="Times New Roman"/>
                <w:kern w:val="0"/>
                <w:lang w:eastAsia="en-GB"/>
                <w14:ligatures w14:val="none"/>
              </w:rPr>
            </w:pPr>
            <w:r w:rsidRPr="0011236B">
              <w:rPr>
                <w:rFonts w:ascii="Times New Roman" w:eastAsia="Times New Roman" w:hAnsi="Times New Roman" w:cs="Times New Roman"/>
                <w:kern w:val="0"/>
                <w:lang w:eastAsia="en-GB"/>
                <w14:ligatures w14:val="none"/>
              </w:rPr>
              <w:t>Very active in multiple contexts (school, clubs, play, sport).</w:t>
            </w:r>
          </w:p>
        </w:tc>
      </w:tr>
    </w:tbl>
    <w:p w14:paraId="1435B736" w14:textId="5175ACF9" w:rsidR="00E13A98" w:rsidRPr="00E13A98" w:rsidRDefault="00E13A98" w:rsidP="00E13A98">
      <w:pPr>
        <w:spacing w:line="360" w:lineRule="auto"/>
        <w:rPr>
          <w:rFonts w:ascii="Times New Roman" w:hAnsi="Times New Roman" w:cs="Times New Roman"/>
          <w:u w:val="single"/>
        </w:rPr>
      </w:pPr>
    </w:p>
    <w:p w14:paraId="3D1061E7" w14:textId="155BFB71" w:rsidR="00E13A98" w:rsidRDefault="00F52FBE" w:rsidP="00E13A98">
      <w:pPr>
        <w:spacing w:line="360" w:lineRule="auto"/>
        <w:rPr>
          <w:rFonts w:ascii="Times New Roman" w:hAnsi="Times New Roman" w:cs="Times New Roman"/>
        </w:rPr>
      </w:pPr>
      <w:r>
        <w:rPr>
          <w:rFonts w:ascii="Times New Roman" w:hAnsi="Times New Roman" w:cs="Times New Roman"/>
        </w:rPr>
        <w:lastRenderedPageBreak/>
        <w:t xml:space="preserve">As mentioned prior this assessment rubric looks at a holistic outlook on physical education following on from a physical literacy standpoint. The rubric is an extra way of assessing children which can be done formatively (on going) which means it can be done multiple times throughout the course of the year to monitor progress. </w:t>
      </w:r>
      <w:r w:rsidR="00F412ED">
        <w:rPr>
          <w:rFonts w:ascii="Times New Roman" w:hAnsi="Times New Roman" w:cs="Times New Roman"/>
        </w:rPr>
        <w:t xml:space="preserve">For </w:t>
      </w:r>
      <w:r w:rsidR="00D07E04">
        <w:rPr>
          <w:rFonts w:ascii="Times New Roman" w:hAnsi="Times New Roman" w:cs="Times New Roman"/>
        </w:rPr>
        <w:t>example,</w:t>
      </w:r>
      <w:r w:rsidR="00F412ED">
        <w:rPr>
          <w:rFonts w:ascii="Times New Roman" w:hAnsi="Times New Roman" w:cs="Times New Roman"/>
        </w:rPr>
        <w:t xml:space="preserve"> this rubric can be used at the start of the year to place students into their current skill bands (developing, proficient etc), this will help teachers tailor lessons towards the new group of students they have for the year. An example of this could be the teacher observing a student with high proficiency in physical competence skills however, the same student could lack knowledge and understanding of different sports. Understanding the needs of the class can be a good way of getting better results from the students. </w:t>
      </w:r>
      <w:r w:rsidR="002165D2">
        <w:rPr>
          <w:rFonts w:ascii="Times New Roman" w:hAnsi="Times New Roman" w:cs="Times New Roman"/>
        </w:rPr>
        <w:t xml:space="preserve">Alongside teachers having the ability to plan lessons accordingly and planning tasks to help students needs they can also group the students for example there could be a certain task for the emerging students and a different task for more proficient students. This can have positive effects on lessons and students’ mental health and motivation as they are all able to partake in sports in a safe and non-judgemental environment. During lessons teachers can continue to follow the rubric which in turn will allow them to give more detailed feedback and tasks to students this will make this rubric an assessment for learning allowing the student to benefit greater from it rather than being an assessment of learning which is typically for the teacher. This type of ongoing assessment can greatly improve </w:t>
      </w:r>
      <w:r w:rsidR="002E4D74">
        <w:rPr>
          <w:rFonts w:ascii="Times New Roman" w:hAnsi="Times New Roman" w:cs="Times New Roman"/>
        </w:rPr>
        <w:t>students’</w:t>
      </w:r>
      <w:r w:rsidR="002165D2">
        <w:rPr>
          <w:rFonts w:ascii="Times New Roman" w:hAnsi="Times New Roman" w:cs="Times New Roman"/>
        </w:rPr>
        <w:t xml:space="preserve"> motivation as they always have something to strive towards by moving up the levels</w:t>
      </w:r>
      <w:r w:rsidR="002E4D74">
        <w:rPr>
          <w:rFonts w:ascii="Times New Roman" w:hAnsi="Times New Roman" w:cs="Times New Roman"/>
        </w:rPr>
        <w:t xml:space="preserve"> (</w:t>
      </w:r>
      <w:proofErr w:type="spellStart"/>
      <w:r w:rsidR="002E4D74">
        <w:rPr>
          <w:rFonts w:ascii="Times New Roman" w:hAnsi="Times New Roman" w:cs="Times New Roman"/>
        </w:rPr>
        <w:t>Aust</w:t>
      </w:r>
      <w:proofErr w:type="spellEnd"/>
      <w:r w:rsidR="002E4D74">
        <w:rPr>
          <w:rFonts w:ascii="Times New Roman" w:hAnsi="Times New Roman" w:cs="Times New Roman"/>
        </w:rPr>
        <w:t>, et al,. 2024).</w:t>
      </w:r>
      <w:r w:rsidR="00ED3719">
        <w:rPr>
          <w:rFonts w:ascii="Times New Roman" w:hAnsi="Times New Roman" w:cs="Times New Roman"/>
        </w:rPr>
        <w:t xml:space="preserve"> The rubric does not always have to observed by the teacher either this could be a good opportunity for peer feedback. Pairs have the opportunity to observe one another and feedback using the correct terminology what their partner performed well and how they can improve. This can develop students’ understanding of performance and also will reinforce the learning that is present. </w:t>
      </w:r>
      <w:r w:rsidR="002F3E02">
        <w:rPr>
          <w:rFonts w:ascii="Times New Roman" w:hAnsi="Times New Roman" w:cs="Times New Roman"/>
        </w:rPr>
        <w:t xml:space="preserve">Finally, this rubric can provide a summative assessment as an assessment of learning. Every domain can be given a level from one to four and an overall score can be given. This rubric would then be beneficial as it is very holistic rather than only focusing on the physical competence of a student. </w:t>
      </w:r>
      <w:r w:rsidR="00122B13">
        <w:rPr>
          <w:rFonts w:ascii="Times New Roman" w:hAnsi="Times New Roman" w:cs="Times New Roman"/>
        </w:rPr>
        <w:t xml:space="preserve">Within the old Welsh Curriculum, it required physical education lessons to include a block based around assessment, this typically was done using standardised field tests that are very traditional and haven’t changed for generations. This rubric has included multiple domains and can be used across the term or the full year. This also means that </w:t>
      </w:r>
      <w:r w:rsidR="00902B3C">
        <w:rPr>
          <w:rFonts w:ascii="Times New Roman" w:hAnsi="Times New Roman" w:cs="Times New Roman"/>
        </w:rPr>
        <w:t xml:space="preserve">teachers can track improvements across different domains, the other benefit of this is that it will show development beyond just physical competence. </w:t>
      </w:r>
    </w:p>
    <w:p w14:paraId="0E1F679D" w14:textId="1C689EEA" w:rsidR="00E13A98" w:rsidRPr="00EB3377" w:rsidRDefault="007C2F45" w:rsidP="00E13A98">
      <w:pPr>
        <w:spacing w:line="360" w:lineRule="auto"/>
        <w:rPr>
          <w:rFonts w:ascii="Times New Roman" w:hAnsi="Times New Roman" w:cs="Times New Roman"/>
        </w:rPr>
      </w:pPr>
      <w:r>
        <w:rPr>
          <w:rFonts w:ascii="Times New Roman" w:hAnsi="Times New Roman" w:cs="Times New Roman"/>
        </w:rPr>
        <w:lastRenderedPageBreak/>
        <w:t xml:space="preserve">This rubric can be applied in many different ways and can be adapted and applied to many different sports and activities. The teacher can lead this assessment by observing the children themselves or can be done using peer assessment. Within a lesson the different domains can be observed at different times, for example during the warmup students could peer assess engagement. Physical competence can then be assessed during a skill drill for example passing in football. Teachers could create a </w:t>
      </w:r>
      <w:r w:rsidR="00496166">
        <w:rPr>
          <w:rFonts w:ascii="Times New Roman" w:hAnsi="Times New Roman" w:cs="Times New Roman"/>
        </w:rPr>
        <w:t>success criterion of the correct technique</w:t>
      </w:r>
      <w:r>
        <w:rPr>
          <w:rFonts w:ascii="Times New Roman" w:hAnsi="Times New Roman" w:cs="Times New Roman"/>
        </w:rPr>
        <w:t xml:space="preserve"> for example while passing in football, this could include images of kicking the middle of the ball with the middle of the foot, </w:t>
      </w:r>
      <w:r w:rsidR="00496166">
        <w:rPr>
          <w:rFonts w:ascii="Times New Roman" w:hAnsi="Times New Roman" w:cs="Times New Roman"/>
        </w:rPr>
        <w:t xml:space="preserve">locking and ankle and following through the ball. Finally, most physical education lessons around a traditional sport end with a small sided game of the full sport, this is a good opportunity for students to assess motivation lessons, confidence and finally decision making. At the end of the lesson students will have a chance to self-assess the rubric in order for them to understand what they did well and where they can improve. </w:t>
      </w:r>
    </w:p>
    <w:p w14:paraId="1EA54C29" w14:textId="72C919A5" w:rsidR="00E13A98" w:rsidRPr="00EB3377" w:rsidRDefault="00743290" w:rsidP="00E13A98">
      <w:pPr>
        <w:spacing w:line="360" w:lineRule="auto"/>
        <w:rPr>
          <w:rFonts w:ascii="Times New Roman" w:hAnsi="Times New Roman" w:cs="Times New Roman"/>
        </w:rPr>
      </w:pPr>
      <w:r>
        <w:rPr>
          <w:rFonts w:ascii="Times New Roman" w:hAnsi="Times New Roman" w:cs="Times New Roman"/>
        </w:rPr>
        <w:t xml:space="preserve">The rubric has many positives and also has some drawbacks, in order to make sure the rubric gets better it will be important to keep evolving it and adapting it to the needs of the students within the classroom. One of the strengths of this rubric is the fact that there is a clear progression from emerging followed by developing into proficient and finally advanced. This is a logical development pathway for the rubric to follow and each level progresses on from the previous level, this makes it easy for both students and teachers to understand the rubric easily. Due to the rubric being very self-explanatory it can be a good way </w:t>
      </w:r>
      <w:r w:rsidR="006873ED">
        <w:rPr>
          <w:rFonts w:ascii="Times New Roman" w:hAnsi="Times New Roman" w:cs="Times New Roman"/>
        </w:rPr>
        <w:t>to pass information onto parents too which can lead to improvements to different domains at home too. Another benefit of this is the holistic coverage of physical literacy. The rubric was designed to include the four domains of physical literacy being physical competence, motivation and confidence, knowledge and understanding and engagement/participation in physical activity. This reflects a well-rounded approach rather than focusing purely on physical competence or specific scores from field tests for example using the hand grip dynamometer for muscular strength. This approach aligns heavily with the modern physical education principles. A benefit of this rubric is th</w:t>
      </w:r>
      <w:r w:rsidR="007E58F1">
        <w:rPr>
          <w:rFonts w:ascii="Times New Roman" w:hAnsi="Times New Roman" w:cs="Times New Roman"/>
        </w:rPr>
        <w:t xml:space="preserve">at teachers and pupils can use it for both assessment and feedback. The vocabulary within the rubric has been designed to be student friendly for example “struggles, demonstrates, highly motivated” this is beneficial for peer assessment tasks as it allows students to use professional feedback which is high level for improvements. This makes the rubric usable for both feedback and assessment making this rubric usable in different ways. </w:t>
      </w:r>
      <w:r w:rsidR="00956A26">
        <w:rPr>
          <w:rFonts w:ascii="Times New Roman" w:hAnsi="Times New Roman" w:cs="Times New Roman"/>
        </w:rPr>
        <w:t>Th</w:t>
      </w:r>
      <w:r w:rsidR="002E7C00">
        <w:rPr>
          <w:rFonts w:ascii="Times New Roman" w:hAnsi="Times New Roman" w:cs="Times New Roman"/>
        </w:rPr>
        <w:t>is</w:t>
      </w:r>
      <w:r w:rsidR="00956A26">
        <w:rPr>
          <w:rFonts w:ascii="Times New Roman" w:hAnsi="Times New Roman" w:cs="Times New Roman"/>
        </w:rPr>
        <w:t xml:space="preserve"> rubric has been created </w:t>
      </w:r>
      <w:r w:rsidR="002E7C00">
        <w:rPr>
          <w:rFonts w:ascii="Times New Roman" w:hAnsi="Times New Roman" w:cs="Times New Roman"/>
        </w:rPr>
        <w:t xml:space="preserve">for teachers to formatively assess students throughout the course of the year; this allows teachers to track development and create more meaningful lessons for students that will benefit them more in the long run. Using the rubric gives more than just a </w:t>
      </w:r>
      <w:r w:rsidR="002E7C00">
        <w:rPr>
          <w:rFonts w:ascii="Times New Roman" w:hAnsi="Times New Roman" w:cs="Times New Roman"/>
        </w:rPr>
        <w:lastRenderedPageBreak/>
        <w:t>final grade it allows teachers to track progress making this rubric useful year-round rather than just a one and done assessment. Although there are many positives to the rubric there are some clear drawbacks, one of these include a lack of measurable</w:t>
      </w:r>
      <w:r w:rsidR="00853B81">
        <w:rPr>
          <w:rFonts w:ascii="Times New Roman" w:hAnsi="Times New Roman" w:cs="Times New Roman"/>
        </w:rPr>
        <w:t xml:space="preserve"> criteria. Some descriptors are very subjective for example “good control” or “highly motivated” without clear benchmarks, different teachers might interpret levels differently. Because of these differing levels different teachers might interpret levels differently this in turn will reduce reliability. An improvement for this could be including observable and measurable indicators, an example of this could be a student successfully completes 4/5 fundamental movement skills with control. </w:t>
      </w:r>
      <w:r w:rsidR="00D6081E">
        <w:rPr>
          <w:rFonts w:ascii="Times New Roman" w:hAnsi="Times New Roman" w:cs="Times New Roman"/>
        </w:rPr>
        <w:t xml:space="preserve">Having this measure would increase the reliability of the rubric and something that needs to be looked at. </w:t>
      </w:r>
      <w:r w:rsidR="00F966AE">
        <w:rPr>
          <w:rFonts w:ascii="Times New Roman" w:hAnsi="Times New Roman" w:cs="Times New Roman"/>
        </w:rPr>
        <w:t xml:space="preserve">Another drawback that appears consistently with the rubric is the overlap between different levels. For example, teachers and students might get confused between the proficient section and the advanced section. Teachers may get confused between the vocabulary for example “usually willing” vs “highly motivated”, different teachers have different levels and different ways of describing what they observe. </w:t>
      </w:r>
      <w:r w:rsidR="00225A4C">
        <w:rPr>
          <w:rFonts w:ascii="Times New Roman" w:hAnsi="Times New Roman" w:cs="Times New Roman"/>
        </w:rPr>
        <w:t xml:space="preserve">In order to improve this the rubric should aim to add better vocabulary or markers for example “consistently joins in”. One of the biggest drawbacks that this rubric has it that it is not sport specific. </w:t>
      </w:r>
      <w:r w:rsidR="00DD1273">
        <w:rPr>
          <w:rFonts w:ascii="Times New Roman" w:hAnsi="Times New Roman" w:cs="Times New Roman"/>
        </w:rPr>
        <w:t xml:space="preserve">The rubric is very general which can be very good for broad and holistic assessment but may lack precision for specific sports for example football or badminton. </w:t>
      </w:r>
      <w:r w:rsidR="004201FE">
        <w:rPr>
          <w:rFonts w:ascii="Times New Roman" w:hAnsi="Times New Roman" w:cs="Times New Roman"/>
        </w:rPr>
        <w:t xml:space="preserve">Given that this rubric is very holistic and aims to assess all of the four domains of physical literacy </w:t>
      </w:r>
      <w:r w:rsidR="00940414">
        <w:rPr>
          <w:rFonts w:ascii="Times New Roman" w:hAnsi="Times New Roman" w:cs="Times New Roman"/>
        </w:rPr>
        <w:t>there is one domain that is much harder to assess than the others. This domain is the engagement section of the rubric, participation especially outside of school can be a very difficult as there are so many different factors that can influence upon it. For example, students might not have access to facilities outside of school or live in low socioeconomic areas. Finally, students’ parents may not be able or not want to take their children to clubs outside of school.</w:t>
      </w:r>
    </w:p>
    <w:p w14:paraId="7BEBF0E2" w14:textId="77777777" w:rsidR="00335D4B" w:rsidRDefault="00335D4B" w:rsidP="004856C7">
      <w:pPr>
        <w:spacing w:line="360" w:lineRule="auto"/>
        <w:rPr>
          <w:rFonts w:ascii="Times New Roman" w:hAnsi="Times New Roman" w:cs="Times New Roman"/>
        </w:rPr>
      </w:pPr>
    </w:p>
    <w:p w14:paraId="47B759FB" w14:textId="7A431E3D" w:rsidR="00E13A98" w:rsidRDefault="004856C7" w:rsidP="004856C7">
      <w:pPr>
        <w:spacing w:line="360" w:lineRule="auto"/>
        <w:rPr>
          <w:rFonts w:ascii="Times New Roman" w:hAnsi="Times New Roman" w:cs="Times New Roman"/>
        </w:rPr>
      </w:pPr>
      <w:r>
        <w:rPr>
          <w:rFonts w:ascii="Times New Roman" w:hAnsi="Times New Roman" w:cs="Times New Roman"/>
        </w:rPr>
        <w:t xml:space="preserve">This rubric has been designed as an alternative assessment for physical education lessons based around the concept of physical literacy. This concept was chosen due to the many benefits it possesses including the different reasons for individuals to be active as well as the different domains as to what leads to physical activity. This rubric has many different ways of being used such as supplying peer feedback as well as observing for assessment. The best feature the rubric has is that it can be completed quickly and multiple times across a year or a half term, this will in turn allow teachers to monitor progress and see if their lessons are working and meaningful.  </w:t>
      </w:r>
      <w:r w:rsidR="00A00791">
        <w:rPr>
          <w:rFonts w:ascii="Times New Roman" w:hAnsi="Times New Roman" w:cs="Times New Roman"/>
        </w:rPr>
        <w:t>However,</w:t>
      </w:r>
      <w:r>
        <w:rPr>
          <w:rFonts w:ascii="Times New Roman" w:hAnsi="Times New Roman" w:cs="Times New Roman"/>
        </w:rPr>
        <w:t xml:space="preserve"> </w:t>
      </w:r>
      <w:r w:rsidR="00A00791">
        <w:rPr>
          <w:rFonts w:ascii="Times New Roman" w:hAnsi="Times New Roman" w:cs="Times New Roman"/>
        </w:rPr>
        <w:t xml:space="preserve">the rubric has flaws for example the overlapping group descriptors. In order to improve this rubric, it will need to be modified to be sport specific, </w:t>
      </w:r>
      <w:r w:rsidR="00A00791">
        <w:rPr>
          <w:rFonts w:ascii="Times New Roman" w:hAnsi="Times New Roman" w:cs="Times New Roman"/>
        </w:rPr>
        <w:lastRenderedPageBreak/>
        <w:t xml:space="preserve">have a better assessment for physical competence and a more detailed descriptor in order to separate the groups. </w:t>
      </w:r>
      <w:r w:rsidR="00687DA6">
        <w:rPr>
          <w:rFonts w:ascii="Times New Roman" w:hAnsi="Times New Roman" w:cs="Times New Roman"/>
        </w:rPr>
        <w:t xml:space="preserve">To conclude the rubric is a good starting point as an alternative assessment for physical education as it is very holistic however it will have to be adapted for wider use. </w:t>
      </w:r>
    </w:p>
    <w:p w14:paraId="0A1BF1DC" w14:textId="77777777" w:rsidR="00E13A98" w:rsidRDefault="00E13A98" w:rsidP="00E13A98">
      <w:pPr>
        <w:rPr>
          <w:rFonts w:ascii="Times New Roman" w:hAnsi="Times New Roman" w:cs="Times New Roman"/>
        </w:rPr>
      </w:pPr>
    </w:p>
    <w:p w14:paraId="216E38AD" w14:textId="77777777" w:rsidR="00E13A98" w:rsidRDefault="00E13A98" w:rsidP="00E13A98">
      <w:pPr>
        <w:rPr>
          <w:rFonts w:ascii="Times New Roman" w:hAnsi="Times New Roman" w:cs="Times New Roman"/>
        </w:rPr>
      </w:pPr>
    </w:p>
    <w:p w14:paraId="201B9C44" w14:textId="55F176C6" w:rsidR="00E13A98" w:rsidRDefault="00E13A98" w:rsidP="00E13A98">
      <w:pPr>
        <w:rPr>
          <w:rFonts w:ascii="Times New Roman" w:hAnsi="Times New Roman" w:cs="Times New Roman"/>
        </w:rPr>
      </w:pPr>
      <w:r>
        <w:rPr>
          <w:rFonts w:ascii="Times New Roman" w:hAnsi="Times New Roman" w:cs="Times New Roman"/>
        </w:rPr>
        <w:t>Reference List</w:t>
      </w:r>
    </w:p>
    <w:p w14:paraId="1575409E" w14:textId="75C86D6F" w:rsidR="007418F2" w:rsidRDefault="007418F2" w:rsidP="00E13A98">
      <w:pPr>
        <w:rPr>
          <w:rFonts w:ascii="Times New Roman" w:hAnsi="Times New Roman" w:cs="Times New Roman"/>
        </w:rPr>
      </w:pPr>
      <w:r w:rsidRPr="007418F2">
        <w:rPr>
          <w:rFonts w:ascii="Times New Roman" w:hAnsi="Times New Roman" w:cs="Times New Roman"/>
        </w:rPr>
        <w:t xml:space="preserve">Active Healthy Kids Global Alliance (n.d.) </w:t>
      </w:r>
      <w:r w:rsidRPr="007418F2">
        <w:rPr>
          <w:rStyle w:val="Emphasis"/>
          <w:rFonts w:ascii="Times New Roman" w:hAnsi="Times New Roman" w:cs="Times New Roman"/>
        </w:rPr>
        <w:t>CAPL-2 training materials</w:t>
      </w:r>
      <w:r w:rsidRPr="007418F2">
        <w:rPr>
          <w:rFonts w:ascii="Times New Roman" w:hAnsi="Times New Roman" w:cs="Times New Roman"/>
        </w:rPr>
        <w:t xml:space="preserve">. Available at: </w:t>
      </w:r>
      <w:hyperlink r:id="rId7" w:tgtFrame="_new" w:history="1">
        <w:r w:rsidRPr="007418F2">
          <w:rPr>
            <w:rStyle w:val="Hyperlink"/>
            <w:rFonts w:ascii="Times New Roman" w:hAnsi="Times New Roman" w:cs="Times New Roman"/>
          </w:rPr>
          <w:t>CAPL-2 training materials</w:t>
        </w:r>
      </w:hyperlink>
      <w:r w:rsidRPr="007418F2">
        <w:rPr>
          <w:rFonts w:ascii="Times New Roman" w:hAnsi="Times New Roman" w:cs="Times New Roman"/>
        </w:rPr>
        <w:t xml:space="preserve"> (Accessed: 14 April 2026).</w:t>
      </w:r>
    </w:p>
    <w:p w14:paraId="2906F78E" w14:textId="77777777" w:rsidR="002E4D74" w:rsidRDefault="002E4D74" w:rsidP="00E13A98">
      <w:pPr>
        <w:rPr>
          <w:rFonts w:ascii="Times New Roman" w:hAnsi="Times New Roman" w:cs="Times New Roman"/>
        </w:rPr>
      </w:pPr>
    </w:p>
    <w:p w14:paraId="2AE5D727" w14:textId="0623AD00" w:rsidR="002E4D74" w:rsidRPr="002E4D74" w:rsidRDefault="002E4D74" w:rsidP="00E13A98">
      <w:pPr>
        <w:rPr>
          <w:rFonts w:ascii="Times New Roman" w:hAnsi="Times New Roman" w:cs="Times New Roman"/>
          <w:color w:val="3A3A3A"/>
          <w:shd w:val="clear" w:color="auto" w:fill="FFFFFF"/>
        </w:rPr>
      </w:pPr>
      <w:proofErr w:type="spellStart"/>
      <w:r w:rsidRPr="002E4D74">
        <w:rPr>
          <w:rFonts w:ascii="Times New Roman" w:hAnsi="Times New Roman" w:cs="Times New Roman"/>
          <w:color w:val="3A3A3A"/>
          <w:shd w:val="clear" w:color="auto" w:fill="FFFFFF"/>
        </w:rPr>
        <w:t>Aust</w:t>
      </w:r>
      <w:proofErr w:type="spellEnd"/>
      <w:r w:rsidRPr="002E4D74">
        <w:rPr>
          <w:rFonts w:ascii="Times New Roman" w:hAnsi="Times New Roman" w:cs="Times New Roman"/>
          <w:color w:val="3A3A3A"/>
          <w:shd w:val="clear" w:color="auto" w:fill="FFFFFF"/>
        </w:rPr>
        <w:t xml:space="preserve">, L., Schütze, B., </w:t>
      </w:r>
      <w:proofErr w:type="spellStart"/>
      <w:r w:rsidRPr="002E4D74">
        <w:rPr>
          <w:rFonts w:ascii="Times New Roman" w:hAnsi="Times New Roman" w:cs="Times New Roman"/>
          <w:color w:val="3A3A3A"/>
          <w:shd w:val="clear" w:color="auto" w:fill="FFFFFF"/>
        </w:rPr>
        <w:t>Hochweber</w:t>
      </w:r>
      <w:proofErr w:type="spellEnd"/>
      <w:r w:rsidRPr="002E4D74">
        <w:rPr>
          <w:rFonts w:ascii="Times New Roman" w:hAnsi="Times New Roman" w:cs="Times New Roman"/>
          <w:color w:val="3A3A3A"/>
          <w:shd w:val="clear" w:color="auto" w:fill="FFFFFF"/>
        </w:rPr>
        <w:t xml:space="preserve">, J., &amp; </w:t>
      </w:r>
      <w:proofErr w:type="spellStart"/>
      <w:r w:rsidRPr="002E4D74">
        <w:rPr>
          <w:rFonts w:ascii="Times New Roman" w:hAnsi="Times New Roman" w:cs="Times New Roman"/>
          <w:color w:val="3A3A3A"/>
          <w:shd w:val="clear" w:color="auto" w:fill="FFFFFF"/>
        </w:rPr>
        <w:t>Souvignier</w:t>
      </w:r>
      <w:proofErr w:type="spellEnd"/>
      <w:r w:rsidRPr="002E4D74">
        <w:rPr>
          <w:rFonts w:ascii="Times New Roman" w:hAnsi="Times New Roman" w:cs="Times New Roman"/>
          <w:color w:val="3A3A3A"/>
          <w:shd w:val="clear" w:color="auto" w:fill="FFFFFF"/>
        </w:rPr>
        <w:t>, E. (2024). Effects of formative assessment on intrinsic motivation in primary school mathematics instruction. </w:t>
      </w:r>
      <w:r w:rsidRPr="002E4D74">
        <w:rPr>
          <w:rFonts w:ascii="Times New Roman" w:hAnsi="Times New Roman" w:cs="Times New Roman"/>
          <w:i/>
          <w:iCs/>
          <w:color w:val="3A3A3A"/>
          <w:shd w:val="clear" w:color="auto" w:fill="FFFFFF"/>
        </w:rPr>
        <w:t>European Journal of Psychology of Education</w:t>
      </w:r>
      <w:r w:rsidRPr="002E4D74">
        <w:rPr>
          <w:rFonts w:ascii="Times New Roman" w:hAnsi="Times New Roman" w:cs="Times New Roman"/>
          <w:color w:val="3A3A3A"/>
          <w:shd w:val="clear" w:color="auto" w:fill="FFFFFF"/>
        </w:rPr>
        <w:t>, </w:t>
      </w:r>
      <w:r w:rsidRPr="002E4D74">
        <w:rPr>
          <w:rFonts w:ascii="Times New Roman" w:hAnsi="Times New Roman" w:cs="Times New Roman"/>
          <w:i/>
          <w:iCs/>
          <w:color w:val="3A3A3A"/>
          <w:shd w:val="clear" w:color="auto" w:fill="FFFFFF"/>
        </w:rPr>
        <w:t>39</w:t>
      </w:r>
      <w:r w:rsidRPr="002E4D74">
        <w:rPr>
          <w:rFonts w:ascii="Times New Roman" w:hAnsi="Times New Roman" w:cs="Times New Roman"/>
          <w:color w:val="3A3A3A"/>
          <w:shd w:val="clear" w:color="auto" w:fill="FFFFFF"/>
        </w:rPr>
        <w:t xml:space="preserve">(3), 2177–2200. </w:t>
      </w:r>
      <w:hyperlink r:id="rId8" w:history="1">
        <w:r w:rsidRPr="002E4D74">
          <w:rPr>
            <w:rStyle w:val="Hyperlink"/>
            <w:rFonts w:ascii="Times New Roman" w:hAnsi="Times New Roman" w:cs="Times New Roman"/>
            <w:shd w:val="clear" w:color="auto" w:fill="FFFFFF"/>
          </w:rPr>
          <w:t>https://doi.org/10.1007/s10212-023-00768-4</w:t>
        </w:r>
      </w:hyperlink>
    </w:p>
    <w:p w14:paraId="07591E86" w14:textId="77777777" w:rsidR="007418F2" w:rsidRDefault="007418F2" w:rsidP="00E13A98">
      <w:pPr>
        <w:rPr>
          <w:rFonts w:ascii="Times New Roman" w:hAnsi="Times New Roman" w:cs="Times New Roman"/>
        </w:rPr>
      </w:pPr>
    </w:p>
    <w:p w14:paraId="46427ADB" w14:textId="137D06C5" w:rsidR="00E04B9B" w:rsidRDefault="00E04B9B" w:rsidP="00E13A98">
      <w:pPr>
        <w:rPr>
          <w:rFonts w:ascii="Times New Roman" w:hAnsi="Times New Roman" w:cs="Times New Roman"/>
          <w:color w:val="222222"/>
          <w:shd w:val="clear" w:color="auto" w:fill="FFFFFF"/>
        </w:rPr>
      </w:pPr>
      <w:r w:rsidRPr="00E04B9B">
        <w:rPr>
          <w:rFonts w:ascii="Times New Roman" w:hAnsi="Times New Roman" w:cs="Times New Roman"/>
          <w:color w:val="222222"/>
          <w:shd w:val="clear" w:color="auto" w:fill="FFFFFF"/>
        </w:rPr>
        <w:t>Bryan, C. L., &amp; Solmon, M. A. (2012). Student motivation in physical education and engagement in physical activity. </w:t>
      </w:r>
      <w:r w:rsidRPr="00E04B9B">
        <w:rPr>
          <w:rFonts w:ascii="Times New Roman" w:hAnsi="Times New Roman" w:cs="Times New Roman"/>
          <w:i/>
          <w:iCs/>
          <w:color w:val="222222"/>
          <w:shd w:val="clear" w:color="auto" w:fill="FFFFFF"/>
        </w:rPr>
        <w:t xml:space="preserve">Journal of sport </w:t>
      </w:r>
      <w:proofErr w:type="spellStart"/>
      <w:r w:rsidRPr="00E04B9B">
        <w:rPr>
          <w:rFonts w:ascii="Times New Roman" w:hAnsi="Times New Roman" w:cs="Times New Roman"/>
          <w:i/>
          <w:iCs/>
          <w:color w:val="222222"/>
          <w:shd w:val="clear" w:color="auto" w:fill="FFFFFF"/>
        </w:rPr>
        <w:t>behavior</w:t>
      </w:r>
      <w:proofErr w:type="spellEnd"/>
      <w:r w:rsidRPr="00E04B9B">
        <w:rPr>
          <w:rFonts w:ascii="Times New Roman" w:hAnsi="Times New Roman" w:cs="Times New Roman"/>
          <w:color w:val="222222"/>
          <w:shd w:val="clear" w:color="auto" w:fill="FFFFFF"/>
        </w:rPr>
        <w:t>, </w:t>
      </w:r>
      <w:r w:rsidRPr="00E04B9B">
        <w:rPr>
          <w:rFonts w:ascii="Times New Roman" w:hAnsi="Times New Roman" w:cs="Times New Roman"/>
          <w:i/>
          <w:iCs/>
          <w:color w:val="222222"/>
          <w:shd w:val="clear" w:color="auto" w:fill="FFFFFF"/>
        </w:rPr>
        <w:t>35</w:t>
      </w:r>
      <w:r w:rsidRPr="00E04B9B">
        <w:rPr>
          <w:rFonts w:ascii="Times New Roman" w:hAnsi="Times New Roman" w:cs="Times New Roman"/>
          <w:color w:val="222222"/>
          <w:shd w:val="clear" w:color="auto" w:fill="FFFFFF"/>
        </w:rPr>
        <w:t>(3), 267.</w:t>
      </w:r>
    </w:p>
    <w:p w14:paraId="06B6CD05" w14:textId="77777777" w:rsidR="00233B7F" w:rsidRPr="00233B7F" w:rsidRDefault="00233B7F" w:rsidP="00E13A98">
      <w:pPr>
        <w:rPr>
          <w:rFonts w:ascii="Times New Roman" w:hAnsi="Times New Roman" w:cs="Times New Roman"/>
          <w:color w:val="222222"/>
          <w:shd w:val="clear" w:color="auto" w:fill="FFFFFF"/>
        </w:rPr>
      </w:pPr>
    </w:p>
    <w:p w14:paraId="1C6E251A" w14:textId="4AD13A27" w:rsidR="00233B7F" w:rsidRPr="00233B7F" w:rsidRDefault="00233B7F" w:rsidP="00E13A98">
      <w:pPr>
        <w:rPr>
          <w:rFonts w:ascii="Times New Roman" w:hAnsi="Times New Roman" w:cs="Times New Roman"/>
          <w:sz w:val="36"/>
          <w:szCs w:val="36"/>
        </w:rPr>
      </w:pPr>
      <w:r w:rsidRPr="00233B7F">
        <w:rPr>
          <w:rFonts w:ascii="Times New Roman" w:hAnsi="Times New Roman" w:cs="Times New Roman"/>
        </w:rPr>
        <w:t xml:space="preserve">Kirk, D. (2010) </w:t>
      </w:r>
      <w:r w:rsidRPr="00233B7F">
        <w:rPr>
          <w:rStyle w:val="Emphasis"/>
          <w:rFonts w:ascii="Times New Roman" w:hAnsi="Times New Roman" w:cs="Times New Roman"/>
        </w:rPr>
        <w:t>Physical education futures</w:t>
      </w:r>
      <w:r w:rsidRPr="00233B7F">
        <w:rPr>
          <w:rFonts w:ascii="Times New Roman" w:hAnsi="Times New Roman" w:cs="Times New Roman"/>
        </w:rPr>
        <w:t>. London: Routledge.</w:t>
      </w:r>
    </w:p>
    <w:p w14:paraId="59A60004" w14:textId="77777777" w:rsidR="008274B8" w:rsidRPr="000075DA" w:rsidRDefault="008274B8" w:rsidP="00E13A98">
      <w:pPr>
        <w:rPr>
          <w:rFonts w:ascii="Times New Roman" w:hAnsi="Times New Roman" w:cs="Times New Roman"/>
          <w:sz w:val="40"/>
          <w:szCs w:val="40"/>
        </w:rPr>
      </w:pPr>
    </w:p>
    <w:p w14:paraId="5F969397" w14:textId="33D967DE" w:rsidR="008274B8" w:rsidRDefault="000075DA" w:rsidP="00E13A98">
      <w:pPr>
        <w:rPr>
          <w:rFonts w:ascii="Times New Roman" w:hAnsi="Times New Roman" w:cs="Times New Roman"/>
          <w:color w:val="3A3A3A"/>
          <w:shd w:val="clear" w:color="auto" w:fill="FFFFFF"/>
        </w:rPr>
      </w:pPr>
      <w:r w:rsidRPr="00000AAF">
        <w:rPr>
          <w:rFonts w:ascii="Times New Roman" w:hAnsi="Times New Roman" w:cs="Times New Roman"/>
          <w:color w:val="3A3A3A"/>
          <w:shd w:val="clear" w:color="auto" w:fill="FFFFFF"/>
        </w:rPr>
        <w:t>Liang, H., &amp; Liang, H. (2025). Deep learning based multi attribute evaluation for holistic student assessment in physical education. </w:t>
      </w:r>
      <w:r w:rsidRPr="00000AAF">
        <w:rPr>
          <w:rFonts w:ascii="Times New Roman" w:hAnsi="Times New Roman" w:cs="Times New Roman"/>
          <w:i/>
          <w:iCs/>
          <w:color w:val="3A3A3A"/>
          <w:shd w:val="clear" w:color="auto" w:fill="FFFFFF"/>
        </w:rPr>
        <w:t>Scientific Reports</w:t>
      </w:r>
      <w:r w:rsidRPr="00000AAF">
        <w:rPr>
          <w:rFonts w:ascii="Times New Roman" w:hAnsi="Times New Roman" w:cs="Times New Roman"/>
          <w:color w:val="3A3A3A"/>
          <w:shd w:val="clear" w:color="auto" w:fill="FFFFFF"/>
        </w:rPr>
        <w:t>, </w:t>
      </w:r>
      <w:r w:rsidRPr="00000AAF">
        <w:rPr>
          <w:rFonts w:ascii="Times New Roman" w:hAnsi="Times New Roman" w:cs="Times New Roman"/>
          <w:i/>
          <w:iCs/>
          <w:color w:val="3A3A3A"/>
          <w:shd w:val="clear" w:color="auto" w:fill="FFFFFF"/>
        </w:rPr>
        <w:t>15</w:t>
      </w:r>
      <w:r w:rsidRPr="00000AAF">
        <w:rPr>
          <w:rFonts w:ascii="Times New Roman" w:hAnsi="Times New Roman" w:cs="Times New Roman"/>
          <w:color w:val="3A3A3A"/>
          <w:shd w:val="clear" w:color="auto" w:fill="FFFFFF"/>
        </w:rPr>
        <w:t xml:space="preserve">(1), Article 17698. </w:t>
      </w:r>
      <w:hyperlink r:id="rId9" w:history="1">
        <w:r w:rsidR="00000AAF" w:rsidRPr="00000AAF">
          <w:rPr>
            <w:rStyle w:val="Hyperlink"/>
            <w:rFonts w:ascii="Times New Roman" w:hAnsi="Times New Roman" w:cs="Times New Roman"/>
            <w:shd w:val="clear" w:color="auto" w:fill="FFFFFF"/>
          </w:rPr>
          <w:t>https://doi.org/10.1038/s41598-025-02168-8</w:t>
        </w:r>
      </w:hyperlink>
    </w:p>
    <w:p w14:paraId="0A831848" w14:textId="77777777" w:rsidR="00BB47DA" w:rsidRDefault="00BB47DA" w:rsidP="00E13A98">
      <w:pPr>
        <w:rPr>
          <w:rFonts w:ascii="Times New Roman" w:hAnsi="Times New Roman" w:cs="Times New Roman"/>
          <w:color w:val="3A3A3A"/>
          <w:shd w:val="clear" w:color="auto" w:fill="FFFFFF"/>
        </w:rPr>
      </w:pPr>
    </w:p>
    <w:p w14:paraId="3AF721F2" w14:textId="3FA744C3" w:rsidR="00BB47DA" w:rsidRDefault="00BB47DA" w:rsidP="00E13A98">
      <w:r w:rsidRPr="00BB47DA">
        <w:rPr>
          <w:rFonts w:ascii="Times New Roman" w:hAnsi="Times New Roman" w:cs="Times New Roman"/>
          <w:color w:val="3A3A3A"/>
          <w:shd w:val="clear" w:color="auto" w:fill="FFFFFF"/>
        </w:rPr>
        <w:t xml:space="preserve">Loggia, G., </w:t>
      </w:r>
      <w:proofErr w:type="spellStart"/>
      <w:r w:rsidRPr="00BB47DA">
        <w:rPr>
          <w:rFonts w:ascii="Times New Roman" w:hAnsi="Times New Roman" w:cs="Times New Roman"/>
          <w:color w:val="3A3A3A"/>
          <w:shd w:val="clear" w:color="auto" w:fill="FFFFFF"/>
        </w:rPr>
        <w:t>Pellichero</w:t>
      </w:r>
      <w:proofErr w:type="spellEnd"/>
      <w:r w:rsidRPr="00BB47DA">
        <w:rPr>
          <w:rFonts w:ascii="Times New Roman" w:hAnsi="Times New Roman" w:cs="Times New Roman"/>
          <w:color w:val="3A3A3A"/>
          <w:shd w:val="clear" w:color="auto" w:fill="FFFFFF"/>
        </w:rPr>
        <w:t xml:space="preserve">, A., </w:t>
      </w:r>
      <w:proofErr w:type="spellStart"/>
      <w:r w:rsidRPr="00BB47DA">
        <w:rPr>
          <w:rFonts w:ascii="Times New Roman" w:hAnsi="Times New Roman" w:cs="Times New Roman"/>
          <w:color w:val="3A3A3A"/>
          <w:shd w:val="clear" w:color="auto" w:fill="FFFFFF"/>
        </w:rPr>
        <w:t>Moutoussamy</w:t>
      </w:r>
      <w:proofErr w:type="spellEnd"/>
      <w:r w:rsidRPr="00BB47DA">
        <w:rPr>
          <w:rFonts w:ascii="Times New Roman" w:hAnsi="Times New Roman" w:cs="Times New Roman"/>
          <w:color w:val="3A3A3A"/>
          <w:shd w:val="clear" w:color="auto" w:fill="FFFFFF"/>
        </w:rPr>
        <w:t xml:space="preserve">, I., Morello, R., Pothier, K., &amp; </w:t>
      </w:r>
      <w:proofErr w:type="spellStart"/>
      <w:r w:rsidRPr="00BB47DA">
        <w:rPr>
          <w:rFonts w:ascii="Times New Roman" w:hAnsi="Times New Roman" w:cs="Times New Roman"/>
          <w:color w:val="3A3A3A"/>
          <w:shd w:val="clear" w:color="auto" w:fill="FFFFFF"/>
        </w:rPr>
        <w:t>Chavoix</w:t>
      </w:r>
      <w:proofErr w:type="spellEnd"/>
      <w:r w:rsidRPr="00BB47DA">
        <w:rPr>
          <w:rFonts w:ascii="Times New Roman" w:hAnsi="Times New Roman" w:cs="Times New Roman"/>
          <w:color w:val="3A3A3A"/>
          <w:shd w:val="clear" w:color="auto" w:fill="FFFFFF"/>
        </w:rPr>
        <w:t>, C. (2023). The PAPA Questionnaire: Assessment of Long-Term Engagement in Activities, with Separate Quantification of Their Physical, Cognitive, and Social Components. </w:t>
      </w:r>
      <w:r w:rsidRPr="00BB47DA">
        <w:rPr>
          <w:rFonts w:ascii="Times New Roman" w:hAnsi="Times New Roman" w:cs="Times New Roman"/>
          <w:i/>
          <w:iCs/>
          <w:color w:val="3A3A3A"/>
          <w:shd w:val="clear" w:color="auto" w:fill="FFFFFF"/>
        </w:rPr>
        <w:t>Clinical Interventions in Aging</w:t>
      </w:r>
      <w:r w:rsidRPr="00BB47DA">
        <w:rPr>
          <w:rFonts w:ascii="Times New Roman" w:hAnsi="Times New Roman" w:cs="Times New Roman"/>
          <w:color w:val="3A3A3A"/>
          <w:shd w:val="clear" w:color="auto" w:fill="FFFFFF"/>
        </w:rPr>
        <w:t>, </w:t>
      </w:r>
      <w:r w:rsidRPr="00BB47DA">
        <w:rPr>
          <w:rFonts w:ascii="Times New Roman" w:hAnsi="Times New Roman" w:cs="Times New Roman"/>
          <w:i/>
          <w:iCs/>
          <w:color w:val="3A3A3A"/>
          <w:shd w:val="clear" w:color="auto" w:fill="FFFFFF"/>
        </w:rPr>
        <w:t>18</w:t>
      </w:r>
      <w:r w:rsidRPr="00BB47DA">
        <w:rPr>
          <w:rFonts w:ascii="Times New Roman" w:hAnsi="Times New Roman" w:cs="Times New Roman"/>
          <w:color w:val="3A3A3A"/>
          <w:shd w:val="clear" w:color="auto" w:fill="FFFFFF"/>
        </w:rPr>
        <w:t xml:space="preserve">, 327–341. </w:t>
      </w:r>
      <w:hyperlink r:id="rId10" w:history="1">
        <w:r w:rsidRPr="00BB47DA">
          <w:rPr>
            <w:rStyle w:val="Hyperlink"/>
            <w:rFonts w:ascii="Times New Roman" w:hAnsi="Times New Roman" w:cs="Times New Roman"/>
            <w:shd w:val="clear" w:color="auto" w:fill="FFFFFF"/>
          </w:rPr>
          <w:t>https://doi.org/10.2147/CIA.S377917</w:t>
        </w:r>
      </w:hyperlink>
    </w:p>
    <w:p w14:paraId="4D87D4B8" w14:textId="77777777" w:rsidR="00264341" w:rsidRDefault="00264341" w:rsidP="00E13A98"/>
    <w:p w14:paraId="4C35B92D" w14:textId="5B4D79F2" w:rsidR="00264341" w:rsidRPr="00264341" w:rsidRDefault="00264341" w:rsidP="00E13A98">
      <w:pPr>
        <w:rPr>
          <w:rFonts w:ascii="Times New Roman" w:hAnsi="Times New Roman" w:cs="Times New Roman"/>
          <w:color w:val="3A3A3A"/>
          <w:shd w:val="clear" w:color="auto" w:fill="FFFFFF"/>
        </w:rPr>
      </w:pPr>
      <w:r w:rsidRPr="00264341">
        <w:rPr>
          <w:rFonts w:ascii="Times New Roman" w:hAnsi="Times New Roman" w:cs="Times New Roman"/>
          <w:color w:val="3A3A3A"/>
          <w:shd w:val="clear" w:color="auto" w:fill="FFFFFF"/>
        </w:rPr>
        <w:t>Oliver, M. (2023). Traditional assessment and its consequences. A case in the hegemonic Physical Education. </w:t>
      </w:r>
      <w:r w:rsidRPr="00264341">
        <w:rPr>
          <w:rFonts w:ascii="Times New Roman" w:hAnsi="Times New Roman" w:cs="Times New Roman"/>
          <w:i/>
          <w:iCs/>
          <w:color w:val="3A3A3A"/>
          <w:shd w:val="clear" w:color="auto" w:fill="FFFFFF"/>
        </w:rPr>
        <w:t xml:space="preserve">Cultura, Ciencia y </w:t>
      </w:r>
      <w:proofErr w:type="spellStart"/>
      <w:r w:rsidRPr="00264341">
        <w:rPr>
          <w:rFonts w:ascii="Times New Roman" w:hAnsi="Times New Roman" w:cs="Times New Roman"/>
          <w:i/>
          <w:iCs/>
          <w:color w:val="3A3A3A"/>
          <w:shd w:val="clear" w:color="auto" w:fill="FFFFFF"/>
        </w:rPr>
        <w:t>Deporte</w:t>
      </w:r>
      <w:proofErr w:type="spellEnd"/>
      <w:r w:rsidRPr="00264341">
        <w:rPr>
          <w:rFonts w:ascii="Times New Roman" w:hAnsi="Times New Roman" w:cs="Times New Roman"/>
          <w:color w:val="3A3A3A"/>
          <w:shd w:val="clear" w:color="auto" w:fill="FFFFFF"/>
        </w:rPr>
        <w:t>, </w:t>
      </w:r>
      <w:r w:rsidRPr="00264341">
        <w:rPr>
          <w:rFonts w:ascii="Times New Roman" w:hAnsi="Times New Roman" w:cs="Times New Roman"/>
          <w:i/>
          <w:iCs/>
          <w:color w:val="3A3A3A"/>
          <w:shd w:val="clear" w:color="auto" w:fill="FFFFFF"/>
        </w:rPr>
        <w:t>18</w:t>
      </w:r>
      <w:r w:rsidRPr="00264341">
        <w:rPr>
          <w:rFonts w:ascii="Times New Roman" w:hAnsi="Times New Roman" w:cs="Times New Roman"/>
          <w:color w:val="3A3A3A"/>
          <w:shd w:val="clear" w:color="auto" w:fill="FFFFFF"/>
        </w:rPr>
        <w:t xml:space="preserve">(58), 27–49. </w:t>
      </w:r>
      <w:hyperlink r:id="rId11" w:history="1">
        <w:r w:rsidRPr="00264341">
          <w:rPr>
            <w:rStyle w:val="Hyperlink"/>
            <w:rFonts w:ascii="Times New Roman" w:hAnsi="Times New Roman" w:cs="Times New Roman"/>
            <w:shd w:val="clear" w:color="auto" w:fill="FFFFFF"/>
          </w:rPr>
          <w:t>https://doi.org/10.12800/ccd.v18i58.1976</w:t>
        </w:r>
      </w:hyperlink>
    </w:p>
    <w:p w14:paraId="69E8D887" w14:textId="77777777" w:rsidR="0069193E" w:rsidRDefault="0069193E" w:rsidP="00E13A98"/>
    <w:p w14:paraId="1AE9B86F" w14:textId="4792B80B" w:rsidR="0069193E" w:rsidRPr="0069193E" w:rsidRDefault="0069193E" w:rsidP="00E13A98">
      <w:pPr>
        <w:rPr>
          <w:rFonts w:ascii="Times New Roman" w:hAnsi="Times New Roman" w:cs="Times New Roman"/>
          <w:color w:val="3A3A3A"/>
          <w:shd w:val="clear" w:color="auto" w:fill="FFFFFF"/>
        </w:rPr>
      </w:pPr>
      <w:proofErr w:type="spellStart"/>
      <w:r w:rsidRPr="0069193E">
        <w:rPr>
          <w:rFonts w:ascii="Times New Roman" w:hAnsi="Times New Roman" w:cs="Times New Roman"/>
          <w:color w:val="3A3A3A"/>
          <w:shd w:val="clear" w:color="auto" w:fill="FFFFFF"/>
        </w:rPr>
        <w:t>Pessman</w:t>
      </w:r>
      <w:proofErr w:type="spellEnd"/>
      <w:r w:rsidRPr="0069193E">
        <w:rPr>
          <w:rFonts w:ascii="Times New Roman" w:hAnsi="Times New Roman" w:cs="Times New Roman"/>
          <w:color w:val="3A3A3A"/>
          <w:shd w:val="clear" w:color="auto" w:fill="FFFFFF"/>
        </w:rPr>
        <w:t>, M. (2022). </w:t>
      </w:r>
      <w:r w:rsidRPr="0069193E">
        <w:rPr>
          <w:rFonts w:ascii="Times New Roman" w:hAnsi="Times New Roman" w:cs="Times New Roman"/>
          <w:i/>
          <w:iCs/>
          <w:color w:val="3A3A3A"/>
          <w:shd w:val="clear" w:color="auto" w:fill="FFFFFF"/>
        </w:rPr>
        <w:t>The Effects of Physical Education Learning Environments on High School Students’ Physical Literacy</w:t>
      </w:r>
      <w:r w:rsidRPr="0069193E">
        <w:rPr>
          <w:rFonts w:ascii="Times New Roman" w:hAnsi="Times New Roman" w:cs="Times New Roman"/>
          <w:color w:val="3A3A3A"/>
          <w:shd w:val="clear" w:color="auto" w:fill="FFFFFF"/>
        </w:rPr>
        <w:t>. ProQuest Dissertations &amp; Theses.</w:t>
      </w:r>
    </w:p>
    <w:p w14:paraId="7EFFB11E" w14:textId="77777777" w:rsidR="00000AAF" w:rsidRPr="00000AAF" w:rsidRDefault="00000AAF" w:rsidP="00E13A98">
      <w:pPr>
        <w:rPr>
          <w:rFonts w:ascii="Times New Roman" w:hAnsi="Times New Roman" w:cs="Times New Roman"/>
          <w:color w:val="3A3A3A"/>
          <w:shd w:val="clear" w:color="auto" w:fill="FFFFFF"/>
        </w:rPr>
      </w:pPr>
    </w:p>
    <w:p w14:paraId="22622DF6" w14:textId="472B434A" w:rsidR="00000AAF" w:rsidRDefault="00000AAF" w:rsidP="00E13A98">
      <w:pPr>
        <w:rPr>
          <w:rFonts w:ascii="Times New Roman" w:hAnsi="Times New Roman" w:cs="Times New Roman"/>
          <w:color w:val="222222"/>
          <w:shd w:val="clear" w:color="auto" w:fill="FFFFFF"/>
        </w:rPr>
      </w:pPr>
      <w:r w:rsidRPr="00000AAF">
        <w:rPr>
          <w:rFonts w:ascii="Times New Roman" w:hAnsi="Times New Roman" w:cs="Times New Roman"/>
          <w:color w:val="222222"/>
          <w:shd w:val="clear" w:color="auto" w:fill="FFFFFF"/>
        </w:rPr>
        <w:t>Werner, P., Thorpe, R., &amp; Bunker, D. (1996). Teaching games for understanding: Evolution of a model. </w:t>
      </w:r>
      <w:r w:rsidRPr="00000AAF">
        <w:rPr>
          <w:rFonts w:ascii="Times New Roman" w:hAnsi="Times New Roman" w:cs="Times New Roman"/>
          <w:i/>
          <w:iCs/>
          <w:color w:val="222222"/>
          <w:shd w:val="clear" w:color="auto" w:fill="FFFFFF"/>
        </w:rPr>
        <w:t>Journal of Physical Education, Recreation &amp; Dance</w:t>
      </w:r>
      <w:r w:rsidRPr="00000AAF">
        <w:rPr>
          <w:rFonts w:ascii="Times New Roman" w:hAnsi="Times New Roman" w:cs="Times New Roman"/>
          <w:color w:val="222222"/>
          <w:shd w:val="clear" w:color="auto" w:fill="FFFFFF"/>
        </w:rPr>
        <w:t>, </w:t>
      </w:r>
      <w:r w:rsidRPr="00000AAF">
        <w:rPr>
          <w:rFonts w:ascii="Times New Roman" w:hAnsi="Times New Roman" w:cs="Times New Roman"/>
          <w:i/>
          <w:iCs/>
          <w:color w:val="222222"/>
          <w:shd w:val="clear" w:color="auto" w:fill="FFFFFF"/>
        </w:rPr>
        <w:t>67</w:t>
      </w:r>
      <w:r w:rsidRPr="00000AAF">
        <w:rPr>
          <w:rFonts w:ascii="Times New Roman" w:hAnsi="Times New Roman" w:cs="Times New Roman"/>
          <w:color w:val="222222"/>
          <w:shd w:val="clear" w:color="auto" w:fill="FFFFFF"/>
        </w:rPr>
        <w:t>(1), 28-33.</w:t>
      </w:r>
    </w:p>
    <w:p w14:paraId="20A2B84A" w14:textId="77777777" w:rsidR="005961DA" w:rsidRDefault="005961DA" w:rsidP="00E13A98">
      <w:pPr>
        <w:rPr>
          <w:rFonts w:ascii="Times New Roman" w:hAnsi="Times New Roman" w:cs="Times New Roman"/>
          <w:color w:val="222222"/>
          <w:shd w:val="clear" w:color="auto" w:fill="FFFFFF"/>
        </w:rPr>
      </w:pPr>
    </w:p>
    <w:p w14:paraId="0466B452" w14:textId="07254D79" w:rsidR="005961DA" w:rsidRPr="005961DA" w:rsidRDefault="005961DA" w:rsidP="00E13A98">
      <w:pPr>
        <w:rPr>
          <w:rFonts w:ascii="Times New Roman" w:hAnsi="Times New Roman" w:cs="Times New Roman"/>
        </w:rPr>
      </w:pPr>
      <w:r w:rsidRPr="005961DA">
        <w:rPr>
          <w:rFonts w:ascii="Times New Roman" w:hAnsi="Times New Roman" w:cs="Times New Roman"/>
          <w:color w:val="3A3A3A"/>
          <w:shd w:val="clear" w:color="auto" w:fill="FFFFFF"/>
        </w:rPr>
        <w:t>Whitehead, M. (2001). The Concept of Physical Literacy. </w:t>
      </w:r>
      <w:r w:rsidRPr="005961DA">
        <w:rPr>
          <w:rFonts w:ascii="Times New Roman" w:hAnsi="Times New Roman" w:cs="Times New Roman"/>
          <w:i/>
          <w:iCs/>
          <w:color w:val="3A3A3A"/>
          <w:shd w:val="clear" w:color="auto" w:fill="FFFFFF"/>
        </w:rPr>
        <w:t>European Journal of Physical Education</w:t>
      </w:r>
      <w:r w:rsidRPr="005961DA">
        <w:rPr>
          <w:rFonts w:ascii="Times New Roman" w:hAnsi="Times New Roman" w:cs="Times New Roman"/>
          <w:color w:val="3A3A3A"/>
          <w:shd w:val="clear" w:color="auto" w:fill="FFFFFF"/>
        </w:rPr>
        <w:t>, </w:t>
      </w:r>
      <w:r w:rsidRPr="005961DA">
        <w:rPr>
          <w:rFonts w:ascii="Times New Roman" w:hAnsi="Times New Roman" w:cs="Times New Roman"/>
          <w:i/>
          <w:iCs/>
          <w:color w:val="3A3A3A"/>
          <w:shd w:val="clear" w:color="auto" w:fill="FFFFFF"/>
        </w:rPr>
        <w:t>6</w:t>
      </w:r>
      <w:r w:rsidRPr="005961DA">
        <w:rPr>
          <w:rFonts w:ascii="Times New Roman" w:hAnsi="Times New Roman" w:cs="Times New Roman"/>
          <w:color w:val="3A3A3A"/>
          <w:shd w:val="clear" w:color="auto" w:fill="FFFFFF"/>
        </w:rPr>
        <w:t>(2), 127–138. https://doi.org/10.1080/1740898010060205</w:t>
      </w:r>
    </w:p>
    <w:sectPr w:rsidR="005961DA" w:rsidRPr="005961DA">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A93F6" w14:textId="77777777" w:rsidR="000C0FD4" w:rsidRDefault="000C0FD4" w:rsidP="0076499F">
      <w:r>
        <w:separator/>
      </w:r>
    </w:p>
  </w:endnote>
  <w:endnote w:type="continuationSeparator" w:id="0">
    <w:p w14:paraId="71B139F0" w14:textId="77777777" w:rsidR="000C0FD4" w:rsidRDefault="000C0FD4" w:rsidP="007649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0962250"/>
      <w:docPartObj>
        <w:docPartGallery w:val="Page Numbers (Bottom of Page)"/>
        <w:docPartUnique/>
      </w:docPartObj>
    </w:sdtPr>
    <w:sdtContent>
      <w:p w14:paraId="75FAC701" w14:textId="1FF1B55C" w:rsidR="0076499F" w:rsidRDefault="0076499F" w:rsidP="00B829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98B7455" w14:textId="77777777" w:rsidR="0076499F" w:rsidRDefault="0076499F" w:rsidP="007649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5455504"/>
      <w:docPartObj>
        <w:docPartGallery w:val="Page Numbers (Bottom of Page)"/>
        <w:docPartUnique/>
      </w:docPartObj>
    </w:sdtPr>
    <w:sdtContent>
      <w:p w14:paraId="4ACCBA26" w14:textId="55B54B5A" w:rsidR="0076499F" w:rsidRDefault="0076499F" w:rsidP="00B829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A30A3E" w14:textId="77777777" w:rsidR="0076499F" w:rsidRDefault="0076499F" w:rsidP="007649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4330F" w14:textId="77777777" w:rsidR="000C0FD4" w:rsidRDefault="000C0FD4" w:rsidP="0076499F">
      <w:r>
        <w:separator/>
      </w:r>
    </w:p>
  </w:footnote>
  <w:footnote w:type="continuationSeparator" w:id="0">
    <w:p w14:paraId="0901D9F2" w14:textId="77777777" w:rsidR="000C0FD4" w:rsidRDefault="000C0FD4" w:rsidP="007649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97D89" w14:textId="5594B0E1" w:rsidR="0076499F" w:rsidRDefault="0076499F">
    <w:pPr>
      <w:pStyle w:val="Header"/>
    </w:pPr>
    <w:r>
      <w:t>2305788                                                                                                                                BMPE6001</w:t>
    </w:r>
  </w:p>
  <w:p w14:paraId="7D1EEF9A" w14:textId="77777777" w:rsidR="0076499F" w:rsidRDefault="007649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7B1B74"/>
    <w:multiLevelType w:val="hybridMultilevel"/>
    <w:tmpl w:val="D9B6A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7770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A98"/>
    <w:rsid w:val="00000AAF"/>
    <w:rsid w:val="000075DA"/>
    <w:rsid w:val="000764DD"/>
    <w:rsid w:val="000C0FD4"/>
    <w:rsid w:val="0011236B"/>
    <w:rsid w:val="00122B13"/>
    <w:rsid w:val="001362E5"/>
    <w:rsid w:val="00163B73"/>
    <w:rsid w:val="001B0FD6"/>
    <w:rsid w:val="001D20E4"/>
    <w:rsid w:val="002165D2"/>
    <w:rsid w:val="00225A4C"/>
    <w:rsid w:val="00233B7F"/>
    <w:rsid w:val="00254014"/>
    <w:rsid w:val="00264341"/>
    <w:rsid w:val="002E4D74"/>
    <w:rsid w:val="002E7C00"/>
    <w:rsid w:val="002F3E02"/>
    <w:rsid w:val="003030CD"/>
    <w:rsid w:val="00335D4B"/>
    <w:rsid w:val="003F48FE"/>
    <w:rsid w:val="004201FE"/>
    <w:rsid w:val="00461DC8"/>
    <w:rsid w:val="004856C7"/>
    <w:rsid w:val="00496166"/>
    <w:rsid w:val="0050407D"/>
    <w:rsid w:val="00560853"/>
    <w:rsid w:val="005760C6"/>
    <w:rsid w:val="005961DA"/>
    <w:rsid w:val="005A15C3"/>
    <w:rsid w:val="005F18F9"/>
    <w:rsid w:val="00600D66"/>
    <w:rsid w:val="006873ED"/>
    <w:rsid w:val="00687DA6"/>
    <w:rsid w:val="0069193E"/>
    <w:rsid w:val="00727B37"/>
    <w:rsid w:val="007418F2"/>
    <w:rsid w:val="00743290"/>
    <w:rsid w:val="0076499F"/>
    <w:rsid w:val="007C2F45"/>
    <w:rsid w:val="007E58F1"/>
    <w:rsid w:val="008274B8"/>
    <w:rsid w:val="00853B81"/>
    <w:rsid w:val="008C3A61"/>
    <w:rsid w:val="00902B3C"/>
    <w:rsid w:val="00940414"/>
    <w:rsid w:val="00956A26"/>
    <w:rsid w:val="00A00791"/>
    <w:rsid w:val="00B55D38"/>
    <w:rsid w:val="00BA57F5"/>
    <w:rsid w:val="00BB47DA"/>
    <w:rsid w:val="00C44A90"/>
    <w:rsid w:val="00D07E04"/>
    <w:rsid w:val="00D32B17"/>
    <w:rsid w:val="00D6081E"/>
    <w:rsid w:val="00DB3C79"/>
    <w:rsid w:val="00DD1273"/>
    <w:rsid w:val="00E04B9B"/>
    <w:rsid w:val="00E13A98"/>
    <w:rsid w:val="00E56C6A"/>
    <w:rsid w:val="00E66EA2"/>
    <w:rsid w:val="00EB3377"/>
    <w:rsid w:val="00ED3719"/>
    <w:rsid w:val="00F35C4C"/>
    <w:rsid w:val="00F412ED"/>
    <w:rsid w:val="00F52FBE"/>
    <w:rsid w:val="00F96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D342ED"/>
  <w15:chartTrackingRefBased/>
  <w15:docId w15:val="{B7A1519D-D9B7-3F44-B2FA-67D7C2620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A9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3A9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3A9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3A9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3A9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3A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A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A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A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A9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3A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3A9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3A9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3A9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3A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A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A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A98"/>
    <w:rPr>
      <w:rFonts w:eastAsiaTheme="majorEastAsia" w:cstheme="majorBidi"/>
      <w:color w:val="272727" w:themeColor="text1" w:themeTint="D8"/>
    </w:rPr>
  </w:style>
  <w:style w:type="paragraph" w:styleId="Title">
    <w:name w:val="Title"/>
    <w:basedOn w:val="Normal"/>
    <w:next w:val="Normal"/>
    <w:link w:val="TitleChar"/>
    <w:uiPriority w:val="10"/>
    <w:qFormat/>
    <w:rsid w:val="00E13A9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A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A9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A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A9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3A98"/>
    <w:rPr>
      <w:i/>
      <w:iCs/>
      <w:color w:val="404040" w:themeColor="text1" w:themeTint="BF"/>
    </w:rPr>
  </w:style>
  <w:style w:type="paragraph" w:styleId="ListParagraph">
    <w:name w:val="List Paragraph"/>
    <w:basedOn w:val="Normal"/>
    <w:uiPriority w:val="34"/>
    <w:qFormat/>
    <w:rsid w:val="00E13A98"/>
    <w:pPr>
      <w:ind w:left="720"/>
      <w:contextualSpacing/>
    </w:pPr>
  </w:style>
  <w:style w:type="character" w:styleId="IntenseEmphasis">
    <w:name w:val="Intense Emphasis"/>
    <w:basedOn w:val="DefaultParagraphFont"/>
    <w:uiPriority w:val="21"/>
    <w:qFormat/>
    <w:rsid w:val="00E13A98"/>
    <w:rPr>
      <w:i/>
      <w:iCs/>
      <w:color w:val="2F5496" w:themeColor="accent1" w:themeShade="BF"/>
    </w:rPr>
  </w:style>
  <w:style w:type="paragraph" w:styleId="IntenseQuote">
    <w:name w:val="Intense Quote"/>
    <w:basedOn w:val="Normal"/>
    <w:next w:val="Normal"/>
    <w:link w:val="IntenseQuoteChar"/>
    <w:uiPriority w:val="30"/>
    <w:qFormat/>
    <w:rsid w:val="00E13A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3A98"/>
    <w:rPr>
      <w:i/>
      <w:iCs/>
      <w:color w:val="2F5496" w:themeColor="accent1" w:themeShade="BF"/>
    </w:rPr>
  </w:style>
  <w:style w:type="character" w:styleId="IntenseReference">
    <w:name w:val="Intense Reference"/>
    <w:basedOn w:val="DefaultParagraphFont"/>
    <w:uiPriority w:val="32"/>
    <w:qFormat/>
    <w:rsid w:val="00E13A98"/>
    <w:rPr>
      <w:b/>
      <w:bCs/>
      <w:smallCaps/>
      <w:color w:val="2F5496" w:themeColor="accent1" w:themeShade="BF"/>
      <w:spacing w:val="5"/>
    </w:rPr>
  </w:style>
  <w:style w:type="character" w:styleId="Hyperlink">
    <w:name w:val="Hyperlink"/>
    <w:basedOn w:val="DefaultParagraphFont"/>
    <w:uiPriority w:val="99"/>
    <w:unhideWhenUsed/>
    <w:rsid w:val="00000AAF"/>
    <w:rPr>
      <w:color w:val="0563C1" w:themeColor="hyperlink"/>
      <w:u w:val="single"/>
    </w:rPr>
  </w:style>
  <w:style w:type="character" w:styleId="UnresolvedMention">
    <w:name w:val="Unresolved Mention"/>
    <w:basedOn w:val="DefaultParagraphFont"/>
    <w:uiPriority w:val="99"/>
    <w:semiHidden/>
    <w:unhideWhenUsed/>
    <w:rsid w:val="00000AAF"/>
    <w:rPr>
      <w:color w:val="605E5C"/>
      <w:shd w:val="clear" w:color="auto" w:fill="E1DFDD"/>
    </w:rPr>
  </w:style>
  <w:style w:type="table" w:styleId="TableGridLight">
    <w:name w:val="Grid Table Light"/>
    <w:basedOn w:val="TableNormal"/>
    <w:uiPriority w:val="40"/>
    <w:rsid w:val="0011236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7418F2"/>
    <w:rPr>
      <w:i/>
      <w:iCs/>
    </w:rPr>
  </w:style>
  <w:style w:type="paragraph" w:styleId="Footer">
    <w:name w:val="footer"/>
    <w:basedOn w:val="Normal"/>
    <w:link w:val="FooterChar"/>
    <w:uiPriority w:val="99"/>
    <w:unhideWhenUsed/>
    <w:rsid w:val="0076499F"/>
    <w:pPr>
      <w:tabs>
        <w:tab w:val="center" w:pos="4513"/>
        <w:tab w:val="right" w:pos="9026"/>
      </w:tabs>
    </w:pPr>
  </w:style>
  <w:style w:type="character" w:customStyle="1" w:styleId="FooterChar">
    <w:name w:val="Footer Char"/>
    <w:basedOn w:val="DefaultParagraphFont"/>
    <w:link w:val="Footer"/>
    <w:uiPriority w:val="99"/>
    <w:rsid w:val="0076499F"/>
  </w:style>
  <w:style w:type="character" w:styleId="PageNumber">
    <w:name w:val="page number"/>
    <w:basedOn w:val="DefaultParagraphFont"/>
    <w:uiPriority w:val="99"/>
    <w:semiHidden/>
    <w:unhideWhenUsed/>
    <w:rsid w:val="0076499F"/>
  </w:style>
  <w:style w:type="paragraph" w:styleId="Header">
    <w:name w:val="header"/>
    <w:basedOn w:val="Normal"/>
    <w:link w:val="HeaderChar"/>
    <w:uiPriority w:val="99"/>
    <w:unhideWhenUsed/>
    <w:rsid w:val="0076499F"/>
    <w:pPr>
      <w:tabs>
        <w:tab w:val="center" w:pos="4513"/>
        <w:tab w:val="right" w:pos="9026"/>
      </w:tabs>
    </w:pPr>
  </w:style>
  <w:style w:type="character" w:customStyle="1" w:styleId="HeaderChar">
    <w:name w:val="Header Char"/>
    <w:basedOn w:val="DefaultParagraphFont"/>
    <w:link w:val="Header"/>
    <w:uiPriority w:val="99"/>
    <w:rsid w:val="00764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212-023-00768-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cribd.com/document/732275700/capl-2-manual-en?utm_source=chatgpt.com"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2800/ccd.v18i58.197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2147/CIA.S377917" TargetMode="External"/><Relationship Id="rId4" Type="http://schemas.openxmlformats.org/officeDocument/2006/relationships/webSettings" Target="webSettings.xml"/><Relationship Id="rId9" Type="http://schemas.openxmlformats.org/officeDocument/2006/relationships/hyperlink" Target="https://doi.org/10.1038/s41598-025-02168-8" TargetMode="External"/><Relationship Id="rId14" Type="http://schemas.openxmlformats.org/officeDocument/2006/relationships/footer" Target="footer2.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383</TotalTime>
  <Pages>7</Pages>
  <Words>2959</Words>
  <Characters>16871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Roberts (2305788)</dc:creator>
  <cp:keywords/>
  <dc:description/>
  <cp:lastModifiedBy>Ryan Roberts (2305788)</cp:lastModifiedBy>
  <cp:revision>31</cp:revision>
  <dcterms:created xsi:type="dcterms:W3CDTF">2026-04-13T11:02:00Z</dcterms:created>
  <dcterms:modified xsi:type="dcterms:W3CDTF">2026-04-16T15:23:00Z</dcterms:modified>
</cp:coreProperties>
</file>