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A635E" w14:textId="77777777" w:rsidR="00A56733" w:rsidRDefault="00A56733" w:rsidP="00225946">
      <w:pPr>
        <w:spacing w:before="100" w:beforeAutospacing="1" w:after="100" w:afterAutospacing="1" w:line="240" w:lineRule="auto"/>
        <w:rPr>
          <w:rFonts w:ascii="Aptos" w:eastAsia="Times New Roman" w:hAnsi="Aptos" w:cs="Times New Roman"/>
          <w:noProof/>
        </w:rPr>
      </w:pPr>
    </w:p>
    <w:p w14:paraId="67EF4FA6" w14:textId="77777777" w:rsidR="00227631" w:rsidRDefault="00227631" w:rsidP="00225946">
      <w:pPr>
        <w:spacing w:before="100" w:beforeAutospacing="1" w:after="100" w:afterAutospacing="1" w:line="240" w:lineRule="auto"/>
        <w:rPr>
          <w:rFonts w:ascii="Aptos" w:eastAsia="Times New Roman" w:hAnsi="Aptos" w:cs="Times New Roman"/>
          <w:noProof/>
        </w:rPr>
      </w:pPr>
    </w:p>
    <w:p w14:paraId="411645F1" w14:textId="1960B131" w:rsidR="00B210AC" w:rsidRDefault="00BA50F3" w:rsidP="00225946">
      <w:pPr>
        <w:spacing w:before="100" w:beforeAutospacing="1" w:after="100" w:afterAutospacing="1" w:line="240" w:lineRule="auto"/>
        <w:rPr>
          <w:rFonts w:ascii="Aptos" w:eastAsia="Times New Roman" w:hAnsi="Aptos" w:cs="Times New Roman"/>
          <w:noProof/>
        </w:rPr>
      </w:pPr>
      <w:r>
        <w:rPr>
          <w:noProof/>
        </w:rPr>
        <w:drawing>
          <wp:anchor distT="0" distB="0" distL="114300" distR="114300" simplePos="0" relativeHeight="251658240" behindDoc="0" locked="0" layoutInCell="1" allowOverlap="1" wp14:anchorId="15779844" wp14:editId="3615BF10">
            <wp:simplePos x="0" y="0"/>
            <wp:positionH relativeFrom="column">
              <wp:posOffset>0</wp:posOffset>
            </wp:positionH>
            <wp:positionV relativeFrom="paragraph">
              <wp:posOffset>0</wp:posOffset>
            </wp:positionV>
            <wp:extent cx="5740400" cy="3782060"/>
            <wp:effectExtent l="0" t="0" r="0" b="2540"/>
            <wp:wrapTopAndBottom/>
            <wp:docPr id="810880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80074" name=""/>
                    <pic:cNvPicPr/>
                  </pic:nvPicPr>
                  <pic:blipFill>
                    <a:blip r:embed="rId7"/>
                    <a:stretch>
                      <a:fillRect/>
                    </a:stretch>
                  </pic:blipFill>
                  <pic:spPr>
                    <a:xfrm>
                      <a:off x="0" y="0"/>
                      <a:ext cx="5740400" cy="3782060"/>
                    </a:xfrm>
                    <a:prstGeom prst="rect">
                      <a:avLst/>
                    </a:prstGeom>
                  </pic:spPr>
                </pic:pic>
              </a:graphicData>
            </a:graphic>
            <wp14:sizeRelV relativeFrom="margin">
              <wp14:pctHeight>0</wp14:pctHeight>
            </wp14:sizeRelV>
          </wp:anchor>
        </w:drawing>
      </w:r>
    </w:p>
    <w:p w14:paraId="4866E5B4" w14:textId="2A8A84A6" w:rsidR="00B210AC" w:rsidRDefault="00B210AC" w:rsidP="00225946">
      <w:pPr>
        <w:spacing w:before="100" w:beforeAutospacing="1" w:after="100" w:afterAutospacing="1" w:line="240" w:lineRule="auto"/>
        <w:rPr>
          <w:rFonts w:ascii="Aptos" w:eastAsia="Times New Roman" w:hAnsi="Aptos" w:cs="Times New Roman"/>
          <w:noProof/>
        </w:rPr>
      </w:pPr>
    </w:p>
    <w:p w14:paraId="0F54FF1B" w14:textId="77777777" w:rsidR="00B210AC" w:rsidRDefault="00B210AC" w:rsidP="00225946">
      <w:pPr>
        <w:spacing w:before="100" w:beforeAutospacing="1" w:after="100" w:afterAutospacing="1" w:line="240" w:lineRule="auto"/>
        <w:rPr>
          <w:rFonts w:ascii="Aptos" w:eastAsia="Times New Roman" w:hAnsi="Aptos" w:cs="Times New Roman"/>
          <w:noProof/>
        </w:rPr>
      </w:pPr>
    </w:p>
    <w:p w14:paraId="2819E9D4" w14:textId="1DE5AD7A" w:rsidR="00225946" w:rsidRPr="00225946" w:rsidRDefault="00225946" w:rsidP="00225946">
      <w:pPr>
        <w:spacing w:before="100" w:beforeAutospacing="1" w:after="100" w:afterAutospacing="1" w:line="240" w:lineRule="auto"/>
        <w:rPr>
          <w:rFonts w:ascii="Arial" w:eastAsia="Times New Roman" w:hAnsi="Arial" w:cs="Arial"/>
          <w:b/>
          <w:bCs/>
          <w:kern w:val="0"/>
          <w:sz w:val="40"/>
          <w:szCs w:val="40"/>
          <w14:ligatures w14:val="none"/>
        </w:rPr>
      </w:pPr>
      <w:r w:rsidRPr="00225946">
        <w:rPr>
          <w:rFonts w:ascii="Arial" w:eastAsia="Times New Roman" w:hAnsi="Arial" w:cs="Arial"/>
          <w:b/>
          <w:bCs/>
          <w:kern w:val="0"/>
          <w:sz w:val="40"/>
          <w:szCs w:val="40"/>
          <w14:ligatures w14:val="none"/>
        </w:rPr>
        <w:t xml:space="preserve">Name: </w:t>
      </w:r>
      <w:r w:rsidRPr="00225946">
        <w:rPr>
          <w:rFonts w:ascii="Arial" w:eastAsia="Times New Roman" w:hAnsi="Arial" w:cs="Arial"/>
          <w:kern w:val="0"/>
          <w:sz w:val="40"/>
          <w:szCs w:val="40"/>
          <w14:ligatures w14:val="none"/>
        </w:rPr>
        <w:t>Muhammad Imran</w:t>
      </w:r>
    </w:p>
    <w:p w14:paraId="052C40B6" w14:textId="77777777" w:rsidR="00225946" w:rsidRPr="00225946" w:rsidRDefault="00225946" w:rsidP="00225946">
      <w:pPr>
        <w:spacing w:before="100" w:beforeAutospacing="1" w:after="100" w:afterAutospacing="1" w:line="240" w:lineRule="auto"/>
        <w:rPr>
          <w:rFonts w:ascii="Arial" w:eastAsia="Times New Roman" w:hAnsi="Arial" w:cs="Arial"/>
          <w:b/>
          <w:bCs/>
          <w:kern w:val="0"/>
          <w:sz w:val="40"/>
          <w:szCs w:val="40"/>
          <w14:ligatures w14:val="none"/>
        </w:rPr>
      </w:pPr>
      <w:r w:rsidRPr="00225946">
        <w:rPr>
          <w:rFonts w:ascii="Arial" w:eastAsia="Times New Roman" w:hAnsi="Arial" w:cs="Arial"/>
          <w:b/>
          <w:bCs/>
          <w:kern w:val="0"/>
          <w:sz w:val="40"/>
          <w:szCs w:val="40"/>
          <w14:ligatures w14:val="none"/>
        </w:rPr>
        <w:t xml:space="preserve">Student ID: </w:t>
      </w:r>
      <w:r w:rsidRPr="00225946">
        <w:rPr>
          <w:rFonts w:ascii="Arial" w:eastAsia="Times New Roman" w:hAnsi="Arial" w:cs="Arial"/>
          <w:kern w:val="0"/>
          <w:sz w:val="40"/>
          <w:szCs w:val="40"/>
          <w14:ligatures w14:val="none"/>
        </w:rPr>
        <w:t>2311530</w:t>
      </w:r>
    </w:p>
    <w:p w14:paraId="0DBB3FAA" w14:textId="21446861" w:rsidR="00225946" w:rsidRPr="00225946" w:rsidRDefault="00225946" w:rsidP="00225946">
      <w:pPr>
        <w:spacing w:line="276" w:lineRule="auto"/>
        <w:rPr>
          <w:rFonts w:ascii="Arial" w:eastAsia="Times New Roman" w:hAnsi="Arial" w:cs="Arial"/>
          <w:b/>
          <w:bCs/>
          <w:sz w:val="40"/>
          <w:szCs w:val="40"/>
        </w:rPr>
      </w:pPr>
      <w:r w:rsidRPr="00225946">
        <w:rPr>
          <w:rFonts w:ascii="Arial" w:eastAsia="Times New Roman" w:hAnsi="Arial" w:cs="Arial"/>
          <w:b/>
          <w:bCs/>
          <w:sz w:val="40"/>
          <w:szCs w:val="40"/>
        </w:rPr>
        <w:t xml:space="preserve">Lecturer: </w:t>
      </w:r>
      <w:r w:rsidR="00273D6B">
        <w:rPr>
          <w:rFonts w:ascii="Arial" w:eastAsia="Times New Roman" w:hAnsi="Arial" w:cs="Arial"/>
          <w:sz w:val="40"/>
          <w:szCs w:val="40"/>
        </w:rPr>
        <w:t>Yohan Mendis</w:t>
      </w:r>
    </w:p>
    <w:p w14:paraId="6386236A" w14:textId="1B53974D" w:rsidR="00225946" w:rsidRPr="00225946" w:rsidRDefault="00225946" w:rsidP="00225946">
      <w:pPr>
        <w:spacing w:before="100" w:beforeAutospacing="1" w:after="100" w:afterAutospacing="1" w:line="240" w:lineRule="auto"/>
        <w:rPr>
          <w:rFonts w:ascii="Arial" w:eastAsia="Times New Roman" w:hAnsi="Arial" w:cs="Arial"/>
          <w:kern w:val="0"/>
          <w:sz w:val="40"/>
          <w:szCs w:val="40"/>
          <w14:ligatures w14:val="none"/>
        </w:rPr>
      </w:pPr>
      <w:r w:rsidRPr="00225946">
        <w:rPr>
          <w:rFonts w:ascii="Arial" w:eastAsia="Times New Roman" w:hAnsi="Arial" w:cs="Arial"/>
          <w:b/>
          <w:bCs/>
          <w:kern w:val="0"/>
          <w:sz w:val="40"/>
          <w:szCs w:val="40"/>
          <w14:ligatures w14:val="none"/>
        </w:rPr>
        <w:t>Module</w:t>
      </w:r>
      <w:r w:rsidRPr="00225946">
        <w:rPr>
          <w:rFonts w:ascii="Arial" w:eastAsia="Times New Roman" w:hAnsi="Arial" w:cs="Arial"/>
          <w:kern w:val="0"/>
          <w:sz w:val="40"/>
          <w:szCs w:val="40"/>
          <w14:ligatures w14:val="none"/>
        </w:rPr>
        <w:t xml:space="preserve">: </w:t>
      </w:r>
      <w:r w:rsidR="00282C8B">
        <w:rPr>
          <w:rFonts w:ascii="Arial" w:eastAsia="Times New Roman" w:hAnsi="Arial" w:cs="Arial"/>
          <w:kern w:val="0"/>
          <w:sz w:val="40"/>
          <w:szCs w:val="40"/>
          <w14:ligatures w14:val="none"/>
        </w:rPr>
        <w:t>Strategic Management for Business</w:t>
      </w:r>
    </w:p>
    <w:p w14:paraId="2C097E5D" w14:textId="64D0EF00" w:rsidR="00225946" w:rsidRPr="00225946" w:rsidRDefault="00225946" w:rsidP="00225946">
      <w:pPr>
        <w:spacing w:before="100" w:beforeAutospacing="1" w:after="100" w:afterAutospacing="1" w:line="240" w:lineRule="auto"/>
        <w:rPr>
          <w:rFonts w:ascii="Arial" w:eastAsia="Times New Roman" w:hAnsi="Arial" w:cs="Arial"/>
          <w:b/>
          <w:bCs/>
          <w:kern w:val="0"/>
          <w:sz w:val="40"/>
          <w:szCs w:val="40"/>
          <w14:ligatures w14:val="none"/>
        </w:rPr>
      </w:pPr>
      <w:r w:rsidRPr="00225946">
        <w:rPr>
          <w:rFonts w:ascii="Arial" w:eastAsia="Times New Roman" w:hAnsi="Arial" w:cs="Arial"/>
          <w:b/>
          <w:bCs/>
          <w:kern w:val="0"/>
          <w:sz w:val="40"/>
          <w:szCs w:val="40"/>
          <w14:ligatures w14:val="none"/>
        </w:rPr>
        <w:t xml:space="preserve">Module Code: </w:t>
      </w:r>
      <w:r w:rsidRPr="00225946">
        <w:rPr>
          <w:rFonts w:ascii="Arial" w:eastAsia="Times New Roman" w:hAnsi="Arial" w:cs="Arial"/>
          <w:kern w:val="0"/>
          <w:sz w:val="40"/>
          <w:szCs w:val="40"/>
          <w14:ligatures w14:val="none"/>
        </w:rPr>
        <w:t>LCLM 600</w:t>
      </w:r>
      <w:r w:rsidR="00282C8B">
        <w:rPr>
          <w:rFonts w:ascii="Arial" w:eastAsia="Times New Roman" w:hAnsi="Arial" w:cs="Arial"/>
          <w:kern w:val="0"/>
          <w:sz w:val="40"/>
          <w:szCs w:val="40"/>
          <w14:ligatures w14:val="none"/>
        </w:rPr>
        <w:t>1</w:t>
      </w:r>
    </w:p>
    <w:p w14:paraId="03417BFF" w14:textId="682F7B58" w:rsidR="00225946" w:rsidRPr="00225946" w:rsidRDefault="00225946" w:rsidP="00225946">
      <w:pPr>
        <w:spacing w:before="100" w:beforeAutospacing="1" w:after="100" w:afterAutospacing="1" w:line="240" w:lineRule="auto"/>
        <w:rPr>
          <w:rFonts w:ascii="Arial" w:eastAsia="Times New Roman" w:hAnsi="Arial" w:cs="Arial"/>
          <w:b/>
          <w:bCs/>
          <w:kern w:val="0"/>
          <w:sz w:val="40"/>
          <w:szCs w:val="40"/>
          <w14:ligatures w14:val="none"/>
        </w:rPr>
      </w:pPr>
      <w:r w:rsidRPr="00225946">
        <w:rPr>
          <w:rFonts w:ascii="Arial" w:eastAsia="Times New Roman" w:hAnsi="Arial" w:cs="Arial"/>
          <w:b/>
          <w:bCs/>
          <w:kern w:val="0"/>
          <w:sz w:val="40"/>
          <w:szCs w:val="40"/>
          <w14:ligatures w14:val="none"/>
        </w:rPr>
        <w:t>Assignment Title:</w:t>
      </w:r>
      <w:r w:rsidR="00790234">
        <w:rPr>
          <w:rFonts w:ascii="Arial" w:eastAsia="Times New Roman" w:hAnsi="Arial" w:cs="Arial"/>
          <w:b/>
          <w:bCs/>
          <w:kern w:val="0"/>
          <w:sz w:val="40"/>
          <w:szCs w:val="40"/>
          <w14:ligatures w14:val="none"/>
        </w:rPr>
        <w:t xml:space="preserve"> </w:t>
      </w:r>
      <w:r w:rsidR="00790234" w:rsidRPr="00790234">
        <w:rPr>
          <w:rFonts w:ascii="Arial" w:eastAsia="Times New Roman" w:hAnsi="Arial" w:cs="Arial"/>
          <w:kern w:val="0"/>
          <w:sz w:val="40"/>
          <w:szCs w:val="40"/>
          <w14:ligatures w14:val="none"/>
        </w:rPr>
        <w:t>Individual Report</w:t>
      </w:r>
    </w:p>
    <w:p w14:paraId="7224FBED" w14:textId="77777777" w:rsidR="00677211" w:rsidRDefault="00677211" w:rsidP="00B96EE9">
      <w:pPr>
        <w:spacing w:before="360" w:after="0" w:line="240" w:lineRule="auto"/>
        <w:divId w:val="1479834944"/>
        <w:rPr>
          <w:rFonts w:ascii="Calibri" w:hAnsi="Calibri" w:cs="Times New Roman"/>
          <w:b/>
          <w:bCs/>
          <w:color w:val="365F91"/>
          <w:kern w:val="0"/>
          <w:sz w:val="32"/>
          <w:szCs w:val="32"/>
          <w14:ligatures w14:val="none"/>
        </w:rPr>
      </w:pPr>
    </w:p>
    <w:p w14:paraId="0BDA32B9" w14:textId="77777777" w:rsidR="006E7355" w:rsidRDefault="006E7355" w:rsidP="00B96EE9">
      <w:pPr>
        <w:spacing w:before="360" w:after="0" w:line="240" w:lineRule="auto"/>
        <w:divId w:val="1479834944"/>
        <w:rPr>
          <w:rFonts w:ascii="Arial" w:hAnsi="Arial" w:cs="Arial"/>
          <w:b/>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96EE9">
        <w:rPr>
          <w:rFonts w:ascii="Arial" w:hAnsi="Arial" w:cs="Arial"/>
          <w:b/>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Table of Contents</w:t>
      </w:r>
    </w:p>
    <w:p w14:paraId="795F05C9" w14:textId="77777777" w:rsidR="00677211" w:rsidRPr="00B67DB1" w:rsidRDefault="00677211" w:rsidP="00B96EE9">
      <w:pPr>
        <w:spacing w:before="360" w:after="0" w:line="240" w:lineRule="auto"/>
        <w:divId w:val="1479834944"/>
        <w:rPr>
          <w:rFonts w:ascii="Arial" w:hAnsi="Arial" w:cs="Arial"/>
          <w:b/>
          <w:color w:val="000000" w:themeColor="text1"/>
          <w:kern w:val="0"/>
          <w:sz w:val="27"/>
          <w:szCs w:val="2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CD8879F" w14:textId="5DA15322"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Title Page ....................................................................................................</w:t>
      </w:r>
      <w:r w:rsidR="009A0C33">
        <w:rPr>
          <w:rFonts w:ascii="Arial" w:hAnsi="Arial" w:cs="Arial"/>
          <w:b/>
          <w:color w:val="000000"/>
          <w:kern w:val="0"/>
          <w:sz w:val="22"/>
          <w:szCs w:val="22"/>
          <w14:ligatures w14:val="none"/>
        </w:rPr>
        <w:t>..</w:t>
      </w:r>
      <w:r w:rsidR="00F04B98" w:rsidRPr="00B67DB1">
        <w:rPr>
          <w:rFonts w:ascii="Arial" w:hAnsi="Arial" w:cs="Arial"/>
          <w:b/>
          <w:color w:val="000000"/>
          <w:kern w:val="0"/>
          <w:sz w:val="22"/>
          <w:szCs w:val="22"/>
          <w14:ligatures w14:val="none"/>
        </w:rPr>
        <w:t>1</w:t>
      </w:r>
    </w:p>
    <w:p w14:paraId="3CF6480C" w14:textId="536D45AA" w:rsidR="00F04B98" w:rsidRPr="00B67DB1" w:rsidRDefault="00F04B98"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Ta</w:t>
      </w:r>
      <w:r w:rsidR="00173430" w:rsidRPr="00B67DB1">
        <w:rPr>
          <w:rFonts w:ascii="Arial" w:hAnsi="Arial" w:cs="Arial"/>
          <w:b/>
          <w:color w:val="000000"/>
          <w:kern w:val="0"/>
          <w:sz w:val="22"/>
          <w:szCs w:val="22"/>
          <w14:ligatures w14:val="none"/>
        </w:rPr>
        <w:t xml:space="preserve">ble </w:t>
      </w:r>
      <w:r w:rsidR="00D75069" w:rsidRPr="00B67DB1">
        <w:rPr>
          <w:rFonts w:ascii="Arial" w:hAnsi="Arial" w:cs="Arial"/>
          <w:b/>
          <w:color w:val="000000"/>
          <w:kern w:val="0"/>
          <w:sz w:val="22"/>
          <w:szCs w:val="22"/>
          <w14:ligatures w14:val="none"/>
        </w:rPr>
        <w:t>of Contents……………………………………………………………</w:t>
      </w:r>
      <w:r w:rsidR="004D763A" w:rsidRPr="00B67DB1">
        <w:rPr>
          <w:rFonts w:ascii="Arial" w:hAnsi="Arial" w:cs="Arial"/>
          <w:b/>
          <w:color w:val="000000"/>
          <w:kern w:val="0"/>
          <w:sz w:val="22"/>
          <w:szCs w:val="22"/>
          <w14:ligatures w14:val="none"/>
        </w:rPr>
        <w:t>….</w:t>
      </w:r>
      <w:r w:rsidR="00D75069" w:rsidRPr="00B67DB1">
        <w:rPr>
          <w:rFonts w:ascii="Arial" w:hAnsi="Arial" w:cs="Arial"/>
          <w:b/>
          <w:color w:val="000000"/>
          <w:kern w:val="0"/>
          <w:sz w:val="22"/>
          <w:szCs w:val="22"/>
          <w14:ligatures w14:val="none"/>
        </w:rPr>
        <w:t>2</w:t>
      </w:r>
      <w:r w:rsidR="00172220" w:rsidRPr="00B67DB1">
        <w:rPr>
          <w:rFonts w:ascii="Arial" w:hAnsi="Arial" w:cs="Arial"/>
          <w:b/>
          <w:color w:val="000000"/>
          <w:kern w:val="0"/>
          <w:sz w:val="22"/>
          <w:szCs w:val="22"/>
          <w14:ligatures w14:val="none"/>
        </w:rPr>
        <w:t>-3</w:t>
      </w:r>
    </w:p>
    <w:p w14:paraId="29D7C33E" w14:textId="3BE69FB2"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1 Executive Summary................................................................................... </w:t>
      </w:r>
      <w:r w:rsidR="009C2422" w:rsidRPr="00B67DB1">
        <w:rPr>
          <w:rFonts w:ascii="Arial" w:hAnsi="Arial" w:cs="Arial"/>
          <w:b/>
          <w:color w:val="000000"/>
          <w:kern w:val="0"/>
          <w:sz w:val="22"/>
          <w:szCs w:val="22"/>
          <w14:ligatures w14:val="none"/>
        </w:rPr>
        <w:t>4</w:t>
      </w:r>
    </w:p>
    <w:p w14:paraId="5569EB40" w14:textId="2D4CBD25"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2 Introduction........................................................................................</w:t>
      </w:r>
      <w:r w:rsidR="00B67DB1" w:rsidRPr="00B67DB1">
        <w:rPr>
          <w:rFonts w:ascii="Arial" w:hAnsi="Arial" w:cs="Arial"/>
          <w:b/>
          <w:color w:val="000000"/>
          <w:kern w:val="0"/>
          <w:sz w:val="22"/>
          <w:szCs w:val="22"/>
          <w14:ligatures w14:val="none"/>
        </w:rPr>
        <w:t>........</w:t>
      </w:r>
      <w:r w:rsidR="00B67DB1">
        <w:rPr>
          <w:rFonts w:ascii="Arial" w:hAnsi="Arial" w:cs="Arial"/>
          <w:b/>
          <w:color w:val="000000"/>
          <w:kern w:val="0"/>
          <w:sz w:val="22"/>
          <w:szCs w:val="22"/>
          <w14:ligatures w14:val="none"/>
        </w:rPr>
        <w:t>..5</w:t>
      </w:r>
    </w:p>
    <w:p w14:paraId="5B72EC43" w14:textId="2A02AFA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2.1 Company Background..............................................................................</w:t>
      </w:r>
      <w:r w:rsidR="00C47122">
        <w:rPr>
          <w:rFonts w:ascii="Arial" w:hAnsi="Arial" w:cs="Arial"/>
          <w:b/>
          <w:color w:val="000000"/>
          <w:kern w:val="0"/>
          <w:sz w:val="22"/>
          <w:szCs w:val="22"/>
          <w14:ligatures w14:val="none"/>
        </w:rPr>
        <w:t>5</w:t>
      </w:r>
    </w:p>
    <w:p w14:paraId="62DEA366" w14:textId="410CFB4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2.2 Products and Services........................................................................... </w:t>
      </w:r>
      <w:r w:rsidR="00380996">
        <w:rPr>
          <w:rFonts w:ascii="Arial" w:hAnsi="Arial" w:cs="Arial"/>
          <w:b/>
          <w:color w:val="000000"/>
          <w:kern w:val="0"/>
          <w:sz w:val="22"/>
          <w:szCs w:val="22"/>
          <w14:ligatures w14:val="none"/>
        </w:rPr>
        <w:t>6</w:t>
      </w:r>
    </w:p>
    <w:p w14:paraId="122F70D3" w14:textId="58F0640D"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2.1: Products &amp; Services Overview........................................................... </w:t>
      </w:r>
      <w:r w:rsidR="00955825">
        <w:rPr>
          <w:rFonts w:ascii="Arial" w:hAnsi="Arial" w:cs="Arial"/>
          <w:b/>
          <w:color w:val="000000"/>
          <w:kern w:val="0"/>
          <w:sz w:val="22"/>
          <w:szCs w:val="22"/>
          <w14:ligatures w14:val="none"/>
        </w:rPr>
        <w:t>6</w:t>
      </w:r>
    </w:p>
    <w:p w14:paraId="4108104A" w14:textId="21DE74F3"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2.3 Business Model and Uniqueness................................................................... </w:t>
      </w:r>
      <w:r w:rsidR="00E1673A">
        <w:rPr>
          <w:rFonts w:ascii="Arial" w:hAnsi="Arial" w:cs="Arial"/>
          <w:b/>
          <w:color w:val="000000"/>
          <w:kern w:val="0"/>
          <w:sz w:val="22"/>
          <w:szCs w:val="22"/>
          <w14:ligatures w14:val="none"/>
        </w:rPr>
        <w:t>7</w:t>
      </w:r>
    </w:p>
    <w:p w14:paraId="6D65C537" w14:textId="1223A57E"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3 Appraisal of Current Strategic Direction............................................................ </w:t>
      </w:r>
      <w:r w:rsidR="0010532F">
        <w:rPr>
          <w:rFonts w:ascii="Arial" w:hAnsi="Arial" w:cs="Arial"/>
          <w:b/>
          <w:color w:val="000000"/>
          <w:kern w:val="0"/>
          <w:sz w:val="22"/>
          <w:szCs w:val="22"/>
          <w14:ligatures w14:val="none"/>
        </w:rPr>
        <w:t>8</w:t>
      </w:r>
    </w:p>
    <w:p w14:paraId="744BC31E" w14:textId="09F14D5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3.1 Inferred Mission, Vision, and Objectives........................................................ </w:t>
      </w:r>
      <w:r w:rsidR="00A440D5">
        <w:rPr>
          <w:rFonts w:ascii="Arial" w:hAnsi="Arial" w:cs="Arial"/>
          <w:b/>
          <w:color w:val="000000"/>
          <w:kern w:val="0"/>
          <w:sz w:val="22"/>
          <w:szCs w:val="22"/>
          <w14:ligatures w14:val="none"/>
        </w:rPr>
        <w:t>8</w:t>
      </w:r>
    </w:p>
    <w:p w14:paraId="19894492" w14:textId="1B25525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3.2 Appraisal of the Current Strategy...............................................................</w:t>
      </w:r>
      <w:r w:rsidR="00B218A8">
        <w:rPr>
          <w:rFonts w:ascii="Arial" w:hAnsi="Arial" w:cs="Arial"/>
          <w:b/>
          <w:color w:val="000000"/>
          <w:kern w:val="0"/>
          <w:sz w:val="22"/>
          <w:szCs w:val="22"/>
          <w14:ligatures w14:val="none"/>
        </w:rPr>
        <w:t xml:space="preserve"> </w:t>
      </w:r>
      <w:r w:rsidR="000D56CD">
        <w:rPr>
          <w:rFonts w:ascii="Arial" w:hAnsi="Arial" w:cs="Arial"/>
          <w:b/>
          <w:color w:val="000000"/>
          <w:kern w:val="0"/>
          <w:sz w:val="22"/>
          <w:szCs w:val="22"/>
          <w14:ligatures w14:val="none"/>
        </w:rPr>
        <w:t>9</w:t>
      </w:r>
    </w:p>
    <w:p w14:paraId="42185374" w14:textId="24BAAD8B"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3.3 Appraisal Summary...............................................................................</w:t>
      </w:r>
      <w:r w:rsidR="008E7107">
        <w:rPr>
          <w:rFonts w:ascii="Arial" w:hAnsi="Arial" w:cs="Arial"/>
          <w:b/>
          <w:color w:val="000000"/>
          <w:kern w:val="0"/>
          <w:sz w:val="22"/>
          <w:szCs w:val="22"/>
          <w14:ligatures w14:val="none"/>
        </w:rPr>
        <w:t>9</w:t>
      </w:r>
    </w:p>
    <w:p w14:paraId="3A466EBE" w14:textId="105C08F9"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4 Environmental Scan and Competitive Positioning......................................................</w:t>
      </w:r>
      <w:r w:rsidR="008D6308">
        <w:rPr>
          <w:rFonts w:ascii="Arial" w:hAnsi="Arial" w:cs="Arial"/>
          <w:b/>
          <w:color w:val="000000"/>
          <w:kern w:val="0"/>
          <w:sz w:val="22"/>
          <w:szCs w:val="22"/>
          <w14:ligatures w14:val="none"/>
        </w:rPr>
        <w:t xml:space="preserve"> 10</w:t>
      </w:r>
    </w:p>
    <w:p w14:paraId="3B13548D" w14:textId="078948E1"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4.1 Internal Environment – SWOT Analysis............................................................ </w:t>
      </w:r>
      <w:r w:rsidR="004335F0">
        <w:rPr>
          <w:rFonts w:ascii="Arial" w:hAnsi="Arial" w:cs="Arial"/>
          <w:b/>
          <w:color w:val="000000"/>
          <w:kern w:val="0"/>
          <w:sz w:val="22"/>
          <w:szCs w:val="22"/>
          <w14:ligatures w14:val="none"/>
        </w:rPr>
        <w:t>10</w:t>
      </w:r>
    </w:p>
    <w:p w14:paraId="6F9F83C8" w14:textId="73E7A525"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4.1: Internal SWOT Analysis................................................................. 1</w:t>
      </w:r>
      <w:r w:rsidR="00270974">
        <w:rPr>
          <w:rFonts w:ascii="Arial" w:hAnsi="Arial" w:cs="Arial"/>
          <w:b/>
          <w:color w:val="000000"/>
          <w:kern w:val="0"/>
          <w:sz w:val="22"/>
          <w:szCs w:val="22"/>
          <w14:ligatures w14:val="none"/>
        </w:rPr>
        <w:t>3</w:t>
      </w:r>
    </w:p>
    <w:p w14:paraId="558F7256" w14:textId="0B2D626C"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4.2 Value Chain Analysis............................................................................ 1</w:t>
      </w:r>
      <w:r w:rsidR="003D01DB">
        <w:rPr>
          <w:rFonts w:ascii="Arial" w:hAnsi="Arial" w:cs="Arial"/>
          <w:b/>
          <w:color w:val="000000"/>
          <w:kern w:val="0"/>
          <w:sz w:val="22"/>
          <w:szCs w:val="22"/>
          <w14:ligatures w14:val="none"/>
        </w:rPr>
        <w:t>4</w:t>
      </w:r>
    </w:p>
    <w:p w14:paraId="7B222F9F" w14:textId="45FE816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4.2: Value Chain Summary.................................................................... 1</w:t>
      </w:r>
      <w:r w:rsidR="00D020F5">
        <w:rPr>
          <w:rFonts w:ascii="Arial" w:hAnsi="Arial" w:cs="Arial"/>
          <w:b/>
          <w:color w:val="000000"/>
          <w:kern w:val="0"/>
          <w:sz w:val="22"/>
          <w:szCs w:val="22"/>
          <w14:ligatures w14:val="none"/>
        </w:rPr>
        <w:t>4</w:t>
      </w:r>
    </w:p>
    <w:p w14:paraId="6989D38E" w14:textId="022B152C"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4.3 External Environment – PESTEL Analysis.......................................................... 1</w:t>
      </w:r>
      <w:r w:rsidR="00D6617D">
        <w:rPr>
          <w:rFonts w:ascii="Arial" w:hAnsi="Arial" w:cs="Arial"/>
          <w:b/>
          <w:color w:val="000000"/>
          <w:kern w:val="0"/>
          <w:sz w:val="22"/>
          <w:szCs w:val="22"/>
          <w14:ligatures w14:val="none"/>
        </w:rPr>
        <w:t>5</w:t>
      </w:r>
    </w:p>
    <w:p w14:paraId="6785E4E5" w14:textId="73BF4863"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4.3: PESTEL Analysis Summary................................................................ </w:t>
      </w:r>
      <w:r w:rsidR="005C1E4A">
        <w:rPr>
          <w:rFonts w:ascii="Arial" w:hAnsi="Arial" w:cs="Arial"/>
          <w:b/>
          <w:color w:val="000000"/>
          <w:kern w:val="0"/>
          <w:sz w:val="22"/>
          <w:szCs w:val="22"/>
          <w14:ligatures w14:val="none"/>
        </w:rPr>
        <w:t>15</w:t>
      </w:r>
      <w:r w:rsidR="00932C52">
        <w:rPr>
          <w:rFonts w:ascii="Arial" w:hAnsi="Arial" w:cs="Arial"/>
          <w:b/>
          <w:color w:val="000000"/>
          <w:kern w:val="0"/>
          <w:sz w:val="22"/>
          <w:szCs w:val="22"/>
          <w14:ligatures w14:val="none"/>
        </w:rPr>
        <w:t>-17</w:t>
      </w:r>
    </w:p>
    <w:p w14:paraId="16AB1E21" w14:textId="6334150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4.4 Porter’s Five Forces............................................................................ 1</w:t>
      </w:r>
      <w:r w:rsidR="00162A01">
        <w:rPr>
          <w:rFonts w:ascii="Arial" w:hAnsi="Arial" w:cs="Arial"/>
          <w:b/>
          <w:color w:val="000000"/>
          <w:kern w:val="0"/>
          <w:sz w:val="22"/>
          <w:szCs w:val="22"/>
          <w14:ligatures w14:val="none"/>
        </w:rPr>
        <w:t>8</w:t>
      </w:r>
    </w:p>
    <w:p w14:paraId="3DAF91E9" w14:textId="6FD45A7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4.4: Porter’s Five Forces Assessment........................................................ 1</w:t>
      </w:r>
      <w:r w:rsidR="00307C54">
        <w:rPr>
          <w:rFonts w:ascii="Arial" w:hAnsi="Arial" w:cs="Arial"/>
          <w:b/>
          <w:color w:val="000000"/>
          <w:kern w:val="0"/>
          <w:sz w:val="22"/>
          <w:szCs w:val="22"/>
          <w14:ligatures w14:val="none"/>
        </w:rPr>
        <w:t>9</w:t>
      </w:r>
    </w:p>
    <w:p w14:paraId="137D5AC9" w14:textId="2F9386F3"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5 Strategic Growth Choices and Proposed Strategy...................................................... </w:t>
      </w:r>
      <w:r w:rsidR="00181A27">
        <w:rPr>
          <w:rFonts w:ascii="Arial" w:hAnsi="Arial" w:cs="Arial"/>
          <w:b/>
          <w:color w:val="000000"/>
          <w:kern w:val="0"/>
          <w:sz w:val="22"/>
          <w:szCs w:val="22"/>
          <w14:ligatures w14:val="none"/>
        </w:rPr>
        <w:t>20</w:t>
      </w:r>
    </w:p>
    <w:p w14:paraId="4B107AE7" w14:textId="499668EC"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5.1 Strategic Growth Frameworks (Ansoff, Porter, Bowman)............................................ </w:t>
      </w:r>
      <w:r w:rsidR="00E01407">
        <w:rPr>
          <w:rFonts w:ascii="Arial" w:hAnsi="Arial" w:cs="Arial"/>
          <w:b/>
          <w:color w:val="000000"/>
          <w:kern w:val="0"/>
          <w:sz w:val="22"/>
          <w:szCs w:val="22"/>
          <w14:ligatures w14:val="none"/>
        </w:rPr>
        <w:t>20</w:t>
      </w:r>
    </w:p>
    <w:p w14:paraId="5247DE5D" w14:textId="10FA5C3C"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5.1: Ansoff Matrix Application for QHC...................................................... </w:t>
      </w:r>
      <w:r w:rsidR="00802B3D">
        <w:rPr>
          <w:rFonts w:ascii="Arial" w:hAnsi="Arial" w:cs="Arial"/>
          <w:b/>
          <w:color w:val="000000"/>
          <w:kern w:val="0"/>
          <w:sz w:val="22"/>
          <w:szCs w:val="22"/>
          <w14:ligatures w14:val="none"/>
        </w:rPr>
        <w:t>20</w:t>
      </w:r>
    </w:p>
    <w:p w14:paraId="2A2A6596" w14:textId="1BB8469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Figure 5.1: Bowman’s Strategic Clock Positioning.................................................. </w:t>
      </w:r>
      <w:r w:rsidR="00661A31">
        <w:rPr>
          <w:rFonts w:ascii="Arial" w:hAnsi="Arial" w:cs="Arial"/>
          <w:b/>
          <w:color w:val="000000"/>
          <w:kern w:val="0"/>
          <w:sz w:val="22"/>
          <w:szCs w:val="22"/>
          <w14:ligatures w14:val="none"/>
        </w:rPr>
        <w:t>21</w:t>
      </w:r>
    </w:p>
    <w:p w14:paraId="3787F021" w14:textId="120B5E4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5.2 Proposed Long-Term Strategy..................................................................... </w:t>
      </w:r>
      <w:r w:rsidR="00DA4C59">
        <w:rPr>
          <w:rFonts w:ascii="Arial" w:hAnsi="Arial" w:cs="Arial"/>
          <w:b/>
          <w:color w:val="000000"/>
          <w:kern w:val="0"/>
          <w:sz w:val="22"/>
          <w:szCs w:val="22"/>
          <w14:ligatures w14:val="none"/>
        </w:rPr>
        <w:t>21</w:t>
      </w:r>
    </w:p>
    <w:p w14:paraId="7513E426" w14:textId="345E2B63"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5.3 Sustainable Strategy and Strategic Pillars...................................................... </w:t>
      </w:r>
      <w:r w:rsidR="002B2DC0">
        <w:rPr>
          <w:rFonts w:ascii="Arial" w:hAnsi="Arial" w:cs="Arial"/>
          <w:b/>
          <w:color w:val="000000"/>
          <w:kern w:val="0"/>
          <w:sz w:val="22"/>
          <w:szCs w:val="22"/>
          <w14:ligatures w14:val="none"/>
        </w:rPr>
        <w:t>22</w:t>
      </w:r>
    </w:p>
    <w:p w14:paraId="17246E8F" w14:textId="0992F96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6 Stakeholder Analysis................................................................................2</w:t>
      </w:r>
      <w:r w:rsidR="001741EA">
        <w:rPr>
          <w:rFonts w:ascii="Arial" w:hAnsi="Arial" w:cs="Arial"/>
          <w:b/>
          <w:color w:val="000000"/>
          <w:kern w:val="0"/>
          <w:sz w:val="22"/>
          <w:szCs w:val="22"/>
          <w14:ligatures w14:val="none"/>
        </w:rPr>
        <w:t>3</w:t>
      </w:r>
    </w:p>
    <w:p w14:paraId="6BB214E0" w14:textId="749926E9"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6.1 Stakeholder Identification and Expectations..................................................... 2</w:t>
      </w:r>
      <w:r w:rsidR="0066528D">
        <w:rPr>
          <w:rFonts w:ascii="Arial" w:hAnsi="Arial" w:cs="Arial"/>
          <w:b/>
          <w:color w:val="000000"/>
          <w:kern w:val="0"/>
          <w:sz w:val="22"/>
          <w:szCs w:val="22"/>
          <w14:ligatures w14:val="none"/>
        </w:rPr>
        <w:t>3</w:t>
      </w:r>
    </w:p>
    <w:p w14:paraId="29D7C6AB" w14:textId="1F0B981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6.2 Mendelow’s Matrix (Power vs Interest)........................................................... 2</w:t>
      </w:r>
      <w:r w:rsidR="00FE7277">
        <w:rPr>
          <w:rFonts w:ascii="Arial" w:hAnsi="Arial" w:cs="Arial"/>
          <w:b/>
          <w:color w:val="000000"/>
          <w:kern w:val="0"/>
          <w:sz w:val="22"/>
          <w:szCs w:val="22"/>
          <w14:ligatures w14:val="none"/>
        </w:rPr>
        <w:t>4</w:t>
      </w:r>
    </w:p>
    <w:p w14:paraId="55ED5A2C" w14:textId="7769D085"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6.</w:t>
      </w:r>
      <w:r w:rsidR="00D47D49">
        <w:rPr>
          <w:rFonts w:ascii="Arial" w:hAnsi="Arial" w:cs="Arial"/>
          <w:b/>
          <w:color w:val="000000"/>
          <w:kern w:val="0"/>
          <w:sz w:val="22"/>
          <w:szCs w:val="22"/>
          <w14:ligatures w14:val="none"/>
        </w:rPr>
        <w:t>2</w:t>
      </w:r>
      <w:r w:rsidRPr="00B67DB1">
        <w:rPr>
          <w:rFonts w:ascii="Arial" w:hAnsi="Arial" w:cs="Arial"/>
          <w:b/>
          <w:color w:val="000000"/>
          <w:kern w:val="0"/>
          <w:sz w:val="22"/>
          <w:szCs w:val="22"/>
          <w14:ligatures w14:val="none"/>
        </w:rPr>
        <w:t>: Mendelow’s Matrix Stakeholder Mapping.................................................. 2</w:t>
      </w:r>
      <w:r w:rsidR="009D17D2">
        <w:rPr>
          <w:rFonts w:ascii="Arial" w:hAnsi="Arial" w:cs="Arial"/>
          <w:b/>
          <w:color w:val="000000"/>
          <w:kern w:val="0"/>
          <w:sz w:val="22"/>
          <w:szCs w:val="22"/>
          <w14:ligatures w14:val="none"/>
        </w:rPr>
        <w:t>4</w:t>
      </w:r>
    </w:p>
    <w:p w14:paraId="0DA931D7" w14:textId="5B9BD604"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6.3 RACI Framework for Implementation............................................................... 2</w:t>
      </w:r>
      <w:r w:rsidR="00705153">
        <w:rPr>
          <w:rFonts w:ascii="Arial" w:hAnsi="Arial" w:cs="Arial"/>
          <w:b/>
          <w:color w:val="000000"/>
          <w:kern w:val="0"/>
          <w:sz w:val="22"/>
          <w:szCs w:val="22"/>
          <w14:ligatures w14:val="none"/>
        </w:rPr>
        <w:t>5</w:t>
      </w:r>
    </w:p>
    <w:p w14:paraId="2EE9AF24" w14:textId="35CC5BC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6.2: RACI Framework for Strategic Implementation............................................ 2</w:t>
      </w:r>
      <w:r w:rsidR="00D403E5">
        <w:rPr>
          <w:rFonts w:ascii="Arial" w:hAnsi="Arial" w:cs="Arial"/>
          <w:b/>
          <w:color w:val="000000"/>
          <w:kern w:val="0"/>
          <w:sz w:val="22"/>
          <w:szCs w:val="22"/>
          <w14:ligatures w14:val="none"/>
        </w:rPr>
        <w:t>5</w:t>
      </w:r>
    </w:p>
    <w:p w14:paraId="55F0CE18" w14:textId="5670E492"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7 Strategic Recommendations and Implementation Plan................................................... 2</w:t>
      </w:r>
      <w:r w:rsidR="002522A2">
        <w:rPr>
          <w:rFonts w:ascii="Arial" w:hAnsi="Arial" w:cs="Arial"/>
          <w:b/>
          <w:color w:val="000000"/>
          <w:kern w:val="0"/>
          <w:sz w:val="22"/>
          <w:szCs w:val="22"/>
          <w14:ligatures w14:val="none"/>
        </w:rPr>
        <w:t>6</w:t>
      </w:r>
    </w:p>
    <w:p w14:paraId="121F5CA4" w14:textId="7B32D3B9"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7.1 Key Recommendations............................................................................. 2</w:t>
      </w:r>
      <w:r w:rsidR="00571028">
        <w:rPr>
          <w:rFonts w:ascii="Arial" w:hAnsi="Arial" w:cs="Arial"/>
          <w:b/>
          <w:color w:val="000000"/>
          <w:kern w:val="0"/>
          <w:sz w:val="22"/>
          <w:szCs w:val="22"/>
          <w14:ligatures w14:val="none"/>
        </w:rPr>
        <w:t>6</w:t>
      </w:r>
    </w:p>
    <w:p w14:paraId="5831C4F6" w14:textId="3CE8DC8B"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7.1: Key Strategic Recommendations Summary.................................................. 2</w:t>
      </w:r>
      <w:r w:rsidR="00AF38AB">
        <w:rPr>
          <w:rFonts w:ascii="Arial" w:hAnsi="Arial" w:cs="Arial"/>
          <w:b/>
          <w:color w:val="000000"/>
          <w:kern w:val="0"/>
          <w:sz w:val="22"/>
          <w:szCs w:val="22"/>
          <w14:ligatures w14:val="none"/>
        </w:rPr>
        <w:t>6</w:t>
      </w:r>
      <w:r w:rsidR="0092706B">
        <w:rPr>
          <w:rFonts w:ascii="Arial" w:hAnsi="Arial" w:cs="Arial"/>
          <w:b/>
          <w:color w:val="000000"/>
          <w:kern w:val="0"/>
          <w:sz w:val="22"/>
          <w:szCs w:val="22"/>
          <w14:ligatures w14:val="none"/>
        </w:rPr>
        <w:t>-27</w:t>
      </w:r>
    </w:p>
    <w:p w14:paraId="085DF2DA" w14:textId="7491E349"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7.2 Implementation Timeline......................................................................... 2</w:t>
      </w:r>
      <w:r w:rsidR="00DD324F">
        <w:rPr>
          <w:rFonts w:ascii="Arial" w:hAnsi="Arial" w:cs="Arial"/>
          <w:b/>
          <w:color w:val="000000"/>
          <w:kern w:val="0"/>
          <w:sz w:val="22"/>
          <w:szCs w:val="22"/>
          <w14:ligatures w14:val="none"/>
        </w:rPr>
        <w:t>8</w:t>
      </w:r>
    </w:p>
    <w:p w14:paraId="173A54BD" w14:textId="544A1E7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7.2: Two-Year Strategic Implementation Plan................................................. 2</w:t>
      </w:r>
      <w:r w:rsidR="00246F7D">
        <w:rPr>
          <w:rFonts w:ascii="Arial" w:hAnsi="Arial" w:cs="Arial"/>
          <w:b/>
          <w:color w:val="000000"/>
          <w:kern w:val="0"/>
          <w:sz w:val="22"/>
          <w:szCs w:val="22"/>
          <w14:ligatures w14:val="none"/>
        </w:rPr>
        <w:t>8</w:t>
      </w:r>
    </w:p>
    <w:p w14:paraId="33D18B56" w14:textId="28A8D7C7"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Figure 7.1: Implementation Gantt-Style Overview................................................... 2</w:t>
      </w:r>
      <w:r w:rsidR="00634C4B">
        <w:rPr>
          <w:rFonts w:ascii="Arial" w:hAnsi="Arial" w:cs="Arial"/>
          <w:b/>
          <w:color w:val="000000"/>
          <w:kern w:val="0"/>
          <w:sz w:val="22"/>
          <w:szCs w:val="22"/>
          <w14:ligatures w14:val="none"/>
        </w:rPr>
        <w:t>9</w:t>
      </w:r>
    </w:p>
    <w:p w14:paraId="08DB3052" w14:textId="496D09C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7.3 Addressing SME Implementation Challenges........................................................ </w:t>
      </w:r>
      <w:r w:rsidR="00AD4D8B">
        <w:rPr>
          <w:rFonts w:ascii="Arial" w:hAnsi="Arial" w:cs="Arial"/>
          <w:b/>
          <w:color w:val="000000"/>
          <w:kern w:val="0"/>
          <w:sz w:val="22"/>
          <w:szCs w:val="22"/>
          <w14:ligatures w14:val="none"/>
        </w:rPr>
        <w:t>30</w:t>
      </w:r>
    </w:p>
    <w:p w14:paraId="5BD9779B" w14:textId="7B2BF037"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8 Conclusion.......................................................................................... </w:t>
      </w:r>
      <w:r w:rsidR="00BB3076">
        <w:rPr>
          <w:rFonts w:ascii="Arial" w:hAnsi="Arial" w:cs="Arial"/>
          <w:b/>
          <w:color w:val="000000"/>
          <w:kern w:val="0"/>
          <w:sz w:val="22"/>
          <w:szCs w:val="22"/>
          <w14:ligatures w14:val="none"/>
        </w:rPr>
        <w:t>3</w:t>
      </w:r>
      <w:r w:rsidR="00E92FC4">
        <w:rPr>
          <w:rFonts w:ascii="Arial" w:hAnsi="Arial" w:cs="Arial"/>
          <w:b/>
          <w:color w:val="000000"/>
          <w:kern w:val="0"/>
          <w:sz w:val="22"/>
          <w:szCs w:val="22"/>
          <w14:ligatures w14:val="none"/>
        </w:rPr>
        <w:t>1</w:t>
      </w:r>
    </w:p>
    <w:p w14:paraId="40CE4987" w14:textId="5A70352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9 References.......................................................................................... </w:t>
      </w:r>
      <w:r w:rsidR="00F2777A">
        <w:rPr>
          <w:rFonts w:ascii="Arial" w:hAnsi="Arial" w:cs="Arial"/>
          <w:b/>
          <w:color w:val="000000"/>
          <w:kern w:val="0"/>
          <w:sz w:val="22"/>
          <w:szCs w:val="22"/>
          <w14:ligatures w14:val="none"/>
        </w:rPr>
        <w:t>3</w:t>
      </w:r>
      <w:r w:rsidR="000A1147">
        <w:rPr>
          <w:rFonts w:ascii="Arial" w:hAnsi="Arial" w:cs="Arial"/>
          <w:b/>
          <w:color w:val="000000"/>
          <w:kern w:val="0"/>
          <w:sz w:val="22"/>
          <w:szCs w:val="22"/>
          <w14:ligatures w14:val="none"/>
        </w:rPr>
        <w:t>2-</w:t>
      </w:r>
      <w:r w:rsidR="00F2777A">
        <w:rPr>
          <w:rFonts w:ascii="Arial" w:hAnsi="Arial" w:cs="Arial"/>
          <w:b/>
          <w:color w:val="000000"/>
          <w:kern w:val="0"/>
          <w:sz w:val="22"/>
          <w:szCs w:val="22"/>
          <w14:ligatures w14:val="none"/>
        </w:rPr>
        <w:t>3</w:t>
      </w:r>
      <w:r w:rsidR="007D742B">
        <w:rPr>
          <w:rFonts w:ascii="Arial" w:hAnsi="Arial" w:cs="Arial"/>
          <w:b/>
          <w:color w:val="000000"/>
          <w:kern w:val="0"/>
          <w:sz w:val="22"/>
          <w:szCs w:val="22"/>
          <w14:ligatures w14:val="none"/>
        </w:rPr>
        <w:t>3</w:t>
      </w:r>
    </w:p>
    <w:p w14:paraId="44C57D34" w14:textId="77777777" w:rsidR="00225946" w:rsidRPr="00B67DB1" w:rsidRDefault="00225946" w:rsidP="00DB7E51">
      <w:pPr>
        <w:spacing w:before="100" w:beforeAutospacing="1" w:after="100" w:afterAutospacing="1" w:line="240" w:lineRule="auto"/>
        <w:outlineLvl w:val="0"/>
        <w:rPr>
          <w:rFonts w:ascii="Times New Roman" w:eastAsia="Times New Roman" w:hAnsi="Times New Roman" w:cs="Times New Roman"/>
          <w:b/>
          <w:kern w:val="36"/>
          <w:sz w:val="48"/>
          <w:szCs w:val="48"/>
          <w14:ligatures w14:val="none"/>
        </w:rPr>
      </w:pPr>
    </w:p>
    <w:p w14:paraId="103EDD48"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FB6E461"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13F625E"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AE93A2C"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B6EA1C4"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FF6FF50"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4BD8086"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ACE6951"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0823151" w14:textId="0800DD86" w:rsidR="00DB7E51" w:rsidRPr="00DB7E51" w:rsidRDefault="00DB7E51" w:rsidP="00556AE3">
      <w:pPr>
        <w:pStyle w:val="Heading1"/>
        <w:spacing w:line="360" w:lineRule="auto"/>
        <w:rPr>
          <w:rFonts w:eastAsia="Times New Roman"/>
        </w:rPr>
      </w:pPr>
      <w:r w:rsidRPr="00DB7E51">
        <w:rPr>
          <w:rFonts w:eastAsia="Times New Roman"/>
        </w:rPr>
        <w:t>Strategic Analysis and Recommendations Report for Quarter Horse Coffee</w:t>
      </w:r>
    </w:p>
    <w:p w14:paraId="6DAAA087" w14:textId="17BDF992" w:rsidR="00DB7E51" w:rsidRPr="00DB7E51" w:rsidRDefault="00DB7E51" w:rsidP="00556AE3">
      <w:pPr>
        <w:spacing w:after="0" w:line="360" w:lineRule="auto"/>
        <w:rPr>
          <w:rFonts w:ascii="Times New Roman" w:hAnsi="Times New Roman" w:cs="Times New Roman"/>
          <w:kern w:val="0"/>
          <w14:ligatures w14:val="none"/>
        </w:rPr>
      </w:pPr>
    </w:p>
    <w:p w14:paraId="45DD4C69" w14:textId="77777777" w:rsidR="00DB7E51" w:rsidRPr="00253FBF" w:rsidRDefault="00DB7E51" w:rsidP="000060F6">
      <w:pPr>
        <w:pStyle w:val="Heading2"/>
        <w:spacing w:line="360" w:lineRule="auto"/>
      </w:pPr>
      <w:r w:rsidRPr="00253FBF">
        <w:rPr>
          <w:rFonts w:eastAsia="Times New Roman"/>
        </w:rPr>
        <w:t>1. Executive Summary</w:t>
      </w:r>
    </w:p>
    <w:p w14:paraId="28033885" w14:textId="28DF725F" w:rsidR="00253FBF" w:rsidRDefault="00BB763C" w:rsidP="000060F6">
      <w:pPr>
        <w:pStyle w:val="p1"/>
        <w:spacing w:line="360" w:lineRule="auto"/>
        <w:rPr>
          <w:rStyle w:val="s1"/>
          <w:rFonts w:ascii="Arial" w:hAnsi="Arial" w:cs="Arial"/>
          <w:sz w:val="22"/>
          <w:szCs w:val="22"/>
        </w:rPr>
      </w:pPr>
      <w:r w:rsidRPr="00CF359B">
        <w:rPr>
          <w:rStyle w:val="s1"/>
          <w:rFonts w:ascii="Arial" w:hAnsi="Arial" w:cs="Arial"/>
          <w:sz w:val="22"/>
          <w:szCs w:val="22"/>
        </w:rPr>
        <w:t xml:space="preserve">Quarter Horse Coffee (QHC) is an independent UK roastery-café based in Birmingham, founded in 2012, that sources and roasts specialty coffee beans, supplies cafés and wholesale clients, offers retail subscriptions, and provides training/support. This report evaluates its current strategic direction and environment, analyses internal and external factors (via SWOT, Value Chain, PESTEL, Porter’s Five Forces), explores strategic growth options (drawing on Ansoff/Porter generic strategies/Bowman’s clock), conducts a stakeholder analysis (Mendelow’s matrix and RACI), and puts forward strategic recommendations for sustainable long-term development — mindful of SME-specific implementation challenges (e.g., resource constraints, agility vs structure). Key recommendations </w:t>
      </w:r>
      <w:r w:rsidR="005F3AE7" w:rsidRPr="00CF359B">
        <w:rPr>
          <w:rStyle w:val="s1"/>
          <w:rFonts w:ascii="Arial" w:hAnsi="Arial" w:cs="Arial"/>
          <w:sz w:val="22"/>
          <w:szCs w:val="22"/>
        </w:rPr>
        <w:t>include</w:t>
      </w:r>
      <w:r w:rsidRPr="00CF359B">
        <w:rPr>
          <w:rStyle w:val="s1"/>
          <w:rFonts w:ascii="Arial" w:hAnsi="Arial" w:cs="Arial"/>
          <w:sz w:val="22"/>
          <w:szCs w:val="22"/>
        </w:rPr>
        <w:t xml:space="preserve"> enhancing its subscription/wholesale digital channel, developing deeper origin-producer partnerships to build a premium “direct trade” brand, investing in operational scalability and automation (while maintaining quality), and formalising strategic governance and measurement to avoid ad hoc drift. Implementation should be phased, resource-appropriate, and supported by clear roles, KPI frameworks and continuous review.</w:t>
      </w:r>
    </w:p>
    <w:p w14:paraId="640A0F54" w14:textId="15E4E6C7" w:rsidR="00253FBF" w:rsidRPr="00291FC3" w:rsidRDefault="00F64924" w:rsidP="00556AE3">
      <w:pPr>
        <w:pStyle w:val="p1"/>
        <w:spacing w:line="360" w:lineRule="auto"/>
        <w:divId w:val="679698903"/>
        <w:rPr>
          <w:rFonts w:ascii="Arial" w:hAnsi="Arial" w:cs="Arial"/>
          <w:sz w:val="22"/>
          <w:szCs w:val="22"/>
        </w:rPr>
      </w:pPr>
      <w:r w:rsidRPr="004E5C00">
        <w:rPr>
          <w:rStyle w:val="s1"/>
          <w:rFonts w:ascii="Arial" w:hAnsi="Arial" w:cs="Arial"/>
          <w:sz w:val="22"/>
          <w:szCs w:val="22"/>
        </w:rPr>
        <w:t>Additionally, the report highlights the importance of brand differentiation through storytelling and experiential marketing to strengthen customer loyalty in an increasingly competitive specialty coffee market. It also emphasises leveraging sustainability credentials and digital innovation to enhance market visibility, operational resilience, and stakeholder trust, thereby securing Quarter Horse Coffee’s long-term strategic advantage</w:t>
      </w:r>
      <w:r w:rsidR="00E54BA7">
        <w:rPr>
          <w:rStyle w:val="s1"/>
          <w:rFonts w:ascii="Arial" w:hAnsi="Arial" w:cs="Arial"/>
          <w:sz w:val="22"/>
          <w:szCs w:val="22"/>
        </w:rPr>
        <w:t>.</w:t>
      </w:r>
    </w:p>
    <w:p w14:paraId="6BE12F29" w14:textId="77777777" w:rsidR="00531A4B" w:rsidRDefault="00531A4B" w:rsidP="00F5535A">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48DF38A0" w14:textId="77777777" w:rsidR="00531A4B" w:rsidRDefault="00531A4B" w:rsidP="00F5535A">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3A71150D" w14:textId="77777777" w:rsidR="00531A4B" w:rsidRDefault="00531A4B" w:rsidP="00F5535A">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295A7E6A" w14:textId="77777777" w:rsidR="00531A4B" w:rsidRDefault="00531A4B" w:rsidP="00F5535A">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0D9D07B7" w14:textId="5A37B036" w:rsidR="008F2480" w:rsidRPr="002F4B30" w:rsidRDefault="00DB7E51" w:rsidP="000060F6">
      <w:pPr>
        <w:pStyle w:val="Heading2"/>
        <w:spacing w:line="360" w:lineRule="auto"/>
        <w:rPr>
          <w:rStyle w:val="Heading1Char"/>
          <w:sz w:val="32"/>
          <w:szCs w:val="32"/>
        </w:rPr>
      </w:pPr>
      <w:r w:rsidRPr="002F4B30">
        <w:t>2</w:t>
      </w:r>
      <w:r w:rsidR="00330E8B" w:rsidRPr="002F4B30">
        <w:t>.</w:t>
      </w:r>
      <w:r w:rsidR="00FA25E7" w:rsidRPr="002F4B30">
        <w:t xml:space="preserve"> </w:t>
      </w:r>
      <w:r w:rsidRPr="002F4B30">
        <w:rPr>
          <w:rStyle w:val="Heading1Char"/>
          <w:sz w:val="32"/>
          <w:szCs w:val="32"/>
        </w:rPr>
        <w:t>Introduction</w:t>
      </w:r>
    </w:p>
    <w:p w14:paraId="287EAA21" w14:textId="77777777" w:rsidR="001900BD" w:rsidRPr="007134B0" w:rsidRDefault="001900BD" w:rsidP="000060F6">
      <w:pPr>
        <w:pStyle w:val="p1"/>
        <w:spacing w:line="360" w:lineRule="auto"/>
        <w:divId w:val="1813862996"/>
        <w:rPr>
          <w:rFonts w:ascii="Arial" w:hAnsi="Arial" w:cs="Arial"/>
          <w:sz w:val="22"/>
          <w:szCs w:val="22"/>
        </w:rPr>
      </w:pPr>
      <w:r w:rsidRPr="007134B0">
        <w:rPr>
          <w:rStyle w:val="s1"/>
          <w:rFonts w:ascii="Arial" w:hAnsi="Arial" w:cs="Arial"/>
          <w:sz w:val="22"/>
          <w:szCs w:val="22"/>
        </w:rPr>
        <w:t xml:space="preserve">Quarter Horse Coffee (QHC) is an independent coffee roaster and café business headquartered in Birmingham, United Kingdom. The company was originally founded in </w:t>
      </w:r>
      <w:r w:rsidRPr="007134B0">
        <w:rPr>
          <w:rStyle w:val="s2"/>
          <w:rFonts w:ascii="Arial" w:hAnsi="Arial" w:cs="Arial"/>
          <w:sz w:val="22"/>
          <w:szCs w:val="22"/>
        </w:rPr>
        <w:t>Oxford in 2012</w:t>
      </w:r>
      <w:r w:rsidRPr="007134B0">
        <w:rPr>
          <w:rStyle w:val="s1"/>
          <w:rFonts w:ascii="Arial" w:hAnsi="Arial" w:cs="Arial"/>
          <w:sz w:val="22"/>
          <w:szCs w:val="22"/>
        </w:rPr>
        <w:t xml:space="preserve"> by Nathan and Ameeta, two coffee enthusiasts who aimed to create an authentic, quality-driven specialty coffee brand (Quarter Horse Coffee, n.d.a). Their early success in Oxford, built on direct trade sourcing and artisanal roasting methods, led to the establishment of their flagship roastery and café on </w:t>
      </w:r>
      <w:r w:rsidRPr="007134B0">
        <w:rPr>
          <w:rStyle w:val="s2"/>
          <w:rFonts w:ascii="Arial" w:hAnsi="Arial" w:cs="Arial"/>
          <w:sz w:val="22"/>
          <w:szCs w:val="22"/>
        </w:rPr>
        <w:t>Bristol Street, Birmingham</w:t>
      </w:r>
      <w:r w:rsidRPr="007134B0">
        <w:rPr>
          <w:rStyle w:val="s1"/>
          <w:rFonts w:ascii="Arial" w:hAnsi="Arial" w:cs="Arial"/>
          <w:sz w:val="22"/>
          <w:szCs w:val="22"/>
        </w:rPr>
        <w:t xml:space="preserve">, in 2015 (Quarter Horse Coffee, n.d.b). This move positioned QHC as </w:t>
      </w:r>
      <w:r w:rsidRPr="007134B0">
        <w:rPr>
          <w:rStyle w:val="s2"/>
          <w:rFonts w:ascii="Arial" w:hAnsi="Arial" w:cs="Arial"/>
          <w:sz w:val="22"/>
          <w:szCs w:val="22"/>
        </w:rPr>
        <w:t>Birmingham’s first independent coffee roaster</w:t>
      </w:r>
      <w:r w:rsidRPr="007134B0">
        <w:rPr>
          <w:rStyle w:val="s1"/>
          <w:rFonts w:ascii="Arial" w:hAnsi="Arial" w:cs="Arial"/>
          <w:sz w:val="22"/>
          <w:szCs w:val="22"/>
        </w:rPr>
        <w:t>, a unique distinction that allowed the brand to pioneer the specialty coffee scene in the city.</w:t>
      </w:r>
    </w:p>
    <w:p w14:paraId="1E517840" w14:textId="77777777" w:rsidR="001900BD" w:rsidRPr="007134B0" w:rsidRDefault="001900BD" w:rsidP="000060F6">
      <w:pPr>
        <w:pStyle w:val="p2"/>
        <w:spacing w:line="360" w:lineRule="auto"/>
        <w:divId w:val="1813862996"/>
        <w:rPr>
          <w:rFonts w:ascii="Arial" w:hAnsi="Arial" w:cs="Arial"/>
          <w:sz w:val="22"/>
          <w:szCs w:val="22"/>
        </w:rPr>
      </w:pPr>
    </w:p>
    <w:p w14:paraId="3B908E34" w14:textId="1E0FEA55" w:rsidR="00A51DA7" w:rsidRDefault="001900BD" w:rsidP="00D471B1">
      <w:pPr>
        <w:pStyle w:val="p1"/>
        <w:spacing w:line="360" w:lineRule="auto"/>
        <w:divId w:val="240141691"/>
        <w:rPr>
          <w:rStyle w:val="s1"/>
          <w:rFonts w:ascii="Arial" w:hAnsi="Arial" w:cs="Arial"/>
          <w:sz w:val="22"/>
          <w:szCs w:val="22"/>
        </w:rPr>
      </w:pPr>
      <w:r w:rsidRPr="007134B0">
        <w:rPr>
          <w:rStyle w:val="s1"/>
          <w:rFonts w:ascii="Arial" w:hAnsi="Arial" w:cs="Arial"/>
          <w:sz w:val="22"/>
          <w:szCs w:val="22"/>
        </w:rPr>
        <w:t xml:space="preserve">Since relocating, QHC has expanded its presence to </w:t>
      </w:r>
      <w:r w:rsidRPr="007134B0">
        <w:rPr>
          <w:rStyle w:val="s2"/>
          <w:rFonts w:ascii="Arial" w:hAnsi="Arial" w:cs="Arial"/>
          <w:sz w:val="22"/>
          <w:szCs w:val="22"/>
        </w:rPr>
        <w:t>three sites</w:t>
      </w:r>
      <w:r w:rsidRPr="007134B0">
        <w:rPr>
          <w:rStyle w:val="s1"/>
          <w:rFonts w:ascii="Arial" w:hAnsi="Arial" w:cs="Arial"/>
          <w:sz w:val="22"/>
          <w:szCs w:val="22"/>
        </w:rPr>
        <w:t xml:space="preserve"> across the UK and strengthened its reputation for offering high-quality, ethically sourced coffee beans. The Birmingham site serves as both a café and a production hub where coffee beans are roasted, packaged, and distributed to both retail and wholesale customers (Quarter Horse Coffee, n.d.c). The business’s vertically integrated model enables QHC to maintain full control over the quality of its coffee from bean selection to cup service — an approach that is highly valued within the specialty coffee sector (Ates and Bititci, 2017)</w:t>
      </w:r>
    </w:p>
    <w:p w14:paraId="53B0F3A1" w14:textId="77777777" w:rsidR="00A52122" w:rsidRPr="00C04072" w:rsidRDefault="00A52122" w:rsidP="00683F8C">
      <w:pPr>
        <w:pStyle w:val="p1"/>
        <w:spacing w:line="360" w:lineRule="auto"/>
        <w:divId w:val="1521896361"/>
        <w:rPr>
          <w:rStyle w:val="s1"/>
          <w:rFonts w:ascii="Arial" w:hAnsi="Arial" w:cs="Arial"/>
          <w:sz w:val="22"/>
          <w:szCs w:val="22"/>
        </w:rPr>
      </w:pPr>
      <w:r w:rsidRPr="00C04072">
        <w:rPr>
          <w:rStyle w:val="s1"/>
          <w:rFonts w:ascii="Arial" w:hAnsi="Arial" w:cs="Arial"/>
          <w:sz w:val="22"/>
          <w:szCs w:val="22"/>
        </w:rPr>
        <w:t xml:space="preserve">QHC’s commitment to sustainability and transparency is also reflected in its close partnerships with coffee producers and emphasis on environmental responsibility. The company prioritises traceability throughout its supply chain, ensuring that each variety can be linked back to its origin and farming community (León-Bravo et al., 2022; </w:t>
      </w:r>
      <w:proofErr w:type="spellStart"/>
      <w:r w:rsidRPr="00C04072">
        <w:rPr>
          <w:rStyle w:val="s1"/>
          <w:rFonts w:ascii="Arial" w:hAnsi="Arial" w:cs="Arial"/>
          <w:sz w:val="22"/>
          <w:szCs w:val="22"/>
        </w:rPr>
        <w:t>Alamsyah</w:t>
      </w:r>
      <w:proofErr w:type="spellEnd"/>
      <w:r w:rsidRPr="00C04072">
        <w:rPr>
          <w:rStyle w:val="s1"/>
          <w:rFonts w:ascii="Arial" w:hAnsi="Arial" w:cs="Arial"/>
          <w:sz w:val="22"/>
          <w:szCs w:val="22"/>
        </w:rPr>
        <w:t>, 2023). Furthermore, QHC engages in educational initiatives such as public cupping sessions and barista training, which foster community engagement and coffee appreciation (Quarter Horse Coffee, n.d.). These efforts have positioned Quarter Horse Coffee as a leading advocate for ethical sourcing and specialty coffee culture in the Midlands, reinforcing its role as a key contributor to the UK’s growing independent coffee sector (</w:t>
      </w:r>
      <w:proofErr w:type="spellStart"/>
      <w:r w:rsidRPr="00C04072">
        <w:rPr>
          <w:rStyle w:val="s1"/>
          <w:rFonts w:ascii="Arial" w:hAnsi="Arial" w:cs="Arial"/>
          <w:sz w:val="22"/>
          <w:szCs w:val="22"/>
        </w:rPr>
        <w:t>Peixoto</w:t>
      </w:r>
      <w:proofErr w:type="spellEnd"/>
      <w:r w:rsidRPr="00C04072">
        <w:rPr>
          <w:rStyle w:val="s1"/>
          <w:rFonts w:ascii="Arial" w:hAnsi="Arial" w:cs="Arial"/>
          <w:sz w:val="22"/>
          <w:szCs w:val="22"/>
        </w:rPr>
        <w:t xml:space="preserve"> et al., 2023).</w:t>
      </w:r>
    </w:p>
    <w:p w14:paraId="2A7EBEC1" w14:textId="77777777" w:rsidR="00654F8E" w:rsidRPr="00D471B1" w:rsidRDefault="00654F8E" w:rsidP="00D471B1">
      <w:pPr>
        <w:pStyle w:val="p1"/>
        <w:spacing w:line="360" w:lineRule="auto"/>
        <w:divId w:val="240141691"/>
        <w:rPr>
          <w:rFonts w:ascii="Arial" w:hAnsi="Arial" w:cs="Arial"/>
          <w:sz w:val="22"/>
          <w:szCs w:val="22"/>
        </w:rPr>
      </w:pPr>
    </w:p>
    <w:p w14:paraId="2BF18A18" w14:textId="77777777" w:rsidR="00A51DA7" w:rsidRDefault="00A51DA7" w:rsidP="000060F6">
      <w:pPr>
        <w:pStyle w:val="p1"/>
        <w:spacing w:line="360" w:lineRule="auto"/>
        <w:divId w:val="1813862996"/>
        <w:rPr>
          <w:rStyle w:val="s1"/>
          <w:rFonts w:ascii="Arial" w:hAnsi="Arial" w:cs="Arial"/>
          <w:sz w:val="22"/>
          <w:szCs w:val="22"/>
        </w:rPr>
      </w:pPr>
    </w:p>
    <w:p w14:paraId="1D7A3273" w14:textId="77777777" w:rsidR="000D7B07" w:rsidRDefault="000D7B07" w:rsidP="000060F6">
      <w:pPr>
        <w:pStyle w:val="p1"/>
        <w:spacing w:line="360" w:lineRule="auto"/>
        <w:divId w:val="1813862996"/>
        <w:rPr>
          <w:rStyle w:val="s1"/>
          <w:rFonts w:ascii="Arial" w:hAnsi="Arial" w:cs="Arial"/>
          <w:sz w:val="22"/>
          <w:szCs w:val="22"/>
        </w:rPr>
      </w:pPr>
    </w:p>
    <w:p w14:paraId="02510A45" w14:textId="70637A46" w:rsidR="00DB7E51" w:rsidRDefault="005A3B78" w:rsidP="006013A8">
      <w:pPr>
        <w:pStyle w:val="Heading1"/>
        <w:rPr>
          <w:rFonts w:eastAsia="Times New Roman"/>
        </w:rPr>
      </w:pPr>
      <w:r>
        <w:rPr>
          <w:rFonts w:eastAsia="Times New Roman"/>
        </w:rPr>
        <w:t xml:space="preserve">2.2 </w:t>
      </w:r>
      <w:r w:rsidR="00DB7E51" w:rsidRPr="00253FBF">
        <w:rPr>
          <w:rFonts w:eastAsia="Times New Roman"/>
        </w:rPr>
        <w:t>Products and Services</w:t>
      </w:r>
    </w:p>
    <w:p w14:paraId="7C344779" w14:textId="77777777" w:rsidR="006A085D" w:rsidRPr="00A537E6" w:rsidRDefault="006A085D" w:rsidP="00A537E6">
      <w:pPr>
        <w:pStyle w:val="p1"/>
        <w:spacing w:line="360" w:lineRule="auto"/>
        <w:divId w:val="58989685"/>
        <w:rPr>
          <w:rFonts w:ascii="Arial" w:hAnsi="Arial" w:cs="Arial"/>
          <w:sz w:val="22"/>
          <w:szCs w:val="22"/>
        </w:rPr>
      </w:pPr>
      <w:r w:rsidRPr="00A537E6">
        <w:rPr>
          <w:rStyle w:val="s1"/>
          <w:rFonts w:ascii="Arial" w:hAnsi="Arial" w:cs="Arial"/>
          <w:sz w:val="22"/>
          <w:szCs w:val="22"/>
        </w:rPr>
        <w:t xml:space="preserve">QHC’s product portfolio combines </w:t>
      </w:r>
      <w:r w:rsidRPr="00A537E6">
        <w:rPr>
          <w:rStyle w:val="s2"/>
          <w:rFonts w:ascii="Arial" w:hAnsi="Arial" w:cs="Arial"/>
          <w:sz w:val="22"/>
          <w:szCs w:val="22"/>
        </w:rPr>
        <w:t>retail</w:t>
      </w:r>
      <w:r w:rsidRPr="00A537E6">
        <w:rPr>
          <w:rStyle w:val="s1"/>
          <w:rFonts w:ascii="Arial" w:hAnsi="Arial" w:cs="Arial"/>
          <w:sz w:val="22"/>
          <w:szCs w:val="22"/>
        </w:rPr>
        <w:t xml:space="preserve">, </w:t>
      </w:r>
      <w:r w:rsidRPr="00A537E6">
        <w:rPr>
          <w:rStyle w:val="s2"/>
          <w:rFonts w:ascii="Arial" w:hAnsi="Arial" w:cs="Arial"/>
          <w:sz w:val="22"/>
          <w:szCs w:val="22"/>
        </w:rPr>
        <w:t>wholesale</w:t>
      </w:r>
      <w:r w:rsidRPr="00A537E6">
        <w:rPr>
          <w:rStyle w:val="s1"/>
          <w:rFonts w:ascii="Arial" w:hAnsi="Arial" w:cs="Arial"/>
          <w:sz w:val="22"/>
          <w:szCs w:val="22"/>
        </w:rPr>
        <w:t xml:space="preserve">, and </w:t>
      </w:r>
      <w:r w:rsidRPr="00A537E6">
        <w:rPr>
          <w:rStyle w:val="s2"/>
          <w:rFonts w:ascii="Arial" w:hAnsi="Arial" w:cs="Arial"/>
          <w:sz w:val="22"/>
          <w:szCs w:val="22"/>
        </w:rPr>
        <w:t>subscription-based</w:t>
      </w:r>
      <w:r w:rsidRPr="00A537E6">
        <w:rPr>
          <w:rStyle w:val="s1"/>
          <w:rFonts w:ascii="Arial" w:hAnsi="Arial" w:cs="Arial"/>
          <w:sz w:val="22"/>
          <w:szCs w:val="22"/>
        </w:rPr>
        <w:t xml:space="preserve"> offerings. The café provides an immersive experience where customers can observe the roasting process and enjoy specialty espresso beverages paired with light food options (TripAdvisor, 2024). Retail customers can purchase single-origin beans or blends, such as the signature </w:t>
      </w:r>
      <w:r w:rsidRPr="00A537E6">
        <w:rPr>
          <w:rStyle w:val="s3"/>
          <w:rFonts w:ascii="Arial" w:hAnsi="Arial" w:cs="Arial"/>
          <w:sz w:val="22"/>
          <w:szCs w:val="22"/>
        </w:rPr>
        <w:t>Dark Horse Espresso</w:t>
      </w:r>
      <w:r w:rsidRPr="00A537E6">
        <w:rPr>
          <w:rStyle w:val="s1"/>
          <w:rFonts w:ascii="Arial" w:hAnsi="Arial" w:cs="Arial"/>
          <w:sz w:val="22"/>
          <w:szCs w:val="22"/>
        </w:rPr>
        <w:t xml:space="preserve"> and </w:t>
      </w:r>
      <w:r w:rsidRPr="00A537E6">
        <w:rPr>
          <w:rStyle w:val="s3"/>
          <w:rFonts w:ascii="Arial" w:hAnsi="Arial" w:cs="Arial"/>
          <w:sz w:val="22"/>
          <w:szCs w:val="22"/>
        </w:rPr>
        <w:t>Roan Espresso</w:t>
      </w:r>
      <w:r w:rsidRPr="00A537E6">
        <w:rPr>
          <w:rStyle w:val="s1"/>
          <w:rFonts w:ascii="Arial" w:hAnsi="Arial" w:cs="Arial"/>
          <w:sz w:val="22"/>
          <w:szCs w:val="22"/>
        </w:rPr>
        <w:t>, which are roasted in small batches to ensure consistency and freshness (Quarter Horse Coffee, n.d.d).</w:t>
      </w:r>
    </w:p>
    <w:p w14:paraId="7CA6EB5C" w14:textId="77777777" w:rsidR="006A085D" w:rsidRPr="00A537E6" w:rsidRDefault="006A085D" w:rsidP="00A537E6">
      <w:pPr>
        <w:pStyle w:val="p2"/>
        <w:spacing w:line="360" w:lineRule="auto"/>
        <w:divId w:val="58989685"/>
        <w:rPr>
          <w:rFonts w:ascii="Arial" w:hAnsi="Arial" w:cs="Arial"/>
          <w:sz w:val="22"/>
          <w:szCs w:val="22"/>
        </w:rPr>
      </w:pPr>
    </w:p>
    <w:p w14:paraId="2AA012BF" w14:textId="77777777" w:rsidR="006A085D" w:rsidRPr="00A537E6" w:rsidRDefault="006A085D" w:rsidP="000060F6">
      <w:pPr>
        <w:pStyle w:val="p1"/>
        <w:spacing w:line="360" w:lineRule="auto"/>
        <w:divId w:val="58989685"/>
        <w:rPr>
          <w:rFonts w:ascii="Arial" w:hAnsi="Arial" w:cs="Arial"/>
          <w:sz w:val="22"/>
          <w:szCs w:val="22"/>
        </w:rPr>
      </w:pPr>
      <w:r w:rsidRPr="00A537E6">
        <w:rPr>
          <w:rStyle w:val="s1"/>
          <w:rFonts w:ascii="Arial" w:hAnsi="Arial" w:cs="Arial"/>
          <w:sz w:val="22"/>
          <w:szCs w:val="22"/>
        </w:rPr>
        <w:t xml:space="preserve">Beyond in-store sales, the company offers </w:t>
      </w:r>
      <w:r w:rsidRPr="00A537E6">
        <w:rPr>
          <w:rStyle w:val="s2"/>
          <w:rFonts w:ascii="Arial" w:hAnsi="Arial" w:cs="Arial"/>
          <w:sz w:val="22"/>
          <w:szCs w:val="22"/>
        </w:rPr>
        <w:t>monthly coffee subscriptions</w:t>
      </w:r>
      <w:r w:rsidRPr="00A537E6">
        <w:rPr>
          <w:rStyle w:val="s1"/>
          <w:rFonts w:ascii="Arial" w:hAnsi="Arial" w:cs="Arial"/>
          <w:sz w:val="22"/>
          <w:szCs w:val="22"/>
        </w:rPr>
        <w:t xml:space="preserve">, allowing customers to receive curated selections delivered directly to their homes or workplaces. This subscription model not only builds recurring revenue but also strengthens customer loyalty through convenience and product variety (Kindström, 2024). Additionally, QHC supplies coffee to cafés and restaurants across the UK through its </w:t>
      </w:r>
      <w:r w:rsidRPr="00A537E6">
        <w:rPr>
          <w:rStyle w:val="s2"/>
          <w:rFonts w:ascii="Arial" w:hAnsi="Arial" w:cs="Arial"/>
          <w:sz w:val="22"/>
          <w:szCs w:val="22"/>
        </w:rPr>
        <w:t>wholesale division</w:t>
      </w:r>
      <w:r w:rsidRPr="00A537E6">
        <w:rPr>
          <w:rStyle w:val="s1"/>
          <w:rFonts w:ascii="Arial" w:hAnsi="Arial" w:cs="Arial"/>
          <w:sz w:val="22"/>
          <w:szCs w:val="22"/>
        </w:rPr>
        <w:t xml:space="preserve">, which also provides barista training and equipment support (Quarter Horse Coffee, n.d.e). The company’s value proposition to wholesale partners centres on partnership, consistency, and technical </w:t>
      </w:r>
      <w:bookmarkStart w:id="0" w:name="_Int_Hp31Q6hP"/>
      <w:r w:rsidRPr="00A537E6">
        <w:rPr>
          <w:rStyle w:val="s1"/>
          <w:rFonts w:ascii="Arial" w:hAnsi="Arial" w:cs="Arial"/>
          <w:sz w:val="22"/>
          <w:szCs w:val="22"/>
        </w:rPr>
        <w:t>expertise</w:t>
      </w:r>
      <w:bookmarkEnd w:id="0"/>
      <w:r w:rsidRPr="00A537E6">
        <w:rPr>
          <w:rStyle w:val="s1"/>
          <w:rFonts w:ascii="Arial" w:hAnsi="Arial" w:cs="Arial"/>
          <w:sz w:val="22"/>
          <w:szCs w:val="22"/>
        </w:rPr>
        <w:t xml:space="preserve"> — key factors for </w:t>
      </w:r>
      <w:bookmarkStart w:id="1" w:name="_Int_hP8Y8VYL"/>
      <w:r w:rsidRPr="00A537E6">
        <w:rPr>
          <w:rStyle w:val="s1"/>
          <w:rFonts w:ascii="Arial" w:hAnsi="Arial" w:cs="Arial"/>
          <w:sz w:val="22"/>
          <w:szCs w:val="22"/>
        </w:rPr>
        <w:t>maintaining</w:t>
      </w:r>
      <w:bookmarkEnd w:id="1"/>
      <w:r w:rsidRPr="00A537E6">
        <w:rPr>
          <w:rStyle w:val="s1"/>
          <w:rFonts w:ascii="Arial" w:hAnsi="Arial" w:cs="Arial"/>
          <w:sz w:val="22"/>
          <w:szCs w:val="22"/>
        </w:rPr>
        <w:t xml:space="preserve"> long-term business relationships (ACCA, 2024).</w:t>
      </w:r>
    </w:p>
    <w:p w14:paraId="25C359E5" w14:textId="3D1D849E" w:rsidR="00154C67" w:rsidRDefault="00154C67" w:rsidP="00253FBF">
      <w:pPr>
        <w:spacing w:before="100" w:beforeAutospacing="1" w:after="100" w:afterAutospacing="1" w:line="360" w:lineRule="auto"/>
        <w:outlineLvl w:val="2"/>
        <w:rPr>
          <w:rFonts w:ascii="Arial" w:eastAsia="Times New Roman" w:hAnsi="Arial" w:cs="Arial"/>
          <w:b/>
          <w:bCs/>
          <w:kern w:val="0"/>
          <w:sz w:val="22"/>
          <w:szCs w:val="22"/>
          <w14:ligatures w14:val="none"/>
        </w:rPr>
      </w:pPr>
    </w:p>
    <w:p w14:paraId="78A51157" w14:textId="516BE973" w:rsidR="00C35F01" w:rsidRDefault="00F12415" w:rsidP="00C35F01">
      <w:pPr>
        <w:spacing w:before="100" w:beforeAutospacing="1" w:after="100" w:afterAutospacing="1" w:line="360" w:lineRule="auto"/>
        <w:outlineLvl w:val="2"/>
        <w:rPr>
          <w:rFonts w:ascii="Arial" w:eastAsia="Times New Roman" w:hAnsi="Arial" w:cs="Arial"/>
          <w:b/>
          <w:bCs/>
          <w:kern w:val="0"/>
          <w:sz w:val="22"/>
          <w:szCs w:val="22"/>
          <w14:ligatures w14:val="none"/>
        </w:rPr>
      </w:pPr>
      <w:r>
        <w:rPr>
          <w:noProof/>
        </w:rPr>
        <w:drawing>
          <wp:anchor distT="0" distB="0" distL="114300" distR="114300" simplePos="0" relativeHeight="251658246" behindDoc="0" locked="0" layoutInCell="1" allowOverlap="1" wp14:anchorId="458D5782" wp14:editId="22A18BE4">
            <wp:simplePos x="0" y="0"/>
            <wp:positionH relativeFrom="page">
              <wp:posOffset>438785</wp:posOffset>
            </wp:positionH>
            <wp:positionV relativeFrom="paragraph">
              <wp:posOffset>165100</wp:posOffset>
            </wp:positionV>
            <wp:extent cx="6559550" cy="3466465"/>
            <wp:effectExtent l="0" t="0" r="0" b="635"/>
            <wp:wrapTopAndBottom/>
            <wp:docPr id="1026677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77182" name=""/>
                    <pic:cNvPicPr/>
                  </pic:nvPicPr>
                  <pic:blipFill>
                    <a:blip r:embed="rId8"/>
                    <a:stretch>
                      <a:fillRect/>
                    </a:stretch>
                  </pic:blipFill>
                  <pic:spPr>
                    <a:xfrm>
                      <a:off x="0" y="0"/>
                      <a:ext cx="6559550" cy="3466465"/>
                    </a:xfrm>
                    <a:prstGeom prst="rect">
                      <a:avLst/>
                    </a:prstGeom>
                  </pic:spPr>
                </pic:pic>
              </a:graphicData>
            </a:graphic>
            <wp14:sizeRelH relativeFrom="margin">
              <wp14:pctWidth>0</wp14:pctWidth>
            </wp14:sizeRelH>
            <wp14:sizeRelV relativeFrom="margin">
              <wp14:pctHeight>0</wp14:pctHeight>
            </wp14:sizeRelV>
          </wp:anchor>
        </w:drawing>
      </w:r>
      <w:r w:rsidR="007013D9">
        <w:rPr>
          <w:rFonts w:ascii="Arial" w:eastAsia="Times New Roman" w:hAnsi="Arial" w:cs="Arial"/>
          <w:b/>
          <w:bCs/>
          <w:kern w:val="0"/>
          <w:sz w:val="22"/>
          <w:szCs w:val="22"/>
          <w14:ligatures w14:val="none"/>
        </w:rPr>
        <w:t>Table</w:t>
      </w:r>
      <w:r w:rsidR="006C2509">
        <w:rPr>
          <w:rFonts w:ascii="Arial" w:eastAsia="Times New Roman" w:hAnsi="Arial" w:cs="Arial"/>
          <w:b/>
          <w:bCs/>
          <w:kern w:val="0"/>
          <w:sz w:val="22"/>
          <w:szCs w:val="22"/>
          <w14:ligatures w14:val="none"/>
        </w:rPr>
        <w:t xml:space="preserve"> 2.1</w:t>
      </w:r>
      <w:r w:rsidR="004D1433">
        <w:rPr>
          <w:rFonts w:ascii="Arial" w:eastAsia="Times New Roman" w:hAnsi="Arial" w:cs="Arial"/>
          <w:b/>
          <w:bCs/>
          <w:kern w:val="0"/>
          <w:sz w:val="22"/>
          <w:szCs w:val="22"/>
          <w14:ligatures w14:val="none"/>
        </w:rPr>
        <w:t xml:space="preserve">: </w:t>
      </w:r>
      <w:r w:rsidR="00A51140">
        <w:rPr>
          <w:rFonts w:ascii="Arial" w:eastAsia="Times New Roman" w:hAnsi="Arial" w:cs="Arial"/>
          <w:b/>
          <w:bCs/>
          <w:kern w:val="0"/>
          <w:sz w:val="22"/>
          <w:szCs w:val="22"/>
          <w14:ligatures w14:val="none"/>
        </w:rPr>
        <w:t>Product and Services</w:t>
      </w:r>
      <w:r w:rsidR="002610CD">
        <w:rPr>
          <w:rFonts w:ascii="Arial" w:eastAsia="Times New Roman" w:hAnsi="Arial" w:cs="Arial"/>
          <w:b/>
          <w:bCs/>
          <w:kern w:val="0"/>
          <w:sz w:val="22"/>
          <w:szCs w:val="22"/>
          <w14:ligatures w14:val="none"/>
        </w:rPr>
        <w:t xml:space="preserve"> Over</w:t>
      </w:r>
      <w:r w:rsidR="006A29C8">
        <w:rPr>
          <w:rFonts w:ascii="Arial" w:eastAsia="Times New Roman" w:hAnsi="Arial" w:cs="Arial"/>
          <w:b/>
          <w:bCs/>
          <w:kern w:val="0"/>
          <w:sz w:val="22"/>
          <w:szCs w:val="22"/>
          <w14:ligatures w14:val="none"/>
        </w:rPr>
        <w:t>view</w:t>
      </w:r>
    </w:p>
    <w:p w14:paraId="5B9A53E6" w14:textId="77777777" w:rsidR="004C683E" w:rsidRDefault="004C683E" w:rsidP="00550D5F">
      <w:pPr>
        <w:spacing w:before="100" w:beforeAutospacing="1" w:after="100" w:afterAutospacing="1" w:line="360" w:lineRule="auto"/>
        <w:outlineLvl w:val="2"/>
        <w:rPr>
          <w:rFonts w:ascii="Arial" w:eastAsia="Times New Roman" w:hAnsi="Arial" w:cs="Arial"/>
          <w:b/>
          <w:bCs/>
          <w:kern w:val="0"/>
          <w:sz w:val="22"/>
          <w:szCs w:val="22"/>
          <w14:ligatures w14:val="none"/>
        </w:rPr>
      </w:pPr>
    </w:p>
    <w:p w14:paraId="22460F72" w14:textId="0495A6EC" w:rsidR="00AE703A" w:rsidRPr="00955F00" w:rsidRDefault="004C683E" w:rsidP="000060F6">
      <w:pPr>
        <w:pStyle w:val="Heading1"/>
        <w:spacing w:line="360" w:lineRule="auto"/>
        <w:rPr>
          <w:rFonts w:eastAsia="Times New Roman"/>
        </w:rPr>
      </w:pPr>
      <w:r>
        <w:rPr>
          <w:rFonts w:eastAsia="Times New Roman"/>
        </w:rPr>
        <w:t xml:space="preserve">2.3 </w:t>
      </w:r>
      <w:r w:rsidR="00AE703A" w:rsidRPr="00955F00">
        <w:rPr>
          <w:rFonts w:eastAsia="Times New Roman"/>
        </w:rPr>
        <w:t>Business Model and Uniqueness</w:t>
      </w:r>
    </w:p>
    <w:p w14:paraId="7652C647" w14:textId="77777777" w:rsidR="00FA3590" w:rsidRPr="00955F00" w:rsidRDefault="00FA3590" w:rsidP="000060F6">
      <w:pPr>
        <w:pStyle w:val="p1"/>
        <w:spacing w:line="360" w:lineRule="auto"/>
        <w:divId w:val="141775933"/>
        <w:rPr>
          <w:rFonts w:ascii="Arial" w:hAnsi="Arial" w:cs="Arial"/>
          <w:sz w:val="22"/>
          <w:szCs w:val="22"/>
        </w:rPr>
      </w:pPr>
      <w:r w:rsidRPr="00955F00">
        <w:rPr>
          <w:rStyle w:val="s1"/>
          <w:rFonts w:ascii="Arial" w:hAnsi="Arial" w:cs="Arial"/>
          <w:sz w:val="22"/>
          <w:szCs w:val="22"/>
        </w:rPr>
        <w:t xml:space="preserve">QHC’s </w:t>
      </w:r>
      <w:r w:rsidRPr="00955F00">
        <w:rPr>
          <w:rStyle w:val="s2"/>
          <w:rFonts w:ascii="Arial" w:hAnsi="Arial" w:cs="Arial"/>
          <w:sz w:val="22"/>
          <w:szCs w:val="22"/>
        </w:rPr>
        <w:t>business model</w:t>
      </w:r>
      <w:r w:rsidRPr="00955F00">
        <w:rPr>
          <w:rStyle w:val="s1"/>
          <w:rFonts w:ascii="Arial" w:hAnsi="Arial" w:cs="Arial"/>
          <w:sz w:val="22"/>
          <w:szCs w:val="22"/>
        </w:rPr>
        <w:t xml:space="preserve"> is characterised by </w:t>
      </w:r>
      <w:r w:rsidRPr="00955F00">
        <w:rPr>
          <w:rStyle w:val="s2"/>
          <w:rFonts w:ascii="Arial" w:hAnsi="Arial" w:cs="Arial"/>
          <w:sz w:val="22"/>
          <w:szCs w:val="22"/>
        </w:rPr>
        <w:t>vertical integration</w:t>
      </w:r>
      <w:r w:rsidRPr="00955F00">
        <w:rPr>
          <w:rStyle w:val="s1"/>
          <w:rFonts w:ascii="Arial" w:hAnsi="Arial" w:cs="Arial"/>
          <w:sz w:val="22"/>
          <w:szCs w:val="22"/>
        </w:rPr>
        <w:t xml:space="preserve"> and a strong commitment to </w:t>
      </w:r>
      <w:r w:rsidRPr="00955F00">
        <w:rPr>
          <w:rStyle w:val="s2"/>
          <w:rFonts w:ascii="Arial" w:hAnsi="Arial" w:cs="Arial"/>
          <w:sz w:val="22"/>
          <w:szCs w:val="22"/>
        </w:rPr>
        <w:t>sustainability and ethical sourcing</w:t>
      </w:r>
      <w:r w:rsidRPr="00955F00">
        <w:rPr>
          <w:rStyle w:val="s1"/>
          <w:rFonts w:ascii="Arial" w:hAnsi="Arial" w:cs="Arial"/>
          <w:sz w:val="22"/>
          <w:szCs w:val="22"/>
        </w:rPr>
        <w:t>. The company sources green coffee beans directly from producers and cooperatives across South and Central America, Africa, and Asia, fostering long-term relationships that prioritise fair pricing and transparency (Quarter Horse Coffee, n.d.f). These values resonate with the growing consumer demand for traceable and sustainable products within the UK’s specialty coffee market (Enterprise Research Centre, 2023).</w:t>
      </w:r>
    </w:p>
    <w:p w14:paraId="608D870E" w14:textId="77777777" w:rsidR="00FA3590" w:rsidRPr="00955F00" w:rsidRDefault="00FA3590" w:rsidP="000060F6">
      <w:pPr>
        <w:pStyle w:val="p2"/>
        <w:spacing w:line="360" w:lineRule="auto"/>
        <w:divId w:val="141775933"/>
        <w:rPr>
          <w:rFonts w:ascii="Arial" w:hAnsi="Arial" w:cs="Arial"/>
          <w:sz w:val="22"/>
          <w:szCs w:val="22"/>
        </w:rPr>
      </w:pPr>
    </w:p>
    <w:p w14:paraId="0F1E336B" w14:textId="4FC61D1B" w:rsidR="002759AF" w:rsidRPr="004F00EB" w:rsidRDefault="00FA3590" w:rsidP="000060F6">
      <w:pPr>
        <w:pStyle w:val="p1"/>
        <w:spacing w:line="360" w:lineRule="auto"/>
        <w:rPr>
          <w:rFonts w:ascii="Arial" w:hAnsi="Arial" w:cs="Arial"/>
          <w:sz w:val="22"/>
          <w:szCs w:val="22"/>
        </w:rPr>
      </w:pPr>
      <w:r w:rsidRPr="00955F00">
        <w:rPr>
          <w:rStyle w:val="s1"/>
          <w:rFonts w:ascii="Arial" w:hAnsi="Arial" w:cs="Arial"/>
          <w:sz w:val="22"/>
          <w:szCs w:val="22"/>
        </w:rPr>
        <w:t xml:space="preserve">Furthermore, QHC’s position as both a roaster and café operator allows it to deliver a holistic brand experience. Customers not only purchase coffee but also connect with the brand’s story, ethos, and craftsmanship — a differentiation strategy that enhances customer loyalty (Porter, 1985). In combining ethical sourcing, artisanal roasting, and direct customer engagement, QHC has successfully positioned itself as a </w:t>
      </w:r>
      <w:r w:rsidRPr="00955F00">
        <w:rPr>
          <w:rStyle w:val="s2"/>
          <w:rFonts w:ascii="Arial" w:hAnsi="Arial" w:cs="Arial"/>
          <w:sz w:val="22"/>
          <w:szCs w:val="22"/>
        </w:rPr>
        <w:t>premium, community-focused</w:t>
      </w:r>
      <w:r w:rsidRPr="00955F00">
        <w:rPr>
          <w:rStyle w:val="s1"/>
          <w:rFonts w:ascii="Arial" w:hAnsi="Arial" w:cs="Arial"/>
          <w:sz w:val="22"/>
          <w:szCs w:val="22"/>
        </w:rPr>
        <w:t xml:space="preserve"> player within Birmingham’s vibrant independent coffee scene.</w:t>
      </w:r>
    </w:p>
    <w:p w14:paraId="71C0C8A1" w14:textId="77777777" w:rsidR="002759AF" w:rsidRDefault="002759AF" w:rsidP="000060F6">
      <w:pPr>
        <w:spacing w:before="100" w:beforeAutospacing="1" w:after="100" w:afterAutospacing="1" w:line="360" w:lineRule="auto"/>
        <w:outlineLvl w:val="2"/>
        <w:rPr>
          <w:rFonts w:ascii="Arial" w:eastAsia="Times New Roman" w:hAnsi="Arial" w:cs="Arial"/>
          <w:b/>
          <w:bCs/>
          <w:kern w:val="0"/>
          <w:sz w:val="22"/>
          <w:szCs w:val="22"/>
          <w14:ligatures w14:val="none"/>
        </w:rPr>
      </w:pPr>
    </w:p>
    <w:p w14:paraId="3142A253" w14:textId="25CE3395" w:rsidR="00AE703A" w:rsidRDefault="00AE703A" w:rsidP="000060F6">
      <w:pPr>
        <w:pStyle w:val="Heading1"/>
        <w:spacing w:line="360" w:lineRule="auto"/>
        <w:divId w:val="2051801362"/>
        <w:rPr>
          <w:rFonts w:eastAsia="Times New Roman"/>
        </w:rPr>
      </w:pPr>
      <w:r w:rsidRPr="00253FBF">
        <w:rPr>
          <w:rFonts w:eastAsia="Times New Roman"/>
        </w:rPr>
        <w:t>3. Appraisal of Current Strategic Direction</w:t>
      </w:r>
    </w:p>
    <w:p w14:paraId="052DB6D8" w14:textId="77777777" w:rsidR="00F23055" w:rsidRDefault="00F23055" w:rsidP="000060F6">
      <w:pPr>
        <w:pStyle w:val="Heading2"/>
        <w:spacing w:line="360" w:lineRule="auto"/>
        <w:divId w:val="2051801362"/>
      </w:pPr>
    </w:p>
    <w:p w14:paraId="43CE5A4E" w14:textId="5126704F" w:rsidR="00F23055" w:rsidRPr="00F23055" w:rsidRDefault="002A1564" w:rsidP="000060F6">
      <w:pPr>
        <w:pStyle w:val="Heading2"/>
        <w:spacing w:line="360" w:lineRule="auto"/>
        <w:divId w:val="2051801362"/>
      </w:pPr>
      <w:r>
        <w:t xml:space="preserve">3.1 </w:t>
      </w:r>
      <w:r w:rsidR="005F0EF3">
        <w:t>Inferred Mission</w:t>
      </w:r>
      <w:r w:rsidR="008E71C8">
        <w:t>, Vision,</w:t>
      </w:r>
      <w:r w:rsidR="0058010A">
        <w:t xml:space="preserve"> and Objectives</w:t>
      </w:r>
    </w:p>
    <w:p w14:paraId="77ED80D4" w14:textId="77777777" w:rsidR="00F51440" w:rsidRPr="00B21458" w:rsidRDefault="00F51440" w:rsidP="000060F6">
      <w:p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Although QHC does not publish a formal mission or vision statement, its website and communications imply the following strategic intent:</w:t>
      </w:r>
    </w:p>
    <w:p w14:paraId="4952D2BA" w14:textId="270B1989" w:rsidR="00291265" w:rsidRPr="00B95300" w:rsidRDefault="00F51440" w:rsidP="000060F6">
      <w:pPr>
        <w:numPr>
          <w:ilvl w:val="0"/>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Mission (inferred): “To source, roast and serve world-class specialty coffee ethically and sustainably, creating exceptional experiences for every customer.</w:t>
      </w:r>
    </w:p>
    <w:p w14:paraId="1E5A007F" w14:textId="673462F7" w:rsidR="00F51440" w:rsidRPr="00B21458" w:rsidRDefault="00F51440" w:rsidP="000060F6">
      <w:pPr>
        <w:numPr>
          <w:ilvl w:val="0"/>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Vision (inferred): “To be the leading independent coffee roaster in the Midlands known for sustainability, quality, and community.”</w:t>
      </w:r>
    </w:p>
    <w:p w14:paraId="7DD1C174" w14:textId="300446BC" w:rsidR="00F51440" w:rsidRDefault="00F51440" w:rsidP="000060F6">
      <w:pPr>
        <w:numPr>
          <w:ilvl w:val="0"/>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Core Objectives:</w:t>
      </w:r>
    </w:p>
    <w:p w14:paraId="22F156BB" w14:textId="40C04428" w:rsidR="00291265" w:rsidRPr="00B21458" w:rsidRDefault="00291265" w:rsidP="000060F6">
      <w:pPr>
        <w:spacing w:before="100" w:beforeAutospacing="1" w:after="100" w:afterAutospacing="1" w:line="360" w:lineRule="auto"/>
        <w:ind w:left="720"/>
        <w:divId w:val="2113476304"/>
        <w:rPr>
          <w:rFonts w:ascii="Arial" w:hAnsi="Arial" w:cs="Arial"/>
          <w:kern w:val="0"/>
          <w:sz w:val="22"/>
          <w:szCs w:val="22"/>
          <w14:ligatures w14:val="none"/>
        </w:rPr>
      </w:pPr>
    </w:p>
    <w:p w14:paraId="72F77D9E" w14:textId="5CA01C01" w:rsidR="00F51440" w:rsidRPr="00B21458" w:rsidRDefault="00F51440" w:rsidP="000060F6">
      <w:pPr>
        <w:numPr>
          <w:ilvl w:val="1"/>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Sustain premium product quality and ethical sourcing.</w:t>
      </w:r>
    </w:p>
    <w:p w14:paraId="1B9B079E" w14:textId="77777777" w:rsidR="00F51440" w:rsidRPr="00B21458" w:rsidRDefault="00F51440" w:rsidP="000060F6">
      <w:pPr>
        <w:numPr>
          <w:ilvl w:val="1"/>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Grow online subscriptions and wholesale network.</w:t>
      </w:r>
    </w:p>
    <w:p w14:paraId="257FFD8F" w14:textId="77777777" w:rsidR="00F51440" w:rsidRPr="00B21458" w:rsidRDefault="00F51440" w:rsidP="000060F6">
      <w:pPr>
        <w:numPr>
          <w:ilvl w:val="1"/>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Maintain environmentally responsible operations.</w:t>
      </w:r>
    </w:p>
    <w:p w14:paraId="3A2F2387" w14:textId="77777777" w:rsidR="00B95300" w:rsidRDefault="00F51440" w:rsidP="000060F6">
      <w:pPr>
        <w:numPr>
          <w:ilvl w:val="1"/>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Strengthen Birmingham-based brand identity.</w:t>
      </w:r>
    </w:p>
    <w:p w14:paraId="14B9F7DC" w14:textId="7C5C1062" w:rsidR="00DB282C" w:rsidRPr="00981280" w:rsidRDefault="00DB282C" w:rsidP="000060F6">
      <w:pPr>
        <w:spacing w:before="100" w:beforeAutospacing="1" w:after="100" w:afterAutospacing="1" w:line="360" w:lineRule="auto"/>
        <w:divId w:val="2113476304"/>
        <w:rPr>
          <w:rFonts w:ascii="Arial" w:hAnsi="Arial" w:cs="Arial"/>
          <w:kern w:val="0"/>
          <w:sz w:val="22"/>
          <w:szCs w:val="22"/>
          <w14:ligatures w14:val="none"/>
        </w:rPr>
      </w:pPr>
      <w:r w:rsidRPr="00B95300">
        <w:rPr>
          <w:rFonts w:ascii="Arial" w:hAnsi="Arial" w:cs="Arial"/>
          <w:kern w:val="0"/>
          <w:sz w:val="22"/>
          <w:szCs w:val="22"/>
          <w14:ligatures w14:val="none"/>
        </w:rPr>
        <w:t>These objectives reflect a consistent emphasis on differentiation rather than cost leadership, which aligns closely with Porter’s (1985) theory of competitive advantage through uniqueness and perceived value. By focusing on product excellence and</w:t>
      </w:r>
      <w:r w:rsidR="00981280">
        <w:rPr>
          <w:rFonts w:ascii="Arial" w:hAnsi="Arial" w:cs="Arial"/>
          <w:kern w:val="0"/>
          <w:sz w:val="22"/>
          <w:szCs w:val="22"/>
          <w14:ligatures w14:val="none"/>
        </w:rPr>
        <w:t xml:space="preserve"> </w:t>
      </w:r>
      <w:r w:rsidRPr="00981280">
        <w:rPr>
          <w:rFonts w:ascii="Arial" w:hAnsi="Arial" w:cs="Arial"/>
          <w:kern w:val="0"/>
          <w:sz w:val="22"/>
          <w:szCs w:val="22"/>
          <w14:ligatures w14:val="none"/>
        </w:rPr>
        <w:t>ethical values, QHC appeals to a growing demographic of socially conscious consumers in the UK specialty coffee market, where transparency and sustainability influence purchasing behaviour (Enterprise Research Centre, 2023).</w:t>
      </w:r>
    </w:p>
    <w:p w14:paraId="3D665F34" w14:textId="77777777" w:rsidR="00DB282C" w:rsidRPr="00523291" w:rsidRDefault="00DB282C" w:rsidP="000060F6">
      <w:pPr>
        <w:pStyle w:val="Heading1"/>
        <w:spacing w:line="360" w:lineRule="auto"/>
        <w:divId w:val="1742480988"/>
      </w:pPr>
    </w:p>
    <w:p w14:paraId="37103C75" w14:textId="77777777" w:rsidR="00F75A61" w:rsidRDefault="00F75A61" w:rsidP="000060F6">
      <w:pPr>
        <w:pStyle w:val="Heading1"/>
        <w:spacing w:line="360" w:lineRule="auto"/>
        <w:divId w:val="1742480988"/>
      </w:pPr>
    </w:p>
    <w:p w14:paraId="2DCD43B4" w14:textId="77777777" w:rsidR="00352C8C" w:rsidRDefault="00352C8C" w:rsidP="00352C8C">
      <w:pPr>
        <w:divId w:val="1742480988"/>
      </w:pPr>
    </w:p>
    <w:p w14:paraId="5BB456D1" w14:textId="77777777" w:rsidR="00352C8C" w:rsidRDefault="00352C8C" w:rsidP="00352C8C">
      <w:pPr>
        <w:divId w:val="1742480988"/>
      </w:pPr>
    </w:p>
    <w:p w14:paraId="1B5F3525" w14:textId="4BE84BE5" w:rsidR="00DB282C" w:rsidRPr="00523291" w:rsidRDefault="00523291" w:rsidP="00352C8C">
      <w:pPr>
        <w:pStyle w:val="Heading1"/>
        <w:divId w:val="1742480988"/>
      </w:pPr>
      <w:r w:rsidRPr="00523291">
        <w:t xml:space="preserve">3.2 </w:t>
      </w:r>
      <w:r w:rsidR="00DB282C" w:rsidRPr="00523291">
        <w:t>Appraisal of the Current Strategy</w:t>
      </w:r>
    </w:p>
    <w:p w14:paraId="4B77BAAE" w14:textId="77777777" w:rsidR="00352C8C" w:rsidRDefault="00352C8C" w:rsidP="000060F6">
      <w:pPr>
        <w:spacing w:before="100" w:beforeAutospacing="1" w:after="100" w:afterAutospacing="1" w:line="360" w:lineRule="auto"/>
        <w:divId w:val="1742480988"/>
        <w:rPr>
          <w:rFonts w:ascii="Arial" w:hAnsi="Arial" w:cs="Arial"/>
          <w:kern w:val="0"/>
          <w:sz w:val="22"/>
          <w:szCs w:val="22"/>
          <w14:ligatures w14:val="none"/>
        </w:rPr>
      </w:pPr>
    </w:p>
    <w:p w14:paraId="7AA0D820" w14:textId="77777777" w:rsidR="00DB282C" w:rsidRPr="00D96BB7"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QHC’s strategic direction demonstrates strong coherence between its operational model and its market positioning. Its vertical integration — controlling sourcing, roasting, and retail — reinforces product consistency and storytelling authenticity. This approach provides both cost efficiency and quality control advantages (Ates and Bititci, 2017). Moreover, its dual-market focus on direct-to-consumer (D2C) channels (café and subscriptions) and business-to-business (B2B) wholesale supply diversifies revenue streams and mitigates dependency on walk-in café trade. Such diversification is vital for SMEs seeking resilience in volatile consumer markets (ACCA, 2024).</w:t>
      </w:r>
    </w:p>
    <w:p w14:paraId="07902E8D" w14:textId="77777777" w:rsidR="00DB282C" w:rsidRPr="001540E7" w:rsidRDefault="00DB282C" w:rsidP="000060F6">
      <w:pPr>
        <w:pStyle w:val="ListParagraph"/>
        <w:spacing w:before="100" w:beforeAutospacing="1" w:after="100" w:afterAutospacing="1" w:line="360" w:lineRule="auto"/>
        <w:divId w:val="1742480988"/>
        <w:rPr>
          <w:rFonts w:ascii="Arial" w:hAnsi="Arial" w:cs="Arial"/>
          <w:kern w:val="0"/>
          <w:sz w:val="22"/>
          <w:szCs w:val="22"/>
          <w14:ligatures w14:val="none"/>
        </w:rPr>
      </w:pPr>
    </w:p>
    <w:p w14:paraId="4156927E" w14:textId="77777777" w:rsidR="00DB282C" w:rsidRPr="00D96BB7"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However, while QHC’s mission and objectives are aligned with long-term sustainability, several gaps and challenges persist. Firstly, the company does not publicly articulate quantifiable goals or performance indicators, which can hinder strategic monitoring and accountability. Research suggests that many SMEs face this limitation due to informal strategic management processes and limited managerial capacity (Ates and Bititci, 2017). Secondly, as a small enterprise, QHC operates within financial and human resource constraints, which may restrict the pace of digitalisation and market expansion. Thirdly, the highly competitive UK coffee sector presents ongoing challenges related to differentiation, particularly as large chains and new micro-roasters continue to enter the specialty market (Kindström, 2024).</w:t>
      </w:r>
    </w:p>
    <w:p w14:paraId="313EB940" w14:textId="77777777" w:rsidR="00DB282C" w:rsidRPr="001540E7" w:rsidRDefault="00DB282C" w:rsidP="000060F6">
      <w:pPr>
        <w:pStyle w:val="ListParagraph"/>
        <w:spacing w:before="100" w:beforeAutospacing="1" w:after="100" w:afterAutospacing="1" w:line="360" w:lineRule="auto"/>
        <w:divId w:val="1742480988"/>
        <w:rPr>
          <w:rFonts w:ascii="Arial" w:hAnsi="Arial" w:cs="Arial"/>
          <w:kern w:val="0"/>
          <w:sz w:val="22"/>
          <w:szCs w:val="22"/>
          <w14:ligatures w14:val="none"/>
        </w:rPr>
      </w:pPr>
    </w:p>
    <w:p w14:paraId="7840251C" w14:textId="20945202" w:rsidR="00550D5F"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 xml:space="preserve">Despite these constraints, QHC’s strategic intent remains robust. Its values — ethical sourcing, quality craftsmanship, and community engagement — provide </w:t>
      </w:r>
      <w:r w:rsidR="00BC5F37" w:rsidRPr="00D96BB7">
        <w:rPr>
          <w:rFonts w:ascii="Arial" w:hAnsi="Arial" w:cs="Arial"/>
          <w:kern w:val="0"/>
          <w:sz w:val="22"/>
          <w:szCs w:val="22"/>
          <w14:ligatures w14:val="none"/>
        </w:rPr>
        <w:t>a solid foundation</w:t>
      </w:r>
      <w:r w:rsidRPr="00D96BB7">
        <w:rPr>
          <w:rFonts w:ascii="Arial" w:hAnsi="Arial" w:cs="Arial"/>
          <w:kern w:val="0"/>
          <w:sz w:val="22"/>
          <w:szCs w:val="22"/>
          <w14:ligatures w14:val="none"/>
        </w:rPr>
        <w:t xml:space="preserve"> for differentiation. </w:t>
      </w:r>
    </w:p>
    <w:p w14:paraId="4E559F0C" w14:textId="4AECC4A1" w:rsidR="00352C8C"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The company’s focus on sustainability also aligns with current PESTEL environmental and social trends, positioning it favourably among consumers who value authenticity and responsibility. By further formalising its strategic objectives into measurable performance outcomes, QHC could improve internal coordination and enhance its long-term competitive advantage.</w:t>
      </w:r>
    </w:p>
    <w:p w14:paraId="58A63380" w14:textId="76311B3F" w:rsidR="005C4B48"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In summary, QHC’s inferred mission, vision, and objectives illustrate a strategic direction rooted in focused differentiation — a position that leverages ethical production and superior quality as sources of value creation. To remain competitive and achieve sustainable growth, QHC should continue to strengthen its brand identity in Birmingham and expand its digita</w:t>
      </w:r>
      <w:r w:rsidR="00F75A61">
        <w:rPr>
          <w:rFonts w:ascii="Arial" w:hAnsi="Arial" w:cs="Arial"/>
          <w:kern w:val="0"/>
          <w:sz w:val="22"/>
          <w:szCs w:val="22"/>
          <w14:ligatures w14:val="none"/>
        </w:rPr>
        <w:t>l</w:t>
      </w:r>
    </w:p>
    <w:p w14:paraId="73010E35" w14:textId="15BEED67" w:rsidR="00DB282C" w:rsidRPr="00D96BB7"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and wholesale presence, while embedding structured performance measurement systems to support its evolving strategic ambitions.</w:t>
      </w:r>
    </w:p>
    <w:p w14:paraId="0599E7C7" w14:textId="77777777" w:rsidR="001631AA" w:rsidRDefault="001631AA" w:rsidP="00F51440">
      <w:pPr>
        <w:spacing w:before="100" w:beforeAutospacing="1" w:after="100" w:afterAutospacing="1" w:line="240" w:lineRule="auto"/>
        <w:outlineLvl w:val="2"/>
        <w:divId w:val="2113476304"/>
        <w:rPr>
          <w:rFonts w:ascii="Arial" w:eastAsia="Times New Roman" w:hAnsi="Arial" w:cs="Arial"/>
          <w:b/>
          <w:bCs/>
          <w:kern w:val="0"/>
          <w14:ligatures w14:val="none"/>
        </w:rPr>
      </w:pPr>
    </w:p>
    <w:p w14:paraId="75EDC6D3" w14:textId="4BF4D4E8" w:rsidR="00F51440" w:rsidRDefault="000E7C8D" w:rsidP="001631AA">
      <w:pPr>
        <w:pStyle w:val="Heading1"/>
        <w:divId w:val="2113476304"/>
        <w:rPr>
          <w:rFonts w:eastAsia="Times New Roman"/>
        </w:rPr>
      </w:pPr>
      <w:r>
        <w:rPr>
          <w:noProof/>
        </w:rPr>
        <w:drawing>
          <wp:anchor distT="0" distB="0" distL="114300" distR="114300" simplePos="0" relativeHeight="251658247" behindDoc="0" locked="0" layoutInCell="1" allowOverlap="1" wp14:anchorId="1735E795" wp14:editId="1B6F8778">
            <wp:simplePos x="0" y="0"/>
            <wp:positionH relativeFrom="margin">
              <wp:posOffset>-768350</wp:posOffset>
            </wp:positionH>
            <wp:positionV relativeFrom="paragraph">
              <wp:posOffset>412750</wp:posOffset>
            </wp:positionV>
            <wp:extent cx="7094220" cy="5353685"/>
            <wp:effectExtent l="0" t="0" r="0" b="0"/>
            <wp:wrapTopAndBottom/>
            <wp:docPr id="3875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55156" name=""/>
                    <pic:cNvPicPr/>
                  </pic:nvPicPr>
                  <pic:blipFill>
                    <a:blip r:embed="rId9"/>
                    <a:stretch>
                      <a:fillRect/>
                    </a:stretch>
                  </pic:blipFill>
                  <pic:spPr>
                    <a:xfrm>
                      <a:off x="0" y="0"/>
                      <a:ext cx="7094220" cy="5353685"/>
                    </a:xfrm>
                    <a:prstGeom prst="rect">
                      <a:avLst/>
                    </a:prstGeom>
                  </pic:spPr>
                </pic:pic>
              </a:graphicData>
            </a:graphic>
            <wp14:sizeRelH relativeFrom="margin">
              <wp14:pctWidth>0</wp14:pctWidth>
            </wp14:sizeRelH>
            <wp14:sizeRelV relativeFrom="margin">
              <wp14:pctHeight>0</wp14:pctHeight>
            </wp14:sizeRelV>
          </wp:anchor>
        </w:drawing>
      </w:r>
      <w:r w:rsidR="00715E1B">
        <w:rPr>
          <w:rFonts w:eastAsia="Times New Roman"/>
        </w:rPr>
        <w:t xml:space="preserve">3.3 </w:t>
      </w:r>
      <w:r w:rsidR="00F51440" w:rsidRPr="00C71E6D">
        <w:rPr>
          <w:rFonts w:eastAsia="Times New Roman"/>
        </w:rPr>
        <w:t>Appraisal Summary</w:t>
      </w:r>
    </w:p>
    <w:p w14:paraId="66F3EC6C" w14:textId="526E389D" w:rsidR="00C42122" w:rsidRDefault="008A1F35" w:rsidP="009253C8">
      <w:pPr>
        <w:spacing w:before="100" w:beforeAutospacing="1" w:after="100" w:afterAutospacing="1" w:line="360" w:lineRule="auto"/>
        <w:divId w:val="365913389"/>
        <w:rPr>
          <w:rFonts w:ascii="Arial" w:hAnsi="Arial" w:cs="Arial"/>
          <w:kern w:val="0"/>
          <w:sz w:val="22"/>
          <w:szCs w:val="22"/>
          <w14:ligatures w14:val="none"/>
        </w:rPr>
      </w:pPr>
      <w:r w:rsidRPr="00253FBF">
        <w:rPr>
          <w:rFonts w:ascii="Arial" w:hAnsi="Arial" w:cs="Arial"/>
          <w:kern w:val="0"/>
          <w:sz w:val="22"/>
          <w:szCs w:val="22"/>
          <w14:ligatures w14:val="none"/>
        </w:rPr>
        <w:t xml:space="preserve">The current direction aligns with a focused differentiation strategy but lacks formal </w:t>
      </w:r>
      <w:r w:rsidR="004D763A" w:rsidRPr="00253FBF">
        <w:rPr>
          <w:rFonts w:ascii="Arial" w:hAnsi="Arial" w:cs="Arial"/>
          <w:kern w:val="0"/>
          <w:sz w:val="22"/>
          <w:szCs w:val="22"/>
          <w14:ligatures w14:val="none"/>
        </w:rPr>
        <w:t>goal setting</w:t>
      </w:r>
      <w:r w:rsidRPr="00253FBF">
        <w:rPr>
          <w:rFonts w:ascii="Arial" w:hAnsi="Arial" w:cs="Arial"/>
          <w:kern w:val="0"/>
          <w:sz w:val="22"/>
          <w:szCs w:val="22"/>
          <w14:ligatures w14:val="none"/>
        </w:rPr>
        <w:t>, governance structures, and digital optimisation — typical of SMEs (Ates &amp; Bititci, 2017).</w:t>
      </w:r>
    </w:p>
    <w:p w14:paraId="228CFB9F" w14:textId="1734FDA9" w:rsidR="008A1F35" w:rsidRPr="009253C8" w:rsidRDefault="008A1F35" w:rsidP="003E25D4">
      <w:pPr>
        <w:pStyle w:val="Heading1"/>
        <w:spacing w:line="360" w:lineRule="auto"/>
        <w:divId w:val="365913389"/>
      </w:pPr>
      <w:r w:rsidRPr="00253FBF">
        <w:rPr>
          <w:rFonts w:eastAsia="Times New Roman"/>
        </w:rPr>
        <w:t>4. Environmental Scan and Competitive Positioning</w:t>
      </w:r>
    </w:p>
    <w:p w14:paraId="159DD6D6" w14:textId="77777777" w:rsidR="008A1F35" w:rsidRPr="00253FBF" w:rsidRDefault="008A1F35" w:rsidP="003E25D4">
      <w:pPr>
        <w:spacing w:line="360" w:lineRule="auto"/>
        <w:divId w:val="365913389"/>
        <w:rPr>
          <w:rFonts w:ascii="Arial" w:hAnsi="Arial" w:cs="Arial"/>
          <w:kern w:val="0"/>
          <w:sz w:val="22"/>
          <w:szCs w:val="22"/>
          <w14:ligatures w14:val="none"/>
        </w:rPr>
      </w:pPr>
    </w:p>
    <w:p w14:paraId="63477B93" w14:textId="6314D6D0" w:rsidR="00CD5F50" w:rsidRDefault="008A1F35" w:rsidP="003E25D4">
      <w:pPr>
        <w:pStyle w:val="Heading2"/>
        <w:spacing w:line="360" w:lineRule="auto"/>
        <w:divId w:val="365913389"/>
        <w:rPr>
          <w:rFonts w:eastAsia="Times New Roman"/>
        </w:rPr>
      </w:pPr>
      <w:r w:rsidRPr="00253FBF">
        <w:rPr>
          <w:rFonts w:eastAsia="Times New Roman"/>
        </w:rPr>
        <w:t>4.1 Internal Environment – SWOT Analysis</w:t>
      </w:r>
    </w:p>
    <w:p w14:paraId="66B9EF75" w14:textId="77777777" w:rsidR="008966C5" w:rsidRPr="00B4313F" w:rsidRDefault="008966C5" w:rsidP="003E25D4">
      <w:pPr>
        <w:spacing w:before="100" w:beforeAutospacing="1" w:after="100" w:afterAutospacing="1" w:line="360" w:lineRule="auto"/>
        <w:divId w:val="1574244409"/>
        <w:rPr>
          <w:rFonts w:ascii="Arial" w:hAnsi="Arial" w:cs="Arial"/>
          <w:kern w:val="0"/>
          <w:sz w:val="22"/>
          <w:szCs w:val="22"/>
          <w14:ligatures w14:val="none"/>
        </w:rPr>
      </w:pPr>
    </w:p>
    <w:p w14:paraId="062449A7" w14:textId="7310007E" w:rsidR="008966C5" w:rsidRPr="007106D3" w:rsidRDefault="008966C5" w:rsidP="003E25D4">
      <w:pPr>
        <w:spacing w:before="100" w:beforeAutospacing="1" w:after="100" w:afterAutospacing="1" w:line="360" w:lineRule="auto"/>
        <w:divId w:val="1574244409"/>
        <w:rPr>
          <w:rFonts w:ascii="Arial" w:hAnsi="Arial" w:cs="Arial"/>
          <w:kern w:val="0"/>
          <w:sz w:val="22"/>
          <w:szCs w:val="22"/>
          <w14:ligatures w14:val="none"/>
        </w:rPr>
      </w:pPr>
      <w:r w:rsidRPr="007106D3">
        <w:rPr>
          <w:rFonts w:ascii="Arial" w:hAnsi="Arial" w:cs="Arial"/>
          <w:kern w:val="0"/>
          <w:sz w:val="22"/>
          <w:szCs w:val="22"/>
          <w14:ligatures w14:val="none"/>
        </w:rPr>
        <w:t>An internal environmental analysis enables Quarter Horse Coffee (QHC) to evaluate how its internal strengths and weaknesses affect its strategic capacity to respond to market opportunities and threats. The SWOT framework (strengths, weaknesses, opportunities, threats) is particularly valuable for SMEs as it connects resources and capabilities to external market realities (Ates and Bititci, 2017).</w:t>
      </w:r>
    </w:p>
    <w:p w14:paraId="392A3F98" w14:textId="77777777" w:rsidR="008966C5" w:rsidRPr="00FE3448" w:rsidRDefault="008966C5" w:rsidP="003E25D4">
      <w:pPr>
        <w:spacing w:before="100" w:beforeAutospacing="1" w:after="100" w:afterAutospacing="1" w:line="360" w:lineRule="auto"/>
        <w:divId w:val="1574244409"/>
        <w:rPr>
          <w:rFonts w:ascii="Arial" w:hAnsi="Arial" w:cs="Arial"/>
          <w:kern w:val="0"/>
          <w:sz w:val="22"/>
          <w:szCs w:val="22"/>
          <w14:ligatures w14:val="none"/>
        </w:rPr>
      </w:pPr>
    </w:p>
    <w:p w14:paraId="415D7E2D" w14:textId="77777777" w:rsidR="00A40A36" w:rsidRDefault="00A40A36"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p>
    <w:p w14:paraId="24D67F57" w14:textId="75BF278F" w:rsidR="008966C5" w:rsidRPr="00FE3448" w:rsidRDefault="008966C5"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r w:rsidRPr="00FE3448">
        <w:rPr>
          <w:rFonts w:ascii="Arial" w:eastAsia="Times New Roman" w:hAnsi="Arial" w:cs="Arial"/>
          <w:b/>
          <w:bCs/>
          <w:kern w:val="0"/>
          <w:sz w:val="22"/>
          <w:szCs w:val="22"/>
          <w14:ligatures w14:val="none"/>
        </w:rPr>
        <w:t>Strengths</w:t>
      </w:r>
    </w:p>
    <w:p w14:paraId="53DFED45" w14:textId="77777777" w:rsidR="008966C5" w:rsidRPr="00FE3448" w:rsidRDefault="008966C5" w:rsidP="003E25D4">
      <w:pPr>
        <w:spacing w:before="100" w:beforeAutospacing="1" w:after="100" w:afterAutospacing="1" w:line="360" w:lineRule="auto"/>
        <w:divId w:val="1574244409"/>
        <w:rPr>
          <w:rFonts w:ascii="Arial" w:hAnsi="Arial" w:cs="Arial"/>
          <w:kern w:val="0"/>
          <w:sz w:val="22"/>
          <w:szCs w:val="22"/>
          <w14:ligatures w14:val="none"/>
        </w:rPr>
      </w:pPr>
    </w:p>
    <w:p w14:paraId="509E408A" w14:textId="77777777" w:rsidR="008966C5" w:rsidRPr="00FE3448" w:rsidRDefault="008966C5" w:rsidP="003E25D4">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hAnsi="Arial" w:cs="Arial"/>
          <w:kern w:val="0"/>
          <w:sz w:val="22"/>
          <w:szCs w:val="22"/>
          <w14:ligatures w14:val="none"/>
        </w:rPr>
        <w:t>QHC’s foremost strength lies in its brand authenticity and local reputation. As Birmingham’s first independent roaster, it benefits from early-mover status in the city’s specialty coffee scene (Quarter Horse Coffee, n.d.a). Its vertically integrated model—sourcing, roasting, and retailing—enables superior quality control, ensuring consistency that supports premium pricing. The business also gains competitive advantage from its ethical and sustainable sourcing practices, which appeal to environmentally conscious consumers and corporate clients alike (Enterprise Research Centre, 2023). In addition, QHC’s diversified revenue base—including café sales, subscriptions, and wholesale—helps cushion against economic fluctuations.</w:t>
      </w:r>
    </w:p>
    <w:p w14:paraId="5B9D3ADA" w14:textId="34CCA334" w:rsidR="001432A0" w:rsidRPr="00FE3448" w:rsidRDefault="001432A0" w:rsidP="003E25D4">
      <w:pPr>
        <w:spacing w:before="100" w:beforeAutospacing="1" w:after="100" w:afterAutospacing="1" w:line="360" w:lineRule="auto"/>
        <w:divId w:val="1574244409"/>
        <w:rPr>
          <w:rFonts w:ascii="Arial" w:hAnsi="Arial" w:cs="Arial"/>
          <w:kern w:val="0"/>
          <w:sz w:val="22"/>
          <w:szCs w:val="22"/>
          <w14:ligatures w14:val="none"/>
        </w:rPr>
      </w:pPr>
    </w:p>
    <w:p w14:paraId="65718AEC" w14:textId="77777777" w:rsidR="003E25D4" w:rsidRDefault="003E25D4"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p>
    <w:p w14:paraId="1755FA59" w14:textId="77777777" w:rsidR="003E25D4" w:rsidRDefault="003E25D4"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p>
    <w:p w14:paraId="23272494" w14:textId="77777777" w:rsidR="003E25D4" w:rsidRDefault="003E25D4"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p>
    <w:p w14:paraId="526327B2" w14:textId="77777777" w:rsidR="008966C5" w:rsidRPr="00FE3448" w:rsidRDefault="008966C5"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r w:rsidRPr="00FE3448">
        <w:rPr>
          <w:rFonts w:ascii="Arial" w:eastAsia="Times New Roman" w:hAnsi="Arial" w:cs="Arial"/>
          <w:b/>
          <w:bCs/>
          <w:kern w:val="0"/>
          <w:sz w:val="22"/>
          <w:szCs w:val="22"/>
          <w14:ligatures w14:val="none"/>
        </w:rPr>
        <w:t>Weaknesses</w:t>
      </w:r>
    </w:p>
    <w:p w14:paraId="40F6C3C9" w14:textId="270F7AB4" w:rsidR="008966C5" w:rsidRPr="00FE3448" w:rsidRDefault="008966C5" w:rsidP="003E25D4">
      <w:pPr>
        <w:spacing w:before="100" w:beforeAutospacing="1" w:after="100" w:afterAutospacing="1" w:line="360" w:lineRule="auto"/>
        <w:divId w:val="1574244409"/>
        <w:rPr>
          <w:rFonts w:ascii="Arial" w:hAnsi="Arial" w:cs="Arial"/>
          <w:kern w:val="0"/>
          <w:sz w:val="22"/>
          <w:szCs w:val="22"/>
          <w14:ligatures w14:val="none"/>
        </w:rPr>
      </w:pPr>
    </w:p>
    <w:p w14:paraId="51AA0C59" w14:textId="77777777" w:rsidR="00E302EB" w:rsidRDefault="008966C5" w:rsidP="003E25D4">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hAnsi="Arial" w:cs="Arial"/>
          <w:kern w:val="0"/>
          <w:sz w:val="22"/>
          <w:szCs w:val="22"/>
          <w14:ligatures w14:val="none"/>
        </w:rPr>
        <w:t>Despite these advantages, QHC faces the typical resource and capability limitations of an SME. Limited financial capital and human resources constrain its ability to scale operations, invest in technology, and pursue aggressive marketing strategies (ACCA, 2024). Operational complexity—managing cafés, roasting, subscriptions, and wholesale simultaneously—also risks stretching managerial capacity. Moreover, the company’s informal strategic planning processes may reduce its responsiveness to data-driven decision-making (Ates and Bititci, 2017).</w:t>
      </w:r>
    </w:p>
    <w:p w14:paraId="03E7050B" w14:textId="77777777" w:rsidR="00D57A89" w:rsidRDefault="00D57A89" w:rsidP="003E25D4">
      <w:pPr>
        <w:spacing w:before="100" w:beforeAutospacing="1" w:after="100" w:afterAutospacing="1" w:line="360" w:lineRule="auto"/>
        <w:divId w:val="1574244409"/>
        <w:rPr>
          <w:rFonts w:ascii="Arial" w:eastAsia="Times New Roman" w:hAnsi="Arial" w:cs="Arial"/>
          <w:b/>
          <w:bCs/>
          <w:kern w:val="0"/>
          <w:sz w:val="22"/>
          <w:szCs w:val="22"/>
          <w14:ligatures w14:val="none"/>
        </w:rPr>
      </w:pPr>
    </w:p>
    <w:p w14:paraId="40148D9E" w14:textId="77777777" w:rsidR="00DD6D46" w:rsidRDefault="00DD6D46" w:rsidP="003E25D4">
      <w:pPr>
        <w:spacing w:before="100" w:beforeAutospacing="1" w:after="100" w:afterAutospacing="1" w:line="360" w:lineRule="auto"/>
        <w:divId w:val="1574244409"/>
        <w:rPr>
          <w:rFonts w:ascii="Arial" w:eastAsia="Times New Roman" w:hAnsi="Arial" w:cs="Arial"/>
          <w:b/>
          <w:bCs/>
          <w:kern w:val="0"/>
          <w:sz w:val="22"/>
          <w:szCs w:val="22"/>
          <w14:ligatures w14:val="none"/>
        </w:rPr>
      </w:pPr>
    </w:p>
    <w:p w14:paraId="07665B16" w14:textId="77777777" w:rsidR="00605169" w:rsidRDefault="00605169" w:rsidP="003E25D4">
      <w:pPr>
        <w:spacing w:before="100" w:beforeAutospacing="1" w:after="100" w:afterAutospacing="1" w:line="360" w:lineRule="auto"/>
        <w:divId w:val="1574244409"/>
        <w:rPr>
          <w:rFonts w:ascii="Arial" w:eastAsia="Times New Roman" w:hAnsi="Arial" w:cs="Arial"/>
          <w:b/>
          <w:bCs/>
          <w:kern w:val="0"/>
          <w:sz w:val="22"/>
          <w:szCs w:val="22"/>
          <w14:ligatures w14:val="none"/>
        </w:rPr>
      </w:pPr>
    </w:p>
    <w:p w14:paraId="53BAEC98" w14:textId="6BAA6B65" w:rsidR="008966C5" w:rsidRPr="00E302EB" w:rsidRDefault="008966C5" w:rsidP="00FB0BE1">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eastAsia="Times New Roman" w:hAnsi="Arial" w:cs="Arial"/>
          <w:b/>
          <w:bCs/>
          <w:kern w:val="0"/>
          <w:sz w:val="22"/>
          <w:szCs w:val="22"/>
          <w14:ligatures w14:val="none"/>
        </w:rPr>
        <w:t>Opportunities and Threats</w:t>
      </w:r>
    </w:p>
    <w:p w14:paraId="4513660D" w14:textId="77777777" w:rsidR="008966C5" w:rsidRPr="00FE3448" w:rsidRDefault="008966C5" w:rsidP="00FB0BE1">
      <w:pPr>
        <w:spacing w:before="100" w:beforeAutospacing="1" w:after="100" w:afterAutospacing="1" w:line="360" w:lineRule="auto"/>
        <w:divId w:val="1574244409"/>
        <w:rPr>
          <w:rFonts w:ascii="Arial" w:hAnsi="Arial" w:cs="Arial"/>
          <w:kern w:val="0"/>
          <w:sz w:val="22"/>
          <w:szCs w:val="22"/>
          <w14:ligatures w14:val="none"/>
        </w:rPr>
      </w:pPr>
    </w:p>
    <w:p w14:paraId="143ECA9B" w14:textId="77777777" w:rsidR="008966C5" w:rsidRPr="00FE3448" w:rsidRDefault="008966C5" w:rsidP="00FB0BE1">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hAnsi="Arial" w:cs="Arial"/>
          <w:kern w:val="0"/>
          <w:sz w:val="22"/>
          <w:szCs w:val="22"/>
          <w14:ligatures w14:val="none"/>
        </w:rPr>
        <w:t>Growing UK demand for ethically sourced, specialty coffee represents a major opportunity for QHC to extend its brand through digital subscriptions and regional wholesale expansion. However, the business faces rising threats from intensifying competition among independent roasters and high-street chains that increasingly adopt sustainability narratives (Kindström, 2024). Supply-chain volatility and cost inflation in energy and green coffee also pose persistent risks (Firestarter Solutions, 2024).</w:t>
      </w:r>
    </w:p>
    <w:p w14:paraId="47EF5388" w14:textId="77777777" w:rsidR="008966C5" w:rsidRPr="00FE3448" w:rsidRDefault="008966C5" w:rsidP="00FB0BE1">
      <w:pPr>
        <w:spacing w:before="100" w:beforeAutospacing="1" w:after="100" w:afterAutospacing="1" w:line="360" w:lineRule="auto"/>
        <w:divId w:val="1574244409"/>
        <w:rPr>
          <w:rFonts w:ascii="Arial" w:hAnsi="Arial" w:cs="Arial"/>
          <w:kern w:val="0"/>
          <w:sz w:val="22"/>
          <w:szCs w:val="22"/>
          <w14:ligatures w14:val="none"/>
        </w:rPr>
      </w:pPr>
    </w:p>
    <w:p w14:paraId="43645D3A" w14:textId="1B5582A7" w:rsidR="008966C5" w:rsidRPr="00FE3448" w:rsidRDefault="008966C5" w:rsidP="00FB0BE1">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hAnsi="Arial" w:cs="Arial"/>
          <w:kern w:val="0"/>
          <w:sz w:val="22"/>
          <w:szCs w:val="22"/>
          <w14:ligatures w14:val="none"/>
        </w:rPr>
        <w:t>In summary, QHC’s internal environment is defined by strong brand equity and quality-driven operations, balanced by SME-specific limitations that necessitate careful resource prioritisation and strategic discipline.</w:t>
      </w:r>
    </w:p>
    <w:p w14:paraId="7A71D5E3" w14:textId="468B71B8" w:rsidR="00907414" w:rsidRPr="005424F3" w:rsidRDefault="00572F6F" w:rsidP="005424F3">
      <w:pPr>
        <w:divId w:val="365913389"/>
        <w:rPr>
          <w:rFonts w:eastAsia="Times New Roman"/>
          <w:b/>
          <w:bCs/>
        </w:rPr>
      </w:pPr>
      <w:r w:rsidRPr="005424F3">
        <w:rPr>
          <w:b/>
          <w:bCs/>
          <w:noProof/>
        </w:rPr>
        <w:drawing>
          <wp:anchor distT="0" distB="0" distL="114300" distR="114300" simplePos="0" relativeHeight="251658251" behindDoc="0" locked="0" layoutInCell="1" allowOverlap="1" wp14:anchorId="13E3D528" wp14:editId="6E9FC2E3">
            <wp:simplePos x="0" y="0"/>
            <wp:positionH relativeFrom="margin">
              <wp:posOffset>-753745</wp:posOffset>
            </wp:positionH>
            <wp:positionV relativeFrom="paragraph">
              <wp:posOffset>2479675</wp:posOffset>
            </wp:positionV>
            <wp:extent cx="7035800" cy="2800350"/>
            <wp:effectExtent l="0" t="0" r="0" b="0"/>
            <wp:wrapTopAndBottom/>
            <wp:docPr id="1518140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40043" name=""/>
                    <pic:cNvPicPr/>
                  </pic:nvPicPr>
                  <pic:blipFill>
                    <a:blip r:embed="rId10"/>
                    <a:stretch>
                      <a:fillRect/>
                    </a:stretch>
                  </pic:blipFill>
                  <pic:spPr>
                    <a:xfrm>
                      <a:off x="0" y="0"/>
                      <a:ext cx="7035800" cy="2800350"/>
                    </a:xfrm>
                    <a:prstGeom prst="rect">
                      <a:avLst/>
                    </a:prstGeom>
                  </pic:spPr>
                </pic:pic>
              </a:graphicData>
            </a:graphic>
            <wp14:sizeRelH relativeFrom="margin">
              <wp14:pctWidth>0</wp14:pctWidth>
            </wp14:sizeRelH>
            <wp14:sizeRelV relativeFrom="margin">
              <wp14:pctHeight>0</wp14:pctHeight>
            </wp14:sizeRelV>
          </wp:anchor>
        </w:drawing>
      </w:r>
      <w:r w:rsidR="00E47EF8" w:rsidRPr="005424F3">
        <w:rPr>
          <w:b/>
          <w:bCs/>
          <w:noProof/>
        </w:rPr>
        <w:drawing>
          <wp:anchor distT="0" distB="0" distL="114300" distR="114300" simplePos="0" relativeHeight="251658248" behindDoc="0" locked="0" layoutInCell="1" allowOverlap="1" wp14:anchorId="3892D51D" wp14:editId="57E23B93">
            <wp:simplePos x="0" y="0"/>
            <wp:positionH relativeFrom="page">
              <wp:posOffset>350520</wp:posOffset>
            </wp:positionH>
            <wp:positionV relativeFrom="paragraph">
              <wp:posOffset>394335</wp:posOffset>
            </wp:positionV>
            <wp:extent cx="6758940" cy="2216150"/>
            <wp:effectExtent l="0" t="0" r="3810" b="0"/>
            <wp:wrapTopAndBottom/>
            <wp:docPr id="1331276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76532" name=""/>
                    <pic:cNvPicPr/>
                  </pic:nvPicPr>
                  <pic:blipFill>
                    <a:blip r:embed="rId11"/>
                    <a:stretch>
                      <a:fillRect/>
                    </a:stretch>
                  </pic:blipFill>
                  <pic:spPr>
                    <a:xfrm>
                      <a:off x="0" y="0"/>
                      <a:ext cx="6758940" cy="2216150"/>
                    </a:xfrm>
                    <a:prstGeom prst="rect">
                      <a:avLst/>
                    </a:prstGeom>
                  </pic:spPr>
                </pic:pic>
              </a:graphicData>
            </a:graphic>
            <wp14:sizeRelH relativeFrom="margin">
              <wp14:pctWidth>0</wp14:pctWidth>
            </wp14:sizeRelH>
            <wp14:sizeRelV relativeFrom="margin">
              <wp14:pctHeight>0</wp14:pctHeight>
            </wp14:sizeRelV>
          </wp:anchor>
        </w:drawing>
      </w:r>
      <w:r w:rsidR="00C01497">
        <w:rPr>
          <w:rFonts w:eastAsia="Times New Roman"/>
          <w:b/>
          <w:bCs/>
        </w:rPr>
        <w:t>Table 4.1</w:t>
      </w:r>
      <w:r w:rsidR="00584679">
        <w:rPr>
          <w:rFonts w:eastAsia="Times New Roman"/>
          <w:b/>
          <w:bCs/>
        </w:rPr>
        <w:t xml:space="preserve">: </w:t>
      </w:r>
      <w:r w:rsidR="00F026FB" w:rsidRPr="005424F3">
        <w:rPr>
          <w:rFonts w:eastAsia="Times New Roman"/>
          <w:b/>
          <w:bCs/>
        </w:rPr>
        <w:t>Internal SWOT Analysi</w:t>
      </w:r>
      <w:r w:rsidR="00992C99">
        <w:rPr>
          <w:rFonts w:eastAsia="Times New Roman"/>
          <w:b/>
          <w:bCs/>
        </w:rPr>
        <w:t>s</w:t>
      </w:r>
    </w:p>
    <w:p w14:paraId="7338C1A2" w14:textId="3CB8445C" w:rsidR="00B927B2" w:rsidRDefault="00C06313" w:rsidP="00E47EF8">
      <w:pPr>
        <w:spacing w:before="100" w:beforeAutospacing="1" w:after="100" w:afterAutospacing="1" w:line="360" w:lineRule="auto"/>
        <w:outlineLvl w:val="2"/>
        <w:divId w:val="365913389"/>
        <w:rPr>
          <w:rFonts w:ascii="Arial" w:hAnsi="Arial" w:cs="Arial"/>
          <w:kern w:val="0"/>
          <w:sz w:val="22"/>
          <w:szCs w:val="22"/>
          <w14:ligatures w14:val="none"/>
        </w:rPr>
      </w:pPr>
      <w:r w:rsidRPr="00253FBF">
        <w:rPr>
          <w:rFonts w:ascii="Arial" w:hAnsi="Arial" w:cs="Arial"/>
          <w:kern w:val="0"/>
          <w:sz w:val="22"/>
          <w:szCs w:val="22"/>
          <w14:ligatures w14:val="none"/>
        </w:rPr>
        <w:t xml:space="preserve">The current direction aligns with a focused differentiation strategy but lacks formal </w:t>
      </w:r>
      <w:r w:rsidR="004D763A" w:rsidRPr="00253FBF">
        <w:rPr>
          <w:rFonts w:ascii="Arial" w:hAnsi="Arial" w:cs="Arial"/>
          <w:kern w:val="0"/>
          <w:sz w:val="22"/>
          <w:szCs w:val="22"/>
          <w14:ligatures w14:val="none"/>
        </w:rPr>
        <w:t>goal setting</w:t>
      </w:r>
      <w:r w:rsidRPr="00253FBF">
        <w:rPr>
          <w:rFonts w:ascii="Arial" w:hAnsi="Arial" w:cs="Arial"/>
          <w:kern w:val="0"/>
          <w:sz w:val="22"/>
          <w:szCs w:val="22"/>
          <w14:ligatures w14:val="none"/>
        </w:rPr>
        <w:t xml:space="preserve">, governance structures, and digital optimisation — typical of SMEs (Ates &amp; Bititci, </w:t>
      </w:r>
    </w:p>
    <w:p w14:paraId="45EF76E0" w14:textId="345971C2" w:rsidR="00EB29A8" w:rsidRPr="00E47EF8" w:rsidRDefault="00EB29A8" w:rsidP="005424F3">
      <w:pPr>
        <w:pStyle w:val="Heading1"/>
        <w:divId w:val="365913389"/>
        <w:rPr>
          <w:rFonts w:ascii="Arial" w:eastAsia="Times New Roman" w:hAnsi="Arial" w:cs="Arial"/>
          <w:b/>
          <w:bCs/>
          <w:kern w:val="0"/>
          <w:sz w:val="22"/>
          <w:szCs w:val="22"/>
          <w14:ligatures w14:val="none"/>
        </w:rPr>
      </w:pPr>
      <w:r w:rsidRPr="00253FBF">
        <w:rPr>
          <w:rFonts w:eastAsia="Times New Roman"/>
        </w:rPr>
        <w:t>4.2 Value Chain Analysis</w:t>
      </w:r>
    </w:p>
    <w:p w14:paraId="3EFF63AF" w14:textId="32362E80" w:rsidR="00A46278" w:rsidRDefault="005424F3" w:rsidP="00536C04">
      <w:pPr>
        <w:spacing w:before="100" w:beforeAutospacing="1" w:after="100" w:afterAutospacing="1" w:line="360" w:lineRule="auto"/>
        <w:outlineLvl w:val="2"/>
        <w:divId w:val="534587209"/>
        <w:rPr>
          <w:rFonts w:ascii="Arial" w:eastAsia="Times New Roman" w:hAnsi="Arial" w:cs="Arial"/>
          <w:b/>
          <w:bCs/>
          <w:kern w:val="0"/>
          <w:sz w:val="22"/>
          <w:szCs w:val="22"/>
          <w14:ligatures w14:val="none"/>
        </w:rPr>
      </w:pPr>
      <w:r>
        <w:rPr>
          <w:noProof/>
        </w:rPr>
        <w:drawing>
          <wp:anchor distT="0" distB="0" distL="114300" distR="114300" simplePos="0" relativeHeight="251658250" behindDoc="0" locked="0" layoutInCell="1" allowOverlap="1" wp14:anchorId="262C2AB7" wp14:editId="364ECDFC">
            <wp:simplePos x="0" y="0"/>
            <wp:positionH relativeFrom="page">
              <wp:posOffset>138430</wp:posOffset>
            </wp:positionH>
            <wp:positionV relativeFrom="paragraph">
              <wp:posOffset>525780</wp:posOffset>
            </wp:positionV>
            <wp:extent cx="7282180" cy="4791075"/>
            <wp:effectExtent l="0" t="0" r="0" b="9525"/>
            <wp:wrapTopAndBottom/>
            <wp:docPr id="1527860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860623" name=""/>
                    <pic:cNvPicPr/>
                  </pic:nvPicPr>
                  <pic:blipFill>
                    <a:blip r:embed="rId12"/>
                    <a:stretch>
                      <a:fillRect/>
                    </a:stretch>
                  </pic:blipFill>
                  <pic:spPr>
                    <a:xfrm>
                      <a:off x="0" y="0"/>
                      <a:ext cx="7282180" cy="4791075"/>
                    </a:xfrm>
                    <a:prstGeom prst="rect">
                      <a:avLst/>
                    </a:prstGeom>
                  </pic:spPr>
                </pic:pic>
              </a:graphicData>
            </a:graphic>
            <wp14:sizeRelH relativeFrom="margin">
              <wp14:pctWidth>0</wp14:pctWidth>
            </wp14:sizeRelH>
            <wp14:sizeRelV relativeFrom="margin">
              <wp14:pctHeight>0</wp14:pctHeight>
            </wp14:sizeRelV>
          </wp:anchor>
        </w:drawing>
      </w:r>
    </w:p>
    <w:p w14:paraId="77B522E8" w14:textId="436B1411" w:rsidR="006375B5" w:rsidRDefault="006375B5" w:rsidP="00A761C5">
      <w:pPr>
        <w:pStyle w:val="p1"/>
        <w:spacing w:line="360" w:lineRule="auto"/>
        <w:divId w:val="1284311739"/>
        <w:rPr>
          <w:rStyle w:val="s1"/>
          <w:rFonts w:ascii="Arial" w:hAnsi="Arial" w:cs="Arial"/>
          <w:sz w:val="22"/>
          <w:szCs w:val="22"/>
        </w:rPr>
      </w:pPr>
    </w:p>
    <w:p w14:paraId="185E1367" w14:textId="5AED51E7" w:rsidR="00A47B6C" w:rsidRDefault="00022275" w:rsidP="00A761C5">
      <w:pPr>
        <w:pStyle w:val="p1"/>
        <w:spacing w:line="360" w:lineRule="auto"/>
        <w:divId w:val="1284311739"/>
        <w:rPr>
          <w:rStyle w:val="s1"/>
        </w:rPr>
      </w:pPr>
      <w:r w:rsidRPr="00253FBF">
        <w:rPr>
          <w:rStyle w:val="s1"/>
          <w:rFonts w:ascii="Arial" w:hAnsi="Arial" w:cs="Arial"/>
          <w:sz w:val="22"/>
          <w:szCs w:val="22"/>
        </w:rPr>
        <w:t>Support activities (HR, procurement, technology) remain underdeveloped — an area for strategic focus.</w:t>
      </w:r>
    </w:p>
    <w:p w14:paraId="4A9ADE09" w14:textId="77777777" w:rsidR="001B1C6A" w:rsidRDefault="001B1C6A" w:rsidP="006664FC">
      <w:pPr>
        <w:pStyle w:val="Heading1"/>
        <w:divId w:val="1284311739"/>
        <w:rPr>
          <w:rFonts w:eastAsia="Times New Roman"/>
        </w:rPr>
      </w:pPr>
    </w:p>
    <w:p w14:paraId="14C8AA2D" w14:textId="77777777" w:rsidR="001B1C6A" w:rsidRDefault="001B1C6A" w:rsidP="006664FC">
      <w:pPr>
        <w:pStyle w:val="Heading1"/>
        <w:divId w:val="1284311739"/>
        <w:rPr>
          <w:rFonts w:eastAsia="Times New Roman"/>
        </w:rPr>
      </w:pPr>
    </w:p>
    <w:p w14:paraId="23455DFA" w14:textId="77777777" w:rsidR="00EB753D" w:rsidRDefault="00EB753D" w:rsidP="00EB753D">
      <w:pPr>
        <w:divId w:val="1284311739"/>
        <w:rPr>
          <w:rFonts w:eastAsia="Times New Roman"/>
        </w:rPr>
      </w:pPr>
    </w:p>
    <w:p w14:paraId="46CB3AF5" w14:textId="77777777" w:rsidR="00EB753D" w:rsidRDefault="00EB753D" w:rsidP="00EB753D">
      <w:pPr>
        <w:divId w:val="1284311739"/>
        <w:rPr>
          <w:rFonts w:eastAsia="Times New Roman"/>
        </w:rPr>
      </w:pPr>
    </w:p>
    <w:p w14:paraId="3CC5EC15" w14:textId="77777777" w:rsidR="00EB753D" w:rsidRDefault="00EB753D" w:rsidP="00EB753D">
      <w:pPr>
        <w:divId w:val="1284311739"/>
        <w:rPr>
          <w:rFonts w:eastAsia="Times New Roman"/>
        </w:rPr>
      </w:pPr>
    </w:p>
    <w:p w14:paraId="136C48DC" w14:textId="71354282" w:rsidR="00C603C7" w:rsidRDefault="00C603C7" w:rsidP="00AB4E5C">
      <w:pPr>
        <w:pStyle w:val="Heading1"/>
        <w:divId w:val="1284311739"/>
        <w:rPr>
          <w:rFonts w:eastAsia="Times New Roman"/>
        </w:rPr>
      </w:pPr>
      <w:r w:rsidRPr="00253FBF">
        <w:rPr>
          <w:rFonts w:eastAsia="Times New Roman"/>
        </w:rPr>
        <w:t>4.3 External Environment – PESTEL Analysis</w:t>
      </w:r>
    </w:p>
    <w:p w14:paraId="382056A6" w14:textId="77777777" w:rsidR="00EB753D" w:rsidRDefault="00EB753D" w:rsidP="00EB753D">
      <w:pPr>
        <w:divId w:val="1284311739"/>
        <w:rPr>
          <w:rFonts w:eastAsia="Times New Roman"/>
        </w:rPr>
      </w:pPr>
    </w:p>
    <w:p w14:paraId="2BB4BB95" w14:textId="42150B51" w:rsidR="00EB753D" w:rsidRDefault="00EB753D" w:rsidP="00AB4E5C">
      <w:pPr>
        <w:pStyle w:val="Heading2"/>
        <w:divId w:val="1284311739"/>
        <w:rPr>
          <w:rFonts w:eastAsia="Times New Roman"/>
        </w:rPr>
      </w:pPr>
      <w:r>
        <w:rPr>
          <w:rFonts w:eastAsia="Times New Roman"/>
        </w:rPr>
        <w:t>Table</w:t>
      </w:r>
      <w:r w:rsidR="00DD2AB7">
        <w:rPr>
          <w:rFonts w:eastAsia="Times New Roman"/>
        </w:rPr>
        <w:t xml:space="preserve"> 4.3: Pestel</w:t>
      </w:r>
      <w:r w:rsidR="00AB4E5C">
        <w:rPr>
          <w:rFonts w:eastAsia="Times New Roman"/>
        </w:rPr>
        <w:t xml:space="preserve"> Analysis Summary</w:t>
      </w:r>
    </w:p>
    <w:p w14:paraId="0F945843" w14:textId="628F90D4" w:rsidR="0072267C" w:rsidRDefault="00B600F6" w:rsidP="00EB753D">
      <w:pPr>
        <w:divId w:val="1284311739"/>
      </w:pPr>
      <w:r>
        <w:rPr>
          <w:noProof/>
        </w:rPr>
        <w:drawing>
          <wp:anchor distT="0" distB="0" distL="114300" distR="114300" simplePos="0" relativeHeight="251658241" behindDoc="0" locked="0" layoutInCell="1" allowOverlap="1" wp14:anchorId="44E18AF3" wp14:editId="51D14F65">
            <wp:simplePos x="0" y="0"/>
            <wp:positionH relativeFrom="margin">
              <wp:posOffset>-365760</wp:posOffset>
            </wp:positionH>
            <wp:positionV relativeFrom="paragraph">
              <wp:posOffset>412750</wp:posOffset>
            </wp:positionV>
            <wp:extent cx="6721475" cy="6129655"/>
            <wp:effectExtent l="0" t="0" r="3175" b="4445"/>
            <wp:wrapTopAndBottom/>
            <wp:docPr id="86365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22149" name=""/>
                    <pic:cNvPicPr/>
                  </pic:nvPicPr>
                  <pic:blipFill>
                    <a:blip r:embed="rId13"/>
                    <a:stretch>
                      <a:fillRect/>
                    </a:stretch>
                  </pic:blipFill>
                  <pic:spPr>
                    <a:xfrm>
                      <a:off x="0" y="0"/>
                      <a:ext cx="6721475" cy="6129655"/>
                    </a:xfrm>
                    <a:prstGeom prst="rect">
                      <a:avLst/>
                    </a:prstGeom>
                  </pic:spPr>
                </pic:pic>
              </a:graphicData>
            </a:graphic>
            <wp14:sizeRelH relativeFrom="margin">
              <wp14:pctWidth>0</wp14:pctWidth>
            </wp14:sizeRelH>
            <wp14:sizeRelV relativeFrom="margin">
              <wp14:pctHeight>0</wp14:pctHeight>
            </wp14:sizeRelV>
          </wp:anchor>
        </w:drawing>
      </w:r>
    </w:p>
    <w:p w14:paraId="6661A165" w14:textId="62FB30A1" w:rsidR="0050680E" w:rsidRDefault="0050680E" w:rsidP="00077C22">
      <w:pPr>
        <w:spacing w:before="100" w:beforeAutospacing="1" w:after="100" w:afterAutospacing="1" w:line="240" w:lineRule="auto"/>
        <w:divId w:val="1881167153"/>
        <w:rPr>
          <w:rFonts w:ascii="Times New Roman" w:hAnsi="Times New Roman" w:cs="Times New Roman"/>
          <w:kern w:val="0"/>
          <w14:ligatures w14:val="none"/>
        </w:rPr>
      </w:pPr>
    </w:p>
    <w:p w14:paraId="31606645" w14:textId="4623B2CF" w:rsidR="0050680E" w:rsidRDefault="0050680E" w:rsidP="00077C22">
      <w:pPr>
        <w:spacing w:before="100" w:beforeAutospacing="1" w:after="100" w:afterAutospacing="1" w:line="240" w:lineRule="auto"/>
        <w:divId w:val="1881167153"/>
        <w:rPr>
          <w:rFonts w:ascii="Times New Roman" w:hAnsi="Times New Roman" w:cs="Times New Roman"/>
          <w:kern w:val="0"/>
          <w14:ligatures w14:val="none"/>
        </w:rPr>
      </w:pPr>
    </w:p>
    <w:p w14:paraId="544C3505" w14:textId="207706AF" w:rsidR="00077C22" w:rsidRPr="0050680E" w:rsidRDefault="00077C22" w:rsidP="00077C22">
      <w:pPr>
        <w:spacing w:before="100" w:beforeAutospacing="1" w:after="100" w:afterAutospacing="1" w:line="24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 xml:space="preserve">A PESTEL analysis examines the macro-environmental factors—political, economic, social, technological, environmental, and legal—that shape Quarter Horse Coffee’s (QHC) strategic context. For small and medium-sized enterprises (SMEs) such as QHC, understanding these external influences is essential to </w:t>
      </w:r>
      <w:bookmarkStart w:id="2" w:name="_Int_768VpyaH"/>
      <w:r w:rsidRPr="0050680E">
        <w:rPr>
          <w:rFonts w:ascii="Arial" w:hAnsi="Arial" w:cs="Arial"/>
          <w:kern w:val="0"/>
          <w:sz w:val="22"/>
          <w:szCs w:val="22"/>
          <w14:ligatures w14:val="none"/>
        </w:rPr>
        <w:t>anticipate</w:t>
      </w:r>
      <w:bookmarkEnd w:id="2"/>
      <w:r w:rsidRPr="0050680E">
        <w:rPr>
          <w:rFonts w:ascii="Arial" w:hAnsi="Arial" w:cs="Arial"/>
          <w:kern w:val="0"/>
          <w:sz w:val="22"/>
          <w:szCs w:val="22"/>
          <w14:ligatures w14:val="none"/>
        </w:rPr>
        <w:t xml:space="preserve"> risks, </w:t>
      </w:r>
      <w:bookmarkStart w:id="3" w:name="_Int_Ww25ontg"/>
      <w:r w:rsidRPr="0050680E">
        <w:rPr>
          <w:rFonts w:ascii="Arial" w:hAnsi="Arial" w:cs="Arial"/>
          <w:kern w:val="0"/>
          <w:sz w:val="22"/>
          <w:szCs w:val="22"/>
          <w14:ligatures w14:val="none"/>
        </w:rPr>
        <w:t>identify</w:t>
      </w:r>
      <w:bookmarkEnd w:id="3"/>
      <w:r w:rsidRPr="0050680E">
        <w:rPr>
          <w:rFonts w:ascii="Arial" w:hAnsi="Arial" w:cs="Arial"/>
          <w:kern w:val="0"/>
          <w:sz w:val="22"/>
          <w:szCs w:val="22"/>
          <w14:ligatures w14:val="none"/>
        </w:rPr>
        <w:t xml:space="preserve"> growth opportunities, and ensure resilience (ACCA, 2024).</w:t>
      </w:r>
    </w:p>
    <w:p w14:paraId="4B9906F6" w14:textId="1AF9ADCC" w:rsidR="00FF1CF5" w:rsidRDefault="00FF1CF5" w:rsidP="0050680E">
      <w:pPr>
        <w:spacing w:before="100" w:beforeAutospacing="1" w:after="100" w:afterAutospacing="1" w:line="360" w:lineRule="auto"/>
        <w:outlineLvl w:val="2"/>
        <w:divId w:val="1881167153"/>
        <w:rPr>
          <w:rFonts w:ascii="Times New Roman" w:hAnsi="Times New Roman" w:cs="Times New Roman"/>
          <w:kern w:val="0"/>
          <w14:ligatures w14:val="none"/>
        </w:rPr>
      </w:pPr>
    </w:p>
    <w:p w14:paraId="72FF6279" w14:textId="230D2D8C" w:rsidR="00077C22" w:rsidRPr="0050680E" w:rsidRDefault="00077C22" w:rsidP="0050680E">
      <w:pPr>
        <w:spacing w:before="100" w:beforeAutospacing="1" w:after="100" w:afterAutospacing="1" w:line="360" w:lineRule="auto"/>
        <w:outlineLvl w:val="2"/>
        <w:divId w:val="1881167153"/>
        <w:rPr>
          <w:rFonts w:ascii="Arial" w:eastAsia="Times New Roman" w:hAnsi="Arial" w:cs="Arial"/>
          <w:b/>
          <w:bCs/>
          <w:kern w:val="0"/>
          <w:sz w:val="22"/>
          <w:szCs w:val="22"/>
          <w14:ligatures w14:val="none"/>
        </w:rPr>
      </w:pPr>
      <w:r w:rsidRPr="0050680E">
        <w:rPr>
          <w:rFonts w:ascii="Arial" w:eastAsia="Times New Roman" w:hAnsi="Arial" w:cs="Arial"/>
          <w:b/>
          <w:bCs/>
          <w:kern w:val="0"/>
          <w:sz w:val="22"/>
          <w:szCs w:val="22"/>
          <w14:ligatures w14:val="none"/>
        </w:rPr>
        <w:t>Political Factors</w:t>
      </w:r>
    </w:p>
    <w:p w14:paraId="09493744" w14:textId="77777777" w:rsidR="00077C22" w:rsidRPr="0050680E" w:rsidRDefault="00077C22" w:rsidP="0050680E">
      <w:pPr>
        <w:spacing w:before="100" w:beforeAutospacing="1" w:after="100" w:afterAutospacing="1" w:line="36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Post-Brexit trade conditions continue to affect UK importers of green coffee beans. Increased customs checks, exchange-rate volatility, and import paperwork raise supply-chain costs for roasters dependent on overseas producers (Enterprise Research Centre, 2023). Additionally, government emphasis on environmental responsibility and small-business taxation may influence QHC’s operational margins and packaging practices (Firestarter Solutions, 2024).</w:t>
      </w:r>
    </w:p>
    <w:p w14:paraId="37B2EC23" w14:textId="77777777" w:rsidR="00077C22" w:rsidRPr="0050680E" w:rsidRDefault="00077C22" w:rsidP="00FF1CF5">
      <w:pPr>
        <w:spacing w:before="100" w:beforeAutospacing="1" w:after="100" w:afterAutospacing="1" w:line="360" w:lineRule="auto"/>
        <w:outlineLvl w:val="2"/>
        <w:divId w:val="1881167153"/>
        <w:rPr>
          <w:rFonts w:ascii="Arial" w:eastAsia="Times New Roman" w:hAnsi="Arial" w:cs="Arial"/>
          <w:b/>
          <w:bCs/>
          <w:kern w:val="0"/>
          <w:sz w:val="22"/>
          <w:szCs w:val="22"/>
          <w14:ligatures w14:val="none"/>
        </w:rPr>
      </w:pPr>
      <w:r w:rsidRPr="0050680E">
        <w:rPr>
          <w:rFonts w:ascii="Arial" w:eastAsia="Times New Roman" w:hAnsi="Arial" w:cs="Arial"/>
          <w:b/>
          <w:bCs/>
          <w:kern w:val="0"/>
          <w:sz w:val="22"/>
          <w:szCs w:val="22"/>
          <w14:ligatures w14:val="none"/>
        </w:rPr>
        <w:t>Economic Factors</w:t>
      </w:r>
    </w:p>
    <w:p w14:paraId="057B1A1A" w14:textId="77777777" w:rsidR="00077C22" w:rsidRPr="0050680E" w:rsidRDefault="00077C22" w:rsidP="00FF1CF5">
      <w:pPr>
        <w:spacing w:before="100" w:beforeAutospacing="1" w:after="100" w:afterAutospacing="1" w:line="36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Persistent inflationary pressures in the UK, coupled with high energy and wage costs, are constraining SME profitability (ACCA, 2024). Specialty coffee, being a discretionary good, faces reduced demand during economic downturns. However, the UK’s expanding coffee market—valued at over £5 billion—still presents long-term potential for premium brands targeting affluent, urban consumers (Kindström, 2024).</w:t>
      </w:r>
    </w:p>
    <w:p w14:paraId="7C4D7527" w14:textId="77777777" w:rsidR="00077C22" w:rsidRPr="0050680E" w:rsidRDefault="00077C22" w:rsidP="0050680E">
      <w:pPr>
        <w:spacing w:before="100" w:beforeAutospacing="1" w:after="100" w:afterAutospacing="1" w:line="360" w:lineRule="auto"/>
        <w:outlineLvl w:val="2"/>
        <w:divId w:val="1881167153"/>
        <w:rPr>
          <w:rFonts w:ascii="Arial" w:eastAsia="Times New Roman" w:hAnsi="Arial" w:cs="Arial"/>
          <w:b/>
          <w:bCs/>
          <w:kern w:val="0"/>
          <w:sz w:val="22"/>
          <w:szCs w:val="22"/>
          <w14:ligatures w14:val="none"/>
        </w:rPr>
      </w:pPr>
      <w:r w:rsidRPr="0050680E">
        <w:rPr>
          <w:rFonts w:ascii="Arial" w:eastAsia="Times New Roman" w:hAnsi="Arial" w:cs="Arial"/>
          <w:b/>
          <w:bCs/>
          <w:kern w:val="0"/>
          <w:sz w:val="22"/>
          <w:szCs w:val="22"/>
          <w14:ligatures w14:val="none"/>
        </w:rPr>
        <w:t>Social Factors</w:t>
      </w:r>
    </w:p>
    <w:p w14:paraId="50CDBC54" w14:textId="6F80BD64" w:rsidR="00077C22" w:rsidRPr="0050680E" w:rsidRDefault="00077C22" w:rsidP="0050680E">
      <w:pPr>
        <w:spacing w:before="100" w:beforeAutospacing="1" w:after="100" w:afterAutospacing="1" w:line="36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Consumer preferences are shifting toward ethical consumption, traceability, and sustainability. Post-pandemic, home-brewing culture</w:t>
      </w:r>
      <w:r w:rsidR="005A2ACA" w:rsidRPr="0050680E">
        <w:rPr>
          <w:rFonts w:ascii="Arial" w:hAnsi="Arial" w:cs="Arial"/>
          <w:kern w:val="0"/>
          <w:sz w:val="22"/>
          <w:szCs w:val="22"/>
          <w14:ligatures w14:val="none"/>
        </w:rPr>
        <w:t>,</w:t>
      </w:r>
      <w:r w:rsidRPr="0050680E">
        <w:rPr>
          <w:rFonts w:ascii="Arial" w:hAnsi="Arial" w:cs="Arial"/>
          <w:kern w:val="0"/>
          <w:sz w:val="22"/>
          <w:szCs w:val="22"/>
          <w14:ligatures w14:val="none"/>
        </w:rPr>
        <w:t xml:space="preserve"> and subscription services have surged, supporting QHC’s direct-to-consumer model. Furthermore, rising appreciation for independent coffee culture in Birmingham enhances QHC’s local relevance (Quarter Horse Coffee, n.d.a).</w:t>
      </w:r>
    </w:p>
    <w:p w14:paraId="54FECD34" w14:textId="5BB6A06C" w:rsidR="00077C22" w:rsidRPr="0050680E" w:rsidRDefault="00077C22" w:rsidP="0050680E">
      <w:pPr>
        <w:spacing w:before="100" w:beforeAutospacing="1" w:after="100" w:afterAutospacing="1" w:line="360" w:lineRule="auto"/>
        <w:outlineLvl w:val="2"/>
        <w:divId w:val="1881167153"/>
        <w:rPr>
          <w:rFonts w:ascii="Arial" w:eastAsia="Times New Roman" w:hAnsi="Arial" w:cs="Arial"/>
          <w:b/>
          <w:bCs/>
          <w:kern w:val="0"/>
          <w:sz w:val="22"/>
          <w:szCs w:val="22"/>
          <w14:ligatures w14:val="none"/>
        </w:rPr>
      </w:pPr>
      <w:r w:rsidRPr="0050680E">
        <w:rPr>
          <w:rFonts w:ascii="Arial" w:eastAsia="Times New Roman" w:hAnsi="Arial" w:cs="Arial"/>
          <w:b/>
          <w:bCs/>
          <w:kern w:val="0"/>
          <w:sz w:val="22"/>
          <w:szCs w:val="22"/>
          <w14:ligatures w14:val="none"/>
        </w:rPr>
        <w:t>Technological Factors</w:t>
      </w:r>
    </w:p>
    <w:p w14:paraId="24ADFDD4" w14:textId="15377512" w:rsidR="00AF7503" w:rsidRDefault="00077C22" w:rsidP="00AF7503">
      <w:pPr>
        <w:spacing w:before="100" w:beforeAutospacing="1" w:after="100" w:afterAutospacing="1" w:line="36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 xml:space="preserve">The proliferation of e-commerce platforms and digital marketing offers opportunities to strengthen QHC’s subscription services. Adoption of data analytics and automation in roasting and </w:t>
      </w:r>
      <w:r w:rsidR="00BA0C1B" w:rsidRPr="0050680E">
        <w:rPr>
          <w:rFonts w:ascii="Arial" w:hAnsi="Arial" w:cs="Arial"/>
          <w:kern w:val="0"/>
          <w:sz w:val="22"/>
          <w:szCs w:val="22"/>
          <w14:ligatures w14:val="none"/>
        </w:rPr>
        <w:t>coordination</w:t>
      </w:r>
      <w:r w:rsidRPr="0050680E">
        <w:rPr>
          <w:rFonts w:ascii="Arial" w:hAnsi="Arial" w:cs="Arial"/>
          <w:kern w:val="0"/>
          <w:sz w:val="22"/>
          <w:szCs w:val="22"/>
          <w14:ligatures w14:val="none"/>
        </w:rPr>
        <w:t xml:space="preserve"> can increase efficiency and customer retention (Ates and Bititci, 2017).</w:t>
      </w:r>
    </w:p>
    <w:p w14:paraId="1FFA4622" w14:textId="77777777" w:rsidR="003E4100" w:rsidRDefault="003E4100" w:rsidP="001B3671">
      <w:pPr>
        <w:spacing w:before="100" w:beforeAutospacing="1" w:after="100" w:afterAutospacing="1" w:line="360" w:lineRule="auto"/>
        <w:divId w:val="1881167153"/>
        <w:rPr>
          <w:rFonts w:ascii="Arial" w:eastAsia="Times New Roman" w:hAnsi="Arial" w:cs="Arial"/>
          <w:b/>
          <w:bCs/>
          <w:kern w:val="0"/>
          <w:sz w:val="22"/>
          <w:szCs w:val="22"/>
          <w14:ligatures w14:val="none"/>
        </w:rPr>
      </w:pPr>
    </w:p>
    <w:p w14:paraId="0BBAF054" w14:textId="25F43550" w:rsidR="00077C22" w:rsidRPr="001B3671" w:rsidRDefault="00077C22" w:rsidP="001B3671">
      <w:pPr>
        <w:spacing w:before="100" w:beforeAutospacing="1" w:after="100" w:afterAutospacing="1" w:line="360" w:lineRule="auto"/>
        <w:divId w:val="1881167153"/>
        <w:rPr>
          <w:rFonts w:ascii="Arial" w:hAnsi="Arial" w:cs="Arial"/>
          <w:kern w:val="0"/>
          <w:sz w:val="22"/>
          <w:szCs w:val="22"/>
          <w14:ligatures w14:val="none"/>
        </w:rPr>
      </w:pPr>
      <w:r w:rsidRPr="001B3671">
        <w:rPr>
          <w:rFonts w:ascii="Arial" w:eastAsia="Times New Roman" w:hAnsi="Arial" w:cs="Arial"/>
          <w:b/>
          <w:bCs/>
          <w:kern w:val="0"/>
          <w:sz w:val="22"/>
          <w:szCs w:val="22"/>
          <w14:ligatures w14:val="none"/>
        </w:rPr>
        <w:t>Environmental and Legal Factors</w:t>
      </w:r>
    </w:p>
    <w:p w14:paraId="663E760B" w14:textId="1E8A0C8F" w:rsidR="008C4961" w:rsidRDefault="00077C22" w:rsidP="008230E0">
      <w:pPr>
        <w:spacing w:before="100" w:beforeAutospacing="1" w:after="100" w:afterAutospacing="1" w:line="360" w:lineRule="auto"/>
        <w:divId w:val="1881167153"/>
        <w:rPr>
          <w:rFonts w:ascii="Arial" w:hAnsi="Arial" w:cs="Arial"/>
          <w:kern w:val="0"/>
          <w:sz w:val="22"/>
          <w:szCs w:val="22"/>
          <w14:ligatures w14:val="none"/>
        </w:rPr>
      </w:pPr>
      <w:r w:rsidRPr="001B3671">
        <w:rPr>
          <w:rFonts w:ascii="Arial" w:hAnsi="Arial" w:cs="Arial"/>
          <w:kern w:val="0"/>
          <w:sz w:val="22"/>
          <w:szCs w:val="22"/>
          <w14:ligatures w14:val="none"/>
        </w:rPr>
        <w:t xml:space="preserve">Environmental regulation is tightening, compelling SMEs to reduce carbon emissions and adopt recyclable packaging. As climate change threatens global coffee yields, sourcing diversification becomes crucial (Enterprise Research Centre, 2023). Legally, compliance with UK food safety, employment, and data-protection laws </w:t>
      </w:r>
      <w:bookmarkStart w:id="4" w:name="_Int_uWu05SOX"/>
      <w:r w:rsidRPr="001B3671">
        <w:rPr>
          <w:rFonts w:ascii="Arial" w:hAnsi="Arial" w:cs="Arial"/>
          <w:kern w:val="0"/>
          <w:sz w:val="22"/>
          <w:szCs w:val="22"/>
          <w14:ligatures w14:val="none"/>
        </w:rPr>
        <w:t>remains</w:t>
      </w:r>
      <w:bookmarkEnd w:id="4"/>
      <w:r w:rsidRPr="001B3671">
        <w:rPr>
          <w:rFonts w:ascii="Arial" w:hAnsi="Arial" w:cs="Arial"/>
          <w:kern w:val="0"/>
          <w:sz w:val="22"/>
          <w:szCs w:val="22"/>
          <w14:ligatures w14:val="none"/>
        </w:rPr>
        <w:t xml:space="preserve"> essential to </w:t>
      </w:r>
      <w:r w:rsidR="00BA0C1B" w:rsidRPr="001B3671">
        <w:rPr>
          <w:rFonts w:ascii="Arial" w:hAnsi="Arial" w:cs="Arial"/>
          <w:kern w:val="0"/>
          <w:sz w:val="22"/>
          <w:szCs w:val="22"/>
          <w14:ligatures w14:val="none"/>
        </w:rPr>
        <w:t>support</w:t>
      </w:r>
      <w:r w:rsidRPr="001B3671">
        <w:rPr>
          <w:rFonts w:ascii="Arial" w:hAnsi="Arial" w:cs="Arial"/>
          <w:kern w:val="0"/>
          <w:sz w:val="22"/>
          <w:szCs w:val="22"/>
          <w14:ligatures w14:val="none"/>
        </w:rPr>
        <w:t xml:space="preserve"> consumer trust.</w:t>
      </w:r>
    </w:p>
    <w:p w14:paraId="5EF49DE5" w14:textId="00916E3B" w:rsidR="00077C22" w:rsidRPr="001B3671" w:rsidRDefault="00077C22" w:rsidP="008C4961">
      <w:pPr>
        <w:spacing w:before="100" w:beforeAutospacing="1" w:after="100" w:afterAutospacing="1" w:line="360" w:lineRule="auto"/>
        <w:divId w:val="1881167153"/>
        <w:rPr>
          <w:rFonts w:ascii="Arial" w:hAnsi="Arial" w:cs="Arial"/>
          <w:kern w:val="0"/>
          <w:sz w:val="22"/>
          <w:szCs w:val="22"/>
          <w14:ligatures w14:val="none"/>
        </w:rPr>
      </w:pPr>
      <w:r w:rsidRPr="001B3671">
        <w:rPr>
          <w:rFonts w:ascii="Arial" w:hAnsi="Arial" w:cs="Arial"/>
          <w:kern w:val="0"/>
          <w:sz w:val="22"/>
          <w:szCs w:val="22"/>
          <w14:ligatures w14:val="none"/>
        </w:rPr>
        <w:t>Overall, QHC’s external environment presents both pressure and opportunity. By aligning its sustainability and digital strategies with these macro trends, QHC can reinforce its competitive position in the UK specialty coffee market.</w:t>
      </w:r>
    </w:p>
    <w:p w14:paraId="7351E679" w14:textId="6DA80F0D" w:rsidR="0028788A" w:rsidRDefault="0028788A" w:rsidP="005424F3">
      <w:pPr>
        <w:pStyle w:val="Heading1"/>
        <w:divId w:val="230971465"/>
        <w:rPr>
          <w:rFonts w:eastAsia="Times New Roman"/>
        </w:rPr>
      </w:pPr>
      <w:r w:rsidRPr="00253FBF">
        <w:rPr>
          <w:rFonts w:eastAsia="Times New Roman"/>
        </w:rPr>
        <w:t>4.4 Porter’s Five Forces</w:t>
      </w:r>
    </w:p>
    <w:p w14:paraId="2F9FF018"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Porter’s Five Forces framework helps to evaluate the competitive pressures within the UK specialty coffee industry that influence Quarter Horse Coffee’s (QHC) strategic positioning (Porter, 1985).</w:t>
      </w:r>
    </w:p>
    <w:p w14:paraId="25CAA6D5"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p>
    <w:p w14:paraId="6A6EF23F"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1. Threat of New Entrants – Moderate to High</w:t>
      </w:r>
    </w:p>
    <w:p w14:paraId="4DFCFBF3"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The UK coffee market has low entry barriers in terms of regulation and capital requirements for small roasters. However, new entrants face challenges in achieving consistent quality, ethical sourcing, and brand recognition. QHC’s established reputation in Birmingham provides a modest defence against this threat (Quarter Horse Coffee, n.d.a).</w:t>
      </w:r>
    </w:p>
    <w:p w14:paraId="7D5A8279"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p>
    <w:p w14:paraId="144C5D10"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2. Supplier Power – Moderate</w:t>
      </w:r>
    </w:p>
    <w:p w14:paraId="60BA049F" w14:textId="5B33C645"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 xml:space="preserve">Green coffee beans </w:t>
      </w:r>
      <w:bookmarkStart w:id="5" w:name="_Int_KnASeY3K"/>
      <w:r w:rsidRPr="0009674E">
        <w:rPr>
          <w:rFonts w:ascii="Arial" w:hAnsi="Arial" w:cs="Arial"/>
          <w:kern w:val="0"/>
          <w:sz w:val="22"/>
          <w:szCs w:val="22"/>
          <w14:ligatures w14:val="none"/>
        </w:rPr>
        <w:t>are sourced</w:t>
      </w:r>
      <w:bookmarkEnd w:id="5"/>
      <w:r w:rsidRPr="0009674E">
        <w:rPr>
          <w:rFonts w:ascii="Arial" w:hAnsi="Arial" w:cs="Arial"/>
          <w:kern w:val="0"/>
          <w:sz w:val="22"/>
          <w:szCs w:val="22"/>
          <w14:ligatures w14:val="none"/>
        </w:rPr>
        <w:t xml:space="preserve"> globally, and QHC’s commitment to ethical </w:t>
      </w:r>
      <w:r w:rsidR="00BA0C1B" w:rsidRPr="0009674E">
        <w:rPr>
          <w:rFonts w:ascii="Arial" w:hAnsi="Arial" w:cs="Arial"/>
          <w:kern w:val="0"/>
          <w:sz w:val="22"/>
          <w:szCs w:val="22"/>
          <w14:ligatures w14:val="none"/>
        </w:rPr>
        <w:t>supplier's</w:t>
      </w:r>
      <w:r w:rsidRPr="0009674E">
        <w:rPr>
          <w:rFonts w:ascii="Arial" w:hAnsi="Arial" w:cs="Arial"/>
          <w:kern w:val="0"/>
          <w:sz w:val="22"/>
          <w:szCs w:val="22"/>
          <w14:ligatures w14:val="none"/>
        </w:rPr>
        <w:t xml:space="preserve"> limits flexibility in switching partners. Climatic risks and currency fluctuations increase supplier influence (Enterprise Research Centre, 2023).</w:t>
      </w:r>
    </w:p>
    <w:p w14:paraId="5B503CB9"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p>
    <w:p w14:paraId="70B253C9" w14:textId="77777777" w:rsidR="00092CF6" w:rsidRDefault="00092CF6"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p>
    <w:p w14:paraId="303673CD"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3. Buyer Power – High</w:t>
      </w:r>
    </w:p>
    <w:p w14:paraId="4CD59D02"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 xml:space="preserve">Customers and wholesale clients </w:t>
      </w:r>
      <w:bookmarkStart w:id="6" w:name="_Int_Mjea5Z2B"/>
      <w:r w:rsidRPr="0009674E">
        <w:rPr>
          <w:rFonts w:ascii="Arial" w:hAnsi="Arial" w:cs="Arial"/>
          <w:kern w:val="0"/>
          <w:sz w:val="22"/>
          <w:szCs w:val="22"/>
          <w14:ligatures w14:val="none"/>
        </w:rPr>
        <w:t>possess</w:t>
      </w:r>
      <w:bookmarkEnd w:id="6"/>
      <w:r w:rsidRPr="0009674E">
        <w:rPr>
          <w:rFonts w:ascii="Arial" w:hAnsi="Arial" w:cs="Arial"/>
          <w:kern w:val="0"/>
          <w:sz w:val="22"/>
          <w:szCs w:val="22"/>
          <w14:ligatures w14:val="none"/>
        </w:rPr>
        <w:t xml:space="preserve"> high bargaining power, as substitutes and competitors are abundant. Differentiation through sustainability and training support mitigates this risk (Kindström, 2024).</w:t>
      </w:r>
    </w:p>
    <w:p w14:paraId="39F53F00"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p>
    <w:p w14:paraId="107EC4B6"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4. Threat of Substitutes – Moderate</w:t>
      </w:r>
    </w:p>
    <w:p w14:paraId="2D0BFB34"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Alternative beverages such as tea, energy drinks, and instant coffee exert moderate substitution pressure.</w:t>
      </w:r>
    </w:p>
    <w:p w14:paraId="7C1F50F7"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5. Industry Rivalry – High</w:t>
      </w:r>
    </w:p>
    <w:p w14:paraId="2CD7F989"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 xml:space="preserve">The UK specialty coffee sector </w:t>
      </w:r>
      <w:bookmarkStart w:id="7" w:name="_Int_YgxQndiu"/>
      <w:r w:rsidRPr="0009674E">
        <w:rPr>
          <w:rFonts w:ascii="Arial" w:hAnsi="Arial" w:cs="Arial"/>
          <w:kern w:val="0"/>
          <w:sz w:val="22"/>
          <w:szCs w:val="22"/>
          <w14:ligatures w14:val="none"/>
        </w:rPr>
        <w:t>is saturated</w:t>
      </w:r>
      <w:bookmarkEnd w:id="7"/>
      <w:r w:rsidRPr="0009674E">
        <w:rPr>
          <w:rFonts w:ascii="Arial" w:hAnsi="Arial" w:cs="Arial"/>
          <w:kern w:val="0"/>
          <w:sz w:val="22"/>
          <w:szCs w:val="22"/>
          <w14:ligatures w14:val="none"/>
        </w:rPr>
        <w:t xml:space="preserve"> with independent roasters and national chains, driving intense price and quality competition. Continuous innovation and brand authenticity are essential for QHC’s long-term differentiation (ACCA, 2024).</w:t>
      </w:r>
    </w:p>
    <w:p w14:paraId="5563077E" w14:textId="77777777" w:rsidR="00ED02F2" w:rsidRDefault="00ED02F2"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14A57361"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26C0A0CB"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677D13EC"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6E3043D7"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51FB296A"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199A5423"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53E8429D"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77E01C58"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4B4DD8B4"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230B6162"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777C6B38" w14:textId="7B081BBE" w:rsidR="00ED02F2" w:rsidRDefault="005763D6" w:rsidP="00092CF6">
      <w:pPr>
        <w:pStyle w:val="Heading1"/>
        <w:divId w:val="230971465"/>
        <w:rPr>
          <w:rFonts w:eastAsia="Times New Roman"/>
        </w:rPr>
      </w:pPr>
      <w:r>
        <w:rPr>
          <w:rFonts w:eastAsia="Times New Roman"/>
        </w:rPr>
        <w:t>Table</w:t>
      </w:r>
      <w:r w:rsidR="00662C4A">
        <w:rPr>
          <w:rFonts w:eastAsia="Times New Roman"/>
        </w:rPr>
        <w:t xml:space="preserve"> 4.4</w:t>
      </w:r>
      <w:r w:rsidR="00092CF6">
        <w:rPr>
          <w:rFonts w:eastAsia="Times New Roman"/>
        </w:rPr>
        <w:t xml:space="preserve">:  </w:t>
      </w:r>
      <w:r w:rsidR="008D0EEF">
        <w:rPr>
          <w:rFonts w:eastAsia="Times New Roman"/>
        </w:rPr>
        <w:t>Porte</w:t>
      </w:r>
      <w:r w:rsidR="004077FC">
        <w:rPr>
          <w:rFonts w:eastAsia="Times New Roman"/>
        </w:rPr>
        <w:t>r’s Five Forces</w:t>
      </w:r>
      <w:r w:rsidR="008C7CFD">
        <w:rPr>
          <w:rFonts w:eastAsia="Times New Roman"/>
        </w:rPr>
        <w:t xml:space="preserve"> </w:t>
      </w:r>
    </w:p>
    <w:p w14:paraId="4F05A7DF" w14:textId="17427C43" w:rsidR="0076017D"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r>
        <w:rPr>
          <w:noProof/>
        </w:rPr>
        <w:drawing>
          <wp:anchor distT="0" distB="0" distL="114300" distR="114300" simplePos="0" relativeHeight="251658242" behindDoc="0" locked="0" layoutInCell="1" allowOverlap="1" wp14:anchorId="684A77BA" wp14:editId="3ABD8568">
            <wp:simplePos x="0" y="0"/>
            <wp:positionH relativeFrom="page">
              <wp:posOffset>343535</wp:posOffset>
            </wp:positionH>
            <wp:positionV relativeFrom="paragraph">
              <wp:posOffset>167640</wp:posOffset>
            </wp:positionV>
            <wp:extent cx="6831965" cy="4986655"/>
            <wp:effectExtent l="0" t="0" r="6985" b="4445"/>
            <wp:wrapTopAndBottom/>
            <wp:docPr id="361416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16466" name=""/>
                    <pic:cNvPicPr/>
                  </pic:nvPicPr>
                  <pic:blipFill>
                    <a:blip r:embed="rId14"/>
                    <a:stretch>
                      <a:fillRect/>
                    </a:stretch>
                  </pic:blipFill>
                  <pic:spPr>
                    <a:xfrm>
                      <a:off x="0" y="0"/>
                      <a:ext cx="6831965" cy="4986655"/>
                    </a:xfrm>
                    <a:prstGeom prst="rect">
                      <a:avLst/>
                    </a:prstGeom>
                  </pic:spPr>
                </pic:pic>
              </a:graphicData>
            </a:graphic>
            <wp14:sizeRelH relativeFrom="margin">
              <wp14:pctWidth>0</wp14:pctWidth>
            </wp14:sizeRelH>
            <wp14:sizeRelV relativeFrom="margin">
              <wp14:pctHeight>0</wp14:pctHeight>
            </wp14:sizeRelV>
          </wp:anchor>
        </w:drawing>
      </w:r>
    </w:p>
    <w:p w14:paraId="7F9003A6" w14:textId="6F42011F" w:rsidR="00450D34" w:rsidRDefault="00CF40DC" w:rsidP="00FF2254">
      <w:pPr>
        <w:pStyle w:val="p1"/>
        <w:spacing w:line="360" w:lineRule="auto"/>
        <w:divId w:val="2069719729"/>
        <w:rPr>
          <w:rStyle w:val="s2"/>
          <w:rFonts w:ascii="Arial" w:hAnsi="Arial" w:cs="Arial"/>
          <w:sz w:val="22"/>
          <w:szCs w:val="22"/>
        </w:rPr>
      </w:pPr>
      <w:r w:rsidRPr="00253FBF">
        <w:rPr>
          <w:rStyle w:val="s1"/>
          <w:rFonts w:ascii="Arial" w:hAnsi="Arial" w:cs="Arial"/>
          <w:sz w:val="22"/>
          <w:szCs w:val="22"/>
        </w:rPr>
        <w:t>Summary:</w:t>
      </w:r>
      <w:r w:rsidRPr="00253FBF">
        <w:rPr>
          <w:rStyle w:val="s2"/>
          <w:rFonts w:ascii="Arial" w:hAnsi="Arial" w:cs="Arial"/>
          <w:sz w:val="22"/>
          <w:szCs w:val="22"/>
        </w:rPr>
        <w:t xml:space="preserve"> QHC competes in a high-rivalry, low-scale environment. Sustained differentiation and niche focus are essential.</w:t>
      </w:r>
    </w:p>
    <w:p w14:paraId="7620427B" w14:textId="77777777" w:rsidR="003805D3" w:rsidRDefault="003805D3" w:rsidP="005424F3">
      <w:pPr>
        <w:pStyle w:val="Heading1"/>
        <w:divId w:val="2069719729"/>
        <w:rPr>
          <w:rFonts w:eastAsia="Times New Roman"/>
        </w:rPr>
      </w:pPr>
    </w:p>
    <w:p w14:paraId="6EC7B51A" w14:textId="77777777" w:rsidR="003805D3" w:rsidRDefault="003805D3" w:rsidP="005424F3">
      <w:pPr>
        <w:pStyle w:val="Heading1"/>
        <w:divId w:val="2069719729"/>
        <w:rPr>
          <w:rFonts w:eastAsia="Times New Roman"/>
        </w:rPr>
      </w:pPr>
    </w:p>
    <w:p w14:paraId="671FB25C" w14:textId="77777777" w:rsidR="003805D3" w:rsidRDefault="003805D3" w:rsidP="005424F3">
      <w:pPr>
        <w:pStyle w:val="Heading1"/>
        <w:divId w:val="2069719729"/>
        <w:rPr>
          <w:rFonts w:eastAsia="Times New Roman"/>
        </w:rPr>
      </w:pPr>
    </w:p>
    <w:p w14:paraId="5518FC3D" w14:textId="77777777" w:rsidR="00D11FBE" w:rsidRDefault="00D11FBE" w:rsidP="00D11FBE">
      <w:pPr>
        <w:divId w:val="2069719729"/>
        <w:rPr>
          <w:rFonts w:eastAsia="Times New Roman"/>
        </w:rPr>
      </w:pPr>
    </w:p>
    <w:p w14:paraId="0C18E1FD" w14:textId="7E7B9C14" w:rsidR="00AB5C06" w:rsidRPr="00450D34" w:rsidRDefault="00AB5C06" w:rsidP="0034040F">
      <w:pPr>
        <w:pStyle w:val="Heading1"/>
        <w:spacing w:line="360" w:lineRule="auto"/>
        <w:divId w:val="2069719729"/>
      </w:pPr>
      <w:r w:rsidRPr="00253FBF">
        <w:rPr>
          <w:rFonts w:eastAsia="Times New Roman"/>
        </w:rPr>
        <w:t>5. Strategic Growth Choices and Proposed Strategy</w:t>
      </w:r>
    </w:p>
    <w:p w14:paraId="3A3093A2" w14:textId="772D611B" w:rsidR="00AB5C06" w:rsidRPr="00253FBF" w:rsidRDefault="00AB5C06" w:rsidP="00253FBF">
      <w:pPr>
        <w:spacing w:before="100" w:beforeAutospacing="1" w:after="100" w:afterAutospacing="1" w:line="360" w:lineRule="auto"/>
        <w:outlineLvl w:val="2"/>
        <w:divId w:val="585385554"/>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5.1 Strategic Growth Frameworks</w:t>
      </w:r>
    </w:p>
    <w:p w14:paraId="31A45EC7" w14:textId="24354C83" w:rsidR="00964D80" w:rsidRDefault="007E4F16" w:rsidP="00964D80">
      <w:pPr>
        <w:spacing w:before="100" w:beforeAutospacing="1" w:after="100" w:afterAutospacing="1" w:line="360" w:lineRule="auto"/>
        <w:divId w:val="585385554"/>
        <w:rPr>
          <w:rFonts w:ascii="Arial" w:hAnsi="Arial" w:cs="Arial"/>
          <w:b/>
          <w:kern w:val="0"/>
          <w:sz w:val="22"/>
          <w:szCs w:val="22"/>
          <w14:ligatures w14:val="none"/>
        </w:rPr>
      </w:pPr>
      <w:r>
        <w:rPr>
          <w:noProof/>
        </w:rPr>
        <w:drawing>
          <wp:anchor distT="0" distB="0" distL="114300" distR="114300" simplePos="0" relativeHeight="251658245" behindDoc="0" locked="0" layoutInCell="1" allowOverlap="1" wp14:anchorId="295A301B" wp14:editId="4F877C1C">
            <wp:simplePos x="0" y="0"/>
            <wp:positionH relativeFrom="margin">
              <wp:posOffset>-614680</wp:posOffset>
            </wp:positionH>
            <wp:positionV relativeFrom="paragraph">
              <wp:posOffset>380365</wp:posOffset>
            </wp:positionV>
            <wp:extent cx="7071360" cy="3547745"/>
            <wp:effectExtent l="0" t="0" r="0" b="0"/>
            <wp:wrapTopAndBottom/>
            <wp:docPr id="123408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88669" name=""/>
                    <pic:cNvPicPr/>
                  </pic:nvPicPr>
                  <pic:blipFill>
                    <a:blip r:embed="rId15"/>
                    <a:stretch>
                      <a:fillRect/>
                    </a:stretch>
                  </pic:blipFill>
                  <pic:spPr>
                    <a:xfrm>
                      <a:off x="0" y="0"/>
                      <a:ext cx="7071360" cy="3547745"/>
                    </a:xfrm>
                    <a:prstGeom prst="rect">
                      <a:avLst/>
                    </a:prstGeom>
                  </pic:spPr>
                </pic:pic>
              </a:graphicData>
            </a:graphic>
            <wp14:sizeRelH relativeFrom="margin">
              <wp14:pctWidth>0</wp14:pctWidth>
            </wp14:sizeRelH>
            <wp14:sizeRelV relativeFrom="margin">
              <wp14:pctHeight>0</wp14:pctHeight>
            </wp14:sizeRelV>
          </wp:anchor>
        </w:drawing>
      </w:r>
      <w:r w:rsidR="00FC50D4">
        <w:rPr>
          <w:rFonts w:ascii="Arial" w:hAnsi="Arial" w:cs="Arial"/>
          <w:b/>
          <w:kern w:val="0"/>
          <w:sz w:val="22"/>
          <w:szCs w:val="22"/>
          <w14:ligatures w14:val="none"/>
        </w:rPr>
        <w:t>Table 5.1</w:t>
      </w:r>
      <w:r w:rsidR="001A4B81">
        <w:rPr>
          <w:rFonts w:ascii="Arial" w:hAnsi="Arial" w:cs="Arial"/>
          <w:b/>
          <w:kern w:val="0"/>
          <w:sz w:val="22"/>
          <w:szCs w:val="22"/>
          <w14:ligatures w14:val="none"/>
        </w:rPr>
        <w:t xml:space="preserve">: </w:t>
      </w:r>
      <w:r w:rsidR="00AB5C06" w:rsidRPr="00DE6AB6">
        <w:rPr>
          <w:rFonts w:ascii="Arial" w:hAnsi="Arial" w:cs="Arial"/>
          <w:b/>
          <w:kern w:val="0"/>
          <w:sz w:val="22"/>
          <w:szCs w:val="22"/>
          <w14:ligatures w14:val="none"/>
        </w:rPr>
        <w:t>Ansoff Matrix Application</w:t>
      </w:r>
    </w:p>
    <w:p w14:paraId="6230B87B" w14:textId="77777777" w:rsidR="00533C61" w:rsidRDefault="00533C61" w:rsidP="0034040F">
      <w:pPr>
        <w:pStyle w:val="p1"/>
        <w:spacing w:line="360" w:lineRule="auto"/>
        <w:divId w:val="334499805"/>
        <w:rPr>
          <w:rStyle w:val="s1"/>
          <w:rFonts w:ascii="Arial" w:hAnsi="Arial" w:cs="Arial"/>
          <w:sz w:val="22"/>
          <w:szCs w:val="22"/>
        </w:rPr>
      </w:pPr>
    </w:p>
    <w:p w14:paraId="4D4FC128" w14:textId="4467EE60" w:rsidR="0080241E" w:rsidRDefault="006C00EB" w:rsidP="0034040F">
      <w:pPr>
        <w:pStyle w:val="p1"/>
        <w:spacing w:line="360" w:lineRule="auto"/>
        <w:divId w:val="334499805"/>
        <w:rPr>
          <w:rStyle w:val="s1"/>
          <w:rFonts w:ascii="Arial" w:hAnsi="Arial" w:cs="Arial"/>
          <w:sz w:val="22"/>
          <w:szCs w:val="22"/>
        </w:rPr>
      </w:pPr>
      <w:r w:rsidRPr="00533C61">
        <w:rPr>
          <w:rStyle w:val="s1"/>
          <w:rFonts w:ascii="Arial" w:hAnsi="Arial" w:cs="Arial"/>
          <w:sz w:val="22"/>
          <w:szCs w:val="22"/>
        </w:rPr>
        <w:t xml:space="preserve">The </w:t>
      </w:r>
      <w:r w:rsidRPr="00533C61">
        <w:rPr>
          <w:rStyle w:val="s2"/>
          <w:rFonts w:ascii="Arial" w:hAnsi="Arial" w:cs="Arial"/>
          <w:sz w:val="22"/>
          <w:szCs w:val="22"/>
        </w:rPr>
        <w:t>Ansoff Matrix</w:t>
      </w:r>
      <w:r w:rsidRPr="00533C61">
        <w:rPr>
          <w:rStyle w:val="s1"/>
          <w:rFonts w:ascii="Arial" w:hAnsi="Arial" w:cs="Arial"/>
          <w:sz w:val="22"/>
          <w:szCs w:val="22"/>
        </w:rPr>
        <w:t xml:space="preserve"> provides a structured framework for </w:t>
      </w:r>
      <w:bookmarkStart w:id="8" w:name="_Int_6NVj9bzG"/>
      <w:r w:rsidRPr="00533C61">
        <w:rPr>
          <w:rStyle w:val="s1"/>
          <w:rFonts w:ascii="Arial" w:hAnsi="Arial" w:cs="Arial"/>
          <w:sz w:val="22"/>
          <w:szCs w:val="22"/>
        </w:rPr>
        <w:t>identifying</w:t>
      </w:r>
      <w:bookmarkEnd w:id="8"/>
      <w:r w:rsidRPr="00533C61">
        <w:rPr>
          <w:rStyle w:val="s1"/>
          <w:rFonts w:ascii="Arial" w:hAnsi="Arial" w:cs="Arial"/>
          <w:sz w:val="22"/>
          <w:szCs w:val="22"/>
        </w:rPr>
        <w:t xml:space="preserve"> strategic growth options through combinations of products and markets (Ansoff, 1957). For </w:t>
      </w:r>
      <w:r w:rsidRPr="00533C61">
        <w:rPr>
          <w:rStyle w:val="s2"/>
          <w:rFonts w:ascii="Arial" w:hAnsi="Arial" w:cs="Arial"/>
          <w:sz w:val="22"/>
          <w:szCs w:val="22"/>
        </w:rPr>
        <w:t>Quarter Horse Coffee (QHC)</w:t>
      </w:r>
      <w:r w:rsidRPr="00533C61">
        <w:rPr>
          <w:rStyle w:val="s1"/>
          <w:rFonts w:ascii="Arial" w:hAnsi="Arial" w:cs="Arial"/>
          <w:sz w:val="22"/>
          <w:szCs w:val="22"/>
        </w:rPr>
        <w:t xml:space="preserve">, </w:t>
      </w:r>
      <w:r w:rsidRPr="00533C61">
        <w:rPr>
          <w:rStyle w:val="s3"/>
          <w:rFonts w:ascii="Arial" w:hAnsi="Arial" w:cs="Arial"/>
          <w:sz w:val="22"/>
          <w:szCs w:val="22"/>
        </w:rPr>
        <w:t>market penetration</w:t>
      </w:r>
      <w:r w:rsidRPr="00533C61">
        <w:rPr>
          <w:rStyle w:val="s1"/>
          <w:rFonts w:ascii="Arial" w:hAnsi="Arial" w:cs="Arial"/>
          <w:sz w:val="22"/>
          <w:szCs w:val="22"/>
        </w:rPr>
        <w:t xml:space="preserve"> </w:t>
      </w:r>
      <w:bookmarkStart w:id="9" w:name="_Int_VZBHhk1R"/>
      <w:r w:rsidRPr="00533C61">
        <w:rPr>
          <w:rStyle w:val="s1"/>
          <w:rFonts w:ascii="Arial" w:hAnsi="Arial" w:cs="Arial"/>
          <w:sz w:val="22"/>
          <w:szCs w:val="22"/>
        </w:rPr>
        <w:t>represents</w:t>
      </w:r>
      <w:bookmarkEnd w:id="9"/>
      <w:r w:rsidRPr="00533C61">
        <w:rPr>
          <w:rStyle w:val="s1"/>
          <w:rFonts w:ascii="Arial" w:hAnsi="Arial" w:cs="Arial"/>
          <w:sz w:val="22"/>
          <w:szCs w:val="22"/>
        </w:rPr>
        <w:t xml:space="preserve"> the least risky path, focusing on increasing sales within its existing Birmingham market through loyalty programmes and targeted local marketing. </w:t>
      </w:r>
      <w:r w:rsidRPr="00533C61">
        <w:rPr>
          <w:rStyle w:val="s3"/>
          <w:rFonts w:ascii="Arial" w:hAnsi="Arial" w:cs="Arial"/>
          <w:sz w:val="22"/>
          <w:szCs w:val="22"/>
        </w:rPr>
        <w:t>Market development</w:t>
      </w:r>
      <w:r w:rsidRPr="00533C61">
        <w:rPr>
          <w:rStyle w:val="s1"/>
          <w:rFonts w:ascii="Arial" w:hAnsi="Arial" w:cs="Arial"/>
          <w:sz w:val="22"/>
          <w:szCs w:val="22"/>
        </w:rPr>
        <w:t xml:space="preserve">—expanding the wholesale network into new UK regions—offers moderate risk, as it requires new geographic relationships but builds on established competencies in roasting and training. </w:t>
      </w:r>
      <w:r w:rsidRPr="00533C61">
        <w:rPr>
          <w:rStyle w:val="s3"/>
          <w:rFonts w:ascii="Arial" w:hAnsi="Arial" w:cs="Arial"/>
          <w:sz w:val="22"/>
          <w:szCs w:val="22"/>
        </w:rPr>
        <w:t>Product development</w:t>
      </w:r>
      <w:r w:rsidRPr="00533C61">
        <w:rPr>
          <w:rStyle w:val="s1"/>
          <w:rFonts w:ascii="Arial" w:hAnsi="Arial" w:cs="Arial"/>
          <w:sz w:val="22"/>
          <w:szCs w:val="22"/>
        </w:rPr>
        <w:t xml:space="preserve">, such as introducing ready-to-drink beverages or brewing kits, </w:t>
      </w:r>
      <w:bookmarkStart w:id="10" w:name="_Int_EBhC2Jdy"/>
      <w:r w:rsidRPr="00533C61">
        <w:rPr>
          <w:rStyle w:val="s1"/>
          <w:rFonts w:ascii="Arial" w:hAnsi="Arial" w:cs="Arial"/>
          <w:sz w:val="22"/>
          <w:szCs w:val="22"/>
        </w:rPr>
        <w:t>leverages</w:t>
      </w:r>
      <w:bookmarkEnd w:id="10"/>
      <w:r w:rsidRPr="00533C61">
        <w:rPr>
          <w:rStyle w:val="s1"/>
          <w:rFonts w:ascii="Arial" w:hAnsi="Arial" w:cs="Arial"/>
          <w:sz w:val="22"/>
          <w:szCs w:val="22"/>
        </w:rPr>
        <w:t xml:space="preserve"> existing brand equity to attract a broader consumer base, while </w:t>
      </w:r>
      <w:bookmarkStart w:id="11" w:name="_Int_2GRshH9x"/>
      <w:r w:rsidRPr="00533C61">
        <w:rPr>
          <w:rStyle w:val="s1"/>
          <w:rFonts w:ascii="Arial" w:hAnsi="Arial" w:cs="Arial"/>
          <w:sz w:val="22"/>
          <w:szCs w:val="22"/>
        </w:rPr>
        <w:t>maintaining</w:t>
      </w:r>
      <w:bookmarkEnd w:id="11"/>
      <w:r w:rsidRPr="00533C61">
        <w:rPr>
          <w:rStyle w:val="s1"/>
          <w:rFonts w:ascii="Arial" w:hAnsi="Arial" w:cs="Arial"/>
          <w:sz w:val="22"/>
          <w:szCs w:val="22"/>
        </w:rPr>
        <w:t xml:space="preserve"> operational control. Finally, </w:t>
      </w:r>
      <w:r w:rsidRPr="00533C61">
        <w:rPr>
          <w:rStyle w:val="s3"/>
          <w:rFonts w:ascii="Arial" w:hAnsi="Arial" w:cs="Arial"/>
          <w:sz w:val="22"/>
          <w:szCs w:val="22"/>
        </w:rPr>
        <w:t>diversification</w:t>
      </w:r>
      <w:r w:rsidRPr="00533C61">
        <w:rPr>
          <w:rStyle w:val="s1"/>
          <w:rFonts w:ascii="Arial" w:hAnsi="Arial" w:cs="Arial"/>
          <w:sz w:val="22"/>
          <w:szCs w:val="22"/>
        </w:rPr>
        <w:t>—for example, co-branding with hospitality partners—carries the highest risk due to unfamiliar markets and potential dilution of QHC’s artisanal brand image. A balanced approach across these quadrants enables QHC to pursue sustainable growth while managing exposure to risk and resource limitations (ACCA, 2024).</w:t>
      </w:r>
    </w:p>
    <w:p w14:paraId="4141A782" w14:textId="02223E33" w:rsidR="00391347" w:rsidRPr="00964D80" w:rsidRDefault="00391347" w:rsidP="0034040F">
      <w:pPr>
        <w:pStyle w:val="p1"/>
        <w:spacing w:line="360" w:lineRule="auto"/>
        <w:divId w:val="334499805"/>
        <w:rPr>
          <w:rFonts w:ascii="Arial" w:hAnsi="Arial" w:cs="Arial"/>
          <w:b/>
          <w:sz w:val="22"/>
          <w:szCs w:val="22"/>
        </w:rPr>
      </w:pPr>
      <w:r w:rsidRPr="00253FBF">
        <w:rPr>
          <w:rStyle w:val="s1"/>
          <w:rFonts w:ascii="Arial" w:hAnsi="Arial" w:cs="Arial"/>
          <w:sz w:val="22"/>
          <w:szCs w:val="22"/>
        </w:rPr>
        <w:t>Porter’s Generic Strategy:</w:t>
      </w:r>
    </w:p>
    <w:p w14:paraId="0EC3EE9C" w14:textId="77777777" w:rsidR="00391347" w:rsidRPr="00253FBF" w:rsidRDefault="00391347" w:rsidP="00253FBF">
      <w:pPr>
        <w:pStyle w:val="p1"/>
        <w:spacing w:line="360" w:lineRule="auto"/>
        <w:divId w:val="828136118"/>
        <w:rPr>
          <w:rFonts w:ascii="Arial" w:hAnsi="Arial" w:cs="Arial"/>
          <w:sz w:val="22"/>
          <w:szCs w:val="22"/>
        </w:rPr>
      </w:pPr>
      <w:r w:rsidRPr="00253FBF">
        <w:rPr>
          <w:rStyle w:val="s2"/>
          <w:rFonts w:ascii="Arial" w:hAnsi="Arial" w:cs="Arial"/>
          <w:sz w:val="22"/>
          <w:szCs w:val="22"/>
        </w:rPr>
        <w:t xml:space="preserve">QHC already follows </w:t>
      </w:r>
      <w:r w:rsidRPr="00253FBF">
        <w:rPr>
          <w:rStyle w:val="s1"/>
          <w:rFonts w:ascii="Arial" w:hAnsi="Arial" w:cs="Arial"/>
          <w:sz w:val="22"/>
          <w:szCs w:val="22"/>
        </w:rPr>
        <w:t>Focused Differentiation</w:t>
      </w:r>
      <w:r w:rsidRPr="00253FBF">
        <w:rPr>
          <w:rStyle w:val="s2"/>
          <w:rFonts w:ascii="Arial" w:hAnsi="Arial" w:cs="Arial"/>
          <w:sz w:val="22"/>
          <w:szCs w:val="22"/>
        </w:rPr>
        <w:t xml:space="preserve"> — targeting ethically conscious consumers seeking premium quality.</w:t>
      </w:r>
    </w:p>
    <w:p w14:paraId="0DA59BFC" w14:textId="77777777" w:rsidR="00391347" w:rsidRPr="00253FBF" w:rsidRDefault="00391347" w:rsidP="00253FBF">
      <w:pPr>
        <w:pStyle w:val="p2"/>
        <w:spacing w:line="360" w:lineRule="auto"/>
        <w:divId w:val="828136118"/>
        <w:rPr>
          <w:rFonts w:ascii="Arial" w:hAnsi="Arial" w:cs="Arial"/>
          <w:sz w:val="22"/>
          <w:szCs w:val="22"/>
        </w:rPr>
      </w:pPr>
    </w:p>
    <w:p w14:paraId="255DC6B3" w14:textId="0FFC81DD" w:rsidR="00391347" w:rsidRPr="00253FBF" w:rsidRDefault="00D57B6A" w:rsidP="009F634B">
      <w:pPr>
        <w:pStyle w:val="p1"/>
        <w:spacing w:line="360" w:lineRule="auto"/>
        <w:divId w:val="828136118"/>
        <w:rPr>
          <w:rFonts w:ascii="Arial" w:hAnsi="Arial" w:cs="Arial"/>
          <w:sz w:val="22"/>
          <w:szCs w:val="22"/>
        </w:rPr>
      </w:pPr>
      <w:r w:rsidRPr="00D57B6A">
        <w:rPr>
          <w:rStyle w:val="s1"/>
          <w:rFonts w:ascii="Arial" w:hAnsi="Arial" w:cs="Arial"/>
          <w:b/>
          <w:bCs/>
          <w:sz w:val="22"/>
          <w:szCs w:val="22"/>
        </w:rPr>
        <w:t>5.1</w:t>
      </w:r>
      <w:r>
        <w:rPr>
          <w:rStyle w:val="s1"/>
          <w:rFonts w:ascii="Arial" w:hAnsi="Arial" w:cs="Arial"/>
          <w:sz w:val="22"/>
          <w:szCs w:val="22"/>
        </w:rPr>
        <w:t xml:space="preserve"> </w:t>
      </w:r>
      <w:r w:rsidR="00391347" w:rsidRPr="00F83D27">
        <w:rPr>
          <w:rStyle w:val="s1"/>
          <w:rFonts w:ascii="Arial" w:hAnsi="Arial" w:cs="Arial"/>
          <w:b/>
          <w:bCs/>
          <w:sz w:val="22"/>
          <w:szCs w:val="22"/>
        </w:rPr>
        <w:t>Bowman’s Strategic Clock:</w:t>
      </w:r>
    </w:p>
    <w:p w14:paraId="199C84B1" w14:textId="77777777" w:rsidR="00FF2254" w:rsidRDefault="00391347" w:rsidP="009F634B">
      <w:pPr>
        <w:pStyle w:val="p1"/>
        <w:spacing w:line="360" w:lineRule="auto"/>
        <w:divId w:val="828136118"/>
        <w:rPr>
          <w:rStyle w:val="s2"/>
          <w:rFonts w:ascii="Arial" w:hAnsi="Arial" w:cs="Arial"/>
          <w:sz w:val="22"/>
          <w:szCs w:val="22"/>
        </w:rPr>
      </w:pPr>
      <w:r w:rsidRPr="00253FBF">
        <w:rPr>
          <w:rStyle w:val="s2"/>
          <w:rFonts w:ascii="Arial" w:hAnsi="Arial" w:cs="Arial"/>
          <w:sz w:val="22"/>
          <w:szCs w:val="22"/>
        </w:rPr>
        <w:t xml:space="preserve">Position 5 – </w:t>
      </w:r>
      <w:r w:rsidRPr="00253FBF">
        <w:rPr>
          <w:rStyle w:val="s3"/>
          <w:rFonts w:ascii="Arial" w:hAnsi="Arial" w:cs="Arial"/>
          <w:sz w:val="22"/>
          <w:szCs w:val="22"/>
        </w:rPr>
        <w:t>Focused Differentiation</w:t>
      </w:r>
      <w:r w:rsidRPr="00253FBF">
        <w:rPr>
          <w:rStyle w:val="s2"/>
          <w:rFonts w:ascii="Arial" w:hAnsi="Arial" w:cs="Arial"/>
          <w:sz w:val="22"/>
          <w:szCs w:val="22"/>
        </w:rPr>
        <w:t>: High perceived value, premium pricing, niche target audience.</w:t>
      </w:r>
    </w:p>
    <w:p w14:paraId="6A0768A0" w14:textId="77777777" w:rsidR="007B1F51" w:rsidRDefault="007B1F51" w:rsidP="009F634B">
      <w:pPr>
        <w:pStyle w:val="p1"/>
        <w:spacing w:line="360" w:lineRule="auto"/>
        <w:divId w:val="828136118"/>
        <w:rPr>
          <w:rFonts w:ascii="Arial" w:eastAsia="Times New Roman" w:hAnsi="Arial" w:cs="Arial"/>
          <w:b/>
          <w:bCs/>
          <w:sz w:val="22"/>
          <w:szCs w:val="22"/>
        </w:rPr>
      </w:pPr>
    </w:p>
    <w:p w14:paraId="020C51A4" w14:textId="6D133ACC" w:rsidR="002F249D" w:rsidRPr="00253FBF" w:rsidRDefault="002F249D" w:rsidP="009F634B">
      <w:pPr>
        <w:pStyle w:val="p1"/>
        <w:spacing w:line="360" w:lineRule="auto"/>
        <w:divId w:val="828136118"/>
        <w:rPr>
          <w:rFonts w:ascii="Arial" w:eastAsia="Times New Roman" w:hAnsi="Arial" w:cs="Arial"/>
          <w:b/>
          <w:sz w:val="22"/>
          <w:szCs w:val="22"/>
        </w:rPr>
      </w:pPr>
      <w:r w:rsidRPr="00253FBF">
        <w:rPr>
          <w:rFonts w:ascii="Arial" w:eastAsia="Times New Roman" w:hAnsi="Arial" w:cs="Arial"/>
          <w:b/>
          <w:bCs/>
          <w:sz w:val="22"/>
          <w:szCs w:val="22"/>
        </w:rPr>
        <w:t>5.2 Proposed Long-Term Strategy</w:t>
      </w:r>
    </w:p>
    <w:p w14:paraId="06E42F92" w14:textId="7ACF591E" w:rsidR="00107F54" w:rsidRPr="00477C16" w:rsidRDefault="00107F54" w:rsidP="009F634B">
      <w:pPr>
        <w:pStyle w:val="p1"/>
        <w:spacing w:line="360" w:lineRule="auto"/>
        <w:divId w:val="1596745867"/>
        <w:rPr>
          <w:rFonts w:ascii="Arial" w:hAnsi="Arial" w:cs="Arial"/>
          <w:sz w:val="22"/>
          <w:szCs w:val="22"/>
        </w:rPr>
      </w:pPr>
      <w:r w:rsidRPr="00477C16">
        <w:rPr>
          <w:rStyle w:val="s1"/>
          <w:rFonts w:ascii="Arial" w:hAnsi="Arial" w:cs="Arial"/>
          <w:sz w:val="22"/>
          <w:szCs w:val="22"/>
        </w:rPr>
        <w:t xml:space="preserve">Quarter Horse </w:t>
      </w:r>
      <w:r w:rsidR="00BA0C1B" w:rsidRPr="00477C16">
        <w:rPr>
          <w:rStyle w:val="s1"/>
          <w:rFonts w:ascii="Arial" w:hAnsi="Arial" w:cs="Arial"/>
          <w:sz w:val="22"/>
          <w:szCs w:val="22"/>
        </w:rPr>
        <w:t>Coffee has</w:t>
      </w:r>
      <w:r w:rsidRPr="00477C16">
        <w:rPr>
          <w:rStyle w:val="s1"/>
          <w:rFonts w:ascii="Arial" w:hAnsi="Arial" w:cs="Arial"/>
          <w:sz w:val="22"/>
          <w:szCs w:val="22"/>
        </w:rPr>
        <w:t xml:space="preserve"> (QHC) proposed long-term strategy adopts a </w:t>
      </w:r>
      <w:r w:rsidRPr="00477C16">
        <w:rPr>
          <w:rStyle w:val="s2"/>
          <w:rFonts w:ascii="Arial" w:hAnsi="Arial" w:cs="Arial"/>
          <w:sz w:val="22"/>
          <w:szCs w:val="22"/>
        </w:rPr>
        <w:t>focused differentiation approach</w:t>
      </w:r>
      <w:r w:rsidRPr="00477C16">
        <w:rPr>
          <w:rStyle w:val="s1"/>
          <w:rFonts w:ascii="Arial" w:hAnsi="Arial" w:cs="Arial"/>
          <w:sz w:val="22"/>
          <w:szCs w:val="22"/>
        </w:rPr>
        <w:t xml:space="preserve">, concentrating on premium quality, ethical sourcing, and sustainability while expanding digital and regional operations. This strategy aligns with </w:t>
      </w:r>
      <w:r w:rsidRPr="00477C16">
        <w:rPr>
          <w:rStyle w:val="s2"/>
          <w:rFonts w:ascii="Arial" w:hAnsi="Arial" w:cs="Arial"/>
          <w:sz w:val="22"/>
          <w:szCs w:val="22"/>
        </w:rPr>
        <w:t>Porter’s (1985)</w:t>
      </w:r>
      <w:r w:rsidRPr="00477C16">
        <w:rPr>
          <w:rStyle w:val="s1"/>
          <w:rFonts w:ascii="Arial" w:hAnsi="Arial" w:cs="Arial"/>
          <w:sz w:val="22"/>
          <w:szCs w:val="22"/>
        </w:rPr>
        <w:t xml:space="preserve"> theory that competitive advantage in niche markets </w:t>
      </w:r>
      <w:bookmarkStart w:id="12" w:name="_Int_EDXR1iOv"/>
      <w:r w:rsidRPr="00477C16">
        <w:rPr>
          <w:rStyle w:val="s1"/>
          <w:rFonts w:ascii="Arial" w:hAnsi="Arial" w:cs="Arial"/>
          <w:sz w:val="22"/>
          <w:szCs w:val="22"/>
        </w:rPr>
        <w:t>is best achieved</w:t>
      </w:r>
      <w:bookmarkEnd w:id="12"/>
      <w:r w:rsidRPr="00477C16">
        <w:rPr>
          <w:rStyle w:val="s1"/>
          <w:rFonts w:ascii="Arial" w:hAnsi="Arial" w:cs="Arial"/>
          <w:sz w:val="22"/>
          <w:szCs w:val="22"/>
        </w:rPr>
        <w:t xml:space="preserve"> through differentiation rather than cost leadership. Digital expansion—particularly through enhanced e-commerce and subscription services—will strengthen QHC’s direct-to-consumer relationships, generate recurring revenue, and improve customer retention (ACCA, 2024). Simultaneously, developing a broader </w:t>
      </w:r>
      <w:r w:rsidRPr="00477C16">
        <w:rPr>
          <w:rStyle w:val="s2"/>
          <w:rFonts w:ascii="Arial" w:hAnsi="Arial" w:cs="Arial"/>
          <w:sz w:val="22"/>
          <w:szCs w:val="22"/>
        </w:rPr>
        <w:t>regional wholesale network</w:t>
      </w:r>
      <w:r w:rsidRPr="00477C16">
        <w:rPr>
          <w:rStyle w:val="s1"/>
          <w:rFonts w:ascii="Arial" w:hAnsi="Arial" w:cs="Arial"/>
          <w:sz w:val="22"/>
          <w:szCs w:val="22"/>
        </w:rPr>
        <w:t xml:space="preserve"> across the UK will diversify income streams and reduce dependence on local café sales. These initiatives leverage QHC’s existing strengths—brand authenticity, vertical integration, and product excellence—while addressing SME scalability challenges. By integrating sustainability, digital capability, and geographic growth, QHC can secure long-term resilience and evolve from a local roaster into a nationally recognised specialty coffee brand (Enterprise Research Centre, 2023).</w:t>
      </w:r>
    </w:p>
    <w:p w14:paraId="00FE76F6" w14:textId="77777777" w:rsidR="0073594D" w:rsidRPr="00C63B0E" w:rsidRDefault="00C63B0E" w:rsidP="009F634B">
      <w:pPr>
        <w:pStyle w:val="p1"/>
        <w:spacing w:line="360" w:lineRule="auto"/>
        <w:divId w:val="364716699"/>
        <w:rPr>
          <w:rFonts w:ascii="Arial" w:hAnsi="Arial" w:cs="Arial"/>
          <w:sz w:val="22"/>
          <w:szCs w:val="22"/>
        </w:rPr>
      </w:pPr>
      <w:r w:rsidRPr="00C63B0E">
        <w:rPr>
          <w:rStyle w:val="s1"/>
          <w:rFonts w:ascii="Arial" w:hAnsi="Arial" w:cs="Arial"/>
          <w:sz w:val="22"/>
          <w:szCs w:val="22"/>
        </w:rPr>
        <w:t>T</w:t>
      </w:r>
      <w:r w:rsidR="0073594D" w:rsidRPr="00C63B0E">
        <w:rPr>
          <w:rStyle w:val="s1"/>
          <w:rFonts w:ascii="Arial" w:hAnsi="Arial" w:cs="Arial"/>
          <w:sz w:val="22"/>
          <w:szCs w:val="22"/>
        </w:rPr>
        <w:t xml:space="preserve">o successfully execute this focused differentiation strategy, </w:t>
      </w:r>
      <w:r w:rsidR="0073594D" w:rsidRPr="00C63B0E">
        <w:rPr>
          <w:rStyle w:val="s2"/>
          <w:rFonts w:ascii="Arial" w:hAnsi="Arial" w:cs="Arial"/>
          <w:sz w:val="22"/>
          <w:szCs w:val="22"/>
        </w:rPr>
        <w:t>Quarter Horse Coffee (QHC)</w:t>
      </w:r>
      <w:r w:rsidR="0073594D" w:rsidRPr="00C63B0E">
        <w:rPr>
          <w:rStyle w:val="s1"/>
          <w:rFonts w:ascii="Arial" w:hAnsi="Arial" w:cs="Arial"/>
          <w:sz w:val="22"/>
          <w:szCs w:val="22"/>
        </w:rPr>
        <w:t xml:space="preserve"> must strengthen its organisational capabilities in digital marketing, operations management, and stakeholder collaboration. Investment in </w:t>
      </w:r>
      <w:r w:rsidR="0073594D" w:rsidRPr="00C63B0E">
        <w:rPr>
          <w:rStyle w:val="s2"/>
          <w:rFonts w:ascii="Arial" w:hAnsi="Arial" w:cs="Arial"/>
          <w:sz w:val="22"/>
          <w:szCs w:val="22"/>
        </w:rPr>
        <w:t>data-driven decision-making</w:t>
      </w:r>
      <w:r w:rsidR="0073594D" w:rsidRPr="00C63B0E">
        <w:rPr>
          <w:rStyle w:val="s1"/>
          <w:rFonts w:ascii="Arial" w:hAnsi="Arial" w:cs="Arial"/>
          <w:sz w:val="22"/>
          <w:szCs w:val="22"/>
        </w:rPr>
        <w:t xml:space="preserve">—such as customer analytics, subscription forecasting, and demand planning—will enable QHC to optimise marketing spend and improve supply efficiency (Ates and Bititci, 2017). Furthermore, enhancing its online brand visibility through </w:t>
      </w:r>
      <w:r w:rsidR="0073594D" w:rsidRPr="00C63B0E">
        <w:rPr>
          <w:rStyle w:val="s2"/>
          <w:rFonts w:ascii="Arial" w:hAnsi="Arial" w:cs="Arial"/>
          <w:sz w:val="22"/>
          <w:szCs w:val="22"/>
        </w:rPr>
        <w:t>content marketing, social media storytelling, and loyalty programmes</w:t>
      </w:r>
      <w:r w:rsidR="0073594D" w:rsidRPr="00C63B0E">
        <w:rPr>
          <w:rStyle w:val="s1"/>
          <w:rFonts w:ascii="Arial" w:hAnsi="Arial" w:cs="Arial"/>
          <w:sz w:val="22"/>
          <w:szCs w:val="22"/>
        </w:rPr>
        <w:t xml:space="preserve"> can deepen customer engagement and promote sustainability values.</w:t>
      </w:r>
    </w:p>
    <w:p w14:paraId="31E7368E" w14:textId="03F8F5E8" w:rsidR="0073594D" w:rsidRPr="00C63B0E" w:rsidRDefault="0073594D" w:rsidP="009F634B">
      <w:pPr>
        <w:pStyle w:val="p1"/>
        <w:spacing w:line="360" w:lineRule="auto"/>
        <w:divId w:val="364716699"/>
        <w:rPr>
          <w:rFonts w:ascii="Arial" w:hAnsi="Arial" w:cs="Arial"/>
          <w:sz w:val="22"/>
          <w:szCs w:val="22"/>
        </w:rPr>
      </w:pPr>
      <w:r w:rsidRPr="00C63B0E">
        <w:rPr>
          <w:rStyle w:val="s1"/>
          <w:rFonts w:ascii="Arial" w:hAnsi="Arial" w:cs="Arial"/>
          <w:sz w:val="22"/>
          <w:szCs w:val="22"/>
        </w:rPr>
        <w:t xml:space="preserve">Regional wholesale expansion should </w:t>
      </w:r>
      <w:bookmarkStart w:id="13" w:name="_Int_p2Z1oNhm"/>
      <w:r w:rsidRPr="00C63B0E">
        <w:rPr>
          <w:rStyle w:val="s1"/>
          <w:rFonts w:ascii="Arial" w:hAnsi="Arial" w:cs="Arial"/>
          <w:sz w:val="22"/>
          <w:szCs w:val="22"/>
        </w:rPr>
        <w:t>be implemented</w:t>
      </w:r>
      <w:bookmarkEnd w:id="13"/>
      <w:r w:rsidRPr="00C63B0E">
        <w:rPr>
          <w:rStyle w:val="s1"/>
          <w:rFonts w:ascii="Arial" w:hAnsi="Arial" w:cs="Arial"/>
          <w:sz w:val="22"/>
          <w:szCs w:val="22"/>
        </w:rPr>
        <w:t xml:space="preserve"> gradually, beginning with nearby urban centres such as Manchester, Nottingham, and Bristol, where independent café cultures are well established. By </w:t>
      </w:r>
      <w:r w:rsidR="00BA0C1B" w:rsidRPr="00C63B0E">
        <w:rPr>
          <w:rStyle w:val="s1"/>
          <w:rFonts w:ascii="Arial" w:hAnsi="Arial" w:cs="Arial"/>
          <w:sz w:val="22"/>
          <w:szCs w:val="22"/>
        </w:rPr>
        <w:t>using</w:t>
      </w:r>
      <w:r w:rsidRPr="00C63B0E">
        <w:rPr>
          <w:rStyle w:val="s1"/>
          <w:rFonts w:ascii="Arial" w:hAnsi="Arial" w:cs="Arial"/>
          <w:sz w:val="22"/>
          <w:szCs w:val="22"/>
        </w:rPr>
        <w:t xml:space="preserve"> training support and consistent quality assurance, QHC can develop long-term wholesale partnerships, reinforcing brand reach without significant capital investment. Ultimately, combining digital expansion with controlled geographic scaling positions QHC for </w:t>
      </w:r>
      <w:r w:rsidRPr="00C63B0E">
        <w:rPr>
          <w:rStyle w:val="s2"/>
          <w:rFonts w:ascii="Arial" w:hAnsi="Arial" w:cs="Arial"/>
          <w:sz w:val="22"/>
          <w:szCs w:val="22"/>
        </w:rPr>
        <w:t>sustainable, profitable growth</w:t>
      </w:r>
      <w:r w:rsidRPr="00C63B0E">
        <w:rPr>
          <w:rStyle w:val="s1"/>
          <w:rFonts w:ascii="Arial" w:hAnsi="Arial" w:cs="Arial"/>
          <w:sz w:val="22"/>
          <w:szCs w:val="22"/>
        </w:rPr>
        <w:t>, balancing innovation with its artisanal identity and resource constraints (Kindström, 2024).</w:t>
      </w:r>
    </w:p>
    <w:p w14:paraId="58DAC406" w14:textId="77777777" w:rsidR="00CF2A7D" w:rsidRDefault="00CF2A7D" w:rsidP="009F634B">
      <w:pPr>
        <w:spacing w:before="100" w:beforeAutospacing="1" w:after="100" w:afterAutospacing="1" w:line="360" w:lineRule="auto"/>
        <w:divId w:val="1486360783"/>
        <w:rPr>
          <w:rFonts w:ascii="Arial" w:hAnsi="Arial" w:cs="Arial"/>
          <w:kern w:val="0"/>
          <w:sz w:val="22"/>
          <w:szCs w:val="22"/>
          <w14:ligatures w14:val="none"/>
        </w:rPr>
      </w:pPr>
    </w:p>
    <w:p w14:paraId="2134FEEE" w14:textId="08FF8CA3" w:rsidR="002F249D" w:rsidRPr="00F841BA" w:rsidRDefault="00A83A18" w:rsidP="0034040F">
      <w:pPr>
        <w:pStyle w:val="Heading1"/>
        <w:spacing w:line="360" w:lineRule="auto"/>
        <w:divId w:val="1486360783"/>
      </w:pPr>
      <w:r>
        <w:t xml:space="preserve">5.3 </w:t>
      </w:r>
      <w:r w:rsidR="002F249D" w:rsidRPr="00F841BA">
        <w:t>Sustainable Strategy</w:t>
      </w:r>
      <w:r w:rsidR="00D32E2A">
        <w:t xml:space="preserve"> and Strategic Pillars</w:t>
      </w:r>
    </w:p>
    <w:p w14:paraId="0924A48A" w14:textId="77777777" w:rsidR="002F249D" w:rsidRPr="00253FBF" w:rsidRDefault="002F249D" w:rsidP="00253FBF">
      <w:pPr>
        <w:spacing w:before="100" w:beforeAutospacing="1" w:after="100" w:afterAutospacing="1" w:line="360" w:lineRule="auto"/>
        <w:divId w:val="1486360783"/>
        <w:rPr>
          <w:rFonts w:ascii="Arial" w:hAnsi="Arial" w:cs="Arial"/>
          <w:kern w:val="0"/>
          <w:sz w:val="22"/>
          <w:szCs w:val="22"/>
          <w14:ligatures w14:val="none"/>
        </w:rPr>
      </w:pPr>
      <w:r w:rsidRPr="00253FBF">
        <w:rPr>
          <w:rFonts w:ascii="Segoe UI Symbol" w:hAnsi="Segoe UI Symbol" w:cs="Segoe UI Symbol"/>
          <w:kern w:val="0"/>
          <w:sz w:val="22"/>
          <w:szCs w:val="22"/>
          <w14:ligatures w14:val="none"/>
        </w:rPr>
        <w:t>➡</w:t>
      </w:r>
      <w:r w:rsidRPr="00253FBF">
        <w:rPr>
          <w:rFonts w:ascii="Arial" w:hAnsi="Arial" w:cs="Arial"/>
          <w:kern w:val="0"/>
          <w:sz w:val="22"/>
          <w:szCs w:val="22"/>
          <w14:ligatures w14:val="none"/>
        </w:rPr>
        <w:t xml:space="preserve"> Focused Differentiation through Digital Expansion and Regional Wholesale Growth</w:t>
      </w:r>
    </w:p>
    <w:p w14:paraId="5DC8FED3" w14:textId="3CB61C89" w:rsidR="002F249D" w:rsidRDefault="002F249D" w:rsidP="00253FBF">
      <w:pPr>
        <w:spacing w:before="100" w:beforeAutospacing="1" w:after="100" w:afterAutospacing="1" w:line="360" w:lineRule="auto"/>
        <w:divId w:val="1486360783"/>
        <w:rPr>
          <w:rFonts w:ascii="Arial" w:hAnsi="Arial" w:cs="Arial"/>
          <w:kern w:val="0"/>
          <w:sz w:val="22"/>
          <w:szCs w:val="22"/>
          <w14:ligatures w14:val="none"/>
        </w:rPr>
      </w:pPr>
    </w:p>
    <w:p w14:paraId="02E4C371" w14:textId="1336F927" w:rsidR="002F249D" w:rsidRDefault="00282678" w:rsidP="00253FBF">
      <w:pPr>
        <w:spacing w:before="100" w:beforeAutospacing="1" w:after="100" w:afterAutospacing="1" w:line="360" w:lineRule="auto"/>
        <w:outlineLvl w:val="3"/>
        <w:divId w:val="1486360783"/>
        <w:rPr>
          <w:rFonts w:ascii="Arial" w:eastAsia="Times New Roman" w:hAnsi="Arial" w:cs="Arial"/>
          <w:b/>
          <w:bCs/>
          <w:kern w:val="0"/>
          <w:sz w:val="22"/>
          <w:szCs w:val="22"/>
          <w14:ligatures w14:val="none"/>
        </w:rPr>
      </w:pPr>
      <w:r>
        <w:rPr>
          <w:noProof/>
        </w:rPr>
        <w:drawing>
          <wp:anchor distT="0" distB="0" distL="114300" distR="114300" simplePos="0" relativeHeight="251658254" behindDoc="0" locked="0" layoutInCell="1" allowOverlap="1" wp14:anchorId="079E002D" wp14:editId="79BE8049">
            <wp:simplePos x="0" y="0"/>
            <wp:positionH relativeFrom="page">
              <wp:align>left</wp:align>
            </wp:positionH>
            <wp:positionV relativeFrom="paragraph">
              <wp:posOffset>415925</wp:posOffset>
            </wp:positionV>
            <wp:extent cx="7649845" cy="4250055"/>
            <wp:effectExtent l="0" t="0" r="8255" b="0"/>
            <wp:wrapTopAndBottom/>
            <wp:docPr id="178816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6019" name=""/>
                    <pic:cNvPicPr/>
                  </pic:nvPicPr>
                  <pic:blipFill>
                    <a:blip r:embed="rId16"/>
                    <a:stretch>
                      <a:fillRect/>
                    </a:stretch>
                  </pic:blipFill>
                  <pic:spPr>
                    <a:xfrm>
                      <a:off x="0" y="0"/>
                      <a:ext cx="7680853" cy="4267337"/>
                    </a:xfrm>
                    <a:prstGeom prst="rect">
                      <a:avLst/>
                    </a:prstGeom>
                  </pic:spPr>
                </pic:pic>
              </a:graphicData>
            </a:graphic>
            <wp14:sizeRelH relativeFrom="margin">
              <wp14:pctWidth>0</wp14:pctWidth>
            </wp14:sizeRelH>
            <wp14:sizeRelV relativeFrom="margin">
              <wp14:pctHeight>0</wp14:pctHeight>
            </wp14:sizeRelV>
          </wp:anchor>
        </w:drawing>
      </w:r>
      <w:r w:rsidR="00DD5D1C">
        <w:rPr>
          <w:rFonts w:ascii="Arial" w:eastAsia="Times New Roman" w:hAnsi="Arial" w:cs="Arial"/>
          <w:b/>
          <w:bCs/>
          <w:kern w:val="0"/>
          <w:sz w:val="22"/>
          <w:szCs w:val="22"/>
          <w14:ligatures w14:val="none"/>
        </w:rPr>
        <w:t>Table</w:t>
      </w:r>
      <w:r w:rsidR="004615D4">
        <w:rPr>
          <w:rFonts w:ascii="Arial" w:eastAsia="Times New Roman" w:hAnsi="Arial" w:cs="Arial"/>
          <w:b/>
          <w:bCs/>
          <w:kern w:val="0"/>
          <w:sz w:val="22"/>
          <w:szCs w:val="22"/>
          <w14:ligatures w14:val="none"/>
        </w:rPr>
        <w:t xml:space="preserve"> </w:t>
      </w:r>
      <w:r w:rsidR="00DD5D1C">
        <w:rPr>
          <w:rFonts w:ascii="Arial" w:eastAsia="Times New Roman" w:hAnsi="Arial" w:cs="Arial"/>
          <w:b/>
          <w:bCs/>
          <w:kern w:val="0"/>
          <w:sz w:val="22"/>
          <w:szCs w:val="22"/>
          <w14:ligatures w14:val="none"/>
        </w:rPr>
        <w:t>5.3</w:t>
      </w:r>
      <w:r w:rsidR="009C078F">
        <w:rPr>
          <w:rFonts w:ascii="Arial" w:eastAsia="Times New Roman" w:hAnsi="Arial" w:cs="Arial"/>
          <w:b/>
          <w:bCs/>
          <w:kern w:val="0"/>
          <w:sz w:val="22"/>
          <w:szCs w:val="22"/>
          <w14:ligatures w14:val="none"/>
        </w:rPr>
        <w:t xml:space="preserve"> </w:t>
      </w:r>
      <w:r w:rsidR="002F249D" w:rsidRPr="00253FBF">
        <w:rPr>
          <w:rFonts w:ascii="Arial" w:eastAsia="Times New Roman" w:hAnsi="Arial" w:cs="Arial"/>
          <w:b/>
          <w:bCs/>
          <w:kern w:val="0"/>
          <w:sz w:val="22"/>
          <w:szCs w:val="22"/>
          <w14:ligatures w14:val="none"/>
        </w:rPr>
        <w:t>Strategic Pillars</w:t>
      </w:r>
    </w:p>
    <w:p w14:paraId="03A14BCC" w14:textId="7A699324" w:rsidR="00B7535F" w:rsidRPr="008A732C" w:rsidRDefault="0034040F" w:rsidP="008A732C">
      <w:pPr>
        <w:spacing w:before="100" w:beforeAutospacing="1" w:after="100" w:afterAutospacing="1" w:line="360" w:lineRule="auto"/>
        <w:outlineLvl w:val="3"/>
        <w:divId w:val="895553123"/>
        <w:rPr>
          <w:rFonts w:ascii="Arial" w:eastAsia="Times New Roman" w:hAnsi="Arial" w:cs="Arial"/>
          <w:b/>
          <w:kern w:val="0"/>
          <w:sz w:val="22"/>
          <w:szCs w:val="22"/>
          <w14:ligatures w14:val="none"/>
        </w:rPr>
      </w:pPr>
      <w:r>
        <w:rPr>
          <w:noProof/>
        </w:rPr>
        <w:drawing>
          <wp:anchor distT="0" distB="0" distL="114300" distR="114300" simplePos="0" relativeHeight="251658255" behindDoc="0" locked="0" layoutInCell="1" allowOverlap="1" wp14:anchorId="7E18AE8F" wp14:editId="79CD292A">
            <wp:simplePos x="0" y="0"/>
            <wp:positionH relativeFrom="page">
              <wp:posOffset>534010</wp:posOffset>
            </wp:positionH>
            <wp:positionV relativeFrom="paragraph">
              <wp:posOffset>725805</wp:posOffset>
            </wp:positionV>
            <wp:extent cx="6824345" cy="8126755"/>
            <wp:effectExtent l="0" t="0" r="0" b="7620"/>
            <wp:wrapTopAndBottom/>
            <wp:docPr id="1310480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480457" name=""/>
                    <pic:cNvPicPr/>
                  </pic:nvPicPr>
                  <pic:blipFill>
                    <a:blip r:embed="rId17"/>
                    <a:stretch>
                      <a:fillRect/>
                    </a:stretch>
                  </pic:blipFill>
                  <pic:spPr>
                    <a:xfrm>
                      <a:off x="0" y="0"/>
                      <a:ext cx="6824345" cy="8126755"/>
                    </a:xfrm>
                    <a:prstGeom prst="rect">
                      <a:avLst/>
                    </a:prstGeom>
                  </pic:spPr>
                </pic:pic>
              </a:graphicData>
            </a:graphic>
            <wp14:sizeRelH relativeFrom="margin">
              <wp14:pctWidth>0</wp14:pctWidth>
            </wp14:sizeRelH>
            <wp14:sizeRelV relativeFrom="margin">
              <wp14:pctHeight>0</wp14:pctHeight>
            </wp14:sizeRelV>
          </wp:anchor>
        </w:drawing>
      </w:r>
      <w:r w:rsidR="00B7535F" w:rsidRPr="00253FBF">
        <w:rPr>
          <w:rStyle w:val="s1"/>
          <w:rFonts w:ascii="Arial" w:hAnsi="Arial" w:cs="Arial"/>
          <w:sz w:val="22"/>
          <w:szCs w:val="22"/>
        </w:rPr>
        <w:t xml:space="preserve">This strategy leverages QHC’s strengths (brand, roasting </w:t>
      </w:r>
      <w:bookmarkStart w:id="14" w:name="_Int_3gmZp67T"/>
      <w:r w:rsidR="00B7535F" w:rsidRPr="00253FBF">
        <w:rPr>
          <w:rStyle w:val="s1"/>
          <w:rFonts w:ascii="Arial" w:hAnsi="Arial" w:cs="Arial"/>
          <w:sz w:val="22"/>
          <w:szCs w:val="22"/>
        </w:rPr>
        <w:t>expertise</w:t>
      </w:r>
      <w:bookmarkEnd w:id="14"/>
      <w:r w:rsidR="00B7535F" w:rsidRPr="00253FBF">
        <w:rPr>
          <w:rStyle w:val="s1"/>
          <w:rFonts w:ascii="Arial" w:hAnsi="Arial" w:cs="Arial"/>
          <w:sz w:val="22"/>
          <w:szCs w:val="22"/>
        </w:rPr>
        <w:t>, sustainability focus) while addressing digital and scale challenges.</w:t>
      </w:r>
    </w:p>
    <w:p w14:paraId="330FCA07" w14:textId="47888E03" w:rsidR="007E7238" w:rsidRPr="00253FBF" w:rsidRDefault="007E7238" w:rsidP="0034040F">
      <w:pPr>
        <w:pStyle w:val="Heading1"/>
        <w:spacing w:line="360" w:lineRule="auto"/>
        <w:divId w:val="528108698"/>
        <w:rPr>
          <w:rFonts w:eastAsia="Times New Roman"/>
        </w:rPr>
      </w:pPr>
      <w:r w:rsidRPr="00253FBF">
        <w:rPr>
          <w:rFonts w:eastAsia="Times New Roman"/>
        </w:rPr>
        <w:t>6. Stakeholder Analysis</w:t>
      </w:r>
    </w:p>
    <w:p w14:paraId="67A567A1" w14:textId="2B6C724C" w:rsidR="00AC4052" w:rsidRPr="00253FBF" w:rsidRDefault="000E4931" w:rsidP="00253FBF">
      <w:pPr>
        <w:spacing w:before="100" w:beforeAutospacing="1" w:after="100" w:afterAutospacing="1" w:line="360" w:lineRule="auto"/>
        <w:outlineLvl w:val="2"/>
        <w:divId w:val="1078017523"/>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Table </w:t>
      </w:r>
      <w:r w:rsidR="00AC4052" w:rsidRPr="00253FBF">
        <w:rPr>
          <w:rFonts w:ascii="Arial" w:eastAsia="Times New Roman" w:hAnsi="Arial" w:cs="Arial"/>
          <w:b/>
          <w:bCs/>
          <w:kern w:val="0"/>
          <w:sz w:val="22"/>
          <w:szCs w:val="22"/>
          <w14:ligatures w14:val="none"/>
        </w:rPr>
        <w:t>6.1 Stakeholder Identification and Expectations</w:t>
      </w:r>
    </w:p>
    <w:p w14:paraId="7A6A308C" w14:textId="25B8CD2B" w:rsidR="00313868" w:rsidRDefault="00313868" w:rsidP="00253FBF">
      <w:pPr>
        <w:spacing w:before="100" w:beforeAutospacing="1" w:after="100" w:afterAutospacing="1" w:line="360" w:lineRule="auto"/>
        <w:outlineLvl w:val="2"/>
        <w:divId w:val="1078017523"/>
        <w:rPr>
          <w:rFonts w:ascii="Arial" w:eastAsia="Times New Roman" w:hAnsi="Arial" w:cs="Arial"/>
          <w:b/>
          <w:bCs/>
          <w:kern w:val="0"/>
          <w:sz w:val="22"/>
          <w:szCs w:val="22"/>
          <w14:ligatures w14:val="none"/>
        </w:rPr>
      </w:pPr>
    </w:p>
    <w:p w14:paraId="50E41FBD" w14:textId="6C53A671" w:rsidR="00313868" w:rsidRDefault="00313868" w:rsidP="00253FBF">
      <w:pPr>
        <w:spacing w:before="100" w:beforeAutospacing="1" w:after="100" w:afterAutospacing="1" w:line="360" w:lineRule="auto"/>
        <w:outlineLvl w:val="2"/>
        <w:divId w:val="1078017523"/>
        <w:rPr>
          <w:rFonts w:ascii="Arial" w:eastAsia="Times New Roman" w:hAnsi="Arial" w:cs="Arial"/>
          <w:b/>
          <w:bCs/>
          <w:kern w:val="0"/>
          <w:sz w:val="22"/>
          <w:szCs w:val="22"/>
          <w14:ligatures w14:val="none"/>
        </w:rPr>
      </w:pPr>
    </w:p>
    <w:p w14:paraId="1C16F5F2" w14:textId="6BB31C3F" w:rsidR="008672BA" w:rsidRPr="00253FBF" w:rsidRDefault="004D0D45" w:rsidP="005424F3">
      <w:pPr>
        <w:pStyle w:val="Heading1"/>
        <w:divId w:val="1301770017"/>
        <w:rPr>
          <w:rFonts w:eastAsia="Times New Roman"/>
        </w:rPr>
      </w:pPr>
      <w:r>
        <w:rPr>
          <w:noProof/>
        </w:rPr>
        <w:drawing>
          <wp:anchor distT="0" distB="0" distL="114300" distR="114300" simplePos="0" relativeHeight="251658243" behindDoc="0" locked="0" layoutInCell="1" allowOverlap="1" wp14:anchorId="74EB1294" wp14:editId="79D1CC13">
            <wp:simplePos x="0" y="0"/>
            <wp:positionH relativeFrom="margin">
              <wp:posOffset>-365760</wp:posOffset>
            </wp:positionH>
            <wp:positionV relativeFrom="paragraph">
              <wp:posOffset>474980</wp:posOffset>
            </wp:positionV>
            <wp:extent cx="6678295" cy="5559425"/>
            <wp:effectExtent l="0" t="0" r="8255" b="3175"/>
            <wp:wrapTopAndBottom/>
            <wp:docPr id="904107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07581" name=""/>
                    <pic:cNvPicPr/>
                  </pic:nvPicPr>
                  <pic:blipFill>
                    <a:blip r:embed="rId18"/>
                    <a:stretch>
                      <a:fillRect/>
                    </a:stretch>
                  </pic:blipFill>
                  <pic:spPr>
                    <a:xfrm>
                      <a:off x="0" y="0"/>
                      <a:ext cx="6678295" cy="5559425"/>
                    </a:xfrm>
                    <a:prstGeom prst="rect">
                      <a:avLst/>
                    </a:prstGeom>
                  </pic:spPr>
                </pic:pic>
              </a:graphicData>
            </a:graphic>
            <wp14:sizeRelH relativeFrom="margin">
              <wp14:pctWidth>0</wp14:pctWidth>
            </wp14:sizeRelH>
            <wp14:sizeRelV relativeFrom="margin">
              <wp14:pctHeight>0</wp14:pctHeight>
            </wp14:sizeRelV>
          </wp:anchor>
        </w:drawing>
      </w:r>
      <w:r w:rsidR="00370CEF">
        <w:rPr>
          <w:rFonts w:eastAsia="Times New Roman"/>
        </w:rPr>
        <w:t xml:space="preserve">Table </w:t>
      </w:r>
      <w:r w:rsidR="008672BA" w:rsidRPr="00253FBF">
        <w:rPr>
          <w:rFonts w:eastAsia="Times New Roman"/>
        </w:rPr>
        <w:t>6.2 Mendelow’s Matrix (Power vs Interest)</w:t>
      </w:r>
    </w:p>
    <w:p w14:paraId="4169ADD8" w14:textId="38547573" w:rsidR="001A325B" w:rsidRDefault="001A325B">
      <w:pPr>
        <w:pStyle w:val="p1"/>
        <w:divId w:val="1743286388"/>
        <w:rPr>
          <w:rStyle w:val="s1"/>
        </w:rPr>
      </w:pPr>
    </w:p>
    <w:p w14:paraId="2E6B56E9" w14:textId="5AE7F49C" w:rsidR="007A7861" w:rsidRPr="001A325B" w:rsidRDefault="007A7861" w:rsidP="0084404C">
      <w:pPr>
        <w:pStyle w:val="p1"/>
        <w:spacing w:line="360" w:lineRule="auto"/>
        <w:divId w:val="1743286388"/>
        <w:rPr>
          <w:rFonts w:ascii="Arial" w:hAnsi="Arial" w:cs="Arial"/>
          <w:sz w:val="22"/>
          <w:szCs w:val="22"/>
        </w:rPr>
      </w:pPr>
      <w:r w:rsidRPr="001A325B">
        <w:rPr>
          <w:rStyle w:val="s1"/>
          <w:rFonts w:ascii="Arial" w:hAnsi="Arial" w:cs="Arial"/>
          <w:sz w:val="22"/>
          <w:szCs w:val="22"/>
        </w:rPr>
        <w:t>Mendelow’s Matrix</w:t>
      </w:r>
      <w:r w:rsidRPr="001A325B">
        <w:rPr>
          <w:rStyle w:val="s2"/>
          <w:rFonts w:ascii="Arial" w:hAnsi="Arial" w:cs="Arial"/>
          <w:sz w:val="22"/>
          <w:szCs w:val="22"/>
        </w:rPr>
        <w:t xml:space="preserve"> is a stakeholder analysis tool used to categorise stakeholders based on their level of </w:t>
      </w:r>
      <w:r w:rsidRPr="001A325B">
        <w:rPr>
          <w:rStyle w:val="s3"/>
          <w:rFonts w:ascii="Arial" w:hAnsi="Arial" w:cs="Arial"/>
          <w:sz w:val="22"/>
          <w:szCs w:val="22"/>
        </w:rPr>
        <w:t>power</w:t>
      </w:r>
      <w:r w:rsidRPr="001A325B">
        <w:rPr>
          <w:rStyle w:val="s2"/>
          <w:rFonts w:ascii="Arial" w:hAnsi="Arial" w:cs="Arial"/>
          <w:sz w:val="22"/>
          <w:szCs w:val="22"/>
        </w:rPr>
        <w:t xml:space="preserve"> and </w:t>
      </w:r>
      <w:r w:rsidRPr="001A325B">
        <w:rPr>
          <w:rStyle w:val="s3"/>
          <w:rFonts w:ascii="Arial" w:hAnsi="Arial" w:cs="Arial"/>
          <w:sz w:val="22"/>
          <w:szCs w:val="22"/>
        </w:rPr>
        <w:t>interest</w:t>
      </w:r>
      <w:r w:rsidRPr="001A325B">
        <w:rPr>
          <w:rStyle w:val="s2"/>
          <w:rFonts w:ascii="Arial" w:hAnsi="Arial" w:cs="Arial"/>
          <w:sz w:val="22"/>
          <w:szCs w:val="22"/>
        </w:rPr>
        <w:t xml:space="preserve"> in an organisation’s strategic decisions (Mendelow, 1991). Applying this to </w:t>
      </w:r>
      <w:r w:rsidRPr="001A325B">
        <w:rPr>
          <w:rStyle w:val="s1"/>
          <w:rFonts w:ascii="Arial" w:hAnsi="Arial" w:cs="Arial"/>
          <w:sz w:val="22"/>
          <w:szCs w:val="22"/>
        </w:rPr>
        <w:t>Quarter Horse Coffee (QHC)</w:t>
      </w:r>
      <w:r w:rsidRPr="001A325B">
        <w:rPr>
          <w:rStyle w:val="s2"/>
          <w:rFonts w:ascii="Arial" w:hAnsi="Arial" w:cs="Arial"/>
          <w:sz w:val="22"/>
          <w:szCs w:val="22"/>
        </w:rPr>
        <w:t xml:space="preserve"> helps prioritise engagement and communication strategies.</w:t>
      </w:r>
    </w:p>
    <w:p w14:paraId="1DBD8007" w14:textId="12ADD390" w:rsidR="0084404C" w:rsidRDefault="007A7861" w:rsidP="0084404C">
      <w:pPr>
        <w:pStyle w:val="p1"/>
        <w:spacing w:line="360" w:lineRule="auto"/>
        <w:divId w:val="1743286388"/>
        <w:rPr>
          <w:rStyle w:val="s2"/>
          <w:rFonts w:ascii="Arial" w:hAnsi="Arial" w:cs="Arial"/>
          <w:sz w:val="22"/>
          <w:szCs w:val="22"/>
        </w:rPr>
      </w:pPr>
      <w:r w:rsidRPr="001A325B">
        <w:rPr>
          <w:rStyle w:val="s2"/>
          <w:rFonts w:ascii="Arial" w:hAnsi="Arial" w:cs="Arial"/>
          <w:sz w:val="22"/>
          <w:szCs w:val="22"/>
        </w:rPr>
        <w:t xml:space="preserve">Stakeholders with </w:t>
      </w:r>
      <w:r w:rsidRPr="001A325B">
        <w:rPr>
          <w:rStyle w:val="s1"/>
          <w:rFonts w:ascii="Arial" w:hAnsi="Arial" w:cs="Arial"/>
          <w:sz w:val="22"/>
          <w:szCs w:val="22"/>
        </w:rPr>
        <w:t>high power and high interest</w:t>
      </w:r>
      <w:r w:rsidRPr="001A325B">
        <w:rPr>
          <w:rStyle w:val="s2"/>
          <w:rFonts w:ascii="Arial" w:hAnsi="Arial" w:cs="Arial"/>
          <w:sz w:val="22"/>
          <w:szCs w:val="22"/>
        </w:rPr>
        <w:t xml:space="preserve">—such as the </w:t>
      </w:r>
      <w:r w:rsidRPr="001A325B">
        <w:rPr>
          <w:rStyle w:val="s3"/>
          <w:rFonts w:ascii="Arial" w:hAnsi="Arial" w:cs="Arial"/>
          <w:sz w:val="22"/>
          <w:szCs w:val="22"/>
        </w:rPr>
        <w:t>founders</w:t>
      </w:r>
      <w:r w:rsidRPr="001A325B">
        <w:rPr>
          <w:rStyle w:val="s2"/>
          <w:rFonts w:ascii="Arial" w:hAnsi="Arial" w:cs="Arial"/>
          <w:sz w:val="22"/>
          <w:szCs w:val="22"/>
        </w:rPr>
        <w:t xml:space="preserve"> and </w:t>
      </w:r>
      <w:r w:rsidRPr="001A325B">
        <w:rPr>
          <w:rStyle w:val="s3"/>
          <w:rFonts w:ascii="Arial" w:hAnsi="Arial" w:cs="Arial"/>
          <w:sz w:val="22"/>
          <w:szCs w:val="22"/>
        </w:rPr>
        <w:t>major wholesale partners</w:t>
      </w:r>
      <w:r w:rsidRPr="001A325B">
        <w:rPr>
          <w:rStyle w:val="s2"/>
          <w:rFonts w:ascii="Arial" w:hAnsi="Arial" w:cs="Arial"/>
          <w:sz w:val="22"/>
          <w:szCs w:val="22"/>
        </w:rPr>
        <w:t xml:space="preserve">—require close management and regular consultation. </w:t>
      </w:r>
      <w:r w:rsidRPr="001A325B">
        <w:rPr>
          <w:rStyle w:val="s1"/>
          <w:rFonts w:ascii="Arial" w:hAnsi="Arial" w:cs="Arial"/>
          <w:sz w:val="22"/>
          <w:szCs w:val="22"/>
        </w:rPr>
        <w:t>Regulatory bodies</w:t>
      </w:r>
      <w:r w:rsidRPr="001A325B">
        <w:rPr>
          <w:rStyle w:val="s2"/>
          <w:rFonts w:ascii="Arial" w:hAnsi="Arial" w:cs="Arial"/>
          <w:sz w:val="22"/>
          <w:szCs w:val="22"/>
        </w:rPr>
        <w:t xml:space="preserve"> and </w:t>
      </w:r>
      <w:r w:rsidRPr="001A325B">
        <w:rPr>
          <w:rStyle w:val="s3"/>
          <w:rFonts w:ascii="Arial" w:hAnsi="Arial" w:cs="Arial"/>
          <w:sz w:val="22"/>
          <w:szCs w:val="22"/>
        </w:rPr>
        <w:t>key suppliers</w:t>
      </w:r>
      <w:r w:rsidRPr="001A325B">
        <w:rPr>
          <w:rStyle w:val="s2"/>
          <w:rFonts w:ascii="Arial" w:hAnsi="Arial" w:cs="Arial"/>
          <w:sz w:val="22"/>
          <w:szCs w:val="22"/>
        </w:rPr>
        <w:t xml:space="preserve"> hold </w:t>
      </w:r>
      <w:r w:rsidRPr="001A325B">
        <w:rPr>
          <w:rStyle w:val="s1"/>
          <w:rFonts w:ascii="Arial" w:hAnsi="Arial" w:cs="Arial"/>
          <w:sz w:val="22"/>
          <w:szCs w:val="22"/>
        </w:rPr>
        <w:t>high power but lower interest</w:t>
      </w:r>
      <w:r w:rsidRPr="001A325B">
        <w:rPr>
          <w:rStyle w:val="s2"/>
          <w:rFonts w:ascii="Arial" w:hAnsi="Arial" w:cs="Arial"/>
          <w:sz w:val="22"/>
          <w:szCs w:val="22"/>
        </w:rPr>
        <w:t xml:space="preserve">, thus should </w:t>
      </w:r>
      <w:bookmarkStart w:id="15" w:name="_Int_pu2JeAt6"/>
      <w:r w:rsidRPr="001A325B">
        <w:rPr>
          <w:rStyle w:val="s2"/>
          <w:rFonts w:ascii="Arial" w:hAnsi="Arial" w:cs="Arial"/>
          <w:sz w:val="22"/>
          <w:szCs w:val="22"/>
        </w:rPr>
        <w:t>be kept</w:t>
      </w:r>
      <w:bookmarkEnd w:id="15"/>
      <w:r w:rsidRPr="001A325B">
        <w:rPr>
          <w:rStyle w:val="s2"/>
          <w:rFonts w:ascii="Arial" w:hAnsi="Arial" w:cs="Arial"/>
          <w:sz w:val="22"/>
          <w:szCs w:val="22"/>
        </w:rPr>
        <w:t xml:space="preserve"> satisfied through compliance and reliable partnerships. </w:t>
      </w:r>
      <w:r w:rsidRPr="001A325B">
        <w:rPr>
          <w:rStyle w:val="s1"/>
          <w:rFonts w:ascii="Arial" w:hAnsi="Arial" w:cs="Arial"/>
          <w:sz w:val="22"/>
          <w:szCs w:val="22"/>
        </w:rPr>
        <w:t>Employees</w:t>
      </w:r>
      <w:r w:rsidRPr="001A325B">
        <w:rPr>
          <w:rStyle w:val="s2"/>
          <w:rFonts w:ascii="Arial" w:hAnsi="Arial" w:cs="Arial"/>
          <w:sz w:val="22"/>
          <w:szCs w:val="22"/>
        </w:rPr>
        <w:t xml:space="preserve"> and </w:t>
      </w:r>
      <w:r w:rsidRPr="001A325B">
        <w:rPr>
          <w:rStyle w:val="s3"/>
          <w:rFonts w:ascii="Arial" w:hAnsi="Arial" w:cs="Arial"/>
          <w:sz w:val="22"/>
          <w:szCs w:val="22"/>
        </w:rPr>
        <w:t>retail customers</w:t>
      </w:r>
      <w:r w:rsidRPr="001A325B">
        <w:rPr>
          <w:rStyle w:val="s2"/>
          <w:rFonts w:ascii="Arial" w:hAnsi="Arial" w:cs="Arial"/>
          <w:sz w:val="22"/>
          <w:szCs w:val="22"/>
        </w:rPr>
        <w:t xml:space="preserve"> </w:t>
      </w:r>
      <w:bookmarkStart w:id="16" w:name="_Int_rsp043f1"/>
      <w:r w:rsidRPr="001A325B">
        <w:rPr>
          <w:rStyle w:val="s2"/>
          <w:rFonts w:ascii="Arial" w:hAnsi="Arial" w:cs="Arial"/>
          <w:sz w:val="22"/>
          <w:szCs w:val="22"/>
        </w:rPr>
        <w:t>possess</w:t>
      </w:r>
      <w:bookmarkEnd w:id="16"/>
      <w:r w:rsidRPr="001A325B">
        <w:rPr>
          <w:rStyle w:val="s2"/>
          <w:rFonts w:ascii="Arial" w:hAnsi="Arial" w:cs="Arial"/>
          <w:sz w:val="22"/>
          <w:szCs w:val="22"/>
        </w:rPr>
        <w:t xml:space="preserve"> </w:t>
      </w:r>
      <w:r w:rsidRPr="001A325B">
        <w:rPr>
          <w:rStyle w:val="s1"/>
          <w:rFonts w:ascii="Arial" w:hAnsi="Arial" w:cs="Arial"/>
          <w:sz w:val="22"/>
          <w:szCs w:val="22"/>
        </w:rPr>
        <w:t>high interest but low power</w:t>
      </w:r>
      <w:r w:rsidRPr="001A325B">
        <w:rPr>
          <w:rStyle w:val="s2"/>
          <w:rFonts w:ascii="Arial" w:hAnsi="Arial" w:cs="Arial"/>
          <w:sz w:val="22"/>
          <w:szCs w:val="22"/>
        </w:rPr>
        <w:t xml:space="preserve">, </w:t>
      </w:r>
      <w:bookmarkStart w:id="17" w:name="_Int_JFNB0RuP"/>
      <w:r w:rsidRPr="001A325B">
        <w:rPr>
          <w:rStyle w:val="s2"/>
          <w:rFonts w:ascii="Arial" w:hAnsi="Arial" w:cs="Arial"/>
          <w:sz w:val="22"/>
          <w:szCs w:val="22"/>
        </w:rPr>
        <w:t>necessitating</w:t>
      </w:r>
      <w:bookmarkEnd w:id="17"/>
      <w:r w:rsidRPr="001A325B">
        <w:rPr>
          <w:rStyle w:val="s2"/>
          <w:rFonts w:ascii="Arial" w:hAnsi="Arial" w:cs="Arial"/>
          <w:sz w:val="22"/>
          <w:szCs w:val="22"/>
        </w:rPr>
        <w:t xml:space="preserve"> clear communication and engagement to </w:t>
      </w:r>
      <w:bookmarkStart w:id="18" w:name="_Int_QLSrnDXC"/>
      <w:r w:rsidRPr="001A325B">
        <w:rPr>
          <w:rStyle w:val="s2"/>
          <w:rFonts w:ascii="Arial" w:hAnsi="Arial" w:cs="Arial"/>
          <w:sz w:val="22"/>
          <w:szCs w:val="22"/>
        </w:rPr>
        <w:t>maintain</w:t>
      </w:r>
      <w:bookmarkEnd w:id="18"/>
      <w:r w:rsidRPr="001A325B">
        <w:rPr>
          <w:rStyle w:val="s2"/>
          <w:rFonts w:ascii="Arial" w:hAnsi="Arial" w:cs="Arial"/>
          <w:sz w:val="22"/>
          <w:szCs w:val="22"/>
        </w:rPr>
        <w:t xml:space="preserve"> loyalty. Meanwhile, the </w:t>
      </w:r>
      <w:r w:rsidRPr="001A325B">
        <w:rPr>
          <w:rStyle w:val="s3"/>
          <w:rFonts w:ascii="Arial" w:hAnsi="Arial" w:cs="Arial"/>
          <w:sz w:val="22"/>
          <w:szCs w:val="22"/>
        </w:rPr>
        <w:t>local community</w:t>
      </w:r>
      <w:r w:rsidRPr="001A325B">
        <w:rPr>
          <w:rStyle w:val="s2"/>
          <w:rFonts w:ascii="Arial" w:hAnsi="Arial" w:cs="Arial"/>
          <w:sz w:val="22"/>
          <w:szCs w:val="22"/>
        </w:rPr>
        <w:t xml:space="preserve"> and </w:t>
      </w:r>
      <w:r w:rsidRPr="001A325B">
        <w:rPr>
          <w:rStyle w:val="s3"/>
          <w:rFonts w:ascii="Arial" w:hAnsi="Arial" w:cs="Arial"/>
          <w:sz w:val="22"/>
          <w:szCs w:val="22"/>
        </w:rPr>
        <w:t>media</w:t>
      </w:r>
      <w:r w:rsidRPr="001A325B">
        <w:rPr>
          <w:rStyle w:val="s2"/>
          <w:rFonts w:ascii="Arial" w:hAnsi="Arial" w:cs="Arial"/>
          <w:sz w:val="22"/>
          <w:szCs w:val="22"/>
        </w:rPr>
        <w:t xml:space="preserve"> fall under </w:t>
      </w:r>
      <w:r w:rsidRPr="001A325B">
        <w:rPr>
          <w:rStyle w:val="s1"/>
          <w:rFonts w:ascii="Arial" w:hAnsi="Arial" w:cs="Arial"/>
          <w:sz w:val="22"/>
          <w:szCs w:val="22"/>
        </w:rPr>
        <w:t>low power and low interest</w:t>
      </w:r>
      <w:r w:rsidRPr="001A325B">
        <w:rPr>
          <w:rStyle w:val="s2"/>
          <w:rFonts w:ascii="Arial" w:hAnsi="Arial" w:cs="Arial"/>
          <w:sz w:val="22"/>
          <w:szCs w:val="22"/>
        </w:rPr>
        <w:t>, requiring minimal but positive updates (ACCA, 2024)</w:t>
      </w:r>
    </w:p>
    <w:p w14:paraId="49180869" w14:textId="0BB9F3BD" w:rsidR="007A7861" w:rsidRPr="00621A50" w:rsidRDefault="007A7861" w:rsidP="0084404C">
      <w:pPr>
        <w:pStyle w:val="p1"/>
        <w:spacing w:line="360" w:lineRule="auto"/>
        <w:divId w:val="1743286388"/>
        <w:rPr>
          <w:rFonts w:ascii="Arial" w:hAnsi="Arial" w:cs="Arial"/>
          <w:sz w:val="22"/>
          <w:szCs w:val="22"/>
        </w:rPr>
      </w:pPr>
      <w:r w:rsidRPr="00621A50">
        <w:rPr>
          <w:rStyle w:val="s2"/>
          <w:rFonts w:ascii="Arial" w:hAnsi="Arial" w:cs="Arial"/>
          <w:sz w:val="22"/>
          <w:szCs w:val="22"/>
        </w:rPr>
        <w:t>Using Mendelow’s Matrix ensures QHC’s stakeholder management is systematic and focused, supporting effective strategy implementation and relationship building.</w:t>
      </w:r>
    </w:p>
    <w:p w14:paraId="34974298" w14:textId="10BB2747" w:rsidR="00954EBE" w:rsidRDefault="00954EBE" w:rsidP="00253FBF">
      <w:pPr>
        <w:spacing w:before="100" w:beforeAutospacing="1" w:after="100" w:afterAutospacing="1" w:line="360" w:lineRule="auto"/>
        <w:outlineLvl w:val="2"/>
        <w:divId w:val="1301770017"/>
        <w:rPr>
          <w:rFonts w:ascii="Arial" w:eastAsia="Times New Roman" w:hAnsi="Arial" w:cs="Arial"/>
          <w:b/>
          <w:bCs/>
          <w:kern w:val="0"/>
          <w:sz w:val="22"/>
          <w:szCs w:val="22"/>
          <w14:ligatures w14:val="none"/>
        </w:rPr>
      </w:pPr>
    </w:p>
    <w:p w14:paraId="772F8F82" w14:textId="2FC7F32A" w:rsidR="0081088B" w:rsidRPr="00253FBF" w:rsidRDefault="00247C1F" w:rsidP="0034040F">
      <w:pPr>
        <w:pStyle w:val="Heading1"/>
        <w:spacing w:line="360" w:lineRule="auto"/>
        <w:divId w:val="1959140770"/>
        <w:rPr>
          <w:rFonts w:eastAsia="Times New Roman"/>
        </w:rPr>
      </w:pPr>
      <w:r>
        <w:rPr>
          <w:noProof/>
        </w:rPr>
        <w:drawing>
          <wp:anchor distT="0" distB="0" distL="114300" distR="114300" simplePos="0" relativeHeight="251658249" behindDoc="0" locked="0" layoutInCell="1" allowOverlap="1" wp14:anchorId="799770C6" wp14:editId="6CABD23D">
            <wp:simplePos x="0" y="0"/>
            <wp:positionH relativeFrom="page">
              <wp:posOffset>380365</wp:posOffset>
            </wp:positionH>
            <wp:positionV relativeFrom="paragraph">
              <wp:posOffset>521970</wp:posOffset>
            </wp:positionV>
            <wp:extent cx="7031990" cy="3284220"/>
            <wp:effectExtent l="0" t="0" r="0" b="0"/>
            <wp:wrapTopAndBottom/>
            <wp:docPr id="1227827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27595" name=""/>
                    <pic:cNvPicPr/>
                  </pic:nvPicPr>
                  <pic:blipFill>
                    <a:blip r:embed="rId19"/>
                    <a:stretch>
                      <a:fillRect/>
                    </a:stretch>
                  </pic:blipFill>
                  <pic:spPr>
                    <a:xfrm>
                      <a:off x="0" y="0"/>
                      <a:ext cx="7031990" cy="3284220"/>
                    </a:xfrm>
                    <a:prstGeom prst="rect">
                      <a:avLst/>
                    </a:prstGeom>
                  </pic:spPr>
                </pic:pic>
              </a:graphicData>
            </a:graphic>
            <wp14:sizeRelH relativeFrom="margin">
              <wp14:pctWidth>0</wp14:pctWidth>
            </wp14:sizeRelH>
            <wp14:sizeRelV relativeFrom="margin">
              <wp14:pctHeight>0</wp14:pctHeight>
            </wp14:sizeRelV>
          </wp:anchor>
        </w:drawing>
      </w:r>
      <w:r w:rsidR="000B4451">
        <w:rPr>
          <w:rFonts w:eastAsia="Times New Roman"/>
        </w:rPr>
        <w:t xml:space="preserve">Table </w:t>
      </w:r>
      <w:r w:rsidR="0081088B" w:rsidRPr="00253FBF">
        <w:rPr>
          <w:rFonts w:eastAsia="Times New Roman"/>
        </w:rPr>
        <w:t>6.3 RACI Framework for Implementation</w:t>
      </w:r>
    </w:p>
    <w:p w14:paraId="7BCA0D09" w14:textId="6E81BFF6" w:rsidR="00182384" w:rsidRPr="001E07CA" w:rsidRDefault="00182384" w:rsidP="001E07CA">
      <w:pPr>
        <w:spacing w:before="100" w:beforeAutospacing="1" w:after="100" w:afterAutospacing="1" w:line="360" w:lineRule="auto"/>
        <w:outlineLvl w:val="2"/>
        <w:divId w:val="1959140770"/>
        <w:rPr>
          <w:rFonts w:ascii="Arial" w:eastAsia="Times New Roman" w:hAnsi="Arial" w:cs="Arial"/>
          <w:b/>
          <w:bCs/>
          <w:kern w:val="0"/>
          <w:sz w:val="22"/>
          <w:szCs w:val="22"/>
          <w14:ligatures w14:val="none"/>
        </w:rPr>
      </w:pPr>
    </w:p>
    <w:p w14:paraId="53F6D88D" w14:textId="77777777" w:rsidR="00626059" w:rsidRPr="001E07CA" w:rsidRDefault="00626059" w:rsidP="001E07CA">
      <w:pPr>
        <w:pStyle w:val="p1"/>
        <w:spacing w:line="360" w:lineRule="auto"/>
        <w:divId w:val="273441631"/>
        <w:rPr>
          <w:rFonts w:ascii="Arial" w:hAnsi="Arial" w:cs="Arial"/>
          <w:sz w:val="22"/>
          <w:szCs w:val="22"/>
        </w:rPr>
      </w:pPr>
      <w:r w:rsidRPr="001E07CA">
        <w:rPr>
          <w:rStyle w:val="s1"/>
          <w:rFonts w:ascii="Arial" w:hAnsi="Arial" w:cs="Arial"/>
          <w:sz w:val="22"/>
          <w:szCs w:val="22"/>
        </w:rPr>
        <w:t>The RACI structure ensures accountability and communication clarity — key to overcoming SME resource bottlenecks.</w:t>
      </w:r>
    </w:p>
    <w:p w14:paraId="417B173D" w14:textId="77777777" w:rsidR="00864FE4" w:rsidRPr="001E07CA" w:rsidRDefault="00864FE4" w:rsidP="001E07CA">
      <w:pPr>
        <w:pStyle w:val="p1"/>
        <w:spacing w:line="360" w:lineRule="auto"/>
        <w:divId w:val="565919059"/>
        <w:rPr>
          <w:rFonts w:ascii="Arial" w:hAnsi="Arial" w:cs="Arial"/>
          <w:sz w:val="22"/>
          <w:szCs w:val="22"/>
        </w:rPr>
      </w:pPr>
      <w:r w:rsidRPr="001E07CA">
        <w:rPr>
          <w:rStyle w:val="s1"/>
          <w:rFonts w:ascii="Arial" w:hAnsi="Arial" w:cs="Arial"/>
          <w:sz w:val="22"/>
          <w:szCs w:val="22"/>
        </w:rPr>
        <w:t xml:space="preserve">A </w:t>
      </w:r>
      <w:r w:rsidRPr="001E07CA">
        <w:rPr>
          <w:rStyle w:val="s2"/>
          <w:rFonts w:ascii="Arial" w:hAnsi="Arial" w:cs="Arial"/>
          <w:sz w:val="22"/>
          <w:szCs w:val="22"/>
        </w:rPr>
        <w:t>RACI framework</w:t>
      </w:r>
      <w:r w:rsidRPr="001E07CA">
        <w:rPr>
          <w:rStyle w:val="s1"/>
          <w:rFonts w:ascii="Arial" w:hAnsi="Arial" w:cs="Arial"/>
          <w:sz w:val="22"/>
          <w:szCs w:val="22"/>
        </w:rPr>
        <w:t xml:space="preserve">—which </w:t>
      </w:r>
      <w:bookmarkStart w:id="19" w:name="_Int_eqLE7LTC"/>
      <w:r w:rsidRPr="001E07CA">
        <w:rPr>
          <w:rStyle w:val="s1"/>
          <w:rFonts w:ascii="Arial" w:hAnsi="Arial" w:cs="Arial"/>
          <w:sz w:val="22"/>
          <w:szCs w:val="22"/>
        </w:rPr>
        <w:t>identifies</w:t>
      </w:r>
      <w:bookmarkEnd w:id="19"/>
      <w:r w:rsidRPr="001E07CA">
        <w:rPr>
          <w:rStyle w:val="s1"/>
          <w:rFonts w:ascii="Arial" w:hAnsi="Arial" w:cs="Arial"/>
          <w:sz w:val="22"/>
          <w:szCs w:val="22"/>
        </w:rPr>
        <w:t xml:space="preserve"> who is </w:t>
      </w:r>
      <w:r w:rsidRPr="001E07CA">
        <w:rPr>
          <w:rStyle w:val="s3"/>
          <w:rFonts w:ascii="Arial" w:hAnsi="Arial" w:cs="Arial"/>
          <w:sz w:val="22"/>
          <w:szCs w:val="22"/>
        </w:rPr>
        <w:t>Responsible</w:t>
      </w:r>
      <w:r w:rsidRPr="001E07CA">
        <w:rPr>
          <w:rStyle w:val="s1"/>
          <w:rFonts w:ascii="Arial" w:hAnsi="Arial" w:cs="Arial"/>
          <w:sz w:val="22"/>
          <w:szCs w:val="22"/>
        </w:rPr>
        <w:t xml:space="preserve">, </w:t>
      </w:r>
      <w:r w:rsidRPr="001E07CA">
        <w:rPr>
          <w:rStyle w:val="s3"/>
          <w:rFonts w:ascii="Arial" w:hAnsi="Arial" w:cs="Arial"/>
          <w:sz w:val="22"/>
          <w:szCs w:val="22"/>
        </w:rPr>
        <w:t>Accountable</w:t>
      </w:r>
      <w:r w:rsidRPr="001E07CA">
        <w:rPr>
          <w:rStyle w:val="s1"/>
          <w:rFonts w:ascii="Arial" w:hAnsi="Arial" w:cs="Arial"/>
          <w:sz w:val="22"/>
          <w:szCs w:val="22"/>
        </w:rPr>
        <w:t xml:space="preserve">, </w:t>
      </w:r>
      <w:r w:rsidRPr="001E07CA">
        <w:rPr>
          <w:rStyle w:val="s3"/>
          <w:rFonts w:ascii="Arial" w:hAnsi="Arial" w:cs="Arial"/>
          <w:sz w:val="22"/>
          <w:szCs w:val="22"/>
        </w:rPr>
        <w:t>Consulted</w:t>
      </w:r>
      <w:r w:rsidRPr="001E07CA">
        <w:rPr>
          <w:rStyle w:val="s1"/>
          <w:rFonts w:ascii="Arial" w:hAnsi="Arial" w:cs="Arial"/>
          <w:sz w:val="22"/>
          <w:szCs w:val="22"/>
        </w:rPr>
        <w:t xml:space="preserve">, and </w:t>
      </w:r>
      <w:r w:rsidRPr="001E07CA">
        <w:rPr>
          <w:rStyle w:val="s3"/>
          <w:rFonts w:ascii="Arial" w:hAnsi="Arial" w:cs="Arial"/>
          <w:sz w:val="22"/>
          <w:szCs w:val="22"/>
        </w:rPr>
        <w:t>Informed</w:t>
      </w:r>
      <w:r w:rsidRPr="001E07CA">
        <w:rPr>
          <w:rStyle w:val="s1"/>
          <w:rFonts w:ascii="Arial" w:hAnsi="Arial" w:cs="Arial"/>
          <w:sz w:val="22"/>
          <w:szCs w:val="22"/>
        </w:rPr>
        <w:t xml:space="preserve">—is a valuable project management tool that clarifies decision-making and communication in strategy implementation. For Quarter Horse Coffee (QHC), </w:t>
      </w:r>
      <w:bookmarkStart w:id="20" w:name="_Int_CZ8WJlu1"/>
      <w:r w:rsidRPr="001E07CA">
        <w:rPr>
          <w:rStyle w:val="s1"/>
          <w:rFonts w:ascii="Arial" w:hAnsi="Arial" w:cs="Arial"/>
          <w:sz w:val="22"/>
          <w:szCs w:val="22"/>
        </w:rPr>
        <w:t>establishing</w:t>
      </w:r>
      <w:bookmarkEnd w:id="20"/>
      <w:r w:rsidRPr="001E07CA">
        <w:rPr>
          <w:rStyle w:val="s1"/>
          <w:rFonts w:ascii="Arial" w:hAnsi="Arial" w:cs="Arial"/>
          <w:sz w:val="22"/>
          <w:szCs w:val="22"/>
        </w:rPr>
        <w:t xml:space="preserve"> a clear RACI matrix is critical, given its small team structure and the multitasking nature of SME operations (Ates and Bititci, 2017). Without defined accountability, strategic initiatives risk delays, duplicated effort, or loss of focus.</w:t>
      </w:r>
    </w:p>
    <w:p w14:paraId="2A37527C" w14:textId="77777777" w:rsidR="00864FE4" w:rsidRPr="001E07CA" w:rsidRDefault="00864FE4" w:rsidP="001E07CA">
      <w:pPr>
        <w:pStyle w:val="p2"/>
        <w:spacing w:line="360" w:lineRule="auto"/>
        <w:divId w:val="565919059"/>
        <w:rPr>
          <w:rFonts w:ascii="Arial" w:hAnsi="Arial" w:cs="Arial"/>
          <w:sz w:val="22"/>
          <w:szCs w:val="22"/>
        </w:rPr>
      </w:pPr>
    </w:p>
    <w:p w14:paraId="27641D64" w14:textId="77777777" w:rsidR="00864FE4" w:rsidRPr="00843074" w:rsidRDefault="00864FE4" w:rsidP="001E07CA">
      <w:pPr>
        <w:pStyle w:val="p1"/>
        <w:spacing w:line="360" w:lineRule="auto"/>
        <w:divId w:val="565919059"/>
        <w:rPr>
          <w:rFonts w:ascii="Arial" w:hAnsi="Arial" w:cs="Arial"/>
          <w:sz w:val="22"/>
          <w:szCs w:val="22"/>
        </w:rPr>
      </w:pPr>
      <w:r w:rsidRPr="001E07CA">
        <w:rPr>
          <w:rStyle w:val="s1"/>
          <w:rFonts w:ascii="Arial" w:hAnsi="Arial" w:cs="Arial"/>
          <w:sz w:val="22"/>
          <w:szCs w:val="22"/>
        </w:rPr>
        <w:t xml:space="preserve">Under the proposed </w:t>
      </w:r>
      <w:r w:rsidRPr="001E07CA">
        <w:rPr>
          <w:rStyle w:val="s3"/>
          <w:rFonts w:ascii="Arial" w:hAnsi="Arial" w:cs="Arial"/>
          <w:sz w:val="22"/>
          <w:szCs w:val="22"/>
        </w:rPr>
        <w:t>Focused Differentiation Strategy</w:t>
      </w:r>
      <w:r w:rsidRPr="001E07CA">
        <w:rPr>
          <w:rStyle w:val="s1"/>
          <w:rFonts w:ascii="Arial" w:hAnsi="Arial" w:cs="Arial"/>
          <w:sz w:val="22"/>
          <w:szCs w:val="22"/>
        </w:rPr>
        <w:t xml:space="preserve">, QHC’s </w:t>
      </w:r>
      <w:r w:rsidRPr="001E07CA">
        <w:rPr>
          <w:rStyle w:val="s2"/>
          <w:rFonts w:ascii="Arial" w:hAnsi="Arial" w:cs="Arial"/>
          <w:sz w:val="22"/>
          <w:szCs w:val="22"/>
        </w:rPr>
        <w:t>founders</w:t>
      </w:r>
      <w:r w:rsidRPr="001E07CA">
        <w:rPr>
          <w:rStyle w:val="s1"/>
          <w:rFonts w:ascii="Arial" w:hAnsi="Arial" w:cs="Arial"/>
          <w:sz w:val="22"/>
          <w:szCs w:val="22"/>
        </w:rPr>
        <w:t xml:space="preserve"> should remain </w:t>
      </w:r>
      <w:r w:rsidRPr="001E07CA">
        <w:rPr>
          <w:rStyle w:val="s3"/>
          <w:rFonts w:ascii="Arial" w:hAnsi="Arial" w:cs="Arial"/>
          <w:sz w:val="22"/>
          <w:szCs w:val="22"/>
        </w:rPr>
        <w:t>Accountable (A)</w:t>
      </w:r>
      <w:r w:rsidRPr="001E07CA">
        <w:rPr>
          <w:rStyle w:val="s1"/>
          <w:rFonts w:ascii="Arial" w:hAnsi="Arial" w:cs="Arial"/>
          <w:sz w:val="22"/>
          <w:szCs w:val="22"/>
        </w:rPr>
        <w:t xml:space="preserve"> for major strategic outcomes such as growth targets and sustainability commitments. Operational staff, including the </w:t>
      </w:r>
      <w:r w:rsidRPr="001E07CA">
        <w:rPr>
          <w:rStyle w:val="s2"/>
          <w:rFonts w:ascii="Arial" w:hAnsi="Arial" w:cs="Arial"/>
          <w:sz w:val="22"/>
          <w:szCs w:val="22"/>
        </w:rPr>
        <w:t>Head of Roasting</w:t>
      </w:r>
      <w:r w:rsidRPr="001E07CA">
        <w:rPr>
          <w:rStyle w:val="s1"/>
          <w:rFonts w:ascii="Arial" w:hAnsi="Arial" w:cs="Arial"/>
          <w:sz w:val="22"/>
          <w:szCs w:val="22"/>
        </w:rPr>
        <w:t xml:space="preserve">, </w:t>
      </w:r>
      <w:r w:rsidRPr="001E07CA">
        <w:rPr>
          <w:rStyle w:val="s2"/>
          <w:rFonts w:ascii="Arial" w:hAnsi="Arial" w:cs="Arial"/>
          <w:sz w:val="22"/>
          <w:szCs w:val="22"/>
        </w:rPr>
        <w:t>Marketing Lead</w:t>
      </w:r>
      <w:r w:rsidRPr="001E07CA">
        <w:rPr>
          <w:rStyle w:val="s1"/>
          <w:rFonts w:ascii="Arial" w:hAnsi="Arial" w:cs="Arial"/>
          <w:sz w:val="22"/>
          <w:szCs w:val="22"/>
        </w:rPr>
        <w:t xml:space="preserve">, and </w:t>
      </w:r>
      <w:r w:rsidRPr="001E07CA">
        <w:rPr>
          <w:rStyle w:val="s2"/>
          <w:rFonts w:ascii="Arial" w:hAnsi="Arial" w:cs="Arial"/>
          <w:sz w:val="22"/>
          <w:szCs w:val="22"/>
        </w:rPr>
        <w:t>Wholesale Manager</w:t>
      </w:r>
      <w:r w:rsidRPr="001E07CA">
        <w:rPr>
          <w:rStyle w:val="s1"/>
          <w:rFonts w:ascii="Arial" w:hAnsi="Arial" w:cs="Arial"/>
          <w:sz w:val="22"/>
          <w:szCs w:val="22"/>
        </w:rPr>
        <w:t xml:space="preserve">, should be </w:t>
      </w:r>
      <w:r w:rsidRPr="001E07CA">
        <w:rPr>
          <w:rStyle w:val="s3"/>
          <w:rFonts w:ascii="Arial" w:hAnsi="Arial" w:cs="Arial"/>
          <w:sz w:val="22"/>
          <w:szCs w:val="22"/>
        </w:rPr>
        <w:t>Responsible (R)</w:t>
      </w:r>
      <w:r w:rsidRPr="001E07CA">
        <w:rPr>
          <w:rStyle w:val="s1"/>
          <w:rFonts w:ascii="Arial" w:hAnsi="Arial" w:cs="Arial"/>
          <w:sz w:val="22"/>
          <w:szCs w:val="22"/>
        </w:rPr>
        <w:t xml:space="preserve"> for executing daily tasks—such as subscription platform upgrades, customer engagement campaigns, and training programmes. External advisors or partners, such as digital consultants or sustainability </w:t>
      </w:r>
      <w:r w:rsidRPr="00843074">
        <w:rPr>
          <w:rStyle w:val="s1"/>
          <w:rFonts w:ascii="Arial" w:hAnsi="Arial" w:cs="Arial"/>
          <w:sz w:val="22"/>
          <w:szCs w:val="22"/>
        </w:rPr>
        <w:t xml:space="preserve">auditors, should </w:t>
      </w:r>
      <w:bookmarkStart w:id="21" w:name="_Int_kOR7vCQV"/>
      <w:r w:rsidRPr="00843074">
        <w:rPr>
          <w:rStyle w:val="s1"/>
          <w:rFonts w:ascii="Arial" w:hAnsi="Arial" w:cs="Arial"/>
          <w:sz w:val="22"/>
          <w:szCs w:val="22"/>
        </w:rPr>
        <w:t xml:space="preserve">be </w:t>
      </w:r>
      <w:r w:rsidRPr="00843074">
        <w:rPr>
          <w:rStyle w:val="s3"/>
          <w:rFonts w:ascii="Arial" w:hAnsi="Arial" w:cs="Arial"/>
          <w:sz w:val="22"/>
          <w:szCs w:val="22"/>
        </w:rPr>
        <w:t>Consulted (C)</w:t>
      </w:r>
      <w:bookmarkEnd w:id="21"/>
      <w:r w:rsidRPr="00843074">
        <w:rPr>
          <w:rStyle w:val="s1"/>
          <w:rFonts w:ascii="Arial" w:hAnsi="Arial" w:cs="Arial"/>
          <w:sz w:val="22"/>
          <w:szCs w:val="22"/>
        </w:rPr>
        <w:t xml:space="preserve"> for expert input, ensuring technical accuracy and compliance. Finally, all employees should </w:t>
      </w:r>
      <w:bookmarkStart w:id="22" w:name="_Int_rpc8GgOO"/>
      <w:r w:rsidRPr="00843074">
        <w:rPr>
          <w:rStyle w:val="s1"/>
          <w:rFonts w:ascii="Arial" w:hAnsi="Arial" w:cs="Arial"/>
          <w:sz w:val="22"/>
          <w:szCs w:val="22"/>
        </w:rPr>
        <w:t xml:space="preserve">be </w:t>
      </w:r>
      <w:r w:rsidRPr="00843074">
        <w:rPr>
          <w:rStyle w:val="s3"/>
          <w:rFonts w:ascii="Arial" w:hAnsi="Arial" w:cs="Arial"/>
          <w:sz w:val="22"/>
          <w:szCs w:val="22"/>
        </w:rPr>
        <w:t>Informed (I)</w:t>
      </w:r>
      <w:bookmarkEnd w:id="22"/>
      <w:r w:rsidRPr="00843074">
        <w:rPr>
          <w:rStyle w:val="s1"/>
          <w:rFonts w:ascii="Arial" w:hAnsi="Arial" w:cs="Arial"/>
          <w:sz w:val="22"/>
          <w:szCs w:val="22"/>
        </w:rPr>
        <w:t xml:space="preserve"> of progress through regular team updates to </w:t>
      </w:r>
      <w:bookmarkStart w:id="23" w:name="_Int_zAR16e4R"/>
      <w:r w:rsidRPr="00843074">
        <w:rPr>
          <w:rStyle w:val="s1"/>
          <w:rFonts w:ascii="Arial" w:hAnsi="Arial" w:cs="Arial"/>
          <w:sz w:val="22"/>
          <w:szCs w:val="22"/>
        </w:rPr>
        <w:t>maintain</w:t>
      </w:r>
      <w:bookmarkEnd w:id="23"/>
      <w:r w:rsidRPr="00843074">
        <w:rPr>
          <w:rStyle w:val="s1"/>
          <w:rFonts w:ascii="Arial" w:hAnsi="Arial" w:cs="Arial"/>
          <w:sz w:val="22"/>
          <w:szCs w:val="22"/>
        </w:rPr>
        <w:t xml:space="preserve"> alignment and motivation (ACCA, 2024).</w:t>
      </w:r>
    </w:p>
    <w:p w14:paraId="46C83D99" w14:textId="77777777" w:rsidR="00864FE4" w:rsidRPr="00843074" w:rsidRDefault="00864FE4" w:rsidP="0034040F">
      <w:pPr>
        <w:pStyle w:val="p2"/>
        <w:spacing w:line="360" w:lineRule="auto"/>
        <w:divId w:val="565919059"/>
        <w:rPr>
          <w:rFonts w:ascii="Arial" w:hAnsi="Arial" w:cs="Arial"/>
          <w:sz w:val="22"/>
          <w:szCs w:val="22"/>
        </w:rPr>
      </w:pPr>
    </w:p>
    <w:p w14:paraId="0AF0003C" w14:textId="77777777" w:rsidR="00864FE4" w:rsidRPr="00843074" w:rsidRDefault="00864FE4" w:rsidP="0034040F">
      <w:pPr>
        <w:pStyle w:val="p1"/>
        <w:spacing w:line="360" w:lineRule="auto"/>
        <w:divId w:val="565919059"/>
        <w:rPr>
          <w:rFonts w:ascii="Arial" w:hAnsi="Arial" w:cs="Arial"/>
          <w:sz w:val="22"/>
          <w:szCs w:val="22"/>
        </w:rPr>
      </w:pPr>
      <w:r w:rsidRPr="00843074">
        <w:rPr>
          <w:rStyle w:val="s1"/>
          <w:rFonts w:ascii="Arial" w:hAnsi="Arial" w:cs="Arial"/>
          <w:sz w:val="22"/>
          <w:szCs w:val="22"/>
        </w:rPr>
        <w:t>By institutionalising a RACI structure, QHC can enhance efficiency, transparency, and accountability—key enablers of successful strategy implementation and long-term performance in resource-constrained SMEs.</w:t>
      </w:r>
    </w:p>
    <w:p w14:paraId="7E7142CB" w14:textId="77777777" w:rsidR="00880B5C" w:rsidRDefault="00880B5C" w:rsidP="00253FBF">
      <w:pPr>
        <w:spacing w:before="100" w:beforeAutospacing="1" w:after="100" w:afterAutospacing="1" w:line="360" w:lineRule="auto"/>
        <w:outlineLvl w:val="1"/>
        <w:divId w:val="588929180"/>
        <w:rPr>
          <w:rFonts w:ascii="Arial" w:eastAsia="Times New Roman" w:hAnsi="Arial" w:cs="Arial"/>
          <w:b/>
          <w:bCs/>
          <w:kern w:val="0"/>
          <w:sz w:val="22"/>
          <w:szCs w:val="22"/>
          <w14:ligatures w14:val="none"/>
        </w:rPr>
      </w:pPr>
    </w:p>
    <w:p w14:paraId="434052BF" w14:textId="76D8DA2F" w:rsidR="004F31FE" w:rsidRPr="00253FBF" w:rsidRDefault="004F31FE" w:rsidP="00253FBF">
      <w:pPr>
        <w:spacing w:before="100" w:beforeAutospacing="1" w:after="100" w:afterAutospacing="1" w:line="360" w:lineRule="auto"/>
        <w:outlineLvl w:val="1"/>
        <w:divId w:val="588929180"/>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7. Strategic Recommendations and Implementation Plan</w:t>
      </w:r>
    </w:p>
    <w:p w14:paraId="270CBC24" w14:textId="2ADD2068" w:rsidR="006B7458" w:rsidRPr="00253FBF" w:rsidRDefault="006B7458" w:rsidP="00253FBF">
      <w:pPr>
        <w:spacing w:before="100" w:beforeAutospacing="1" w:after="100" w:afterAutospacing="1" w:line="360" w:lineRule="auto"/>
        <w:outlineLvl w:val="2"/>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7.1 Key Recommendations</w:t>
      </w:r>
    </w:p>
    <w:p w14:paraId="78E475A5" w14:textId="77777777"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1. Digital Subscription Optimisation</w:t>
      </w:r>
    </w:p>
    <w:p w14:paraId="6F823359" w14:textId="77777777" w:rsidR="006B7458" w:rsidRPr="00253FBF" w:rsidRDefault="006B7458" w:rsidP="00253FBF">
      <w:pPr>
        <w:numPr>
          <w:ilvl w:val="0"/>
          <w:numId w:val="3"/>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Redesign the website for subscription ease, personalisation, and CRM integration.</w:t>
      </w:r>
    </w:p>
    <w:p w14:paraId="70F8D9A3" w14:textId="77777777" w:rsidR="006B7458" w:rsidRPr="00253FBF" w:rsidRDefault="006B7458" w:rsidP="00253FBF">
      <w:pPr>
        <w:numPr>
          <w:ilvl w:val="0"/>
          <w:numId w:val="3"/>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 xml:space="preserve">Employ data analytics to </w:t>
      </w:r>
      <w:bookmarkStart w:id="24" w:name="_Int_Ljhc9xfq"/>
      <w:r w:rsidRPr="00253FBF">
        <w:rPr>
          <w:rFonts w:ascii="Arial" w:hAnsi="Arial" w:cs="Arial"/>
          <w:kern w:val="0"/>
          <w:sz w:val="22"/>
          <w:szCs w:val="22"/>
          <w14:ligatures w14:val="none"/>
        </w:rPr>
        <w:t>identify</w:t>
      </w:r>
      <w:bookmarkEnd w:id="24"/>
      <w:r w:rsidRPr="00253FBF">
        <w:rPr>
          <w:rFonts w:ascii="Arial" w:hAnsi="Arial" w:cs="Arial"/>
          <w:kern w:val="0"/>
          <w:sz w:val="22"/>
          <w:szCs w:val="22"/>
          <w14:ligatures w14:val="none"/>
        </w:rPr>
        <w:t xml:space="preserve"> customer churn and retention trends.</w:t>
      </w:r>
    </w:p>
    <w:p w14:paraId="15C2293F" w14:textId="77777777" w:rsidR="006B7458" w:rsidRPr="00253FBF" w:rsidRDefault="006B7458" w:rsidP="00253FBF">
      <w:pPr>
        <w:numPr>
          <w:ilvl w:val="0"/>
          <w:numId w:val="3"/>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Partner with UK couriers for reliable subscription fulfilment.</w:t>
      </w:r>
    </w:p>
    <w:p w14:paraId="54B50012" w14:textId="77777777" w:rsidR="006B7458" w:rsidRPr="00253FBF" w:rsidRDefault="006B7458" w:rsidP="00253FBF">
      <w:pPr>
        <w:spacing w:before="100" w:beforeAutospacing="1" w:after="100" w:afterAutospacing="1" w:line="360" w:lineRule="auto"/>
        <w:divId w:val="1670478905"/>
        <w:rPr>
          <w:rFonts w:ascii="Arial" w:hAnsi="Arial" w:cs="Arial"/>
          <w:kern w:val="0"/>
          <w:sz w:val="22"/>
          <w:szCs w:val="22"/>
          <w14:ligatures w14:val="none"/>
        </w:rPr>
      </w:pPr>
    </w:p>
    <w:p w14:paraId="3ED0967E" w14:textId="5E22F1D5"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2. Regional Wholesale Expansion</w:t>
      </w:r>
    </w:p>
    <w:p w14:paraId="632A4573" w14:textId="77777777" w:rsidR="006B7458" w:rsidRPr="00253FBF" w:rsidRDefault="006B7458" w:rsidP="00253FBF">
      <w:pPr>
        <w:numPr>
          <w:ilvl w:val="0"/>
          <w:numId w:val="4"/>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Target growth cities such as Manchester, Bristol, and Nottingham for wholesale clients.</w:t>
      </w:r>
    </w:p>
    <w:p w14:paraId="67B73945" w14:textId="77777777" w:rsidR="006B7458" w:rsidRPr="00253FBF" w:rsidRDefault="006B7458" w:rsidP="00253FBF">
      <w:pPr>
        <w:numPr>
          <w:ilvl w:val="0"/>
          <w:numId w:val="4"/>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Establish a “QHC Certified Partner” programme offering training, discounts, and marketing support.</w:t>
      </w:r>
    </w:p>
    <w:p w14:paraId="7B1D0CDD" w14:textId="77777777" w:rsidR="006B7458" w:rsidRPr="00253FBF" w:rsidRDefault="006B7458" w:rsidP="00253FBF">
      <w:pPr>
        <w:numPr>
          <w:ilvl w:val="0"/>
          <w:numId w:val="4"/>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Develop online B2B ordering and invoicing portal.</w:t>
      </w:r>
    </w:p>
    <w:p w14:paraId="248383B5" w14:textId="77777777" w:rsidR="006B7458" w:rsidRPr="00253FBF" w:rsidRDefault="006B7458" w:rsidP="00253FBF">
      <w:pPr>
        <w:spacing w:before="100" w:beforeAutospacing="1" w:after="100" w:afterAutospacing="1" w:line="360" w:lineRule="auto"/>
        <w:divId w:val="1670478905"/>
        <w:rPr>
          <w:rFonts w:ascii="Arial" w:hAnsi="Arial" w:cs="Arial"/>
          <w:kern w:val="0"/>
          <w:sz w:val="22"/>
          <w:szCs w:val="22"/>
          <w14:ligatures w14:val="none"/>
        </w:rPr>
      </w:pPr>
    </w:p>
    <w:p w14:paraId="36C07FF1" w14:textId="77777777" w:rsidR="00FA57F5" w:rsidRDefault="00FA57F5"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p>
    <w:p w14:paraId="64606F2C" w14:textId="77777777"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3. Operational Scalability and Sustainability</w:t>
      </w:r>
    </w:p>
    <w:p w14:paraId="6295E291" w14:textId="77777777" w:rsidR="006B7458" w:rsidRPr="00253FBF" w:rsidRDefault="006B7458" w:rsidP="00253FBF">
      <w:pPr>
        <w:numPr>
          <w:ilvl w:val="0"/>
          <w:numId w:val="5"/>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Invest in eco-friendly roasting machines (energy recovery systems).</w:t>
      </w:r>
    </w:p>
    <w:p w14:paraId="2B21D0FC" w14:textId="77777777" w:rsidR="006B7458" w:rsidRPr="00253FBF" w:rsidRDefault="006B7458" w:rsidP="00253FBF">
      <w:pPr>
        <w:numPr>
          <w:ilvl w:val="0"/>
          <w:numId w:val="5"/>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Adopt recyclable packaging and carbon offset partnerships.</w:t>
      </w:r>
    </w:p>
    <w:p w14:paraId="4B5B1422" w14:textId="77777777" w:rsidR="006B7458" w:rsidRPr="00253FBF" w:rsidRDefault="006B7458" w:rsidP="00253FBF">
      <w:pPr>
        <w:numPr>
          <w:ilvl w:val="0"/>
          <w:numId w:val="5"/>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Streamline inventory forecasting using digital dashboards.</w:t>
      </w:r>
    </w:p>
    <w:p w14:paraId="00204C39" w14:textId="77777777" w:rsidR="006B7458" w:rsidRPr="00253FBF" w:rsidRDefault="006B7458" w:rsidP="00253FBF">
      <w:pPr>
        <w:spacing w:before="100" w:beforeAutospacing="1" w:after="100" w:afterAutospacing="1" w:line="360" w:lineRule="auto"/>
        <w:divId w:val="1670478905"/>
        <w:rPr>
          <w:rFonts w:ascii="Arial" w:hAnsi="Arial" w:cs="Arial"/>
          <w:kern w:val="0"/>
          <w:sz w:val="22"/>
          <w:szCs w:val="22"/>
          <w14:ligatures w14:val="none"/>
        </w:rPr>
      </w:pPr>
    </w:p>
    <w:p w14:paraId="7218E173" w14:textId="77777777"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4. Brand Extension</w:t>
      </w:r>
    </w:p>
    <w:p w14:paraId="3F8DE234" w14:textId="77777777" w:rsidR="006B7458" w:rsidRPr="00253FBF" w:rsidRDefault="006B7458" w:rsidP="00253FBF">
      <w:pPr>
        <w:numPr>
          <w:ilvl w:val="0"/>
          <w:numId w:val="6"/>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Launch limited edition “Origin Reserve” coffee line.</w:t>
      </w:r>
    </w:p>
    <w:p w14:paraId="412BBC7B" w14:textId="77777777" w:rsidR="006B7458" w:rsidRPr="00253FBF" w:rsidRDefault="006B7458" w:rsidP="00253FBF">
      <w:pPr>
        <w:numPr>
          <w:ilvl w:val="0"/>
          <w:numId w:val="6"/>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Explore ready-to-drink (RTD) cold brew products.</w:t>
      </w:r>
    </w:p>
    <w:p w14:paraId="45EAA17C" w14:textId="77777777" w:rsidR="006B7458" w:rsidRPr="00253FBF" w:rsidRDefault="006B7458" w:rsidP="00253FBF">
      <w:pPr>
        <w:numPr>
          <w:ilvl w:val="0"/>
          <w:numId w:val="6"/>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Introduce branded brewing kits and reusable merchandise.</w:t>
      </w:r>
    </w:p>
    <w:p w14:paraId="5541F3FA" w14:textId="77777777" w:rsidR="006B7458" w:rsidRPr="00253FBF" w:rsidRDefault="006B7458" w:rsidP="00253FBF">
      <w:pPr>
        <w:spacing w:before="100" w:beforeAutospacing="1" w:after="100" w:afterAutospacing="1" w:line="360" w:lineRule="auto"/>
        <w:divId w:val="1670478905"/>
        <w:rPr>
          <w:rFonts w:ascii="Arial" w:hAnsi="Arial" w:cs="Arial"/>
          <w:kern w:val="0"/>
          <w:sz w:val="22"/>
          <w:szCs w:val="22"/>
          <w14:ligatures w14:val="none"/>
        </w:rPr>
      </w:pPr>
    </w:p>
    <w:p w14:paraId="6F81A423" w14:textId="77777777" w:rsidR="00BA1F33" w:rsidRDefault="00BA1F33"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p>
    <w:p w14:paraId="5E39A72B" w14:textId="77777777"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5. Governance and KPI Tracking</w:t>
      </w:r>
    </w:p>
    <w:p w14:paraId="64CF054B" w14:textId="77777777" w:rsidR="006B7458" w:rsidRPr="00253FBF" w:rsidRDefault="006B7458" w:rsidP="00253FBF">
      <w:pPr>
        <w:numPr>
          <w:ilvl w:val="0"/>
          <w:numId w:val="7"/>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Establish quarterly performance reviews.</w:t>
      </w:r>
    </w:p>
    <w:p w14:paraId="750B04EE" w14:textId="77777777" w:rsidR="006B7458" w:rsidRPr="00253FBF" w:rsidRDefault="006B7458" w:rsidP="00253FBF">
      <w:pPr>
        <w:numPr>
          <w:ilvl w:val="0"/>
          <w:numId w:val="7"/>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Key KPIs: Subscription growth %, Wholesale account retention, Average order value, Carbon footprint reduction %, Operating margin %.</w:t>
      </w:r>
    </w:p>
    <w:p w14:paraId="42C913E0" w14:textId="77777777" w:rsidR="006B7458" w:rsidRPr="00253FBF" w:rsidRDefault="006B7458" w:rsidP="00253FBF">
      <w:pPr>
        <w:numPr>
          <w:ilvl w:val="0"/>
          <w:numId w:val="7"/>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Adopt lightweight strategic scorecard.</w:t>
      </w:r>
    </w:p>
    <w:p w14:paraId="3D6E72F6" w14:textId="77777777" w:rsidR="00387CCE" w:rsidRDefault="00387CCE" w:rsidP="00DE5EA2">
      <w:pPr>
        <w:spacing w:before="100" w:beforeAutospacing="1" w:after="100" w:afterAutospacing="1" w:line="360" w:lineRule="auto"/>
        <w:outlineLvl w:val="2"/>
        <w:divId w:val="1670478905"/>
        <w:rPr>
          <w:rFonts w:ascii="Arial" w:eastAsia="Times New Roman" w:hAnsi="Arial" w:cs="Arial"/>
          <w:b/>
          <w:bCs/>
          <w:kern w:val="0"/>
          <w:sz w:val="22"/>
          <w:szCs w:val="22"/>
          <w14:ligatures w14:val="none"/>
        </w:rPr>
      </w:pPr>
    </w:p>
    <w:p w14:paraId="1586F19E" w14:textId="596A87A0" w:rsidR="006B7458" w:rsidRPr="00DE5EA2" w:rsidRDefault="0034040F" w:rsidP="0034040F">
      <w:pPr>
        <w:pStyle w:val="Heading1"/>
        <w:spacing w:line="360" w:lineRule="auto"/>
        <w:divId w:val="1670478905"/>
      </w:pPr>
      <w:r>
        <w:rPr>
          <w:noProof/>
        </w:rPr>
        <w:drawing>
          <wp:anchor distT="0" distB="0" distL="114300" distR="114300" simplePos="0" relativeHeight="251658252" behindDoc="0" locked="0" layoutInCell="1" allowOverlap="1" wp14:anchorId="5845C8C1" wp14:editId="7F066E63">
            <wp:simplePos x="0" y="0"/>
            <wp:positionH relativeFrom="page">
              <wp:posOffset>431597</wp:posOffset>
            </wp:positionH>
            <wp:positionV relativeFrom="paragraph">
              <wp:posOffset>783158</wp:posOffset>
            </wp:positionV>
            <wp:extent cx="6576060" cy="8075981"/>
            <wp:effectExtent l="0" t="0" r="0" b="1270"/>
            <wp:wrapTopAndBottom/>
            <wp:docPr id="817962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62315" name=""/>
                    <pic:cNvPicPr/>
                  </pic:nvPicPr>
                  <pic:blipFill>
                    <a:blip r:embed="rId20"/>
                    <a:stretch>
                      <a:fillRect/>
                    </a:stretch>
                  </pic:blipFill>
                  <pic:spPr>
                    <a:xfrm>
                      <a:off x="0" y="0"/>
                      <a:ext cx="6576060" cy="8075981"/>
                    </a:xfrm>
                    <a:prstGeom prst="rect">
                      <a:avLst/>
                    </a:prstGeom>
                  </pic:spPr>
                </pic:pic>
              </a:graphicData>
            </a:graphic>
            <wp14:sizeRelH relativeFrom="margin">
              <wp14:pctWidth>0</wp14:pctWidth>
            </wp14:sizeRelH>
            <wp14:sizeRelV relativeFrom="margin">
              <wp14:pctHeight>0</wp14:pctHeight>
            </wp14:sizeRelV>
          </wp:anchor>
        </w:drawing>
      </w:r>
      <w:r w:rsidR="006B7458" w:rsidRPr="00253FBF">
        <w:rPr>
          <w:rFonts w:eastAsia="Times New Roman"/>
        </w:rPr>
        <w:t xml:space="preserve">7.2 Implementation </w:t>
      </w:r>
      <w:r w:rsidR="00200B01">
        <w:rPr>
          <w:rFonts w:eastAsia="Times New Roman"/>
        </w:rPr>
        <w:t xml:space="preserve">Timeline </w:t>
      </w:r>
    </w:p>
    <w:p w14:paraId="74EFE8A0" w14:textId="3A7FF1C3" w:rsidR="006B7458" w:rsidRPr="003D633B" w:rsidRDefault="006B7458" w:rsidP="0040098D">
      <w:pPr>
        <w:pStyle w:val="Heading1"/>
        <w:spacing w:line="360" w:lineRule="auto"/>
        <w:divId w:val="1670478905"/>
        <w:rPr>
          <w:b/>
        </w:rPr>
      </w:pPr>
      <w:r w:rsidRPr="00253FBF">
        <w:t>Table 7.2 – Two-Year Strategic Implementation Plan</w:t>
      </w:r>
    </w:p>
    <w:p w14:paraId="320B9496" w14:textId="00D2D1AD" w:rsidR="003D633B" w:rsidRDefault="003D633B" w:rsidP="00253FBF">
      <w:pPr>
        <w:pStyle w:val="p1"/>
        <w:spacing w:line="360" w:lineRule="auto"/>
        <w:divId w:val="2099668231"/>
        <w:rPr>
          <w:rStyle w:val="s1"/>
          <w:rFonts w:ascii="Arial" w:hAnsi="Arial" w:cs="Arial"/>
          <w:b/>
          <w:bCs/>
          <w:sz w:val="22"/>
          <w:szCs w:val="22"/>
        </w:rPr>
      </w:pPr>
    </w:p>
    <w:p w14:paraId="22DCD5FE" w14:textId="77777777" w:rsidR="00F82AFD" w:rsidRDefault="007C696B" w:rsidP="00F82AFD">
      <w:pPr>
        <w:pStyle w:val="p1"/>
        <w:spacing w:line="360" w:lineRule="auto"/>
        <w:divId w:val="2099668231"/>
        <w:rPr>
          <w:rStyle w:val="s1"/>
          <w:rFonts w:ascii="Arial" w:hAnsi="Arial" w:cs="Arial"/>
          <w:b/>
          <w:bCs/>
          <w:sz w:val="22"/>
          <w:szCs w:val="22"/>
        </w:rPr>
      </w:pPr>
      <w:r>
        <w:rPr>
          <w:noProof/>
        </w:rPr>
        <w:drawing>
          <wp:anchor distT="0" distB="0" distL="114300" distR="114300" simplePos="0" relativeHeight="251658253" behindDoc="0" locked="0" layoutInCell="1" allowOverlap="1" wp14:anchorId="70CA8FCA" wp14:editId="378831E2">
            <wp:simplePos x="0" y="0"/>
            <wp:positionH relativeFrom="column">
              <wp:posOffset>-504825</wp:posOffset>
            </wp:positionH>
            <wp:positionV relativeFrom="paragraph">
              <wp:posOffset>430530</wp:posOffset>
            </wp:positionV>
            <wp:extent cx="6802755" cy="7278370"/>
            <wp:effectExtent l="0" t="0" r="0" b="0"/>
            <wp:wrapTopAndBottom/>
            <wp:docPr id="102542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422282" name=""/>
                    <pic:cNvPicPr/>
                  </pic:nvPicPr>
                  <pic:blipFill>
                    <a:blip r:embed="rId21"/>
                    <a:stretch>
                      <a:fillRect/>
                    </a:stretch>
                  </pic:blipFill>
                  <pic:spPr>
                    <a:xfrm>
                      <a:off x="0" y="0"/>
                      <a:ext cx="6802755" cy="7278370"/>
                    </a:xfrm>
                    <a:prstGeom prst="rect">
                      <a:avLst/>
                    </a:prstGeom>
                  </pic:spPr>
                </pic:pic>
              </a:graphicData>
            </a:graphic>
            <wp14:sizeRelH relativeFrom="margin">
              <wp14:pctWidth>0</wp14:pctWidth>
            </wp14:sizeRelH>
            <wp14:sizeRelV relativeFrom="margin">
              <wp14:pctHeight>0</wp14:pctHeight>
            </wp14:sizeRelV>
          </wp:anchor>
        </w:drawing>
      </w:r>
      <w:r w:rsidR="009D7EDB" w:rsidRPr="00250F62">
        <w:rPr>
          <w:rStyle w:val="s1"/>
          <w:rFonts w:ascii="Arial" w:hAnsi="Arial" w:cs="Arial"/>
          <w:b/>
          <w:bCs/>
          <w:sz w:val="22"/>
          <w:szCs w:val="22"/>
        </w:rPr>
        <w:t>Chart 2 – Implementation Gantt-Style Overview</w:t>
      </w:r>
    </w:p>
    <w:p w14:paraId="66EE002E" w14:textId="5B2E8623" w:rsidR="00932179" w:rsidRPr="0040098D" w:rsidRDefault="008D041F" w:rsidP="00F82AFD">
      <w:pPr>
        <w:pStyle w:val="p1"/>
        <w:spacing w:line="360" w:lineRule="auto"/>
        <w:divId w:val="2099668231"/>
        <w:rPr>
          <w:rFonts w:ascii="Arial" w:hAnsi="Arial" w:cs="Arial"/>
          <w:b/>
          <w:sz w:val="22"/>
          <w:szCs w:val="22"/>
        </w:rPr>
      </w:pPr>
      <w:r>
        <w:rPr>
          <w:noProof/>
        </w:rPr>
        <w:drawing>
          <wp:anchor distT="0" distB="0" distL="114300" distR="114300" simplePos="0" relativeHeight="251658244" behindDoc="0" locked="0" layoutInCell="1" allowOverlap="1" wp14:anchorId="6239BB1E" wp14:editId="64A3E7A3">
            <wp:simplePos x="0" y="0"/>
            <wp:positionH relativeFrom="page">
              <wp:posOffset>394970</wp:posOffset>
            </wp:positionH>
            <wp:positionV relativeFrom="paragraph">
              <wp:posOffset>401955</wp:posOffset>
            </wp:positionV>
            <wp:extent cx="6509385" cy="3606165"/>
            <wp:effectExtent l="0" t="0" r="5715" b="0"/>
            <wp:wrapTopAndBottom/>
            <wp:docPr id="54614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47736" name=""/>
                    <pic:cNvPicPr/>
                  </pic:nvPicPr>
                  <pic:blipFill>
                    <a:blip r:embed="rId22"/>
                    <a:stretch>
                      <a:fillRect/>
                    </a:stretch>
                  </pic:blipFill>
                  <pic:spPr>
                    <a:xfrm>
                      <a:off x="0" y="0"/>
                      <a:ext cx="6509385" cy="3606165"/>
                    </a:xfrm>
                    <a:prstGeom prst="rect">
                      <a:avLst/>
                    </a:prstGeom>
                  </pic:spPr>
                </pic:pic>
              </a:graphicData>
            </a:graphic>
            <wp14:sizeRelH relativeFrom="margin">
              <wp14:pctWidth>0</wp14:pctWidth>
            </wp14:sizeRelH>
            <wp14:sizeRelV relativeFrom="margin">
              <wp14:pctHeight>0</wp14:pctHeight>
            </wp14:sizeRelV>
          </wp:anchor>
        </w:drawing>
      </w:r>
      <w:r w:rsidR="00932179" w:rsidRPr="00253FBF">
        <w:rPr>
          <w:rFonts w:ascii="Arial" w:eastAsia="Times New Roman" w:hAnsi="Arial" w:cs="Arial"/>
          <w:b/>
          <w:bCs/>
          <w:sz w:val="22"/>
          <w:szCs w:val="22"/>
        </w:rPr>
        <w:t>7.3 Addressing SME Implementation Challenges</w:t>
      </w:r>
    </w:p>
    <w:p w14:paraId="32AA2224" w14:textId="77777777" w:rsidR="00561D42" w:rsidRDefault="00561D42" w:rsidP="00253FBF">
      <w:pPr>
        <w:spacing w:before="100" w:beforeAutospacing="1" w:after="100" w:afterAutospacing="1" w:line="360" w:lineRule="auto"/>
        <w:outlineLvl w:val="2"/>
        <w:divId w:val="1473787738"/>
        <w:rPr>
          <w:rFonts w:ascii="Arial" w:eastAsia="Times New Roman" w:hAnsi="Arial" w:cs="Arial"/>
          <w:b/>
          <w:bCs/>
          <w:kern w:val="0"/>
          <w:sz w:val="22"/>
          <w:szCs w:val="22"/>
          <w14:ligatures w14:val="none"/>
        </w:rPr>
      </w:pPr>
    </w:p>
    <w:p w14:paraId="0DCC44BB" w14:textId="77777777" w:rsidR="00ED2CFD" w:rsidRDefault="00D105CB" w:rsidP="00ED2CFD">
      <w:pPr>
        <w:pStyle w:val="p1"/>
        <w:spacing w:line="360" w:lineRule="auto"/>
        <w:divId w:val="2043703704"/>
        <w:rPr>
          <w:rStyle w:val="s2"/>
          <w:rFonts w:ascii="Arial" w:hAnsi="Arial" w:cs="Arial"/>
          <w:sz w:val="22"/>
          <w:szCs w:val="22"/>
        </w:rPr>
      </w:pPr>
      <w:r w:rsidRPr="00253FBF">
        <w:rPr>
          <w:rStyle w:val="s1"/>
          <w:rFonts w:ascii="Arial" w:hAnsi="Arial" w:cs="Arial"/>
          <w:sz w:val="22"/>
          <w:szCs w:val="22"/>
        </w:rPr>
        <w:t>SME Reality:</w:t>
      </w:r>
      <w:r w:rsidRPr="00253FBF">
        <w:rPr>
          <w:rStyle w:val="s2"/>
          <w:rFonts w:ascii="Arial" w:hAnsi="Arial" w:cs="Arial"/>
          <w:sz w:val="22"/>
          <w:szCs w:val="22"/>
        </w:rPr>
        <w:t xml:space="preserve"> Strategic implementation </w:t>
      </w:r>
      <w:bookmarkStart w:id="25" w:name="_Int_3FZ5ikNq"/>
      <w:r w:rsidRPr="00253FBF">
        <w:rPr>
          <w:rStyle w:val="s2"/>
          <w:rFonts w:ascii="Arial" w:hAnsi="Arial" w:cs="Arial"/>
          <w:sz w:val="22"/>
          <w:szCs w:val="22"/>
        </w:rPr>
        <w:t>is constrained</w:t>
      </w:r>
      <w:bookmarkEnd w:id="25"/>
      <w:r w:rsidRPr="00253FBF">
        <w:rPr>
          <w:rStyle w:val="s2"/>
          <w:rFonts w:ascii="Arial" w:hAnsi="Arial" w:cs="Arial"/>
          <w:sz w:val="22"/>
          <w:szCs w:val="22"/>
        </w:rPr>
        <w:t xml:space="preserve"> by capacity, yet QHC can exploit agility, flexibility, and niche focus to outperform larger but less adaptive rivals (ACCA, 2024).</w:t>
      </w:r>
    </w:p>
    <w:p w14:paraId="5A5E7DD7" w14:textId="77777777" w:rsidR="0040098D" w:rsidRDefault="0040098D" w:rsidP="00ED2CFD">
      <w:pPr>
        <w:pStyle w:val="Heading1"/>
        <w:divId w:val="2043703704"/>
        <w:rPr>
          <w:rFonts w:eastAsia="Times New Roman"/>
        </w:rPr>
      </w:pPr>
    </w:p>
    <w:p w14:paraId="28A2D8A4" w14:textId="77777777" w:rsidR="0040098D" w:rsidRDefault="0040098D" w:rsidP="00ED2CFD">
      <w:pPr>
        <w:pStyle w:val="Heading1"/>
        <w:divId w:val="2043703704"/>
        <w:rPr>
          <w:rFonts w:eastAsia="Times New Roman"/>
        </w:rPr>
      </w:pPr>
    </w:p>
    <w:p w14:paraId="4F314BCD" w14:textId="77777777" w:rsidR="0040098D" w:rsidRDefault="0040098D" w:rsidP="00ED2CFD">
      <w:pPr>
        <w:pStyle w:val="Heading1"/>
        <w:divId w:val="2043703704"/>
        <w:rPr>
          <w:rFonts w:eastAsia="Times New Roman"/>
        </w:rPr>
      </w:pPr>
    </w:p>
    <w:p w14:paraId="79D6AE48" w14:textId="77777777" w:rsidR="0040098D" w:rsidRDefault="0040098D" w:rsidP="00ED2CFD">
      <w:pPr>
        <w:pStyle w:val="Heading1"/>
        <w:divId w:val="2043703704"/>
        <w:rPr>
          <w:rFonts w:eastAsia="Times New Roman"/>
        </w:rPr>
      </w:pPr>
    </w:p>
    <w:p w14:paraId="73B16753" w14:textId="77777777" w:rsidR="0040098D" w:rsidRDefault="0040098D" w:rsidP="00ED2CFD">
      <w:pPr>
        <w:pStyle w:val="Heading1"/>
        <w:divId w:val="2043703704"/>
        <w:rPr>
          <w:rFonts w:eastAsia="Times New Roman"/>
        </w:rPr>
      </w:pPr>
    </w:p>
    <w:p w14:paraId="4E8008F1" w14:textId="77777777" w:rsidR="002306F0" w:rsidRDefault="002306F0" w:rsidP="002306F0">
      <w:pPr>
        <w:divId w:val="2043703704"/>
        <w:rPr>
          <w:rFonts w:eastAsia="Times New Roman"/>
        </w:rPr>
      </w:pPr>
    </w:p>
    <w:p w14:paraId="629BBE60" w14:textId="77777777" w:rsidR="002306F0" w:rsidRDefault="002306F0" w:rsidP="002306F0">
      <w:pPr>
        <w:divId w:val="2043703704"/>
        <w:rPr>
          <w:rFonts w:eastAsia="Times New Roman"/>
        </w:rPr>
      </w:pPr>
    </w:p>
    <w:p w14:paraId="209A4F9A" w14:textId="0BE356A6" w:rsidR="00356248" w:rsidRPr="00ED2CFD" w:rsidRDefault="00356248" w:rsidP="00E030AE">
      <w:pPr>
        <w:pStyle w:val="Heading1"/>
        <w:spacing w:line="360" w:lineRule="auto"/>
        <w:divId w:val="2043703704"/>
        <w:rPr>
          <w:rFonts w:ascii="Arial" w:eastAsiaTheme="minorEastAsia" w:hAnsi="Arial" w:cs="Arial"/>
          <w:sz w:val="22"/>
          <w:szCs w:val="22"/>
        </w:rPr>
      </w:pPr>
      <w:r w:rsidRPr="00253FBF">
        <w:rPr>
          <w:rFonts w:eastAsia="Times New Roman"/>
        </w:rPr>
        <w:t>8. Conclusion</w:t>
      </w:r>
    </w:p>
    <w:p w14:paraId="239FF2E2" w14:textId="77777777" w:rsidR="00184A60" w:rsidRPr="00F31078" w:rsidRDefault="00184A60" w:rsidP="00F31078">
      <w:pPr>
        <w:pStyle w:val="p1"/>
        <w:spacing w:line="360" w:lineRule="auto"/>
        <w:divId w:val="136651144"/>
        <w:rPr>
          <w:rFonts w:ascii="Arial" w:hAnsi="Arial" w:cs="Arial"/>
          <w:sz w:val="22"/>
          <w:szCs w:val="22"/>
        </w:rPr>
      </w:pPr>
      <w:r w:rsidRPr="00F31078">
        <w:rPr>
          <w:rStyle w:val="s1"/>
          <w:rFonts w:ascii="Arial" w:hAnsi="Arial" w:cs="Arial"/>
          <w:sz w:val="22"/>
          <w:szCs w:val="22"/>
        </w:rPr>
        <w:t xml:space="preserve">Quarter Horse Coffee (QHC) has successfully </w:t>
      </w:r>
      <w:bookmarkStart w:id="26" w:name="_Int_29s89Q5E"/>
      <w:r w:rsidRPr="00F31078">
        <w:rPr>
          <w:rStyle w:val="s1"/>
          <w:rFonts w:ascii="Arial" w:hAnsi="Arial" w:cs="Arial"/>
          <w:sz w:val="22"/>
          <w:szCs w:val="22"/>
        </w:rPr>
        <w:t>established</w:t>
      </w:r>
      <w:bookmarkEnd w:id="26"/>
      <w:r w:rsidRPr="00F31078">
        <w:rPr>
          <w:rStyle w:val="s1"/>
          <w:rFonts w:ascii="Arial" w:hAnsi="Arial" w:cs="Arial"/>
          <w:sz w:val="22"/>
          <w:szCs w:val="22"/>
        </w:rPr>
        <w:t xml:space="preserve"> itself as a cornerstone of Birmingham’s independent coffee scene, distinguished by its commitment to ethical sourcing, small-batch roasting, and premium customer experience. Its strong local identity, vertically integrated operations, and sustainability ethos provide a sound foundation for future strategic development. However, as the UK specialty coffee industry becomes increasingly saturated and price-sensitive, QHC must adapt its strategy to ensure continued relevance and profitability (Enterprise Research Centre, 2023).</w:t>
      </w:r>
    </w:p>
    <w:p w14:paraId="4A3597D3" w14:textId="77777777" w:rsidR="00184A60" w:rsidRPr="00F31078" w:rsidRDefault="00184A60" w:rsidP="00F31078">
      <w:pPr>
        <w:pStyle w:val="p2"/>
        <w:spacing w:line="360" w:lineRule="auto"/>
        <w:divId w:val="136651144"/>
        <w:rPr>
          <w:rFonts w:ascii="Arial" w:hAnsi="Arial" w:cs="Arial"/>
          <w:sz w:val="22"/>
          <w:szCs w:val="22"/>
        </w:rPr>
      </w:pPr>
    </w:p>
    <w:p w14:paraId="050E5DAF" w14:textId="77777777" w:rsidR="00184A60" w:rsidRPr="00F31078" w:rsidRDefault="00184A60" w:rsidP="00F31078">
      <w:pPr>
        <w:pStyle w:val="p1"/>
        <w:spacing w:line="360" w:lineRule="auto"/>
        <w:divId w:val="136651144"/>
        <w:rPr>
          <w:rFonts w:ascii="Arial" w:hAnsi="Arial" w:cs="Arial"/>
          <w:sz w:val="22"/>
          <w:szCs w:val="22"/>
        </w:rPr>
      </w:pPr>
      <w:r w:rsidRPr="00F31078">
        <w:rPr>
          <w:rStyle w:val="s1"/>
          <w:rFonts w:ascii="Arial" w:hAnsi="Arial" w:cs="Arial"/>
          <w:sz w:val="22"/>
          <w:szCs w:val="22"/>
        </w:rPr>
        <w:t xml:space="preserve">The analysis throughout this report </w:t>
      </w:r>
      <w:bookmarkStart w:id="27" w:name="_Int_LTVORcZp"/>
      <w:r w:rsidRPr="00F31078">
        <w:rPr>
          <w:rStyle w:val="s1"/>
          <w:rFonts w:ascii="Arial" w:hAnsi="Arial" w:cs="Arial"/>
          <w:sz w:val="22"/>
          <w:szCs w:val="22"/>
        </w:rPr>
        <w:t>demonstrates</w:t>
      </w:r>
      <w:bookmarkEnd w:id="27"/>
      <w:r w:rsidRPr="00F31078">
        <w:rPr>
          <w:rStyle w:val="s1"/>
          <w:rFonts w:ascii="Arial" w:hAnsi="Arial" w:cs="Arial"/>
          <w:sz w:val="22"/>
          <w:szCs w:val="22"/>
        </w:rPr>
        <w:t xml:space="preserve"> that </w:t>
      </w:r>
      <w:r w:rsidRPr="00F31078">
        <w:rPr>
          <w:rStyle w:val="s2"/>
          <w:rFonts w:ascii="Arial" w:hAnsi="Arial" w:cs="Arial"/>
          <w:sz w:val="22"/>
          <w:szCs w:val="22"/>
        </w:rPr>
        <w:t>sustainable growth for QHC lies in pursuing a focused differentiation strategy</w:t>
      </w:r>
      <w:r w:rsidRPr="00F31078">
        <w:rPr>
          <w:rStyle w:val="s1"/>
          <w:rFonts w:ascii="Arial" w:hAnsi="Arial" w:cs="Arial"/>
          <w:sz w:val="22"/>
          <w:szCs w:val="22"/>
        </w:rPr>
        <w:t xml:space="preserve">, anchored in quality, ethical sourcing, and innovation. Strategic investment in </w:t>
      </w:r>
      <w:r w:rsidRPr="00F31078">
        <w:rPr>
          <w:rStyle w:val="s2"/>
          <w:rFonts w:ascii="Arial" w:hAnsi="Arial" w:cs="Arial"/>
          <w:sz w:val="22"/>
          <w:szCs w:val="22"/>
        </w:rPr>
        <w:t>digital platforms</w:t>
      </w:r>
      <w:r w:rsidRPr="00F31078">
        <w:rPr>
          <w:rStyle w:val="s1"/>
          <w:rFonts w:ascii="Arial" w:hAnsi="Arial" w:cs="Arial"/>
          <w:sz w:val="22"/>
          <w:szCs w:val="22"/>
        </w:rPr>
        <w:t xml:space="preserve">—particularly subscription management systems and e-commerce marketing—can enhance recurring revenue streams and strengthen direct customer relationships (ACCA, 2024). Similarly, expansion of the </w:t>
      </w:r>
      <w:r w:rsidRPr="00F31078">
        <w:rPr>
          <w:rStyle w:val="s2"/>
          <w:rFonts w:ascii="Arial" w:hAnsi="Arial" w:cs="Arial"/>
          <w:sz w:val="22"/>
          <w:szCs w:val="22"/>
        </w:rPr>
        <w:t>regional wholesale network</w:t>
      </w:r>
      <w:r w:rsidRPr="00F31078">
        <w:rPr>
          <w:rStyle w:val="s1"/>
          <w:rFonts w:ascii="Arial" w:hAnsi="Arial" w:cs="Arial"/>
          <w:sz w:val="22"/>
          <w:szCs w:val="22"/>
        </w:rPr>
        <w:t xml:space="preserve"> </w:t>
      </w:r>
      <w:bookmarkStart w:id="28" w:name="_Int_UzzXvs7f"/>
      <w:r w:rsidRPr="00F31078">
        <w:rPr>
          <w:rStyle w:val="s1"/>
          <w:rFonts w:ascii="Arial" w:hAnsi="Arial" w:cs="Arial"/>
          <w:sz w:val="22"/>
          <w:szCs w:val="22"/>
        </w:rPr>
        <w:t>represents</w:t>
      </w:r>
      <w:bookmarkEnd w:id="28"/>
      <w:r w:rsidRPr="00F31078">
        <w:rPr>
          <w:rStyle w:val="s1"/>
          <w:rFonts w:ascii="Arial" w:hAnsi="Arial" w:cs="Arial"/>
          <w:sz w:val="22"/>
          <w:szCs w:val="22"/>
        </w:rPr>
        <w:t xml:space="preserve"> an opportunity to diversify income and achieve economies of scale without diluting the brand’s artisanal appeal.</w:t>
      </w:r>
    </w:p>
    <w:p w14:paraId="132CC8DC" w14:textId="77777777" w:rsidR="00184A60" w:rsidRPr="00F31078" w:rsidRDefault="00184A60" w:rsidP="00F31078">
      <w:pPr>
        <w:pStyle w:val="p2"/>
        <w:spacing w:line="360" w:lineRule="auto"/>
        <w:divId w:val="136651144"/>
        <w:rPr>
          <w:rFonts w:ascii="Arial" w:hAnsi="Arial" w:cs="Arial"/>
          <w:sz w:val="22"/>
          <w:szCs w:val="22"/>
        </w:rPr>
      </w:pPr>
    </w:p>
    <w:p w14:paraId="3433A0A3" w14:textId="1C6CD481" w:rsidR="00522B76" w:rsidRDefault="00184A60" w:rsidP="00E030AE">
      <w:pPr>
        <w:pStyle w:val="p1"/>
        <w:spacing w:after="0" w:afterAutospacing="0" w:line="360" w:lineRule="auto"/>
        <w:divId w:val="136651144"/>
        <w:rPr>
          <w:rStyle w:val="s1"/>
          <w:rFonts w:ascii="Arial" w:hAnsi="Arial" w:cs="Arial"/>
          <w:sz w:val="22"/>
          <w:szCs w:val="22"/>
        </w:rPr>
      </w:pPr>
      <w:r w:rsidRPr="00F31078">
        <w:rPr>
          <w:rStyle w:val="s1"/>
          <w:rFonts w:ascii="Arial" w:hAnsi="Arial" w:cs="Arial"/>
          <w:sz w:val="22"/>
          <w:szCs w:val="22"/>
        </w:rPr>
        <w:t xml:space="preserve">Embedding </w:t>
      </w:r>
      <w:r w:rsidRPr="00F31078">
        <w:rPr>
          <w:rStyle w:val="s2"/>
          <w:rFonts w:ascii="Arial" w:hAnsi="Arial" w:cs="Arial"/>
          <w:sz w:val="22"/>
          <w:szCs w:val="22"/>
        </w:rPr>
        <w:t>governance structures, KPI frameworks, and performance monitoring</w:t>
      </w:r>
      <w:r w:rsidRPr="00F31078">
        <w:rPr>
          <w:rStyle w:val="s1"/>
          <w:rFonts w:ascii="Arial" w:hAnsi="Arial" w:cs="Arial"/>
          <w:sz w:val="22"/>
          <w:szCs w:val="22"/>
        </w:rPr>
        <w:t xml:space="preserve"> will enable QHC to transition from intuitive, founder-driven management to a more data-driven and accountable model (Ates and Bititci, 2017). Furthermore, its emphasis on </w:t>
      </w:r>
      <w:r w:rsidRPr="00F31078">
        <w:rPr>
          <w:rStyle w:val="s2"/>
          <w:rFonts w:ascii="Arial" w:hAnsi="Arial" w:cs="Arial"/>
          <w:sz w:val="22"/>
          <w:szCs w:val="22"/>
        </w:rPr>
        <w:t>sustainability</w:t>
      </w:r>
      <w:r w:rsidRPr="00F31078">
        <w:rPr>
          <w:rStyle w:val="s1"/>
          <w:rFonts w:ascii="Arial" w:hAnsi="Arial" w:cs="Arial"/>
          <w:sz w:val="22"/>
          <w:szCs w:val="22"/>
        </w:rPr>
        <w:t xml:space="preserve">—through eco-friendly roasting equipment, recyclable packaging, and long-term producer relationships—aligns with growing environmental and social expectations among UK consumers (Kindström, 2024).To maintain its competitive edge, QHC should continue to invest in employee development, supplier partnerships, and customer engagement. Collaboration with local independent cafés and community initiatives could further reinforce brand authenticity and social value. </w:t>
      </w:r>
      <w:r w:rsidR="008E4947" w:rsidRPr="00F31078">
        <w:rPr>
          <w:rStyle w:val="s1"/>
          <w:rFonts w:ascii="Arial" w:hAnsi="Arial" w:cs="Arial"/>
          <w:sz w:val="22"/>
          <w:szCs w:val="22"/>
        </w:rPr>
        <w:t>By</w:t>
      </w:r>
      <w:r w:rsidRPr="00F31078">
        <w:rPr>
          <w:rStyle w:val="s1"/>
          <w:rFonts w:ascii="Arial" w:hAnsi="Arial" w:cs="Arial"/>
          <w:sz w:val="22"/>
          <w:szCs w:val="22"/>
        </w:rPr>
        <w:t xml:space="preserve"> blending </w:t>
      </w:r>
      <w:r w:rsidRPr="00F31078">
        <w:rPr>
          <w:rStyle w:val="s2"/>
          <w:rFonts w:ascii="Arial" w:hAnsi="Arial" w:cs="Arial"/>
          <w:sz w:val="22"/>
          <w:szCs w:val="22"/>
        </w:rPr>
        <w:t>craft tradition with operational scalability and digital innovation</w:t>
      </w:r>
      <w:r w:rsidRPr="00F31078">
        <w:rPr>
          <w:rStyle w:val="s1"/>
          <w:rFonts w:ascii="Arial" w:hAnsi="Arial" w:cs="Arial"/>
          <w:sz w:val="22"/>
          <w:szCs w:val="22"/>
        </w:rPr>
        <w:t>, QHC can evolve from a respected local roaster into a nationally recognised specialty coffee brand. This</w:t>
      </w:r>
    </w:p>
    <w:p w14:paraId="23758EFB" w14:textId="04EA866C" w:rsidR="00EE5B9D" w:rsidRDefault="00184A60" w:rsidP="00E030AE">
      <w:pPr>
        <w:pStyle w:val="p1"/>
        <w:spacing w:line="360" w:lineRule="auto"/>
        <w:divId w:val="136651144"/>
        <w:rPr>
          <w:rStyle w:val="s1"/>
          <w:rFonts w:ascii="Arial" w:hAnsi="Arial" w:cs="Arial"/>
          <w:sz w:val="22"/>
          <w:szCs w:val="22"/>
        </w:rPr>
      </w:pPr>
      <w:r w:rsidRPr="00F31078">
        <w:rPr>
          <w:rStyle w:val="s1"/>
          <w:rFonts w:ascii="Arial" w:hAnsi="Arial" w:cs="Arial"/>
          <w:sz w:val="22"/>
          <w:szCs w:val="22"/>
        </w:rPr>
        <w:t>transformation, if executed with discipline and stakeholder alignment, will ensure that QHC sustains both its profitability and its integrity within an increasingly dynamic and competitive marketplace.</w:t>
      </w:r>
    </w:p>
    <w:p w14:paraId="33D6BA46" w14:textId="4A5B165B" w:rsidR="0074799E" w:rsidRDefault="00E94590" w:rsidP="00EE5B9D">
      <w:pPr>
        <w:pStyle w:val="Heading1"/>
        <w:divId w:val="136651144"/>
        <w:rPr>
          <w:rFonts w:eastAsia="Times New Roman"/>
        </w:rPr>
      </w:pPr>
      <w:r w:rsidRPr="00253FBF">
        <w:rPr>
          <w:rFonts w:eastAsia="Times New Roman"/>
        </w:rPr>
        <w:t>References</w:t>
      </w:r>
    </w:p>
    <w:p w14:paraId="17FCBF4A" w14:textId="77777777" w:rsidR="00895616" w:rsidRDefault="00895616" w:rsidP="005D2D9D">
      <w:pPr>
        <w:divId w:val="136651144"/>
      </w:pPr>
    </w:p>
    <w:p w14:paraId="20CB9388" w14:textId="06557882" w:rsidR="005D2D9D" w:rsidRPr="00895616" w:rsidRDefault="005D2D9D" w:rsidP="005D2D9D">
      <w:pPr>
        <w:divId w:val="136651144"/>
        <w:rPr>
          <w:rFonts w:ascii="Arial" w:hAnsi="Arial" w:cs="Arial"/>
          <w:sz w:val="22"/>
          <w:szCs w:val="22"/>
        </w:rPr>
      </w:pPr>
      <w:r w:rsidRPr="00895616">
        <w:rPr>
          <w:rFonts w:ascii="Arial" w:hAnsi="Arial" w:cs="Arial"/>
          <w:sz w:val="22"/>
          <w:szCs w:val="22"/>
        </w:rPr>
        <w:t>ACCA (2024) SMEs: Business challenges and strategic responses. ACCA Professional Insights. Available at: https://www.accaglobal.com [Accessed 11 November 2025].</w:t>
      </w:r>
    </w:p>
    <w:p w14:paraId="3CE79F53" w14:textId="77777777" w:rsidR="005D2D9D" w:rsidRPr="00895616" w:rsidRDefault="005D2D9D" w:rsidP="005D2D9D">
      <w:pPr>
        <w:divId w:val="136651144"/>
        <w:rPr>
          <w:rFonts w:ascii="Arial" w:hAnsi="Arial" w:cs="Arial"/>
          <w:sz w:val="22"/>
          <w:szCs w:val="22"/>
        </w:rPr>
      </w:pPr>
    </w:p>
    <w:p w14:paraId="1CD8019B" w14:textId="77777777" w:rsidR="005D2D9D" w:rsidRPr="00895616" w:rsidRDefault="005D2D9D" w:rsidP="005D2D9D">
      <w:pPr>
        <w:divId w:val="136651144"/>
        <w:rPr>
          <w:rFonts w:ascii="Arial" w:hAnsi="Arial" w:cs="Arial"/>
          <w:sz w:val="22"/>
          <w:szCs w:val="22"/>
        </w:rPr>
      </w:pPr>
      <w:proofErr w:type="spellStart"/>
      <w:r w:rsidRPr="00895616">
        <w:rPr>
          <w:rFonts w:ascii="Arial" w:hAnsi="Arial" w:cs="Arial"/>
          <w:sz w:val="22"/>
          <w:szCs w:val="22"/>
        </w:rPr>
        <w:t>Alamsyah</w:t>
      </w:r>
      <w:proofErr w:type="spellEnd"/>
      <w:r w:rsidRPr="00895616">
        <w:rPr>
          <w:rFonts w:ascii="Arial" w:hAnsi="Arial" w:cs="Arial"/>
          <w:sz w:val="22"/>
          <w:szCs w:val="22"/>
        </w:rPr>
        <w:t xml:space="preserve">, A. (2023) ‘Blockchain traceability model in the coffee industry’, </w:t>
      </w:r>
      <w:proofErr w:type="spellStart"/>
      <w:r w:rsidRPr="00895616">
        <w:rPr>
          <w:rFonts w:ascii="Arial" w:hAnsi="Arial" w:cs="Arial"/>
          <w:sz w:val="22"/>
          <w:szCs w:val="22"/>
        </w:rPr>
        <w:t>Heliyon</w:t>
      </w:r>
      <w:proofErr w:type="spellEnd"/>
      <w:r w:rsidRPr="00895616">
        <w:rPr>
          <w:rFonts w:ascii="Arial" w:hAnsi="Arial" w:cs="Arial"/>
          <w:sz w:val="22"/>
          <w:szCs w:val="22"/>
        </w:rPr>
        <w:t>, 9(4), e14915.</w:t>
      </w:r>
    </w:p>
    <w:p w14:paraId="25C2519B" w14:textId="77777777" w:rsidR="005D2D9D" w:rsidRPr="00895616" w:rsidRDefault="005D2D9D" w:rsidP="005D2D9D">
      <w:pPr>
        <w:divId w:val="136651144"/>
        <w:rPr>
          <w:rFonts w:ascii="Arial" w:hAnsi="Arial" w:cs="Arial"/>
          <w:sz w:val="22"/>
          <w:szCs w:val="22"/>
        </w:rPr>
      </w:pPr>
    </w:p>
    <w:p w14:paraId="2AC166ED" w14:textId="77777777" w:rsidR="005D2D9D" w:rsidRPr="00895616" w:rsidRDefault="005D2D9D" w:rsidP="005D2D9D">
      <w:pPr>
        <w:divId w:val="136651144"/>
        <w:rPr>
          <w:rFonts w:ascii="Arial" w:hAnsi="Arial" w:cs="Arial"/>
          <w:sz w:val="22"/>
          <w:szCs w:val="22"/>
        </w:rPr>
      </w:pPr>
      <w:proofErr w:type="spellStart"/>
      <w:r w:rsidRPr="00895616">
        <w:rPr>
          <w:rFonts w:ascii="Arial" w:hAnsi="Arial" w:cs="Arial"/>
          <w:sz w:val="22"/>
          <w:szCs w:val="22"/>
        </w:rPr>
        <w:t>Ansoff</w:t>
      </w:r>
      <w:proofErr w:type="spellEnd"/>
      <w:r w:rsidRPr="00895616">
        <w:rPr>
          <w:rFonts w:ascii="Arial" w:hAnsi="Arial" w:cs="Arial"/>
          <w:sz w:val="22"/>
          <w:szCs w:val="22"/>
        </w:rPr>
        <w:t>, H.I. (1957) ‘Strategies for diversification’, Harvard Business Review, 35(5), pp. 113–124.</w:t>
      </w:r>
    </w:p>
    <w:p w14:paraId="58964DBD" w14:textId="77777777" w:rsidR="005D2D9D" w:rsidRPr="00895616" w:rsidRDefault="005D2D9D" w:rsidP="005D2D9D">
      <w:pPr>
        <w:divId w:val="136651144"/>
        <w:rPr>
          <w:rFonts w:ascii="Arial" w:hAnsi="Arial" w:cs="Arial"/>
          <w:sz w:val="22"/>
          <w:szCs w:val="22"/>
        </w:rPr>
      </w:pPr>
    </w:p>
    <w:p w14:paraId="19313BFB"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Ates, A. and Bititci, U. (2009) ‘Strategy dynamics in small to medium-sized enterprises: Evidence from UK manufacturing SMEs’, Proceedings of the 16th International European Operations Management Association Conference.</w:t>
      </w:r>
    </w:p>
    <w:p w14:paraId="10D6CA61" w14:textId="77777777" w:rsidR="005D2D9D" w:rsidRPr="00895616" w:rsidRDefault="005D2D9D" w:rsidP="005D2D9D">
      <w:pPr>
        <w:divId w:val="136651144"/>
        <w:rPr>
          <w:rFonts w:ascii="Arial" w:hAnsi="Arial" w:cs="Arial"/>
          <w:sz w:val="22"/>
          <w:szCs w:val="22"/>
        </w:rPr>
      </w:pPr>
    </w:p>
    <w:p w14:paraId="1B1E9593"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Bowman, C. and Faulkner, D. (1997) Competitive and corporate strategy. London: Irwin.</w:t>
      </w:r>
    </w:p>
    <w:p w14:paraId="7F5CF3ED" w14:textId="77777777" w:rsidR="005D2D9D" w:rsidRPr="00895616" w:rsidRDefault="005D2D9D" w:rsidP="005D2D9D">
      <w:pPr>
        <w:divId w:val="136651144"/>
        <w:rPr>
          <w:rFonts w:ascii="Arial" w:hAnsi="Arial" w:cs="Arial"/>
          <w:sz w:val="22"/>
          <w:szCs w:val="22"/>
        </w:rPr>
      </w:pPr>
    </w:p>
    <w:p w14:paraId="2C06CEE6"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Enterprise Research Centre (2023) SME performance in core and peripheral UK regions. Coventry: Enterprise Research Centre.</w:t>
      </w:r>
    </w:p>
    <w:p w14:paraId="1C3C1484" w14:textId="77777777" w:rsidR="005D2D9D" w:rsidRPr="00895616" w:rsidRDefault="005D2D9D" w:rsidP="005D2D9D">
      <w:pPr>
        <w:divId w:val="136651144"/>
        <w:rPr>
          <w:rFonts w:ascii="Arial" w:hAnsi="Arial" w:cs="Arial"/>
          <w:sz w:val="22"/>
          <w:szCs w:val="22"/>
        </w:rPr>
      </w:pPr>
    </w:p>
    <w:p w14:paraId="47EBBFF4"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Francis, L.J. and Parker, S.G. (eds.) (2025) Sustaining cathedrals: Sacred space and common ground. Abingdon: Taylor &amp; Francis.</w:t>
      </w:r>
    </w:p>
    <w:p w14:paraId="3A2FCFBA" w14:textId="77777777" w:rsidR="005D2D9D" w:rsidRPr="00895616" w:rsidRDefault="005D2D9D" w:rsidP="005D2D9D">
      <w:pPr>
        <w:divId w:val="136651144"/>
        <w:rPr>
          <w:rFonts w:ascii="Arial" w:hAnsi="Arial" w:cs="Arial"/>
          <w:sz w:val="22"/>
          <w:szCs w:val="22"/>
        </w:rPr>
      </w:pPr>
    </w:p>
    <w:p w14:paraId="5740F579"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Junior, C.R., Becker, I. and Johnson, S. (2023) ‘Unaware, unfunded, and uneducated: A systematic review of SME cybersecurity’, arXiv preprint arXiv:2309.17186.</w:t>
      </w:r>
    </w:p>
    <w:p w14:paraId="72161A2A" w14:textId="77777777" w:rsidR="005D2D9D" w:rsidRPr="00895616" w:rsidRDefault="005D2D9D" w:rsidP="005D2D9D">
      <w:pPr>
        <w:divId w:val="136651144"/>
        <w:rPr>
          <w:rFonts w:ascii="Arial" w:hAnsi="Arial" w:cs="Arial"/>
          <w:sz w:val="22"/>
          <w:szCs w:val="22"/>
        </w:rPr>
      </w:pPr>
    </w:p>
    <w:p w14:paraId="54F6BD16"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Kindström, D., Carlborg, P. and Nord, T. (2024) ‘Challenges for growing SMEs: A managerial perspective’, Journal of Small Business Management, 62(2), pp. 700–723.</w:t>
      </w:r>
    </w:p>
    <w:p w14:paraId="18C0CA30" w14:textId="77777777" w:rsidR="005D2D9D" w:rsidRPr="00895616" w:rsidRDefault="005D2D9D" w:rsidP="005D2D9D">
      <w:pPr>
        <w:divId w:val="136651144"/>
        <w:rPr>
          <w:rFonts w:ascii="Arial" w:hAnsi="Arial" w:cs="Arial"/>
          <w:sz w:val="22"/>
          <w:szCs w:val="22"/>
        </w:rPr>
      </w:pPr>
    </w:p>
    <w:p w14:paraId="37195B12"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 xml:space="preserve">León-Bravo, V., </w:t>
      </w:r>
      <w:proofErr w:type="spellStart"/>
      <w:r w:rsidRPr="00895616">
        <w:rPr>
          <w:rFonts w:ascii="Arial" w:hAnsi="Arial" w:cs="Arial"/>
          <w:sz w:val="22"/>
          <w:szCs w:val="22"/>
        </w:rPr>
        <w:t>Herrera-Viedma</w:t>
      </w:r>
      <w:proofErr w:type="spellEnd"/>
      <w:r w:rsidRPr="00895616">
        <w:rPr>
          <w:rFonts w:ascii="Arial" w:hAnsi="Arial" w:cs="Arial"/>
          <w:sz w:val="22"/>
          <w:szCs w:val="22"/>
        </w:rPr>
        <w:t xml:space="preserve">, E., </w:t>
      </w:r>
      <w:proofErr w:type="spellStart"/>
      <w:r w:rsidRPr="00895616">
        <w:rPr>
          <w:rFonts w:ascii="Arial" w:hAnsi="Arial" w:cs="Arial"/>
          <w:sz w:val="22"/>
          <w:szCs w:val="22"/>
        </w:rPr>
        <w:t>Antón-Rodríguez</w:t>
      </w:r>
      <w:proofErr w:type="spellEnd"/>
      <w:r w:rsidRPr="00895616">
        <w:rPr>
          <w:rFonts w:ascii="Arial" w:hAnsi="Arial" w:cs="Arial"/>
          <w:sz w:val="22"/>
          <w:szCs w:val="22"/>
        </w:rPr>
        <w:t>, M.S. et al. (2022) ‘Traceability for sustainability: Seeking legitimacy in the coffee value chain’, British Food Journal, 124(10), pp. 1641–1657.</w:t>
      </w:r>
    </w:p>
    <w:p w14:paraId="62C78DE4" w14:textId="77777777" w:rsidR="005D2D9D" w:rsidRPr="00895616" w:rsidRDefault="005D2D9D" w:rsidP="005D2D9D">
      <w:pPr>
        <w:divId w:val="136651144"/>
        <w:rPr>
          <w:rFonts w:ascii="Arial" w:hAnsi="Arial" w:cs="Arial"/>
          <w:sz w:val="22"/>
          <w:szCs w:val="22"/>
        </w:rPr>
      </w:pPr>
    </w:p>
    <w:p w14:paraId="1C9B4131"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Mendelow, A. (1991) ‘Environmental scanning: The impact of stakeholder concept’, ICIS Proceedings, pp. 407–418.</w:t>
      </w:r>
    </w:p>
    <w:p w14:paraId="0B20B4B8" w14:textId="77777777" w:rsidR="005D2D9D" w:rsidRPr="00895616" w:rsidRDefault="005D2D9D" w:rsidP="005D2D9D">
      <w:pPr>
        <w:divId w:val="136651144"/>
        <w:rPr>
          <w:rFonts w:ascii="Arial" w:hAnsi="Arial" w:cs="Arial"/>
          <w:sz w:val="22"/>
          <w:szCs w:val="22"/>
        </w:rPr>
      </w:pPr>
    </w:p>
    <w:p w14:paraId="00C1A800"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Mintel (2023) UK coffee shops market report. London: Mintel Group Ltd.</w:t>
      </w:r>
    </w:p>
    <w:p w14:paraId="2056C179" w14:textId="77777777" w:rsidR="005D2D9D" w:rsidRPr="00895616" w:rsidRDefault="005D2D9D" w:rsidP="005D2D9D">
      <w:pPr>
        <w:divId w:val="136651144"/>
        <w:rPr>
          <w:rFonts w:ascii="Arial" w:hAnsi="Arial" w:cs="Arial"/>
          <w:sz w:val="22"/>
          <w:szCs w:val="22"/>
        </w:rPr>
      </w:pPr>
    </w:p>
    <w:p w14:paraId="3B48FEA6"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Parhi, M. (2023) ‘SME performance in core and peripheral UK regions: Exploring the role of innovation and firm networks during times of financial distress’, Journal of Business Venturing.</w:t>
      </w:r>
    </w:p>
    <w:p w14:paraId="7A5DF46A" w14:textId="77777777" w:rsidR="005D2D9D" w:rsidRPr="00895616" w:rsidRDefault="005D2D9D" w:rsidP="005D2D9D">
      <w:pPr>
        <w:divId w:val="136651144"/>
        <w:rPr>
          <w:rFonts w:ascii="Arial" w:hAnsi="Arial" w:cs="Arial"/>
          <w:sz w:val="22"/>
          <w:szCs w:val="22"/>
        </w:rPr>
      </w:pPr>
    </w:p>
    <w:p w14:paraId="01768165" w14:textId="77777777" w:rsidR="005D2D9D" w:rsidRPr="00895616" w:rsidRDefault="005D2D9D" w:rsidP="005D2D9D">
      <w:pPr>
        <w:divId w:val="136651144"/>
        <w:rPr>
          <w:rFonts w:ascii="Arial" w:hAnsi="Arial" w:cs="Arial"/>
          <w:sz w:val="22"/>
          <w:szCs w:val="22"/>
        </w:rPr>
      </w:pPr>
      <w:proofErr w:type="spellStart"/>
      <w:r w:rsidRPr="00895616">
        <w:rPr>
          <w:rFonts w:ascii="Arial" w:hAnsi="Arial" w:cs="Arial"/>
          <w:sz w:val="22"/>
          <w:szCs w:val="22"/>
        </w:rPr>
        <w:t>Peixoto</w:t>
      </w:r>
      <w:proofErr w:type="spellEnd"/>
      <w:r w:rsidRPr="00895616">
        <w:rPr>
          <w:rFonts w:ascii="Arial" w:hAnsi="Arial" w:cs="Arial"/>
          <w:sz w:val="22"/>
          <w:szCs w:val="22"/>
        </w:rPr>
        <w:t>, J.A. Barreto et al. (2023) ‘Sustainability issues along the coffee chain: From the field to the consumer’, Comprehensive Reviews in Food Science and Food Safety, 22(4), pp. 3691–3727.</w:t>
      </w:r>
    </w:p>
    <w:p w14:paraId="3A4EAEF9" w14:textId="77777777" w:rsidR="005D2D9D" w:rsidRPr="00895616" w:rsidRDefault="005D2D9D" w:rsidP="005D2D9D">
      <w:pPr>
        <w:divId w:val="136651144"/>
        <w:rPr>
          <w:rFonts w:ascii="Arial" w:hAnsi="Arial" w:cs="Arial"/>
          <w:sz w:val="22"/>
          <w:szCs w:val="22"/>
        </w:rPr>
      </w:pPr>
    </w:p>
    <w:p w14:paraId="779B5189"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Porter, M.E. (2008) Competitive advantage: Creating and sustaining superior performance. New York: Simon and Schuster.</w:t>
      </w:r>
    </w:p>
    <w:p w14:paraId="1C93DA3A" w14:textId="77777777" w:rsidR="005D2D9D" w:rsidRPr="00895616" w:rsidRDefault="005D2D9D" w:rsidP="005D2D9D">
      <w:pPr>
        <w:divId w:val="136651144"/>
        <w:rPr>
          <w:rFonts w:ascii="Arial" w:hAnsi="Arial" w:cs="Arial"/>
          <w:sz w:val="22"/>
          <w:szCs w:val="22"/>
        </w:rPr>
      </w:pPr>
    </w:p>
    <w:p w14:paraId="6F27944C"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Quarter Horse Coffee (n.d.) Wholesale, training &amp; equipment. Available at: https://quarterhorsecoffee.com/pages/wholesale [Accessed 11 November 2025].</w:t>
      </w:r>
    </w:p>
    <w:p w14:paraId="5C710E69" w14:textId="77777777" w:rsidR="005D2D9D" w:rsidRPr="00895616" w:rsidRDefault="005D2D9D" w:rsidP="005D2D9D">
      <w:pPr>
        <w:divId w:val="136651144"/>
        <w:rPr>
          <w:rFonts w:ascii="Arial" w:hAnsi="Arial" w:cs="Arial"/>
          <w:sz w:val="22"/>
          <w:szCs w:val="22"/>
        </w:rPr>
      </w:pPr>
    </w:p>
    <w:p w14:paraId="4E06E9E5" w14:textId="7842B413" w:rsidR="005D2D9D" w:rsidRPr="00895616" w:rsidRDefault="005D2D9D" w:rsidP="005D2D9D">
      <w:pPr>
        <w:divId w:val="136651144"/>
        <w:rPr>
          <w:rFonts w:ascii="Arial" w:hAnsi="Arial" w:cs="Arial"/>
          <w:sz w:val="22"/>
          <w:szCs w:val="22"/>
        </w:rPr>
      </w:pPr>
      <w:r w:rsidRPr="00895616">
        <w:rPr>
          <w:rFonts w:ascii="Arial" w:hAnsi="Arial" w:cs="Arial"/>
          <w:sz w:val="22"/>
          <w:szCs w:val="22"/>
        </w:rPr>
        <w:t>TripAdvisor (2024) Quarter Horse Coffee Birmingham reviews. Available at: https://www.tripadvisor.co.uk [Accessed 11 November 2025].</w:t>
      </w:r>
    </w:p>
    <w:p w14:paraId="315AA531" w14:textId="77777777" w:rsidR="005D2D9D" w:rsidRPr="00895616" w:rsidRDefault="005D2D9D" w:rsidP="005D2D9D">
      <w:pPr>
        <w:divId w:val="136651144"/>
        <w:rPr>
          <w:rFonts w:ascii="Arial" w:hAnsi="Arial" w:cs="Arial"/>
          <w:sz w:val="22"/>
          <w:szCs w:val="22"/>
        </w:rPr>
      </w:pPr>
    </w:p>
    <w:p w14:paraId="45822A0D" w14:textId="77777777" w:rsidR="00DB7E51" w:rsidRPr="00253FBF" w:rsidRDefault="00DB7E51" w:rsidP="00253FBF">
      <w:pPr>
        <w:spacing w:line="360" w:lineRule="auto"/>
        <w:rPr>
          <w:rFonts w:ascii="Arial" w:hAnsi="Arial" w:cs="Arial"/>
          <w:sz w:val="22"/>
          <w:szCs w:val="22"/>
        </w:rPr>
      </w:pPr>
    </w:p>
    <w:sectPr w:rsidR="00DB7E51" w:rsidRPr="00253F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1538A" w14:textId="77777777" w:rsidR="00AF4B2D" w:rsidRDefault="00AF4B2D" w:rsidP="00EE5B9D">
      <w:pPr>
        <w:spacing w:after="0" w:line="240" w:lineRule="auto"/>
      </w:pPr>
      <w:r>
        <w:separator/>
      </w:r>
    </w:p>
  </w:endnote>
  <w:endnote w:type="continuationSeparator" w:id="0">
    <w:p w14:paraId="05E14DC9" w14:textId="77777777" w:rsidR="00AF4B2D" w:rsidRDefault="00AF4B2D" w:rsidP="00EE5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D9E36" w14:textId="77777777" w:rsidR="00AF4B2D" w:rsidRDefault="00AF4B2D" w:rsidP="00EE5B9D">
      <w:pPr>
        <w:spacing w:after="0" w:line="240" w:lineRule="auto"/>
      </w:pPr>
      <w:r>
        <w:separator/>
      </w:r>
    </w:p>
  </w:footnote>
  <w:footnote w:type="continuationSeparator" w:id="0">
    <w:p w14:paraId="253579E4" w14:textId="77777777" w:rsidR="00AF4B2D" w:rsidRDefault="00AF4B2D" w:rsidP="00EE5B9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gxQndiu" int2:invalidationBookmarkName="" int2:hashCode="u8+2lUeUDK9NHj" int2:id="1k00WwMc">
      <int2:state int2:value="Rejected" int2:type="style"/>
    </int2:bookmark>
    <int2:bookmark int2:bookmarkName="_Int_Hp31Q6hP" int2:invalidationBookmarkName="" int2:hashCode="s4nYnOhSAw/+QB" int2:id="2oeeF9W2">
      <int2:state int2:value="Rejected" int2:type="style"/>
    </int2:bookmark>
    <int2:bookmark int2:bookmarkName="_Int_Ww25ontg" int2:invalidationBookmarkName="" int2:hashCode="m/D4/19di8v/ud" int2:id="3V7WiYQX">
      <int2:state int2:value="Rejected" int2:type="style"/>
    </int2:bookmark>
    <int2:bookmark int2:bookmarkName="_Int_zAR16e4R" int2:invalidationBookmarkName="" int2:hashCode="6xX40Nbu8SUY24" int2:id="4rrD90iT">
      <int2:state int2:value="Rejected" int2:type="style"/>
    </int2:bookmark>
    <int2:bookmark int2:bookmarkName="_Int_29s89Q5E" int2:invalidationBookmarkName="" int2:hashCode="VRyAVr/dM977IK" int2:id="5FgYpMpK">
      <int2:state int2:value="Rejected" int2:type="style"/>
    </int2:bookmark>
    <int2:bookmark int2:bookmarkName="_Int_LTVORcZp" int2:invalidationBookmarkName="" int2:hashCode="SMFwPIHakRGYAb" int2:id="6h570eTP">
      <int2:state int2:value="Rejected" int2:type="style"/>
    </int2:bookmark>
    <int2:bookmark int2:bookmarkName="_Int_KnASeY3K" int2:invalidationBookmarkName="" int2:hashCode="6CtCQzP2Hryq1j" int2:id="AjqU7Btg">
      <int2:state int2:value="Rejected" int2:type="style"/>
    </int2:bookmark>
    <int2:bookmark int2:bookmarkName="_Int_p2Z1oNhm" int2:invalidationBookmarkName="" int2:hashCode="MYHVZr8+SEe+VH" int2:id="CkrYsQK4">
      <int2:state int2:value="Rejected" int2:type="style"/>
    </int2:bookmark>
    <int2:bookmark int2:bookmarkName="_Int_6NVj9bzG" int2:invalidationBookmarkName="" int2:hashCode="gRg+Ewpr1g5/o3" int2:id="HP7H2CiM">
      <int2:state int2:value="Rejected" int2:type="style"/>
    </int2:bookmark>
    <int2:bookmark int2:bookmarkName="_Int_rpc8GgOO" int2:invalidationBookmarkName="" int2:hashCode="Z444I59hb/0TaL" int2:id="HpBmI4kW">
      <int2:state int2:value="Rejected" int2:type="style"/>
    </int2:bookmark>
    <int2:bookmark int2:bookmarkName="_Int_CZ8WJlu1" int2:invalidationBookmarkName="" int2:hashCode="6Ap9X7ci/NdKAT" int2:id="I7en7LMu">
      <int2:state int2:value="Rejected" int2:type="style"/>
    </int2:bookmark>
    <int2:bookmark int2:bookmarkName="_Int_QLSrnDXC" int2:invalidationBookmarkName="" int2:hashCode="6xX40Nbu8SUY24" int2:id="K1jSfk8T">
      <int2:state int2:value="Rejected" int2:type="style"/>
    </int2:bookmark>
    <int2:bookmark int2:bookmarkName="_Int_EDXR1iOv" int2:invalidationBookmarkName="" int2:hashCode="SmrANMuxUyQGoZ" int2:id="K4HE9iyX">
      <int2:state int2:value="Rejected" int2:type="style"/>
    </int2:bookmark>
    <int2:bookmark int2:bookmarkName="_Int_eqLE7LTC" int2:invalidationBookmarkName="" int2:hashCode="T2uh1uCfFUtYOn" int2:id="KYvT1yaC">
      <int2:state int2:value="Rejected" int2:type="style"/>
    </int2:bookmark>
    <int2:bookmark int2:bookmarkName="_Int_768VpyaH" int2:invalidationBookmarkName="" int2:hashCode="TcL93OYEvZqVzN" int2:id="L60cXZnO">
      <int2:state int2:value="Rejected" int2:type="style"/>
    </int2:bookmark>
    <int2:bookmark int2:bookmarkName="_Int_UzzXvs7f" int2:invalidationBookmarkName="" int2:hashCode="20lmumeNxO0dfa" int2:id="O2AF0wGS">
      <int2:state int2:value="Rejected" int2:type="style"/>
    </int2:bookmark>
    <int2:bookmark int2:bookmarkName="_Int_rsp043f1" int2:invalidationBookmarkName="" int2:hashCode="VdYP0cZV/W893q" int2:id="TySDnLJp">
      <int2:state int2:value="Rejected" int2:type="style"/>
    </int2:bookmark>
    <int2:bookmark int2:bookmarkName="_Int_kOR7vCQV" int2:invalidationBookmarkName="" int2:hashCode="XGfjSbkhdDOLJA" int2:id="UQFP2bnk">
      <int2:state int2:value="Rejected" int2:type="style"/>
    </int2:bookmark>
    <int2:bookmark int2:bookmarkName="_Int_uWu05SOX" int2:invalidationBookmarkName="" int2:hashCode="dalNooyseA++F1" int2:id="VzZoby0T">
      <int2:state int2:value="Rejected" int2:type="style"/>
    </int2:bookmark>
    <int2:bookmark int2:bookmarkName="_Int_JFNB0RuP" int2:invalidationBookmarkName="" int2:hashCode="o05feP3QyWirbM" int2:id="WZQ3os6p">
      <int2:state int2:value="Rejected" int2:type="style"/>
    </int2:bookmark>
    <int2:bookmark int2:bookmarkName="_Int_pu2JeAt6" int2:invalidationBookmarkName="" int2:hashCode="UC2JR6jFNsVOww" int2:id="b7HtG2s1">
      <int2:state int2:value="Rejected" int2:type="style"/>
    </int2:bookmark>
    <int2:bookmark int2:bookmarkName="_Int_Mjea5Z2B" int2:invalidationBookmarkName="" int2:hashCode="VdYP0cZV/W893q" int2:id="gH5NHE4K">
      <int2:state int2:value="Rejected" int2:type="style"/>
    </int2:bookmark>
    <int2:bookmark int2:bookmarkName="_Int_hP8Y8VYL" int2:invalidationBookmarkName="" int2:hashCode="051uur3qTsy1Ie" int2:id="i0gxa2Or">
      <int2:state int2:value="Rejected" int2:type="style"/>
    </int2:bookmark>
    <int2:bookmark int2:bookmarkName="_Int_EBhC2Jdy" int2:invalidationBookmarkName="" int2:hashCode="LqSvKQcZeygP9h" int2:id="jWzY2kiq">
      <int2:state int2:value="Rejected" int2:type="style"/>
    </int2:bookmark>
    <int2:bookmark int2:bookmarkName="_Int_Ljhc9xfq" int2:invalidationBookmarkName="" int2:hashCode="m/D4/19di8v/ud" int2:id="l78n2ill">
      <int2:state int2:value="Rejected" int2:type="style"/>
    </int2:bookmark>
    <int2:bookmark int2:bookmarkName="_Int_3FZ5ikNq" int2:invalidationBookmarkName="" int2:hashCode="kwTtIEwkk6AUvD" int2:id="lvCbdxET">
      <int2:state int2:value="Rejected" int2:type="style"/>
    </int2:bookmark>
    <int2:bookmark int2:bookmarkName="_Int_VZBHhk1R" int2:invalidationBookmarkName="" int2:hashCode="20lmumeNxO0dfa" int2:id="oV5ZXohR">
      <int2:state int2:value="Rejected" int2:type="style"/>
    </int2:bookmark>
    <int2:bookmark int2:bookmarkName="_Int_2GRshH9x" int2:invalidationBookmarkName="" int2:hashCode="051uur3qTsy1Ie" int2:id="w8R7O25V">
      <int2:state int2:value="Rejected" int2:type="style"/>
    </int2:bookmark>
    <int2:bookmark int2:bookmarkName="_Int_3gmZp67T" int2:invalidationBookmarkName="" int2:hashCode="s4nYnOhSAw/+QB" int2:id="yHx7VYo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08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A46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7736C"/>
    <w:multiLevelType w:val="multilevel"/>
    <w:tmpl w:val="D696D1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352"/>
        </w:tabs>
        <w:ind w:left="1352" w:hanging="360"/>
      </w:pPr>
      <w:rPr>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824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B037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13F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B554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554D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F37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592558">
    <w:abstractNumId w:val="1"/>
  </w:num>
  <w:num w:numId="2" w16cid:durableId="1349139976">
    <w:abstractNumId w:val="4"/>
  </w:num>
  <w:num w:numId="3" w16cid:durableId="459349576">
    <w:abstractNumId w:val="6"/>
  </w:num>
  <w:num w:numId="4" w16cid:durableId="247269920">
    <w:abstractNumId w:val="8"/>
  </w:num>
  <w:num w:numId="5" w16cid:durableId="1227103808">
    <w:abstractNumId w:val="3"/>
  </w:num>
  <w:num w:numId="6" w16cid:durableId="1604263563">
    <w:abstractNumId w:val="5"/>
  </w:num>
  <w:num w:numId="7" w16cid:durableId="1843740154">
    <w:abstractNumId w:val="0"/>
  </w:num>
  <w:num w:numId="8" w16cid:durableId="337120037">
    <w:abstractNumId w:val="7"/>
  </w:num>
  <w:num w:numId="9" w16cid:durableId="1132362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E51"/>
    <w:rsid w:val="00001629"/>
    <w:rsid w:val="00002E4C"/>
    <w:rsid w:val="000035D1"/>
    <w:rsid w:val="00004881"/>
    <w:rsid w:val="00004B5C"/>
    <w:rsid w:val="000060F6"/>
    <w:rsid w:val="000112E2"/>
    <w:rsid w:val="00011F94"/>
    <w:rsid w:val="00013393"/>
    <w:rsid w:val="00017B88"/>
    <w:rsid w:val="000202B8"/>
    <w:rsid w:val="00022275"/>
    <w:rsid w:val="00022B08"/>
    <w:rsid w:val="00025FB7"/>
    <w:rsid w:val="000316B6"/>
    <w:rsid w:val="00032622"/>
    <w:rsid w:val="000329B8"/>
    <w:rsid w:val="00034B65"/>
    <w:rsid w:val="000410C4"/>
    <w:rsid w:val="000446BE"/>
    <w:rsid w:val="000446FF"/>
    <w:rsid w:val="00046CAC"/>
    <w:rsid w:val="00046CFA"/>
    <w:rsid w:val="00050404"/>
    <w:rsid w:val="00050B81"/>
    <w:rsid w:val="000558C2"/>
    <w:rsid w:val="000575BE"/>
    <w:rsid w:val="00066F0D"/>
    <w:rsid w:val="0007020C"/>
    <w:rsid w:val="000703FB"/>
    <w:rsid w:val="00071D46"/>
    <w:rsid w:val="0007402B"/>
    <w:rsid w:val="00077C22"/>
    <w:rsid w:val="00085A5A"/>
    <w:rsid w:val="000874AE"/>
    <w:rsid w:val="00087AE3"/>
    <w:rsid w:val="00092CF6"/>
    <w:rsid w:val="00093274"/>
    <w:rsid w:val="00094BCF"/>
    <w:rsid w:val="00094E60"/>
    <w:rsid w:val="0009674E"/>
    <w:rsid w:val="00096B60"/>
    <w:rsid w:val="00097BEC"/>
    <w:rsid w:val="000A1147"/>
    <w:rsid w:val="000A1CA1"/>
    <w:rsid w:val="000A2BAB"/>
    <w:rsid w:val="000A69FD"/>
    <w:rsid w:val="000A7E01"/>
    <w:rsid w:val="000B036D"/>
    <w:rsid w:val="000B0BC6"/>
    <w:rsid w:val="000B1F23"/>
    <w:rsid w:val="000B27FF"/>
    <w:rsid w:val="000B3341"/>
    <w:rsid w:val="000B401D"/>
    <w:rsid w:val="000B4451"/>
    <w:rsid w:val="000B5FC1"/>
    <w:rsid w:val="000C2A9E"/>
    <w:rsid w:val="000D0142"/>
    <w:rsid w:val="000D3925"/>
    <w:rsid w:val="000D4618"/>
    <w:rsid w:val="000D5482"/>
    <w:rsid w:val="000D56CD"/>
    <w:rsid w:val="000D7B07"/>
    <w:rsid w:val="000D7FEE"/>
    <w:rsid w:val="000E1B45"/>
    <w:rsid w:val="000E3788"/>
    <w:rsid w:val="000E4931"/>
    <w:rsid w:val="000E5544"/>
    <w:rsid w:val="000E664E"/>
    <w:rsid w:val="000E7C8D"/>
    <w:rsid w:val="000F1519"/>
    <w:rsid w:val="000F1A1E"/>
    <w:rsid w:val="000F1F8B"/>
    <w:rsid w:val="000F3587"/>
    <w:rsid w:val="000F6A11"/>
    <w:rsid w:val="00101CE9"/>
    <w:rsid w:val="00103FC3"/>
    <w:rsid w:val="0010532F"/>
    <w:rsid w:val="00107F54"/>
    <w:rsid w:val="00111E0D"/>
    <w:rsid w:val="001143DA"/>
    <w:rsid w:val="00114D4A"/>
    <w:rsid w:val="00120AEF"/>
    <w:rsid w:val="00124B24"/>
    <w:rsid w:val="00126470"/>
    <w:rsid w:val="001276F4"/>
    <w:rsid w:val="0013164B"/>
    <w:rsid w:val="001328F0"/>
    <w:rsid w:val="00132C41"/>
    <w:rsid w:val="001357A9"/>
    <w:rsid w:val="001372F2"/>
    <w:rsid w:val="001432A0"/>
    <w:rsid w:val="00152236"/>
    <w:rsid w:val="001540E7"/>
    <w:rsid w:val="0015490B"/>
    <w:rsid w:val="00154B74"/>
    <w:rsid w:val="00154C67"/>
    <w:rsid w:val="001577A4"/>
    <w:rsid w:val="00157D80"/>
    <w:rsid w:val="00161C3B"/>
    <w:rsid w:val="00161F06"/>
    <w:rsid w:val="00162A01"/>
    <w:rsid w:val="001631AA"/>
    <w:rsid w:val="0016411A"/>
    <w:rsid w:val="00164FB1"/>
    <w:rsid w:val="00165272"/>
    <w:rsid w:val="00166D01"/>
    <w:rsid w:val="00172220"/>
    <w:rsid w:val="001727D5"/>
    <w:rsid w:val="00173430"/>
    <w:rsid w:val="001741EA"/>
    <w:rsid w:val="001743C8"/>
    <w:rsid w:val="00174F9A"/>
    <w:rsid w:val="00180487"/>
    <w:rsid w:val="001808BD"/>
    <w:rsid w:val="00180952"/>
    <w:rsid w:val="0018110B"/>
    <w:rsid w:val="0018155F"/>
    <w:rsid w:val="00181A27"/>
    <w:rsid w:val="00182384"/>
    <w:rsid w:val="001832B5"/>
    <w:rsid w:val="0018357C"/>
    <w:rsid w:val="00184A60"/>
    <w:rsid w:val="001873C9"/>
    <w:rsid w:val="001900BD"/>
    <w:rsid w:val="00190846"/>
    <w:rsid w:val="001919A3"/>
    <w:rsid w:val="00192B08"/>
    <w:rsid w:val="0019487A"/>
    <w:rsid w:val="0019650D"/>
    <w:rsid w:val="001A24C7"/>
    <w:rsid w:val="001A325B"/>
    <w:rsid w:val="001A380C"/>
    <w:rsid w:val="001A3DB8"/>
    <w:rsid w:val="001A4B81"/>
    <w:rsid w:val="001A7A15"/>
    <w:rsid w:val="001B1C6A"/>
    <w:rsid w:val="001B3287"/>
    <w:rsid w:val="001B3671"/>
    <w:rsid w:val="001B3F65"/>
    <w:rsid w:val="001B40C8"/>
    <w:rsid w:val="001B5295"/>
    <w:rsid w:val="001B7B24"/>
    <w:rsid w:val="001C3EBA"/>
    <w:rsid w:val="001C5C15"/>
    <w:rsid w:val="001C7C13"/>
    <w:rsid w:val="001D3BE7"/>
    <w:rsid w:val="001D556D"/>
    <w:rsid w:val="001D6E95"/>
    <w:rsid w:val="001E07CA"/>
    <w:rsid w:val="001E5037"/>
    <w:rsid w:val="001E5631"/>
    <w:rsid w:val="001E6983"/>
    <w:rsid w:val="001E6C8B"/>
    <w:rsid w:val="001F0057"/>
    <w:rsid w:val="001F04FB"/>
    <w:rsid w:val="001F09D3"/>
    <w:rsid w:val="001F5C3C"/>
    <w:rsid w:val="002001C4"/>
    <w:rsid w:val="00200B01"/>
    <w:rsid w:val="00202DE0"/>
    <w:rsid w:val="0020301A"/>
    <w:rsid w:val="00204DA1"/>
    <w:rsid w:val="00205367"/>
    <w:rsid w:val="002074FF"/>
    <w:rsid w:val="002077C4"/>
    <w:rsid w:val="00210046"/>
    <w:rsid w:val="0021072A"/>
    <w:rsid w:val="00210E00"/>
    <w:rsid w:val="002111B9"/>
    <w:rsid w:val="002118E9"/>
    <w:rsid w:val="00216337"/>
    <w:rsid w:val="00217463"/>
    <w:rsid w:val="00221740"/>
    <w:rsid w:val="00222527"/>
    <w:rsid w:val="0022296A"/>
    <w:rsid w:val="00225946"/>
    <w:rsid w:val="00226F0F"/>
    <w:rsid w:val="00227631"/>
    <w:rsid w:val="002306F0"/>
    <w:rsid w:val="00233402"/>
    <w:rsid w:val="002416C3"/>
    <w:rsid w:val="00245496"/>
    <w:rsid w:val="00245AA7"/>
    <w:rsid w:val="00246F7D"/>
    <w:rsid w:val="00247C1F"/>
    <w:rsid w:val="002508D3"/>
    <w:rsid w:val="00250F62"/>
    <w:rsid w:val="002522A2"/>
    <w:rsid w:val="00253FBF"/>
    <w:rsid w:val="0025423E"/>
    <w:rsid w:val="00257010"/>
    <w:rsid w:val="00260A4F"/>
    <w:rsid w:val="00260BC9"/>
    <w:rsid w:val="002610CD"/>
    <w:rsid w:val="002613FA"/>
    <w:rsid w:val="00261D61"/>
    <w:rsid w:val="00262A21"/>
    <w:rsid w:val="00263813"/>
    <w:rsid w:val="00264197"/>
    <w:rsid w:val="0026450C"/>
    <w:rsid w:val="00267024"/>
    <w:rsid w:val="00270974"/>
    <w:rsid w:val="002724AF"/>
    <w:rsid w:val="00272EBA"/>
    <w:rsid w:val="00273D6B"/>
    <w:rsid w:val="00275266"/>
    <w:rsid w:val="002759AF"/>
    <w:rsid w:val="002760EE"/>
    <w:rsid w:val="00276439"/>
    <w:rsid w:val="00280F96"/>
    <w:rsid w:val="00281961"/>
    <w:rsid w:val="00281E6F"/>
    <w:rsid w:val="002822D8"/>
    <w:rsid w:val="00282678"/>
    <w:rsid w:val="00282C8B"/>
    <w:rsid w:val="00285B7E"/>
    <w:rsid w:val="00287142"/>
    <w:rsid w:val="0028788A"/>
    <w:rsid w:val="00287D14"/>
    <w:rsid w:val="00287F6C"/>
    <w:rsid w:val="00291265"/>
    <w:rsid w:val="00291FC3"/>
    <w:rsid w:val="002928B2"/>
    <w:rsid w:val="0029389A"/>
    <w:rsid w:val="00294B5D"/>
    <w:rsid w:val="00295BB4"/>
    <w:rsid w:val="002A1564"/>
    <w:rsid w:val="002A2081"/>
    <w:rsid w:val="002A3744"/>
    <w:rsid w:val="002A585D"/>
    <w:rsid w:val="002A6A75"/>
    <w:rsid w:val="002A7425"/>
    <w:rsid w:val="002B1569"/>
    <w:rsid w:val="002B2B7B"/>
    <w:rsid w:val="002B2DC0"/>
    <w:rsid w:val="002B5174"/>
    <w:rsid w:val="002B7724"/>
    <w:rsid w:val="002C0F3F"/>
    <w:rsid w:val="002C19AB"/>
    <w:rsid w:val="002D20C5"/>
    <w:rsid w:val="002D3173"/>
    <w:rsid w:val="002D34F1"/>
    <w:rsid w:val="002D58A6"/>
    <w:rsid w:val="002E28E9"/>
    <w:rsid w:val="002E3524"/>
    <w:rsid w:val="002E427A"/>
    <w:rsid w:val="002E4C45"/>
    <w:rsid w:val="002E55C5"/>
    <w:rsid w:val="002E7269"/>
    <w:rsid w:val="002E7464"/>
    <w:rsid w:val="002E7CA3"/>
    <w:rsid w:val="002E7DEF"/>
    <w:rsid w:val="002F0931"/>
    <w:rsid w:val="002F2354"/>
    <w:rsid w:val="002F249D"/>
    <w:rsid w:val="002F3F9D"/>
    <w:rsid w:val="002F4B30"/>
    <w:rsid w:val="002F60F8"/>
    <w:rsid w:val="00301070"/>
    <w:rsid w:val="003013A0"/>
    <w:rsid w:val="0030342C"/>
    <w:rsid w:val="00303797"/>
    <w:rsid w:val="003056E3"/>
    <w:rsid w:val="00307C54"/>
    <w:rsid w:val="00310DC8"/>
    <w:rsid w:val="00313868"/>
    <w:rsid w:val="00314A5C"/>
    <w:rsid w:val="003150FE"/>
    <w:rsid w:val="00316E6E"/>
    <w:rsid w:val="00321DD7"/>
    <w:rsid w:val="0032419E"/>
    <w:rsid w:val="0032477B"/>
    <w:rsid w:val="00330E8B"/>
    <w:rsid w:val="0033130C"/>
    <w:rsid w:val="0033238D"/>
    <w:rsid w:val="00333B45"/>
    <w:rsid w:val="003377DE"/>
    <w:rsid w:val="0033780B"/>
    <w:rsid w:val="0034040F"/>
    <w:rsid w:val="00343187"/>
    <w:rsid w:val="003442F3"/>
    <w:rsid w:val="00346949"/>
    <w:rsid w:val="00352C8C"/>
    <w:rsid w:val="00352CD0"/>
    <w:rsid w:val="0035378A"/>
    <w:rsid w:val="00356248"/>
    <w:rsid w:val="00362FFA"/>
    <w:rsid w:val="00363ED2"/>
    <w:rsid w:val="003644D0"/>
    <w:rsid w:val="00367726"/>
    <w:rsid w:val="00370CEF"/>
    <w:rsid w:val="00374852"/>
    <w:rsid w:val="00376959"/>
    <w:rsid w:val="003805D3"/>
    <w:rsid w:val="00380996"/>
    <w:rsid w:val="00384930"/>
    <w:rsid w:val="0038590B"/>
    <w:rsid w:val="003873B6"/>
    <w:rsid w:val="00387CCE"/>
    <w:rsid w:val="00387DE2"/>
    <w:rsid w:val="003909D7"/>
    <w:rsid w:val="00391347"/>
    <w:rsid w:val="00392E35"/>
    <w:rsid w:val="00394E61"/>
    <w:rsid w:val="00394E81"/>
    <w:rsid w:val="00396FFA"/>
    <w:rsid w:val="00397112"/>
    <w:rsid w:val="00397548"/>
    <w:rsid w:val="003A3A88"/>
    <w:rsid w:val="003A670D"/>
    <w:rsid w:val="003B0897"/>
    <w:rsid w:val="003B14A6"/>
    <w:rsid w:val="003B14F4"/>
    <w:rsid w:val="003B168C"/>
    <w:rsid w:val="003B2EB8"/>
    <w:rsid w:val="003B3590"/>
    <w:rsid w:val="003B7FBB"/>
    <w:rsid w:val="003C011D"/>
    <w:rsid w:val="003D01DB"/>
    <w:rsid w:val="003D0376"/>
    <w:rsid w:val="003D1A41"/>
    <w:rsid w:val="003D30ED"/>
    <w:rsid w:val="003D4108"/>
    <w:rsid w:val="003D504D"/>
    <w:rsid w:val="003D62F8"/>
    <w:rsid w:val="003D633B"/>
    <w:rsid w:val="003D693A"/>
    <w:rsid w:val="003E16F2"/>
    <w:rsid w:val="003E25D4"/>
    <w:rsid w:val="003E4100"/>
    <w:rsid w:val="003E4286"/>
    <w:rsid w:val="003E4777"/>
    <w:rsid w:val="003E54DC"/>
    <w:rsid w:val="003E559F"/>
    <w:rsid w:val="003E6383"/>
    <w:rsid w:val="003E769F"/>
    <w:rsid w:val="003E76FF"/>
    <w:rsid w:val="003E7754"/>
    <w:rsid w:val="003E7E80"/>
    <w:rsid w:val="003F3535"/>
    <w:rsid w:val="003F3BC8"/>
    <w:rsid w:val="003F6324"/>
    <w:rsid w:val="003F6E21"/>
    <w:rsid w:val="003F7AB8"/>
    <w:rsid w:val="0040098D"/>
    <w:rsid w:val="00402402"/>
    <w:rsid w:val="004073B5"/>
    <w:rsid w:val="004077FC"/>
    <w:rsid w:val="00410B51"/>
    <w:rsid w:val="004224FD"/>
    <w:rsid w:val="0042443D"/>
    <w:rsid w:val="00426976"/>
    <w:rsid w:val="00426D2D"/>
    <w:rsid w:val="00427F25"/>
    <w:rsid w:val="00431D21"/>
    <w:rsid w:val="004335F0"/>
    <w:rsid w:val="00434263"/>
    <w:rsid w:val="004359B3"/>
    <w:rsid w:val="00436F66"/>
    <w:rsid w:val="00442D16"/>
    <w:rsid w:val="00443225"/>
    <w:rsid w:val="00445AE4"/>
    <w:rsid w:val="00450D34"/>
    <w:rsid w:val="004531A5"/>
    <w:rsid w:val="00457803"/>
    <w:rsid w:val="004615D4"/>
    <w:rsid w:val="004617D3"/>
    <w:rsid w:val="00461E43"/>
    <w:rsid w:val="004624A0"/>
    <w:rsid w:val="00464420"/>
    <w:rsid w:val="00466E5D"/>
    <w:rsid w:val="00470247"/>
    <w:rsid w:val="004728C1"/>
    <w:rsid w:val="00472F65"/>
    <w:rsid w:val="00473B21"/>
    <w:rsid w:val="00474F23"/>
    <w:rsid w:val="00476DA9"/>
    <w:rsid w:val="00477A2E"/>
    <w:rsid w:val="00477C16"/>
    <w:rsid w:val="004872EB"/>
    <w:rsid w:val="0049232E"/>
    <w:rsid w:val="004925F6"/>
    <w:rsid w:val="0049388F"/>
    <w:rsid w:val="00494761"/>
    <w:rsid w:val="00494848"/>
    <w:rsid w:val="0049661A"/>
    <w:rsid w:val="004B0044"/>
    <w:rsid w:val="004B2BCD"/>
    <w:rsid w:val="004B527F"/>
    <w:rsid w:val="004B69C0"/>
    <w:rsid w:val="004B7524"/>
    <w:rsid w:val="004C0117"/>
    <w:rsid w:val="004C4A74"/>
    <w:rsid w:val="004C4E4F"/>
    <w:rsid w:val="004C5985"/>
    <w:rsid w:val="004C683E"/>
    <w:rsid w:val="004D0298"/>
    <w:rsid w:val="004D0D45"/>
    <w:rsid w:val="004D1433"/>
    <w:rsid w:val="004D763A"/>
    <w:rsid w:val="004E0368"/>
    <w:rsid w:val="004E10F6"/>
    <w:rsid w:val="004E5C00"/>
    <w:rsid w:val="004E7D07"/>
    <w:rsid w:val="004F00EB"/>
    <w:rsid w:val="004F31FE"/>
    <w:rsid w:val="004F69C8"/>
    <w:rsid w:val="00500C84"/>
    <w:rsid w:val="005036DE"/>
    <w:rsid w:val="005056CA"/>
    <w:rsid w:val="0050680E"/>
    <w:rsid w:val="00510613"/>
    <w:rsid w:val="00512352"/>
    <w:rsid w:val="005142E6"/>
    <w:rsid w:val="005149C6"/>
    <w:rsid w:val="00516ABB"/>
    <w:rsid w:val="00517535"/>
    <w:rsid w:val="00520D1A"/>
    <w:rsid w:val="005229D2"/>
    <w:rsid w:val="00522B76"/>
    <w:rsid w:val="00523291"/>
    <w:rsid w:val="005232BF"/>
    <w:rsid w:val="005232DE"/>
    <w:rsid w:val="00526284"/>
    <w:rsid w:val="00526B76"/>
    <w:rsid w:val="00531847"/>
    <w:rsid w:val="00531A4B"/>
    <w:rsid w:val="00533C61"/>
    <w:rsid w:val="005344F4"/>
    <w:rsid w:val="00536C04"/>
    <w:rsid w:val="005378BE"/>
    <w:rsid w:val="00540E11"/>
    <w:rsid w:val="005424F3"/>
    <w:rsid w:val="00550D5F"/>
    <w:rsid w:val="00551D86"/>
    <w:rsid w:val="0055214D"/>
    <w:rsid w:val="005528AE"/>
    <w:rsid w:val="00555A15"/>
    <w:rsid w:val="00556AE3"/>
    <w:rsid w:val="00561D42"/>
    <w:rsid w:val="0056395D"/>
    <w:rsid w:val="00563CF9"/>
    <w:rsid w:val="005661A3"/>
    <w:rsid w:val="0056710A"/>
    <w:rsid w:val="00571028"/>
    <w:rsid w:val="005719CF"/>
    <w:rsid w:val="00572F6F"/>
    <w:rsid w:val="005763D6"/>
    <w:rsid w:val="0058010A"/>
    <w:rsid w:val="00580789"/>
    <w:rsid w:val="00582484"/>
    <w:rsid w:val="005828AE"/>
    <w:rsid w:val="00583903"/>
    <w:rsid w:val="00584679"/>
    <w:rsid w:val="00587EB2"/>
    <w:rsid w:val="005923A7"/>
    <w:rsid w:val="00594BDB"/>
    <w:rsid w:val="00595C29"/>
    <w:rsid w:val="00596D37"/>
    <w:rsid w:val="00596E59"/>
    <w:rsid w:val="005A0F16"/>
    <w:rsid w:val="005A2ACA"/>
    <w:rsid w:val="005A3B78"/>
    <w:rsid w:val="005A4802"/>
    <w:rsid w:val="005A6C77"/>
    <w:rsid w:val="005A7444"/>
    <w:rsid w:val="005B02E1"/>
    <w:rsid w:val="005B3E49"/>
    <w:rsid w:val="005B7134"/>
    <w:rsid w:val="005B7781"/>
    <w:rsid w:val="005C1E4A"/>
    <w:rsid w:val="005C1E98"/>
    <w:rsid w:val="005C240C"/>
    <w:rsid w:val="005C2514"/>
    <w:rsid w:val="005C3AF2"/>
    <w:rsid w:val="005C4269"/>
    <w:rsid w:val="005C4B48"/>
    <w:rsid w:val="005C566F"/>
    <w:rsid w:val="005C6132"/>
    <w:rsid w:val="005C7D10"/>
    <w:rsid w:val="005D2134"/>
    <w:rsid w:val="005D2D9D"/>
    <w:rsid w:val="005D5765"/>
    <w:rsid w:val="005D6183"/>
    <w:rsid w:val="005D6DD4"/>
    <w:rsid w:val="005E16BF"/>
    <w:rsid w:val="005E361E"/>
    <w:rsid w:val="005E5397"/>
    <w:rsid w:val="005F0EF3"/>
    <w:rsid w:val="005F15AD"/>
    <w:rsid w:val="005F2CE7"/>
    <w:rsid w:val="005F33BA"/>
    <w:rsid w:val="005F3AE7"/>
    <w:rsid w:val="005F5010"/>
    <w:rsid w:val="005F57FE"/>
    <w:rsid w:val="005F7F36"/>
    <w:rsid w:val="00600AE5"/>
    <w:rsid w:val="006013A8"/>
    <w:rsid w:val="00601639"/>
    <w:rsid w:val="006021D1"/>
    <w:rsid w:val="00605169"/>
    <w:rsid w:val="00607B62"/>
    <w:rsid w:val="0061043F"/>
    <w:rsid w:val="00611742"/>
    <w:rsid w:val="00612175"/>
    <w:rsid w:val="00613E81"/>
    <w:rsid w:val="0061490C"/>
    <w:rsid w:val="00616AF1"/>
    <w:rsid w:val="00621A50"/>
    <w:rsid w:val="00621ABF"/>
    <w:rsid w:val="0062223D"/>
    <w:rsid w:val="00623020"/>
    <w:rsid w:val="006241CE"/>
    <w:rsid w:val="00626059"/>
    <w:rsid w:val="00627D89"/>
    <w:rsid w:val="00631385"/>
    <w:rsid w:val="00631C09"/>
    <w:rsid w:val="00631C7C"/>
    <w:rsid w:val="00631E4C"/>
    <w:rsid w:val="0063310E"/>
    <w:rsid w:val="0063315B"/>
    <w:rsid w:val="00633CE9"/>
    <w:rsid w:val="00634C4B"/>
    <w:rsid w:val="006375B5"/>
    <w:rsid w:val="006437D3"/>
    <w:rsid w:val="00643BC4"/>
    <w:rsid w:val="006449DF"/>
    <w:rsid w:val="006471AA"/>
    <w:rsid w:val="00651A60"/>
    <w:rsid w:val="00651C65"/>
    <w:rsid w:val="00651F51"/>
    <w:rsid w:val="0065372A"/>
    <w:rsid w:val="006547FF"/>
    <w:rsid w:val="00654F8E"/>
    <w:rsid w:val="006600C1"/>
    <w:rsid w:val="0066046B"/>
    <w:rsid w:val="00661A31"/>
    <w:rsid w:val="00662C4A"/>
    <w:rsid w:val="0066528D"/>
    <w:rsid w:val="006664FC"/>
    <w:rsid w:val="0067031E"/>
    <w:rsid w:val="006706B8"/>
    <w:rsid w:val="00672C8F"/>
    <w:rsid w:val="00673561"/>
    <w:rsid w:val="00674D15"/>
    <w:rsid w:val="00677211"/>
    <w:rsid w:val="00677F64"/>
    <w:rsid w:val="00680FCD"/>
    <w:rsid w:val="0068348E"/>
    <w:rsid w:val="00683F8C"/>
    <w:rsid w:val="00686678"/>
    <w:rsid w:val="006869AD"/>
    <w:rsid w:val="00686CCD"/>
    <w:rsid w:val="00691F01"/>
    <w:rsid w:val="00692538"/>
    <w:rsid w:val="00693467"/>
    <w:rsid w:val="00693514"/>
    <w:rsid w:val="00693F15"/>
    <w:rsid w:val="00694F85"/>
    <w:rsid w:val="0069524E"/>
    <w:rsid w:val="006A062D"/>
    <w:rsid w:val="006A085D"/>
    <w:rsid w:val="006A154C"/>
    <w:rsid w:val="006A271F"/>
    <w:rsid w:val="006A29C8"/>
    <w:rsid w:val="006A4157"/>
    <w:rsid w:val="006A4F19"/>
    <w:rsid w:val="006A53CF"/>
    <w:rsid w:val="006A6025"/>
    <w:rsid w:val="006B0B24"/>
    <w:rsid w:val="006B1C2D"/>
    <w:rsid w:val="006B3D4F"/>
    <w:rsid w:val="006B4D8D"/>
    <w:rsid w:val="006B67A5"/>
    <w:rsid w:val="006B6A77"/>
    <w:rsid w:val="006B7458"/>
    <w:rsid w:val="006C00EB"/>
    <w:rsid w:val="006C2509"/>
    <w:rsid w:val="006C2C77"/>
    <w:rsid w:val="006C3214"/>
    <w:rsid w:val="006C4834"/>
    <w:rsid w:val="006C53A1"/>
    <w:rsid w:val="006D34A7"/>
    <w:rsid w:val="006D7F99"/>
    <w:rsid w:val="006E01D5"/>
    <w:rsid w:val="006E114A"/>
    <w:rsid w:val="006E5720"/>
    <w:rsid w:val="006E5F3B"/>
    <w:rsid w:val="006E7355"/>
    <w:rsid w:val="006F078C"/>
    <w:rsid w:val="006F11A1"/>
    <w:rsid w:val="006F3E69"/>
    <w:rsid w:val="006F4D76"/>
    <w:rsid w:val="006F5278"/>
    <w:rsid w:val="006F609B"/>
    <w:rsid w:val="007013D9"/>
    <w:rsid w:val="0070176F"/>
    <w:rsid w:val="0070458F"/>
    <w:rsid w:val="00704E16"/>
    <w:rsid w:val="00705153"/>
    <w:rsid w:val="00705A31"/>
    <w:rsid w:val="00706DF5"/>
    <w:rsid w:val="0071019C"/>
    <w:rsid w:val="007106D3"/>
    <w:rsid w:val="007134B0"/>
    <w:rsid w:val="00713E49"/>
    <w:rsid w:val="00715E1B"/>
    <w:rsid w:val="007162DB"/>
    <w:rsid w:val="0071793C"/>
    <w:rsid w:val="00717FC2"/>
    <w:rsid w:val="00720026"/>
    <w:rsid w:val="00722325"/>
    <w:rsid w:val="0072267C"/>
    <w:rsid w:val="007235F7"/>
    <w:rsid w:val="00726A02"/>
    <w:rsid w:val="00730C25"/>
    <w:rsid w:val="00731509"/>
    <w:rsid w:val="007324AE"/>
    <w:rsid w:val="007336DD"/>
    <w:rsid w:val="0073594D"/>
    <w:rsid w:val="00735F88"/>
    <w:rsid w:val="0073653A"/>
    <w:rsid w:val="007424F2"/>
    <w:rsid w:val="0074799E"/>
    <w:rsid w:val="00755774"/>
    <w:rsid w:val="007567EF"/>
    <w:rsid w:val="0076017D"/>
    <w:rsid w:val="00761A4D"/>
    <w:rsid w:val="007631A9"/>
    <w:rsid w:val="00764BFD"/>
    <w:rsid w:val="00765654"/>
    <w:rsid w:val="00765796"/>
    <w:rsid w:val="00767201"/>
    <w:rsid w:val="007720E1"/>
    <w:rsid w:val="007725FC"/>
    <w:rsid w:val="00772642"/>
    <w:rsid w:val="0077400A"/>
    <w:rsid w:val="007753D6"/>
    <w:rsid w:val="007839FE"/>
    <w:rsid w:val="00783A40"/>
    <w:rsid w:val="00790234"/>
    <w:rsid w:val="00790AA5"/>
    <w:rsid w:val="00796A7C"/>
    <w:rsid w:val="007A08AB"/>
    <w:rsid w:val="007A0960"/>
    <w:rsid w:val="007A198C"/>
    <w:rsid w:val="007A2678"/>
    <w:rsid w:val="007A37C8"/>
    <w:rsid w:val="007A51CB"/>
    <w:rsid w:val="007A6730"/>
    <w:rsid w:val="007A7861"/>
    <w:rsid w:val="007A7A1D"/>
    <w:rsid w:val="007B1F51"/>
    <w:rsid w:val="007B24B6"/>
    <w:rsid w:val="007B309E"/>
    <w:rsid w:val="007B3A8E"/>
    <w:rsid w:val="007B4D26"/>
    <w:rsid w:val="007B5BBB"/>
    <w:rsid w:val="007B6D06"/>
    <w:rsid w:val="007B6D51"/>
    <w:rsid w:val="007C3758"/>
    <w:rsid w:val="007C57D0"/>
    <w:rsid w:val="007C5FBE"/>
    <w:rsid w:val="007C696B"/>
    <w:rsid w:val="007C77AF"/>
    <w:rsid w:val="007D09DB"/>
    <w:rsid w:val="007D113E"/>
    <w:rsid w:val="007D271B"/>
    <w:rsid w:val="007D54F1"/>
    <w:rsid w:val="007D63B2"/>
    <w:rsid w:val="007D699D"/>
    <w:rsid w:val="007D6B34"/>
    <w:rsid w:val="007D6EA6"/>
    <w:rsid w:val="007D742B"/>
    <w:rsid w:val="007D7610"/>
    <w:rsid w:val="007E0964"/>
    <w:rsid w:val="007E0AD4"/>
    <w:rsid w:val="007E3195"/>
    <w:rsid w:val="007E3C8D"/>
    <w:rsid w:val="007E48AB"/>
    <w:rsid w:val="007E4B36"/>
    <w:rsid w:val="007E4BF0"/>
    <w:rsid w:val="007E4F16"/>
    <w:rsid w:val="007E5773"/>
    <w:rsid w:val="007E5777"/>
    <w:rsid w:val="007E7238"/>
    <w:rsid w:val="007F494A"/>
    <w:rsid w:val="007F5547"/>
    <w:rsid w:val="007F7F26"/>
    <w:rsid w:val="007F7FE0"/>
    <w:rsid w:val="00801D3C"/>
    <w:rsid w:val="0080241E"/>
    <w:rsid w:val="008026D5"/>
    <w:rsid w:val="00802B3D"/>
    <w:rsid w:val="00802D4C"/>
    <w:rsid w:val="00803AA2"/>
    <w:rsid w:val="008042AB"/>
    <w:rsid w:val="008054E8"/>
    <w:rsid w:val="00805DD5"/>
    <w:rsid w:val="0081088B"/>
    <w:rsid w:val="00810C49"/>
    <w:rsid w:val="00814BCF"/>
    <w:rsid w:val="008176F7"/>
    <w:rsid w:val="008230E0"/>
    <w:rsid w:val="0082322F"/>
    <w:rsid w:val="008249C5"/>
    <w:rsid w:val="00824CF3"/>
    <w:rsid w:val="008270D4"/>
    <w:rsid w:val="0082794E"/>
    <w:rsid w:val="0083147E"/>
    <w:rsid w:val="00832E61"/>
    <w:rsid w:val="008339E6"/>
    <w:rsid w:val="008405A5"/>
    <w:rsid w:val="0084220B"/>
    <w:rsid w:val="00843074"/>
    <w:rsid w:val="0084404C"/>
    <w:rsid w:val="00845132"/>
    <w:rsid w:val="0084688A"/>
    <w:rsid w:val="00847251"/>
    <w:rsid w:val="0085122F"/>
    <w:rsid w:val="00851ADC"/>
    <w:rsid w:val="00863623"/>
    <w:rsid w:val="00864D58"/>
    <w:rsid w:val="00864FE4"/>
    <w:rsid w:val="008672BA"/>
    <w:rsid w:val="008717E8"/>
    <w:rsid w:val="00871ADC"/>
    <w:rsid w:val="00873A3B"/>
    <w:rsid w:val="00875244"/>
    <w:rsid w:val="00880207"/>
    <w:rsid w:val="00880B5C"/>
    <w:rsid w:val="00880DBD"/>
    <w:rsid w:val="008824B1"/>
    <w:rsid w:val="00884982"/>
    <w:rsid w:val="00884A30"/>
    <w:rsid w:val="00884A83"/>
    <w:rsid w:val="00885B36"/>
    <w:rsid w:val="00886175"/>
    <w:rsid w:val="008862ED"/>
    <w:rsid w:val="0089082B"/>
    <w:rsid w:val="008911FB"/>
    <w:rsid w:val="00894466"/>
    <w:rsid w:val="008954C8"/>
    <w:rsid w:val="00895616"/>
    <w:rsid w:val="0089565E"/>
    <w:rsid w:val="008966C5"/>
    <w:rsid w:val="008A08D3"/>
    <w:rsid w:val="008A1F35"/>
    <w:rsid w:val="008A26D6"/>
    <w:rsid w:val="008A341D"/>
    <w:rsid w:val="008A3485"/>
    <w:rsid w:val="008A732C"/>
    <w:rsid w:val="008A7A98"/>
    <w:rsid w:val="008B00A5"/>
    <w:rsid w:val="008B013C"/>
    <w:rsid w:val="008B14AE"/>
    <w:rsid w:val="008B3091"/>
    <w:rsid w:val="008B470E"/>
    <w:rsid w:val="008C33A1"/>
    <w:rsid w:val="008C45FB"/>
    <w:rsid w:val="008C4961"/>
    <w:rsid w:val="008C4D07"/>
    <w:rsid w:val="008C7CFD"/>
    <w:rsid w:val="008D041F"/>
    <w:rsid w:val="008D042E"/>
    <w:rsid w:val="008D0EEF"/>
    <w:rsid w:val="008D24DF"/>
    <w:rsid w:val="008D611D"/>
    <w:rsid w:val="008D6308"/>
    <w:rsid w:val="008E47C8"/>
    <w:rsid w:val="008E4947"/>
    <w:rsid w:val="008E5822"/>
    <w:rsid w:val="008E7107"/>
    <w:rsid w:val="008E71C8"/>
    <w:rsid w:val="008F081A"/>
    <w:rsid w:val="008F2094"/>
    <w:rsid w:val="008F2480"/>
    <w:rsid w:val="008F3614"/>
    <w:rsid w:val="008F3719"/>
    <w:rsid w:val="008F4EA0"/>
    <w:rsid w:val="008F64B4"/>
    <w:rsid w:val="008F726E"/>
    <w:rsid w:val="00900F52"/>
    <w:rsid w:val="00904BB4"/>
    <w:rsid w:val="009058A2"/>
    <w:rsid w:val="0090647A"/>
    <w:rsid w:val="00906D9C"/>
    <w:rsid w:val="00907414"/>
    <w:rsid w:val="00907B32"/>
    <w:rsid w:val="009155C3"/>
    <w:rsid w:val="0091589F"/>
    <w:rsid w:val="009159D8"/>
    <w:rsid w:val="009207D8"/>
    <w:rsid w:val="00922F00"/>
    <w:rsid w:val="009253C8"/>
    <w:rsid w:val="00925F1B"/>
    <w:rsid w:val="0092706B"/>
    <w:rsid w:val="0092753B"/>
    <w:rsid w:val="00927E74"/>
    <w:rsid w:val="0093177B"/>
    <w:rsid w:val="009318A4"/>
    <w:rsid w:val="00932179"/>
    <w:rsid w:val="00932C52"/>
    <w:rsid w:val="00933A0C"/>
    <w:rsid w:val="00933EC2"/>
    <w:rsid w:val="009346C7"/>
    <w:rsid w:val="00935665"/>
    <w:rsid w:val="00935957"/>
    <w:rsid w:val="00935F5D"/>
    <w:rsid w:val="009374DA"/>
    <w:rsid w:val="00940B75"/>
    <w:rsid w:val="00942B0A"/>
    <w:rsid w:val="00943158"/>
    <w:rsid w:val="0094409D"/>
    <w:rsid w:val="00945023"/>
    <w:rsid w:val="00952291"/>
    <w:rsid w:val="00954EBE"/>
    <w:rsid w:val="0095511D"/>
    <w:rsid w:val="00955825"/>
    <w:rsid w:val="00955F00"/>
    <w:rsid w:val="00956169"/>
    <w:rsid w:val="00956FDA"/>
    <w:rsid w:val="0095713A"/>
    <w:rsid w:val="00962332"/>
    <w:rsid w:val="00963D60"/>
    <w:rsid w:val="00964D80"/>
    <w:rsid w:val="0096627F"/>
    <w:rsid w:val="009700AB"/>
    <w:rsid w:val="0097192D"/>
    <w:rsid w:val="0097753F"/>
    <w:rsid w:val="009776F2"/>
    <w:rsid w:val="0098062F"/>
    <w:rsid w:val="00980E48"/>
    <w:rsid w:val="00981280"/>
    <w:rsid w:val="009836AE"/>
    <w:rsid w:val="00986EDF"/>
    <w:rsid w:val="009872A5"/>
    <w:rsid w:val="009874DC"/>
    <w:rsid w:val="009876D4"/>
    <w:rsid w:val="00987A34"/>
    <w:rsid w:val="00992C99"/>
    <w:rsid w:val="00994D2E"/>
    <w:rsid w:val="0099553B"/>
    <w:rsid w:val="009975C6"/>
    <w:rsid w:val="009A0C33"/>
    <w:rsid w:val="009A6008"/>
    <w:rsid w:val="009A74A5"/>
    <w:rsid w:val="009B0357"/>
    <w:rsid w:val="009B076F"/>
    <w:rsid w:val="009B1124"/>
    <w:rsid w:val="009B3064"/>
    <w:rsid w:val="009C078F"/>
    <w:rsid w:val="009C1350"/>
    <w:rsid w:val="009C145E"/>
    <w:rsid w:val="009C2422"/>
    <w:rsid w:val="009C583A"/>
    <w:rsid w:val="009D08F0"/>
    <w:rsid w:val="009D0F21"/>
    <w:rsid w:val="009D17D2"/>
    <w:rsid w:val="009D705E"/>
    <w:rsid w:val="009D7EDB"/>
    <w:rsid w:val="009E22A3"/>
    <w:rsid w:val="009E24F0"/>
    <w:rsid w:val="009E7330"/>
    <w:rsid w:val="009E7E9A"/>
    <w:rsid w:val="009F2E9A"/>
    <w:rsid w:val="009F4148"/>
    <w:rsid w:val="009F5EFC"/>
    <w:rsid w:val="009F634B"/>
    <w:rsid w:val="00A01FA5"/>
    <w:rsid w:val="00A0418C"/>
    <w:rsid w:val="00A07089"/>
    <w:rsid w:val="00A072F0"/>
    <w:rsid w:val="00A12F9F"/>
    <w:rsid w:val="00A144A9"/>
    <w:rsid w:val="00A1590A"/>
    <w:rsid w:val="00A20CB1"/>
    <w:rsid w:val="00A22A95"/>
    <w:rsid w:val="00A25087"/>
    <w:rsid w:val="00A260FD"/>
    <w:rsid w:val="00A315EF"/>
    <w:rsid w:val="00A32890"/>
    <w:rsid w:val="00A40A36"/>
    <w:rsid w:val="00A440D5"/>
    <w:rsid w:val="00A45137"/>
    <w:rsid w:val="00A46278"/>
    <w:rsid w:val="00A47B6C"/>
    <w:rsid w:val="00A51140"/>
    <w:rsid w:val="00A51DA7"/>
    <w:rsid w:val="00A52122"/>
    <w:rsid w:val="00A537E6"/>
    <w:rsid w:val="00A56733"/>
    <w:rsid w:val="00A578C3"/>
    <w:rsid w:val="00A63437"/>
    <w:rsid w:val="00A65A31"/>
    <w:rsid w:val="00A66FB9"/>
    <w:rsid w:val="00A7108C"/>
    <w:rsid w:val="00A71A9F"/>
    <w:rsid w:val="00A739AF"/>
    <w:rsid w:val="00A761C5"/>
    <w:rsid w:val="00A81017"/>
    <w:rsid w:val="00A81816"/>
    <w:rsid w:val="00A83A18"/>
    <w:rsid w:val="00A84BE8"/>
    <w:rsid w:val="00A9145B"/>
    <w:rsid w:val="00A92A36"/>
    <w:rsid w:val="00A92D7E"/>
    <w:rsid w:val="00A92DED"/>
    <w:rsid w:val="00A9436B"/>
    <w:rsid w:val="00A9452D"/>
    <w:rsid w:val="00A94683"/>
    <w:rsid w:val="00A94A4F"/>
    <w:rsid w:val="00A97044"/>
    <w:rsid w:val="00AA030D"/>
    <w:rsid w:val="00AA0C47"/>
    <w:rsid w:val="00AA2120"/>
    <w:rsid w:val="00AA442C"/>
    <w:rsid w:val="00AA6F87"/>
    <w:rsid w:val="00AA7064"/>
    <w:rsid w:val="00AB021D"/>
    <w:rsid w:val="00AB0499"/>
    <w:rsid w:val="00AB3AEB"/>
    <w:rsid w:val="00AB42F9"/>
    <w:rsid w:val="00AB47B4"/>
    <w:rsid w:val="00AB4E5C"/>
    <w:rsid w:val="00AB5C06"/>
    <w:rsid w:val="00AC1397"/>
    <w:rsid w:val="00AC2603"/>
    <w:rsid w:val="00AC268C"/>
    <w:rsid w:val="00AC2F7F"/>
    <w:rsid w:val="00AC2FD2"/>
    <w:rsid w:val="00AC4052"/>
    <w:rsid w:val="00AC72E7"/>
    <w:rsid w:val="00AD1ED4"/>
    <w:rsid w:val="00AD33B7"/>
    <w:rsid w:val="00AD4087"/>
    <w:rsid w:val="00AD4D8B"/>
    <w:rsid w:val="00AD50CC"/>
    <w:rsid w:val="00AD6186"/>
    <w:rsid w:val="00AE0D01"/>
    <w:rsid w:val="00AE45ED"/>
    <w:rsid w:val="00AE643E"/>
    <w:rsid w:val="00AE703A"/>
    <w:rsid w:val="00AE773A"/>
    <w:rsid w:val="00AF0FE4"/>
    <w:rsid w:val="00AF1D9A"/>
    <w:rsid w:val="00AF24CE"/>
    <w:rsid w:val="00AF2C83"/>
    <w:rsid w:val="00AF337E"/>
    <w:rsid w:val="00AF38AB"/>
    <w:rsid w:val="00AF44D0"/>
    <w:rsid w:val="00AF4B2D"/>
    <w:rsid w:val="00AF571D"/>
    <w:rsid w:val="00AF7503"/>
    <w:rsid w:val="00AF7A8C"/>
    <w:rsid w:val="00B01B54"/>
    <w:rsid w:val="00B034BD"/>
    <w:rsid w:val="00B10649"/>
    <w:rsid w:val="00B10E23"/>
    <w:rsid w:val="00B12931"/>
    <w:rsid w:val="00B12FB1"/>
    <w:rsid w:val="00B136C5"/>
    <w:rsid w:val="00B140DA"/>
    <w:rsid w:val="00B157F7"/>
    <w:rsid w:val="00B158A7"/>
    <w:rsid w:val="00B15F78"/>
    <w:rsid w:val="00B1673E"/>
    <w:rsid w:val="00B20EEF"/>
    <w:rsid w:val="00B210AC"/>
    <w:rsid w:val="00B21458"/>
    <w:rsid w:val="00B21686"/>
    <w:rsid w:val="00B218A8"/>
    <w:rsid w:val="00B2610D"/>
    <w:rsid w:val="00B37057"/>
    <w:rsid w:val="00B4313F"/>
    <w:rsid w:val="00B44557"/>
    <w:rsid w:val="00B44EC6"/>
    <w:rsid w:val="00B51588"/>
    <w:rsid w:val="00B52741"/>
    <w:rsid w:val="00B54C3D"/>
    <w:rsid w:val="00B55E2E"/>
    <w:rsid w:val="00B56382"/>
    <w:rsid w:val="00B600F6"/>
    <w:rsid w:val="00B66F23"/>
    <w:rsid w:val="00B67DB1"/>
    <w:rsid w:val="00B70B30"/>
    <w:rsid w:val="00B70DD4"/>
    <w:rsid w:val="00B70FCF"/>
    <w:rsid w:val="00B72E85"/>
    <w:rsid w:val="00B74729"/>
    <w:rsid w:val="00B7535F"/>
    <w:rsid w:val="00B76999"/>
    <w:rsid w:val="00B774A2"/>
    <w:rsid w:val="00B819A6"/>
    <w:rsid w:val="00B8466A"/>
    <w:rsid w:val="00B852EB"/>
    <w:rsid w:val="00B85BA7"/>
    <w:rsid w:val="00B908EA"/>
    <w:rsid w:val="00B927B2"/>
    <w:rsid w:val="00B92EA6"/>
    <w:rsid w:val="00B93067"/>
    <w:rsid w:val="00B93E62"/>
    <w:rsid w:val="00B93F72"/>
    <w:rsid w:val="00B94F16"/>
    <w:rsid w:val="00B95300"/>
    <w:rsid w:val="00B96102"/>
    <w:rsid w:val="00B96EE9"/>
    <w:rsid w:val="00BA0C1B"/>
    <w:rsid w:val="00BA1F33"/>
    <w:rsid w:val="00BA50F3"/>
    <w:rsid w:val="00BA55C5"/>
    <w:rsid w:val="00BA7D85"/>
    <w:rsid w:val="00BB2128"/>
    <w:rsid w:val="00BB3076"/>
    <w:rsid w:val="00BB5033"/>
    <w:rsid w:val="00BB763C"/>
    <w:rsid w:val="00BC203C"/>
    <w:rsid w:val="00BC4FEF"/>
    <w:rsid w:val="00BC548E"/>
    <w:rsid w:val="00BC5F37"/>
    <w:rsid w:val="00BC6D89"/>
    <w:rsid w:val="00BC719D"/>
    <w:rsid w:val="00BD0114"/>
    <w:rsid w:val="00BD0CCA"/>
    <w:rsid w:val="00BD1E3E"/>
    <w:rsid w:val="00BD2788"/>
    <w:rsid w:val="00BE019B"/>
    <w:rsid w:val="00BE09E4"/>
    <w:rsid w:val="00BE1E4F"/>
    <w:rsid w:val="00BE2CDD"/>
    <w:rsid w:val="00BE3912"/>
    <w:rsid w:val="00BE39F5"/>
    <w:rsid w:val="00BE4D6D"/>
    <w:rsid w:val="00BE5524"/>
    <w:rsid w:val="00BE6BDA"/>
    <w:rsid w:val="00BF1BE9"/>
    <w:rsid w:val="00BF250D"/>
    <w:rsid w:val="00BF33C9"/>
    <w:rsid w:val="00BF33F1"/>
    <w:rsid w:val="00BF362F"/>
    <w:rsid w:val="00BF5C29"/>
    <w:rsid w:val="00BF68B5"/>
    <w:rsid w:val="00BF6E4F"/>
    <w:rsid w:val="00C008A2"/>
    <w:rsid w:val="00C01497"/>
    <w:rsid w:val="00C01B2A"/>
    <w:rsid w:val="00C02570"/>
    <w:rsid w:val="00C02D78"/>
    <w:rsid w:val="00C0351F"/>
    <w:rsid w:val="00C03BCE"/>
    <w:rsid w:val="00C04072"/>
    <w:rsid w:val="00C06313"/>
    <w:rsid w:val="00C067A5"/>
    <w:rsid w:val="00C16C80"/>
    <w:rsid w:val="00C1771F"/>
    <w:rsid w:val="00C21985"/>
    <w:rsid w:val="00C23FDF"/>
    <w:rsid w:val="00C24296"/>
    <w:rsid w:val="00C26FF5"/>
    <w:rsid w:val="00C30553"/>
    <w:rsid w:val="00C305E2"/>
    <w:rsid w:val="00C319D4"/>
    <w:rsid w:val="00C3203D"/>
    <w:rsid w:val="00C3358B"/>
    <w:rsid w:val="00C35F01"/>
    <w:rsid w:val="00C40EE3"/>
    <w:rsid w:val="00C41DD1"/>
    <w:rsid w:val="00C42122"/>
    <w:rsid w:val="00C42E73"/>
    <w:rsid w:val="00C43558"/>
    <w:rsid w:val="00C44889"/>
    <w:rsid w:val="00C45CC0"/>
    <w:rsid w:val="00C47122"/>
    <w:rsid w:val="00C510DC"/>
    <w:rsid w:val="00C534C3"/>
    <w:rsid w:val="00C553B5"/>
    <w:rsid w:val="00C56E61"/>
    <w:rsid w:val="00C57D63"/>
    <w:rsid w:val="00C603C7"/>
    <w:rsid w:val="00C63B0E"/>
    <w:rsid w:val="00C70204"/>
    <w:rsid w:val="00C70973"/>
    <w:rsid w:val="00C718E0"/>
    <w:rsid w:val="00C71E6D"/>
    <w:rsid w:val="00C73DB3"/>
    <w:rsid w:val="00C75B60"/>
    <w:rsid w:val="00C76158"/>
    <w:rsid w:val="00C76769"/>
    <w:rsid w:val="00C83A0A"/>
    <w:rsid w:val="00C849AC"/>
    <w:rsid w:val="00C87E61"/>
    <w:rsid w:val="00C941A0"/>
    <w:rsid w:val="00C95FDF"/>
    <w:rsid w:val="00C964EC"/>
    <w:rsid w:val="00C97FC0"/>
    <w:rsid w:val="00CA0BE0"/>
    <w:rsid w:val="00CA2D7C"/>
    <w:rsid w:val="00CA3A9C"/>
    <w:rsid w:val="00CA5E37"/>
    <w:rsid w:val="00CA6C40"/>
    <w:rsid w:val="00CB21E5"/>
    <w:rsid w:val="00CB264F"/>
    <w:rsid w:val="00CB2F8F"/>
    <w:rsid w:val="00CB5008"/>
    <w:rsid w:val="00CB7301"/>
    <w:rsid w:val="00CB7E5F"/>
    <w:rsid w:val="00CC1D82"/>
    <w:rsid w:val="00CC2284"/>
    <w:rsid w:val="00CC2321"/>
    <w:rsid w:val="00CC3EE7"/>
    <w:rsid w:val="00CC779C"/>
    <w:rsid w:val="00CD2DD1"/>
    <w:rsid w:val="00CD4592"/>
    <w:rsid w:val="00CD516A"/>
    <w:rsid w:val="00CD5F50"/>
    <w:rsid w:val="00CD6A65"/>
    <w:rsid w:val="00CE1F94"/>
    <w:rsid w:val="00CE4CCE"/>
    <w:rsid w:val="00CE78A0"/>
    <w:rsid w:val="00CF0F07"/>
    <w:rsid w:val="00CF2A7D"/>
    <w:rsid w:val="00CF359B"/>
    <w:rsid w:val="00CF40DC"/>
    <w:rsid w:val="00D01166"/>
    <w:rsid w:val="00D020F5"/>
    <w:rsid w:val="00D105CB"/>
    <w:rsid w:val="00D10989"/>
    <w:rsid w:val="00D11FBE"/>
    <w:rsid w:val="00D1594D"/>
    <w:rsid w:val="00D168E7"/>
    <w:rsid w:val="00D17BF5"/>
    <w:rsid w:val="00D17C3F"/>
    <w:rsid w:val="00D20E23"/>
    <w:rsid w:val="00D218FD"/>
    <w:rsid w:val="00D231EE"/>
    <w:rsid w:val="00D24AE3"/>
    <w:rsid w:val="00D26062"/>
    <w:rsid w:val="00D27688"/>
    <w:rsid w:val="00D2793C"/>
    <w:rsid w:val="00D306E7"/>
    <w:rsid w:val="00D31225"/>
    <w:rsid w:val="00D31279"/>
    <w:rsid w:val="00D31338"/>
    <w:rsid w:val="00D315CA"/>
    <w:rsid w:val="00D3283E"/>
    <w:rsid w:val="00D32E2A"/>
    <w:rsid w:val="00D330A9"/>
    <w:rsid w:val="00D33713"/>
    <w:rsid w:val="00D3454C"/>
    <w:rsid w:val="00D35793"/>
    <w:rsid w:val="00D403E5"/>
    <w:rsid w:val="00D40AE5"/>
    <w:rsid w:val="00D41647"/>
    <w:rsid w:val="00D4575E"/>
    <w:rsid w:val="00D4592B"/>
    <w:rsid w:val="00D45EF3"/>
    <w:rsid w:val="00D471B1"/>
    <w:rsid w:val="00D47D49"/>
    <w:rsid w:val="00D5027F"/>
    <w:rsid w:val="00D50818"/>
    <w:rsid w:val="00D52D2C"/>
    <w:rsid w:val="00D567DC"/>
    <w:rsid w:val="00D57A89"/>
    <w:rsid w:val="00D57B6A"/>
    <w:rsid w:val="00D622CA"/>
    <w:rsid w:val="00D6421E"/>
    <w:rsid w:val="00D6617D"/>
    <w:rsid w:val="00D71B19"/>
    <w:rsid w:val="00D74594"/>
    <w:rsid w:val="00D74C38"/>
    <w:rsid w:val="00D75069"/>
    <w:rsid w:val="00D764AF"/>
    <w:rsid w:val="00D76A22"/>
    <w:rsid w:val="00D82172"/>
    <w:rsid w:val="00D84906"/>
    <w:rsid w:val="00D84A83"/>
    <w:rsid w:val="00D860F5"/>
    <w:rsid w:val="00D8624B"/>
    <w:rsid w:val="00D91A08"/>
    <w:rsid w:val="00D91E79"/>
    <w:rsid w:val="00D9305D"/>
    <w:rsid w:val="00D93840"/>
    <w:rsid w:val="00D9482F"/>
    <w:rsid w:val="00D95EB1"/>
    <w:rsid w:val="00D960CC"/>
    <w:rsid w:val="00D96BB7"/>
    <w:rsid w:val="00DA0947"/>
    <w:rsid w:val="00DA1990"/>
    <w:rsid w:val="00DA2C63"/>
    <w:rsid w:val="00DA4C59"/>
    <w:rsid w:val="00DA6D43"/>
    <w:rsid w:val="00DA797F"/>
    <w:rsid w:val="00DB0FF7"/>
    <w:rsid w:val="00DB282C"/>
    <w:rsid w:val="00DB346B"/>
    <w:rsid w:val="00DB43BD"/>
    <w:rsid w:val="00DB4951"/>
    <w:rsid w:val="00DB4DF4"/>
    <w:rsid w:val="00DB7E51"/>
    <w:rsid w:val="00DC02F1"/>
    <w:rsid w:val="00DC6CA3"/>
    <w:rsid w:val="00DD2AB7"/>
    <w:rsid w:val="00DD3143"/>
    <w:rsid w:val="00DD324F"/>
    <w:rsid w:val="00DD5D1C"/>
    <w:rsid w:val="00DD6D46"/>
    <w:rsid w:val="00DE0005"/>
    <w:rsid w:val="00DE20E2"/>
    <w:rsid w:val="00DE4817"/>
    <w:rsid w:val="00DE5EA2"/>
    <w:rsid w:val="00DE6AB6"/>
    <w:rsid w:val="00DE7C46"/>
    <w:rsid w:val="00DF052D"/>
    <w:rsid w:val="00DF151A"/>
    <w:rsid w:val="00DF1664"/>
    <w:rsid w:val="00DF3C07"/>
    <w:rsid w:val="00DF5765"/>
    <w:rsid w:val="00DF74F6"/>
    <w:rsid w:val="00DF793D"/>
    <w:rsid w:val="00E01407"/>
    <w:rsid w:val="00E030AE"/>
    <w:rsid w:val="00E0599D"/>
    <w:rsid w:val="00E071BA"/>
    <w:rsid w:val="00E12803"/>
    <w:rsid w:val="00E14A19"/>
    <w:rsid w:val="00E15AC7"/>
    <w:rsid w:val="00E160D2"/>
    <w:rsid w:val="00E1673A"/>
    <w:rsid w:val="00E16FF6"/>
    <w:rsid w:val="00E21838"/>
    <w:rsid w:val="00E24700"/>
    <w:rsid w:val="00E24F72"/>
    <w:rsid w:val="00E2515F"/>
    <w:rsid w:val="00E26520"/>
    <w:rsid w:val="00E2758F"/>
    <w:rsid w:val="00E302EB"/>
    <w:rsid w:val="00E30563"/>
    <w:rsid w:val="00E314D3"/>
    <w:rsid w:val="00E32341"/>
    <w:rsid w:val="00E3417C"/>
    <w:rsid w:val="00E3465C"/>
    <w:rsid w:val="00E34A5C"/>
    <w:rsid w:val="00E355CE"/>
    <w:rsid w:val="00E379A6"/>
    <w:rsid w:val="00E40793"/>
    <w:rsid w:val="00E45904"/>
    <w:rsid w:val="00E47EF8"/>
    <w:rsid w:val="00E50600"/>
    <w:rsid w:val="00E54B7D"/>
    <w:rsid w:val="00E54BA7"/>
    <w:rsid w:val="00E55268"/>
    <w:rsid w:val="00E568B4"/>
    <w:rsid w:val="00E5791D"/>
    <w:rsid w:val="00E60233"/>
    <w:rsid w:val="00E61C10"/>
    <w:rsid w:val="00E61C5D"/>
    <w:rsid w:val="00E63D65"/>
    <w:rsid w:val="00E6568F"/>
    <w:rsid w:val="00E70689"/>
    <w:rsid w:val="00E70A14"/>
    <w:rsid w:val="00E7188D"/>
    <w:rsid w:val="00E728A2"/>
    <w:rsid w:val="00E75FA9"/>
    <w:rsid w:val="00E76F34"/>
    <w:rsid w:val="00E84777"/>
    <w:rsid w:val="00E87D18"/>
    <w:rsid w:val="00E920D3"/>
    <w:rsid w:val="00E925EA"/>
    <w:rsid w:val="00E92FC4"/>
    <w:rsid w:val="00E93363"/>
    <w:rsid w:val="00E94590"/>
    <w:rsid w:val="00E965CB"/>
    <w:rsid w:val="00E97133"/>
    <w:rsid w:val="00EA5E0C"/>
    <w:rsid w:val="00EA639B"/>
    <w:rsid w:val="00EA7347"/>
    <w:rsid w:val="00EB2226"/>
    <w:rsid w:val="00EB29A8"/>
    <w:rsid w:val="00EB753D"/>
    <w:rsid w:val="00EC15AC"/>
    <w:rsid w:val="00EC2DDD"/>
    <w:rsid w:val="00EC3BBA"/>
    <w:rsid w:val="00EC44A4"/>
    <w:rsid w:val="00EC51EB"/>
    <w:rsid w:val="00EC5900"/>
    <w:rsid w:val="00ED02F2"/>
    <w:rsid w:val="00ED0FF5"/>
    <w:rsid w:val="00ED2CFD"/>
    <w:rsid w:val="00ED47CE"/>
    <w:rsid w:val="00ED5495"/>
    <w:rsid w:val="00EE364D"/>
    <w:rsid w:val="00EE545A"/>
    <w:rsid w:val="00EE5B9D"/>
    <w:rsid w:val="00EE69BD"/>
    <w:rsid w:val="00EE73A5"/>
    <w:rsid w:val="00EF0D37"/>
    <w:rsid w:val="00EF23A8"/>
    <w:rsid w:val="00EF23B6"/>
    <w:rsid w:val="00EF262F"/>
    <w:rsid w:val="00EF34D5"/>
    <w:rsid w:val="00EF37B8"/>
    <w:rsid w:val="00EF54FD"/>
    <w:rsid w:val="00EF5ADB"/>
    <w:rsid w:val="00F01511"/>
    <w:rsid w:val="00F026FB"/>
    <w:rsid w:val="00F03A30"/>
    <w:rsid w:val="00F04B98"/>
    <w:rsid w:val="00F05906"/>
    <w:rsid w:val="00F06B2F"/>
    <w:rsid w:val="00F079EA"/>
    <w:rsid w:val="00F10381"/>
    <w:rsid w:val="00F107EF"/>
    <w:rsid w:val="00F11EC7"/>
    <w:rsid w:val="00F12415"/>
    <w:rsid w:val="00F16062"/>
    <w:rsid w:val="00F2002A"/>
    <w:rsid w:val="00F23055"/>
    <w:rsid w:val="00F25377"/>
    <w:rsid w:val="00F2777A"/>
    <w:rsid w:val="00F30DF9"/>
    <w:rsid w:val="00F31078"/>
    <w:rsid w:val="00F33294"/>
    <w:rsid w:val="00F33D18"/>
    <w:rsid w:val="00F35956"/>
    <w:rsid w:val="00F364D8"/>
    <w:rsid w:val="00F3673D"/>
    <w:rsid w:val="00F368B6"/>
    <w:rsid w:val="00F36C8D"/>
    <w:rsid w:val="00F4097C"/>
    <w:rsid w:val="00F409EE"/>
    <w:rsid w:val="00F41E65"/>
    <w:rsid w:val="00F420FF"/>
    <w:rsid w:val="00F4553E"/>
    <w:rsid w:val="00F51440"/>
    <w:rsid w:val="00F51C06"/>
    <w:rsid w:val="00F541E1"/>
    <w:rsid w:val="00F54C0C"/>
    <w:rsid w:val="00F5535A"/>
    <w:rsid w:val="00F55DF4"/>
    <w:rsid w:val="00F56910"/>
    <w:rsid w:val="00F60597"/>
    <w:rsid w:val="00F64924"/>
    <w:rsid w:val="00F66430"/>
    <w:rsid w:val="00F70102"/>
    <w:rsid w:val="00F75A61"/>
    <w:rsid w:val="00F76840"/>
    <w:rsid w:val="00F77ACE"/>
    <w:rsid w:val="00F81156"/>
    <w:rsid w:val="00F81859"/>
    <w:rsid w:val="00F82AFD"/>
    <w:rsid w:val="00F82B10"/>
    <w:rsid w:val="00F83D27"/>
    <w:rsid w:val="00F841BA"/>
    <w:rsid w:val="00F84430"/>
    <w:rsid w:val="00F85977"/>
    <w:rsid w:val="00F85BE6"/>
    <w:rsid w:val="00F91562"/>
    <w:rsid w:val="00F92A51"/>
    <w:rsid w:val="00F92D1E"/>
    <w:rsid w:val="00F93200"/>
    <w:rsid w:val="00F97F3E"/>
    <w:rsid w:val="00FA144A"/>
    <w:rsid w:val="00FA25E7"/>
    <w:rsid w:val="00FA34B9"/>
    <w:rsid w:val="00FA3590"/>
    <w:rsid w:val="00FA57F5"/>
    <w:rsid w:val="00FA5E29"/>
    <w:rsid w:val="00FA663C"/>
    <w:rsid w:val="00FA66D2"/>
    <w:rsid w:val="00FA67F1"/>
    <w:rsid w:val="00FB0BE1"/>
    <w:rsid w:val="00FB10B2"/>
    <w:rsid w:val="00FB23A9"/>
    <w:rsid w:val="00FB297B"/>
    <w:rsid w:val="00FB38FC"/>
    <w:rsid w:val="00FB6DF3"/>
    <w:rsid w:val="00FB738E"/>
    <w:rsid w:val="00FC01C0"/>
    <w:rsid w:val="00FC05C6"/>
    <w:rsid w:val="00FC0BB3"/>
    <w:rsid w:val="00FC2BA4"/>
    <w:rsid w:val="00FC50D4"/>
    <w:rsid w:val="00FC5914"/>
    <w:rsid w:val="00FC5FF1"/>
    <w:rsid w:val="00FD0C24"/>
    <w:rsid w:val="00FD3276"/>
    <w:rsid w:val="00FD4EE2"/>
    <w:rsid w:val="00FD79B8"/>
    <w:rsid w:val="00FD7E4C"/>
    <w:rsid w:val="00FE3448"/>
    <w:rsid w:val="00FE7277"/>
    <w:rsid w:val="00FF1CF5"/>
    <w:rsid w:val="00FF2254"/>
    <w:rsid w:val="00FF4A82"/>
    <w:rsid w:val="00FF60B5"/>
    <w:rsid w:val="00FF6D9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F8A72"/>
  <w15:chartTrackingRefBased/>
  <w15:docId w15:val="{82FDD9B6-E465-47AE-92E4-45869A3E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E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7E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7E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B7E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7E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7E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7E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7E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7E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E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7E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7E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7E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7E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7E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7E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7E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7E51"/>
    <w:rPr>
      <w:rFonts w:eastAsiaTheme="majorEastAsia" w:cstheme="majorBidi"/>
      <w:color w:val="272727" w:themeColor="text1" w:themeTint="D8"/>
    </w:rPr>
  </w:style>
  <w:style w:type="paragraph" w:styleId="Title">
    <w:name w:val="Title"/>
    <w:basedOn w:val="Normal"/>
    <w:next w:val="Normal"/>
    <w:link w:val="TitleChar"/>
    <w:uiPriority w:val="10"/>
    <w:qFormat/>
    <w:rsid w:val="00DB7E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E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E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E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E51"/>
    <w:pPr>
      <w:spacing w:before="160"/>
      <w:jc w:val="center"/>
    </w:pPr>
    <w:rPr>
      <w:i/>
      <w:iCs/>
      <w:color w:val="404040" w:themeColor="text1" w:themeTint="BF"/>
    </w:rPr>
  </w:style>
  <w:style w:type="character" w:customStyle="1" w:styleId="QuoteChar">
    <w:name w:val="Quote Char"/>
    <w:basedOn w:val="DefaultParagraphFont"/>
    <w:link w:val="Quote"/>
    <w:uiPriority w:val="29"/>
    <w:rsid w:val="00DB7E51"/>
    <w:rPr>
      <w:i/>
      <w:iCs/>
      <w:color w:val="404040" w:themeColor="text1" w:themeTint="BF"/>
    </w:rPr>
  </w:style>
  <w:style w:type="paragraph" w:styleId="ListParagraph">
    <w:name w:val="List Paragraph"/>
    <w:basedOn w:val="Normal"/>
    <w:uiPriority w:val="34"/>
    <w:qFormat/>
    <w:rsid w:val="00DB7E51"/>
    <w:pPr>
      <w:ind w:left="720"/>
      <w:contextualSpacing/>
    </w:pPr>
  </w:style>
  <w:style w:type="character" w:styleId="IntenseEmphasis">
    <w:name w:val="Intense Emphasis"/>
    <w:basedOn w:val="DefaultParagraphFont"/>
    <w:uiPriority w:val="21"/>
    <w:qFormat/>
    <w:rsid w:val="00DB7E51"/>
    <w:rPr>
      <w:i/>
      <w:iCs/>
      <w:color w:val="0F4761" w:themeColor="accent1" w:themeShade="BF"/>
    </w:rPr>
  </w:style>
  <w:style w:type="paragraph" w:styleId="IntenseQuote">
    <w:name w:val="Intense Quote"/>
    <w:basedOn w:val="Normal"/>
    <w:next w:val="Normal"/>
    <w:link w:val="IntenseQuoteChar"/>
    <w:uiPriority w:val="30"/>
    <w:qFormat/>
    <w:rsid w:val="00DB7E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7E51"/>
    <w:rPr>
      <w:i/>
      <w:iCs/>
      <w:color w:val="0F4761" w:themeColor="accent1" w:themeShade="BF"/>
    </w:rPr>
  </w:style>
  <w:style w:type="character" w:styleId="IntenseReference">
    <w:name w:val="Intense Reference"/>
    <w:basedOn w:val="DefaultParagraphFont"/>
    <w:uiPriority w:val="32"/>
    <w:qFormat/>
    <w:rsid w:val="00DB7E51"/>
    <w:rPr>
      <w:b/>
      <w:bCs/>
      <w:smallCaps/>
      <w:color w:val="0F4761" w:themeColor="accent1" w:themeShade="BF"/>
      <w:spacing w:val="5"/>
    </w:rPr>
  </w:style>
  <w:style w:type="character" w:customStyle="1" w:styleId="s1">
    <w:name w:val="s1"/>
    <w:basedOn w:val="DefaultParagraphFont"/>
    <w:rsid w:val="00DB7E51"/>
  </w:style>
  <w:style w:type="paragraph" w:customStyle="1" w:styleId="p2">
    <w:name w:val="p2"/>
    <w:basedOn w:val="Normal"/>
    <w:rsid w:val="00DB7E5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DB7E51"/>
  </w:style>
  <w:style w:type="paragraph" w:customStyle="1" w:styleId="p3">
    <w:name w:val="p3"/>
    <w:basedOn w:val="Normal"/>
    <w:rsid w:val="00DB7E51"/>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DB7E51"/>
  </w:style>
  <w:style w:type="character" w:customStyle="1" w:styleId="s4">
    <w:name w:val="s4"/>
    <w:basedOn w:val="DefaultParagraphFont"/>
    <w:rsid w:val="00DB7E51"/>
  </w:style>
  <w:style w:type="paragraph" w:customStyle="1" w:styleId="p1">
    <w:name w:val="p1"/>
    <w:basedOn w:val="Normal"/>
    <w:rsid w:val="00E2758F"/>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A92D7E"/>
  </w:style>
  <w:style w:type="character" w:styleId="Hyperlink">
    <w:name w:val="Hyperlink"/>
    <w:basedOn w:val="DefaultParagraphFont"/>
    <w:uiPriority w:val="99"/>
    <w:semiHidden/>
    <w:unhideWhenUsed/>
    <w:rsid w:val="00E94590"/>
    <w:rPr>
      <w:color w:val="0000FF"/>
      <w:u w:val="single"/>
    </w:rPr>
  </w:style>
  <w:style w:type="table" w:styleId="TableGrid">
    <w:name w:val="Table Grid"/>
    <w:basedOn w:val="TableNormal"/>
    <w:uiPriority w:val="39"/>
    <w:rsid w:val="00FC5FF1"/>
    <w:pPr>
      <w:spacing w:after="0" w:line="240" w:lineRule="auto"/>
    </w:pPr>
    <w:tblPr>
      <w:tblInd w:w="0" w:type="nil"/>
      <w:tblCellMar>
        <w:left w:w="0" w:type="dxa"/>
        <w:right w:w="0" w:type="dxa"/>
      </w:tblCellMar>
    </w:tblPr>
  </w:style>
  <w:style w:type="character" w:customStyle="1" w:styleId="bumpedfont15">
    <w:name w:val="bumpedfont15"/>
    <w:basedOn w:val="DefaultParagraphFont"/>
    <w:rsid w:val="00180487"/>
  </w:style>
  <w:style w:type="paragraph" w:customStyle="1" w:styleId="s6">
    <w:name w:val="s6"/>
    <w:basedOn w:val="Normal"/>
    <w:rsid w:val="00180487"/>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180487"/>
  </w:style>
  <w:style w:type="paragraph" w:styleId="Header">
    <w:name w:val="header"/>
    <w:basedOn w:val="Normal"/>
    <w:link w:val="HeaderChar"/>
    <w:uiPriority w:val="99"/>
    <w:unhideWhenUsed/>
    <w:rsid w:val="00EE5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B9D"/>
  </w:style>
  <w:style w:type="paragraph" w:styleId="Footer">
    <w:name w:val="footer"/>
    <w:basedOn w:val="Normal"/>
    <w:link w:val="FooterChar"/>
    <w:uiPriority w:val="99"/>
    <w:unhideWhenUsed/>
    <w:rsid w:val="00EE5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B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89685">
      <w:bodyDiv w:val="1"/>
      <w:marLeft w:val="0"/>
      <w:marRight w:val="0"/>
      <w:marTop w:val="0"/>
      <w:marBottom w:val="0"/>
      <w:divBdr>
        <w:top w:val="none" w:sz="0" w:space="0" w:color="auto"/>
        <w:left w:val="none" w:sz="0" w:space="0" w:color="auto"/>
        <w:bottom w:val="none" w:sz="0" w:space="0" w:color="auto"/>
        <w:right w:val="none" w:sz="0" w:space="0" w:color="auto"/>
      </w:divBdr>
    </w:div>
    <w:div w:id="141775933">
      <w:bodyDiv w:val="1"/>
      <w:marLeft w:val="0"/>
      <w:marRight w:val="0"/>
      <w:marTop w:val="0"/>
      <w:marBottom w:val="0"/>
      <w:divBdr>
        <w:top w:val="none" w:sz="0" w:space="0" w:color="auto"/>
        <w:left w:val="none" w:sz="0" w:space="0" w:color="auto"/>
        <w:bottom w:val="none" w:sz="0" w:space="0" w:color="auto"/>
        <w:right w:val="none" w:sz="0" w:space="0" w:color="auto"/>
      </w:divBdr>
    </w:div>
    <w:div w:id="186799029">
      <w:bodyDiv w:val="1"/>
      <w:marLeft w:val="0"/>
      <w:marRight w:val="0"/>
      <w:marTop w:val="0"/>
      <w:marBottom w:val="0"/>
      <w:divBdr>
        <w:top w:val="none" w:sz="0" w:space="0" w:color="auto"/>
        <w:left w:val="none" w:sz="0" w:space="0" w:color="auto"/>
        <w:bottom w:val="none" w:sz="0" w:space="0" w:color="auto"/>
        <w:right w:val="none" w:sz="0" w:space="0" w:color="auto"/>
      </w:divBdr>
    </w:div>
    <w:div w:id="230971465">
      <w:bodyDiv w:val="1"/>
      <w:marLeft w:val="0"/>
      <w:marRight w:val="0"/>
      <w:marTop w:val="0"/>
      <w:marBottom w:val="0"/>
      <w:divBdr>
        <w:top w:val="none" w:sz="0" w:space="0" w:color="auto"/>
        <w:left w:val="none" w:sz="0" w:space="0" w:color="auto"/>
        <w:bottom w:val="none" w:sz="0" w:space="0" w:color="auto"/>
        <w:right w:val="none" w:sz="0" w:space="0" w:color="auto"/>
      </w:divBdr>
      <w:divsChild>
        <w:div w:id="972296520">
          <w:marLeft w:val="0"/>
          <w:marRight w:val="0"/>
          <w:marTop w:val="0"/>
          <w:marBottom w:val="0"/>
          <w:divBdr>
            <w:top w:val="none" w:sz="0" w:space="0" w:color="auto"/>
            <w:left w:val="none" w:sz="0" w:space="0" w:color="auto"/>
            <w:bottom w:val="none" w:sz="0" w:space="0" w:color="auto"/>
            <w:right w:val="none" w:sz="0" w:space="0" w:color="auto"/>
          </w:divBdr>
        </w:div>
      </w:divsChild>
    </w:div>
    <w:div w:id="273441631">
      <w:bodyDiv w:val="1"/>
      <w:marLeft w:val="0"/>
      <w:marRight w:val="0"/>
      <w:marTop w:val="0"/>
      <w:marBottom w:val="0"/>
      <w:divBdr>
        <w:top w:val="none" w:sz="0" w:space="0" w:color="auto"/>
        <w:left w:val="none" w:sz="0" w:space="0" w:color="auto"/>
        <w:bottom w:val="none" w:sz="0" w:space="0" w:color="auto"/>
        <w:right w:val="none" w:sz="0" w:space="0" w:color="auto"/>
      </w:divBdr>
    </w:div>
    <w:div w:id="345400083">
      <w:bodyDiv w:val="1"/>
      <w:marLeft w:val="0"/>
      <w:marRight w:val="0"/>
      <w:marTop w:val="0"/>
      <w:marBottom w:val="0"/>
      <w:divBdr>
        <w:top w:val="none" w:sz="0" w:space="0" w:color="auto"/>
        <w:left w:val="none" w:sz="0" w:space="0" w:color="auto"/>
        <w:bottom w:val="none" w:sz="0" w:space="0" w:color="auto"/>
        <w:right w:val="none" w:sz="0" w:space="0" w:color="auto"/>
      </w:divBdr>
    </w:div>
    <w:div w:id="365913389">
      <w:bodyDiv w:val="1"/>
      <w:marLeft w:val="0"/>
      <w:marRight w:val="0"/>
      <w:marTop w:val="0"/>
      <w:marBottom w:val="0"/>
      <w:divBdr>
        <w:top w:val="none" w:sz="0" w:space="0" w:color="auto"/>
        <w:left w:val="none" w:sz="0" w:space="0" w:color="auto"/>
        <w:bottom w:val="none" w:sz="0" w:space="0" w:color="auto"/>
        <w:right w:val="none" w:sz="0" w:space="0" w:color="auto"/>
      </w:divBdr>
      <w:divsChild>
        <w:div w:id="1574244409">
          <w:marLeft w:val="0"/>
          <w:marRight w:val="0"/>
          <w:marTop w:val="0"/>
          <w:marBottom w:val="0"/>
          <w:divBdr>
            <w:top w:val="none" w:sz="0" w:space="0" w:color="auto"/>
            <w:left w:val="none" w:sz="0" w:space="0" w:color="auto"/>
            <w:bottom w:val="none" w:sz="0" w:space="0" w:color="auto"/>
            <w:right w:val="none" w:sz="0" w:space="0" w:color="auto"/>
          </w:divBdr>
        </w:div>
      </w:divsChild>
    </w:div>
    <w:div w:id="442237640">
      <w:bodyDiv w:val="1"/>
      <w:marLeft w:val="0"/>
      <w:marRight w:val="0"/>
      <w:marTop w:val="0"/>
      <w:marBottom w:val="0"/>
      <w:divBdr>
        <w:top w:val="none" w:sz="0" w:space="0" w:color="auto"/>
        <w:left w:val="none" w:sz="0" w:space="0" w:color="auto"/>
        <w:bottom w:val="none" w:sz="0" w:space="0" w:color="auto"/>
        <w:right w:val="none" w:sz="0" w:space="0" w:color="auto"/>
      </w:divBdr>
    </w:div>
    <w:div w:id="518541883">
      <w:bodyDiv w:val="1"/>
      <w:marLeft w:val="0"/>
      <w:marRight w:val="0"/>
      <w:marTop w:val="0"/>
      <w:marBottom w:val="0"/>
      <w:divBdr>
        <w:top w:val="none" w:sz="0" w:space="0" w:color="auto"/>
        <w:left w:val="none" w:sz="0" w:space="0" w:color="auto"/>
        <w:bottom w:val="none" w:sz="0" w:space="0" w:color="auto"/>
        <w:right w:val="none" w:sz="0" w:space="0" w:color="auto"/>
      </w:divBdr>
    </w:div>
    <w:div w:id="528108698">
      <w:bodyDiv w:val="1"/>
      <w:marLeft w:val="0"/>
      <w:marRight w:val="0"/>
      <w:marTop w:val="0"/>
      <w:marBottom w:val="0"/>
      <w:divBdr>
        <w:top w:val="none" w:sz="0" w:space="0" w:color="auto"/>
        <w:left w:val="none" w:sz="0" w:space="0" w:color="auto"/>
        <w:bottom w:val="none" w:sz="0" w:space="0" w:color="auto"/>
        <w:right w:val="none" w:sz="0" w:space="0" w:color="auto"/>
      </w:divBdr>
    </w:div>
    <w:div w:id="534587209">
      <w:bodyDiv w:val="1"/>
      <w:marLeft w:val="0"/>
      <w:marRight w:val="0"/>
      <w:marTop w:val="0"/>
      <w:marBottom w:val="0"/>
      <w:divBdr>
        <w:top w:val="none" w:sz="0" w:space="0" w:color="auto"/>
        <w:left w:val="none" w:sz="0" w:space="0" w:color="auto"/>
        <w:bottom w:val="none" w:sz="0" w:space="0" w:color="auto"/>
        <w:right w:val="none" w:sz="0" w:space="0" w:color="auto"/>
      </w:divBdr>
    </w:div>
    <w:div w:id="573663474">
      <w:bodyDiv w:val="1"/>
      <w:marLeft w:val="0"/>
      <w:marRight w:val="0"/>
      <w:marTop w:val="0"/>
      <w:marBottom w:val="0"/>
      <w:divBdr>
        <w:top w:val="none" w:sz="0" w:space="0" w:color="auto"/>
        <w:left w:val="none" w:sz="0" w:space="0" w:color="auto"/>
        <w:bottom w:val="none" w:sz="0" w:space="0" w:color="auto"/>
        <w:right w:val="none" w:sz="0" w:space="0" w:color="auto"/>
      </w:divBdr>
    </w:div>
    <w:div w:id="585385554">
      <w:bodyDiv w:val="1"/>
      <w:marLeft w:val="0"/>
      <w:marRight w:val="0"/>
      <w:marTop w:val="0"/>
      <w:marBottom w:val="0"/>
      <w:divBdr>
        <w:top w:val="none" w:sz="0" w:space="0" w:color="auto"/>
        <w:left w:val="none" w:sz="0" w:space="0" w:color="auto"/>
        <w:bottom w:val="none" w:sz="0" w:space="0" w:color="auto"/>
        <w:right w:val="none" w:sz="0" w:space="0" w:color="auto"/>
      </w:divBdr>
      <w:divsChild>
        <w:div w:id="334499805">
          <w:marLeft w:val="0"/>
          <w:marRight w:val="0"/>
          <w:marTop w:val="0"/>
          <w:marBottom w:val="0"/>
          <w:divBdr>
            <w:top w:val="none" w:sz="0" w:space="0" w:color="auto"/>
            <w:left w:val="none" w:sz="0" w:space="0" w:color="auto"/>
            <w:bottom w:val="none" w:sz="0" w:space="0" w:color="auto"/>
            <w:right w:val="none" w:sz="0" w:space="0" w:color="auto"/>
          </w:divBdr>
        </w:div>
      </w:divsChild>
    </w:div>
    <w:div w:id="588929180">
      <w:bodyDiv w:val="1"/>
      <w:marLeft w:val="0"/>
      <w:marRight w:val="0"/>
      <w:marTop w:val="0"/>
      <w:marBottom w:val="0"/>
      <w:divBdr>
        <w:top w:val="none" w:sz="0" w:space="0" w:color="auto"/>
        <w:left w:val="none" w:sz="0" w:space="0" w:color="auto"/>
        <w:bottom w:val="none" w:sz="0" w:space="0" w:color="auto"/>
        <w:right w:val="none" w:sz="0" w:space="0" w:color="auto"/>
      </w:divBdr>
      <w:divsChild>
        <w:div w:id="565919059">
          <w:marLeft w:val="0"/>
          <w:marRight w:val="0"/>
          <w:marTop w:val="0"/>
          <w:marBottom w:val="0"/>
          <w:divBdr>
            <w:top w:val="none" w:sz="0" w:space="0" w:color="auto"/>
            <w:left w:val="none" w:sz="0" w:space="0" w:color="auto"/>
            <w:bottom w:val="none" w:sz="0" w:space="0" w:color="auto"/>
            <w:right w:val="none" w:sz="0" w:space="0" w:color="auto"/>
          </w:divBdr>
        </w:div>
      </w:divsChild>
    </w:div>
    <w:div w:id="679698903">
      <w:bodyDiv w:val="1"/>
      <w:marLeft w:val="0"/>
      <w:marRight w:val="0"/>
      <w:marTop w:val="0"/>
      <w:marBottom w:val="0"/>
      <w:divBdr>
        <w:top w:val="none" w:sz="0" w:space="0" w:color="auto"/>
        <w:left w:val="none" w:sz="0" w:space="0" w:color="auto"/>
        <w:bottom w:val="none" w:sz="0" w:space="0" w:color="auto"/>
        <w:right w:val="none" w:sz="0" w:space="0" w:color="auto"/>
      </w:divBdr>
    </w:div>
    <w:div w:id="754933548">
      <w:bodyDiv w:val="1"/>
      <w:marLeft w:val="0"/>
      <w:marRight w:val="0"/>
      <w:marTop w:val="0"/>
      <w:marBottom w:val="0"/>
      <w:divBdr>
        <w:top w:val="none" w:sz="0" w:space="0" w:color="auto"/>
        <w:left w:val="none" w:sz="0" w:space="0" w:color="auto"/>
        <w:bottom w:val="none" w:sz="0" w:space="0" w:color="auto"/>
        <w:right w:val="none" w:sz="0" w:space="0" w:color="auto"/>
      </w:divBdr>
    </w:div>
    <w:div w:id="756441499">
      <w:bodyDiv w:val="1"/>
      <w:marLeft w:val="0"/>
      <w:marRight w:val="0"/>
      <w:marTop w:val="0"/>
      <w:marBottom w:val="0"/>
      <w:divBdr>
        <w:top w:val="none" w:sz="0" w:space="0" w:color="auto"/>
        <w:left w:val="none" w:sz="0" w:space="0" w:color="auto"/>
        <w:bottom w:val="none" w:sz="0" w:space="0" w:color="auto"/>
        <w:right w:val="none" w:sz="0" w:space="0" w:color="auto"/>
      </w:divBdr>
    </w:div>
    <w:div w:id="761879832">
      <w:bodyDiv w:val="1"/>
      <w:marLeft w:val="0"/>
      <w:marRight w:val="0"/>
      <w:marTop w:val="0"/>
      <w:marBottom w:val="0"/>
      <w:divBdr>
        <w:top w:val="none" w:sz="0" w:space="0" w:color="auto"/>
        <w:left w:val="none" w:sz="0" w:space="0" w:color="auto"/>
        <w:bottom w:val="none" w:sz="0" w:space="0" w:color="auto"/>
        <w:right w:val="none" w:sz="0" w:space="0" w:color="auto"/>
      </w:divBdr>
    </w:div>
    <w:div w:id="828136118">
      <w:bodyDiv w:val="1"/>
      <w:marLeft w:val="0"/>
      <w:marRight w:val="0"/>
      <w:marTop w:val="0"/>
      <w:marBottom w:val="0"/>
      <w:divBdr>
        <w:top w:val="none" w:sz="0" w:space="0" w:color="auto"/>
        <w:left w:val="none" w:sz="0" w:space="0" w:color="auto"/>
        <w:bottom w:val="none" w:sz="0" w:space="0" w:color="auto"/>
        <w:right w:val="none" w:sz="0" w:space="0" w:color="auto"/>
      </w:divBdr>
    </w:div>
    <w:div w:id="895553123">
      <w:bodyDiv w:val="1"/>
      <w:marLeft w:val="0"/>
      <w:marRight w:val="0"/>
      <w:marTop w:val="0"/>
      <w:marBottom w:val="0"/>
      <w:divBdr>
        <w:top w:val="none" w:sz="0" w:space="0" w:color="auto"/>
        <w:left w:val="none" w:sz="0" w:space="0" w:color="auto"/>
        <w:bottom w:val="none" w:sz="0" w:space="0" w:color="auto"/>
        <w:right w:val="none" w:sz="0" w:space="0" w:color="auto"/>
      </w:divBdr>
    </w:div>
    <w:div w:id="916674963">
      <w:bodyDiv w:val="1"/>
      <w:marLeft w:val="0"/>
      <w:marRight w:val="0"/>
      <w:marTop w:val="0"/>
      <w:marBottom w:val="0"/>
      <w:divBdr>
        <w:top w:val="none" w:sz="0" w:space="0" w:color="auto"/>
        <w:left w:val="none" w:sz="0" w:space="0" w:color="auto"/>
        <w:bottom w:val="none" w:sz="0" w:space="0" w:color="auto"/>
        <w:right w:val="none" w:sz="0" w:space="0" w:color="auto"/>
      </w:divBdr>
    </w:div>
    <w:div w:id="1046954634">
      <w:bodyDiv w:val="1"/>
      <w:marLeft w:val="0"/>
      <w:marRight w:val="0"/>
      <w:marTop w:val="0"/>
      <w:marBottom w:val="0"/>
      <w:divBdr>
        <w:top w:val="none" w:sz="0" w:space="0" w:color="auto"/>
        <w:left w:val="none" w:sz="0" w:space="0" w:color="auto"/>
        <w:bottom w:val="none" w:sz="0" w:space="0" w:color="auto"/>
        <w:right w:val="none" w:sz="0" w:space="0" w:color="auto"/>
      </w:divBdr>
    </w:div>
    <w:div w:id="1062364989">
      <w:bodyDiv w:val="1"/>
      <w:marLeft w:val="0"/>
      <w:marRight w:val="0"/>
      <w:marTop w:val="0"/>
      <w:marBottom w:val="0"/>
      <w:divBdr>
        <w:top w:val="none" w:sz="0" w:space="0" w:color="auto"/>
        <w:left w:val="none" w:sz="0" w:space="0" w:color="auto"/>
        <w:bottom w:val="none" w:sz="0" w:space="0" w:color="auto"/>
        <w:right w:val="none" w:sz="0" w:space="0" w:color="auto"/>
      </w:divBdr>
      <w:divsChild>
        <w:div w:id="136651144">
          <w:marLeft w:val="0"/>
          <w:marRight w:val="0"/>
          <w:marTop w:val="0"/>
          <w:marBottom w:val="0"/>
          <w:divBdr>
            <w:top w:val="none" w:sz="0" w:space="0" w:color="auto"/>
            <w:left w:val="none" w:sz="0" w:space="0" w:color="auto"/>
            <w:bottom w:val="none" w:sz="0" w:space="0" w:color="auto"/>
            <w:right w:val="none" w:sz="0" w:space="0" w:color="auto"/>
          </w:divBdr>
        </w:div>
      </w:divsChild>
    </w:div>
    <w:div w:id="1078017523">
      <w:bodyDiv w:val="1"/>
      <w:marLeft w:val="0"/>
      <w:marRight w:val="0"/>
      <w:marTop w:val="0"/>
      <w:marBottom w:val="0"/>
      <w:divBdr>
        <w:top w:val="none" w:sz="0" w:space="0" w:color="auto"/>
        <w:left w:val="none" w:sz="0" w:space="0" w:color="auto"/>
        <w:bottom w:val="none" w:sz="0" w:space="0" w:color="auto"/>
        <w:right w:val="none" w:sz="0" w:space="0" w:color="auto"/>
      </w:divBdr>
    </w:div>
    <w:div w:id="1257402731">
      <w:bodyDiv w:val="1"/>
      <w:marLeft w:val="0"/>
      <w:marRight w:val="0"/>
      <w:marTop w:val="0"/>
      <w:marBottom w:val="0"/>
      <w:divBdr>
        <w:top w:val="none" w:sz="0" w:space="0" w:color="auto"/>
        <w:left w:val="none" w:sz="0" w:space="0" w:color="auto"/>
        <w:bottom w:val="none" w:sz="0" w:space="0" w:color="auto"/>
        <w:right w:val="none" w:sz="0" w:space="0" w:color="auto"/>
      </w:divBdr>
    </w:div>
    <w:div w:id="1284311739">
      <w:bodyDiv w:val="1"/>
      <w:marLeft w:val="0"/>
      <w:marRight w:val="0"/>
      <w:marTop w:val="0"/>
      <w:marBottom w:val="0"/>
      <w:divBdr>
        <w:top w:val="none" w:sz="0" w:space="0" w:color="auto"/>
        <w:left w:val="none" w:sz="0" w:space="0" w:color="auto"/>
        <w:bottom w:val="none" w:sz="0" w:space="0" w:color="auto"/>
        <w:right w:val="none" w:sz="0" w:space="0" w:color="auto"/>
      </w:divBdr>
      <w:divsChild>
        <w:div w:id="1881167153">
          <w:marLeft w:val="0"/>
          <w:marRight w:val="0"/>
          <w:marTop w:val="0"/>
          <w:marBottom w:val="0"/>
          <w:divBdr>
            <w:top w:val="none" w:sz="0" w:space="0" w:color="auto"/>
            <w:left w:val="none" w:sz="0" w:space="0" w:color="auto"/>
            <w:bottom w:val="none" w:sz="0" w:space="0" w:color="auto"/>
            <w:right w:val="none" w:sz="0" w:space="0" w:color="auto"/>
          </w:divBdr>
        </w:div>
      </w:divsChild>
    </w:div>
    <w:div w:id="1301770017">
      <w:bodyDiv w:val="1"/>
      <w:marLeft w:val="0"/>
      <w:marRight w:val="0"/>
      <w:marTop w:val="0"/>
      <w:marBottom w:val="0"/>
      <w:divBdr>
        <w:top w:val="none" w:sz="0" w:space="0" w:color="auto"/>
        <w:left w:val="none" w:sz="0" w:space="0" w:color="auto"/>
        <w:bottom w:val="none" w:sz="0" w:space="0" w:color="auto"/>
        <w:right w:val="none" w:sz="0" w:space="0" w:color="auto"/>
      </w:divBdr>
      <w:divsChild>
        <w:div w:id="1743286388">
          <w:marLeft w:val="0"/>
          <w:marRight w:val="0"/>
          <w:marTop w:val="0"/>
          <w:marBottom w:val="0"/>
          <w:divBdr>
            <w:top w:val="none" w:sz="0" w:space="0" w:color="auto"/>
            <w:left w:val="none" w:sz="0" w:space="0" w:color="auto"/>
            <w:bottom w:val="none" w:sz="0" w:space="0" w:color="auto"/>
            <w:right w:val="none" w:sz="0" w:space="0" w:color="auto"/>
          </w:divBdr>
        </w:div>
      </w:divsChild>
    </w:div>
    <w:div w:id="1328243417">
      <w:bodyDiv w:val="1"/>
      <w:marLeft w:val="0"/>
      <w:marRight w:val="0"/>
      <w:marTop w:val="0"/>
      <w:marBottom w:val="0"/>
      <w:divBdr>
        <w:top w:val="none" w:sz="0" w:space="0" w:color="auto"/>
        <w:left w:val="none" w:sz="0" w:space="0" w:color="auto"/>
        <w:bottom w:val="none" w:sz="0" w:space="0" w:color="auto"/>
        <w:right w:val="none" w:sz="0" w:space="0" w:color="auto"/>
      </w:divBdr>
    </w:div>
    <w:div w:id="1442719630">
      <w:bodyDiv w:val="1"/>
      <w:marLeft w:val="0"/>
      <w:marRight w:val="0"/>
      <w:marTop w:val="0"/>
      <w:marBottom w:val="0"/>
      <w:divBdr>
        <w:top w:val="none" w:sz="0" w:space="0" w:color="auto"/>
        <w:left w:val="none" w:sz="0" w:space="0" w:color="auto"/>
        <w:bottom w:val="none" w:sz="0" w:space="0" w:color="auto"/>
        <w:right w:val="none" w:sz="0" w:space="0" w:color="auto"/>
      </w:divBdr>
    </w:div>
    <w:div w:id="1447847120">
      <w:bodyDiv w:val="1"/>
      <w:marLeft w:val="0"/>
      <w:marRight w:val="0"/>
      <w:marTop w:val="0"/>
      <w:marBottom w:val="0"/>
      <w:divBdr>
        <w:top w:val="none" w:sz="0" w:space="0" w:color="auto"/>
        <w:left w:val="none" w:sz="0" w:space="0" w:color="auto"/>
        <w:bottom w:val="none" w:sz="0" w:space="0" w:color="auto"/>
        <w:right w:val="none" w:sz="0" w:space="0" w:color="auto"/>
      </w:divBdr>
    </w:div>
    <w:div w:id="1449158924">
      <w:bodyDiv w:val="1"/>
      <w:marLeft w:val="0"/>
      <w:marRight w:val="0"/>
      <w:marTop w:val="0"/>
      <w:marBottom w:val="0"/>
      <w:divBdr>
        <w:top w:val="none" w:sz="0" w:space="0" w:color="auto"/>
        <w:left w:val="none" w:sz="0" w:space="0" w:color="auto"/>
        <w:bottom w:val="none" w:sz="0" w:space="0" w:color="auto"/>
        <w:right w:val="none" w:sz="0" w:space="0" w:color="auto"/>
      </w:divBdr>
    </w:div>
    <w:div w:id="1473787738">
      <w:bodyDiv w:val="1"/>
      <w:marLeft w:val="0"/>
      <w:marRight w:val="0"/>
      <w:marTop w:val="0"/>
      <w:marBottom w:val="0"/>
      <w:divBdr>
        <w:top w:val="none" w:sz="0" w:space="0" w:color="auto"/>
        <w:left w:val="none" w:sz="0" w:space="0" w:color="auto"/>
        <w:bottom w:val="none" w:sz="0" w:space="0" w:color="auto"/>
        <w:right w:val="none" w:sz="0" w:space="0" w:color="auto"/>
      </w:divBdr>
    </w:div>
    <w:div w:id="1479834944">
      <w:bodyDiv w:val="1"/>
      <w:marLeft w:val="0"/>
      <w:marRight w:val="0"/>
      <w:marTop w:val="0"/>
      <w:marBottom w:val="0"/>
      <w:divBdr>
        <w:top w:val="none" w:sz="0" w:space="0" w:color="auto"/>
        <w:left w:val="none" w:sz="0" w:space="0" w:color="auto"/>
        <w:bottom w:val="none" w:sz="0" w:space="0" w:color="auto"/>
        <w:right w:val="none" w:sz="0" w:space="0" w:color="auto"/>
      </w:divBdr>
    </w:div>
    <w:div w:id="1486360783">
      <w:bodyDiv w:val="1"/>
      <w:marLeft w:val="0"/>
      <w:marRight w:val="0"/>
      <w:marTop w:val="0"/>
      <w:marBottom w:val="0"/>
      <w:divBdr>
        <w:top w:val="none" w:sz="0" w:space="0" w:color="auto"/>
        <w:left w:val="none" w:sz="0" w:space="0" w:color="auto"/>
        <w:bottom w:val="none" w:sz="0" w:space="0" w:color="auto"/>
        <w:right w:val="none" w:sz="0" w:space="0" w:color="auto"/>
      </w:divBdr>
      <w:divsChild>
        <w:div w:id="364716699">
          <w:marLeft w:val="0"/>
          <w:marRight w:val="0"/>
          <w:marTop w:val="0"/>
          <w:marBottom w:val="0"/>
          <w:divBdr>
            <w:top w:val="none" w:sz="0" w:space="0" w:color="auto"/>
            <w:left w:val="none" w:sz="0" w:space="0" w:color="auto"/>
            <w:bottom w:val="none" w:sz="0" w:space="0" w:color="auto"/>
            <w:right w:val="none" w:sz="0" w:space="0" w:color="auto"/>
          </w:divBdr>
        </w:div>
        <w:div w:id="1596745867">
          <w:marLeft w:val="0"/>
          <w:marRight w:val="0"/>
          <w:marTop w:val="0"/>
          <w:marBottom w:val="0"/>
          <w:divBdr>
            <w:top w:val="none" w:sz="0" w:space="0" w:color="auto"/>
            <w:left w:val="none" w:sz="0" w:space="0" w:color="auto"/>
            <w:bottom w:val="none" w:sz="0" w:space="0" w:color="auto"/>
            <w:right w:val="none" w:sz="0" w:space="0" w:color="auto"/>
          </w:divBdr>
        </w:div>
      </w:divsChild>
    </w:div>
    <w:div w:id="1548956961">
      <w:bodyDiv w:val="1"/>
      <w:marLeft w:val="0"/>
      <w:marRight w:val="0"/>
      <w:marTop w:val="0"/>
      <w:marBottom w:val="0"/>
      <w:divBdr>
        <w:top w:val="none" w:sz="0" w:space="0" w:color="auto"/>
        <w:left w:val="none" w:sz="0" w:space="0" w:color="auto"/>
        <w:bottom w:val="none" w:sz="0" w:space="0" w:color="auto"/>
        <w:right w:val="none" w:sz="0" w:space="0" w:color="auto"/>
      </w:divBdr>
    </w:div>
    <w:div w:id="1657606876">
      <w:bodyDiv w:val="1"/>
      <w:marLeft w:val="0"/>
      <w:marRight w:val="0"/>
      <w:marTop w:val="0"/>
      <w:marBottom w:val="0"/>
      <w:divBdr>
        <w:top w:val="none" w:sz="0" w:space="0" w:color="auto"/>
        <w:left w:val="none" w:sz="0" w:space="0" w:color="auto"/>
        <w:bottom w:val="none" w:sz="0" w:space="0" w:color="auto"/>
        <w:right w:val="none" w:sz="0" w:space="0" w:color="auto"/>
      </w:divBdr>
    </w:div>
    <w:div w:id="1670478905">
      <w:bodyDiv w:val="1"/>
      <w:marLeft w:val="0"/>
      <w:marRight w:val="0"/>
      <w:marTop w:val="0"/>
      <w:marBottom w:val="0"/>
      <w:divBdr>
        <w:top w:val="none" w:sz="0" w:space="0" w:color="auto"/>
        <w:left w:val="none" w:sz="0" w:space="0" w:color="auto"/>
        <w:bottom w:val="none" w:sz="0" w:space="0" w:color="auto"/>
        <w:right w:val="none" w:sz="0" w:space="0" w:color="auto"/>
      </w:divBdr>
    </w:div>
    <w:div w:id="1751805752">
      <w:bodyDiv w:val="1"/>
      <w:marLeft w:val="0"/>
      <w:marRight w:val="0"/>
      <w:marTop w:val="0"/>
      <w:marBottom w:val="0"/>
      <w:divBdr>
        <w:top w:val="none" w:sz="0" w:space="0" w:color="auto"/>
        <w:left w:val="none" w:sz="0" w:space="0" w:color="auto"/>
        <w:bottom w:val="none" w:sz="0" w:space="0" w:color="auto"/>
        <w:right w:val="none" w:sz="0" w:space="0" w:color="auto"/>
      </w:divBdr>
    </w:div>
    <w:div w:id="1802571992">
      <w:bodyDiv w:val="1"/>
      <w:marLeft w:val="0"/>
      <w:marRight w:val="0"/>
      <w:marTop w:val="0"/>
      <w:marBottom w:val="0"/>
      <w:divBdr>
        <w:top w:val="none" w:sz="0" w:space="0" w:color="auto"/>
        <w:left w:val="none" w:sz="0" w:space="0" w:color="auto"/>
        <w:bottom w:val="none" w:sz="0" w:space="0" w:color="auto"/>
        <w:right w:val="none" w:sz="0" w:space="0" w:color="auto"/>
      </w:divBdr>
    </w:div>
    <w:div w:id="1813862996">
      <w:bodyDiv w:val="1"/>
      <w:marLeft w:val="0"/>
      <w:marRight w:val="0"/>
      <w:marTop w:val="0"/>
      <w:marBottom w:val="0"/>
      <w:divBdr>
        <w:top w:val="none" w:sz="0" w:space="0" w:color="auto"/>
        <w:left w:val="none" w:sz="0" w:space="0" w:color="auto"/>
        <w:bottom w:val="none" w:sz="0" w:space="0" w:color="auto"/>
        <w:right w:val="none" w:sz="0" w:space="0" w:color="auto"/>
      </w:divBdr>
      <w:divsChild>
        <w:div w:id="240141691">
          <w:marLeft w:val="0"/>
          <w:marRight w:val="0"/>
          <w:marTop w:val="0"/>
          <w:marBottom w:val="0"/>
          <w:divBdr>
            <w:top w:val="none" w:sz="0" w:space="0" w:color="auto"/>
            <w:left w:val="none" w:sz="0" w:space="0" w:color="auto"/>
            <w:bottom w:val="none" w:sz="0" w:space="0" w:color="auto"/>
            <w:right w:val="none" w:sz="0" w:space="0" w:color="auto"/>
          </w:divBdr>
          <w:divsChild>
            <w:div w:id="15218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0770">
      <w:bodyDiv w:val="1"/>
      <w:marLeft w:val="0"/>
      <w:marRight w:val="0"/>
      <w:marTop w:val="0"/>
      <w:marBottom w:val="0"/>
      <w:divBdr>
        <w:top w:val="none" w:sz="0" w:space="0" w:color="auto"/>
        <w:left w:val="none" w:sz="0" w:space="0" w:color="auto"/>
        <w:bottom w:val="none" w:sz="0" w:space="0" w:color="auto"/>
        <w:right w:val="none" w:sz="0" w:space="0" w:color="auto"/>
      </w:divBdr>
    </w:div>
    <w:div w:id="2043703704">
      <w:bodyDiv w:val="1"/>
      <w:marLeft w:val="0"/>
      <w:marRight w:val="0"/>
      <w:marTop w:val="0"/>
      <w:marBottom w:val="0"/>
      <w:divBdr>
        <w:top w:val="none" w:sz="0" w:space="0" w:color="auto"/>
        <w:left w:val="none" w:sz="0" w:space="0" w:color="auto"/>
        <w:bottom w:val="none" w:sz="0" w:space="0" w:color="auto"/>
        <w:right w:val="none" w:sz="0" w:space="0" w:color="auto"/>
      </w:divBdr>
    </w:div>
    <w:div w:id="2051801362">
      <w:bodyDiv w:val="1"/>
      <w:marLeft w:val="0"/>
      <w:marRight w:val="0"/>
      <w:marTop w:val="0"/>
      <w:marBottom w:val="0"/>
      <w:divBdr>
        <w:top w:val="none" w:sz="0" w:space="0" w:color="auto"/>
        <w:left w:val="none" w:sz="0" w:space="0" w:color="auto"/>
        <w:bottom w:val="none" w:sz="0" w:space="0" w:color="auto"/>
        <w:right w:val="none" w:sz="0" w:space="0" w:color="auto"/>
      </w:divBdr>
      <w:divsChild>
        <w:div w:id="2113476304">
          <w:marLeft w:val="0"/>
          <w:marRight w:val="0"/>
          <w:marTop w:val="0"/>
          <w:marBottom w:val="0"/>
          <w:divBdr>
            <w:top w:val="none" w:sz="0" w:space="0" w:color="auto"/>
            <w:left w:val="none" w:sz="0" w:space="0" w:color="auto"/>
            <w:bottom w:val="none" w:sz="0" w:space="0" w:color="auto"/>
            <w:right w:val="none" w:sz="0" w:space="0" w:color="auto"/>
          </w:divBdr>
          <w:divsChild>
            <w:div w:id="174248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19729">
      <w:bodyDiv w:val="1"/>
      <w:marLeft w:val="0"/>
      <w:marRight w:val="0"/>
      <w:marTop w:val="0"/>
      <w:marBottom w:val="0"/>
      <w:divBdr>
        <w:top w:val="none" w:sz="0" w:space="0" w:color="auto"/>
        <w:left w:val="none" w:sz="0" w:space="0" w:color="auto"/>
        <w:bottom w:val="none" w:sz="0" w:space="0" w:color="auto"/>
        <w:right w:val="none" w:sz="0" w:space="0" w:color="auto"/>
      </w:divBdr>
    </w:div>
    <w:div w:id="2099668231">
      <w:bodyDiv w:val="1"/>
      <w:marLeft w:val="0"/>
      <w:marRight w:val="0"/>
      <w:marTop w:val="0"/>
      <w:marBottom w:val="0"/>
      <w:divBdr>
        <w:top w:val="none" w:sz="0" w:space="0" w:color="auto"/>
        <w:left w:val="none" w:sz="0" w:space="0" w:color="auto"/>
        <w:bottom w:val="none" w:sz="0" w:space="0" w:color="auto"/>
        <w:right w:val="none" w:sz="0" w:space="0" w:color="auto"/>
      </w:divBdr>
    </w:div>
    <w:div w:id="212718723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947</TotalTime>
  <Pages>1</Pages>
  <Words>5280</Words>
  <Characters>30102</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Muhammad Imran (2311530)</cp:lastModifiedBy>
  <cp:revision>746</cp:revision>
  <dcterms:created xsi:type="dcterms:W3CDTF">2025-11-05T06:16:00Z</dcterms:created>
  <dcterms:modified xsi:type="dcterms:W3CDTF">2025-11-11T22:07:00Z</dcterms:modified>
</cp:coreProperties>
</file>