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360" w:lineRule="auto"/>
        <w:rPr>
          <w:rFonts w:ascii="Times New Roman" w:hAnsi="Times New Roman"/>
          <w:b w:val="1"/>
          <w:bCs w:val="1"/>
          <w:sz w:val="24"/>
          <w:szCs w:val="24"/>
          <w:shd w:val="clear" w:color="auto" w:fill="fefefe"/>
        </w:rPr>
      </w:pPr>
    </w:p>
    <w:p>
      <w:pPr>
        <w:pStyle w:val="Body"/>
        <w:spacing w:line="360" w:lineRule="auto"/>
        <w:rPr>
          <w:rFonts w:ascii="Times New Roman" w:cs="Times New Roman" w:hAnsi="Times New Roman" w:eastAsia="Times New Roman"/>
          <w:b w:val="1"/>
          <w:bCs w:val="1"/>
          <w:sz w:val="24"/>
          <w:szCs w:val="24"/>
          <w:shd w:val="clear" w:color="auto" w:fill="fefefe"/>
        </w:rPr>
      </w:pPr>
      <w:r>
        <w:rPr>
          <w:rFonts w:ascii="Times New Roman" w:hAnsi="Times New Roman"/>
          <w:b w:val="1"/>
          <w:bCs w:val="1"/>
          <w:sz w:val="24"/>
          <w:szCs w:val="24"/>
          <w:shd w:val="clear" w:color="auto" w:fill="fefefe"/>
          <w:rtl w:val="0"/>
          <w:lang w:val="en-US"/>
        </w:rPr>
        <w:t>Literature Review of Speech, Language and Communication with focus on interventions.</w:t>
      </w:r>
    </w:p>
    <w:p>
      <w:pPr>
        <w:pStyle w:val="Body"/>
        <w:spacing w:line="360" w:lineRule="auto"/>
        <w:rPr>
          <w:rFonts w:ascii="Times New Roman" w:cs="Times New Roman" w:hAnsi="Times New Roman" w:eastAsia="Times New Roman"/>
          <w:b w:val="1"/>
          <w:bCs w:val="1"/>
          <w:sz w:val="24"/>
          <w:szCs w:val="24"/>
          <w:shd w:val="clear" w:color="auto" w:fill="fefefe"/>
        </w:rPr>
      </w:pPr>
    </w:p>
    <w:p>
      <w:pPr>
        <w:pStyle w:val="Body"/>
        <w:spacing w:line="360" w:lineRule="auto"/>
        <w:rPr>
          <w:rFonts w:ascii="Times New Roman" w:cs="Times New Roman" w:hAnsi="Times New Roman" w:eastAsia="Times New Roman"/>
          <w:b w:val="1"/>
          <w:bCs w:val="1"/>
          <w:sz w:val="24"/>
          <w:szCs w:val="24"/>
          <w:shd w:val="clear" w:color="auto" w:fill="fefefe"/>
        </w:rPr>
      </w:pPr>
      <w:r>
        <w:rPr>
          <w:rFonts w:ascii="Times New Roman" w:hAnsi="Times New Roman"/>
          <w:b w:val="1"/>
          <w:bCs w:val="1"/>
          <w:sz w:val="24"/>
          <w:szCs w:val="24"/>
          <w:shd w:val="clear" w:color="auto" w:fill="fefefe"/>
          <w:rtl w:val="0"/>
          <w:lang w:val="en-US"/>
        </w:rPr>
        <w:t>Introduction</w:t>
      </w:r>
    </w:p>
    <w:p>
      <w:pPr>
        <w:pStyle w:val="Body"/>
        <w:spacing w:line="360" w:lineRule="auto"/>
        <w:rPr>
          <w:rFonts w:ascii="Times New Roman" w:cs="Times New Roman" w:hAnsi="Times New Roman" w:eastAsia="Times New Roman"/>
          <w:sz w:val="24"/>
          <w:szCs w:val="24"/>
          <w:shd w:val="clear" w:color="auto" w:fill="fefefe"/>
        </w:rPr>
      </w:pPr>
    </w:p>
    <w:p>
      <w:pPr>
        <w:pStyle w:val="Body"/>
        <w:spacing w:line="360" w:lineRule="auto"/>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 10% of Welsh school age pupils have been identified as having Speech, Language and Communication (SLC) difficulties (WG, 2020). As a result the Welsh Government (WG) has made a concise and articulated approach to mitigate this effect on pupil attainment. WG have increased training to help teachers to implement language toolkits and provided policy to work towards raising attainments of children with SLC. Children who display SLC difficulties have been confined to obtain lower income employment and have difficulties with mental health as well as numerous behaviour difficulties in both school and beyond. The theme of SLC has become vital to tackle difficulties early, to implement policy and to support our children in Wales to have a better start to life. The idea of identifying children early on is particularly important in the Foundation Phase, in order to ensure that the effective deployment of staff is achieved, support accessed from outside agencies and to ensure that interventions are completed  in order to make adequate progress.</w:t>
      </w:r>
    </w:p>
    <w:p>
      <w:pPr>
        <w:pStyle w:val="Body"/>
        <w:spacing w:line="360" w:lineRule="auto"/>
        <w:rPr>
          <w:rFonts w:ascii="Times New Roman" w:cs="Times New Roman" w:hAnsi="Times New Roman" w:eastAsia="Times New Roman"/>
          <w:sz w:val="24"/>
          <w:szCs w:val="24"/>
          <w:shd w:val="clear" w:color="auto" w:fill="fefefe"/>
        </w:rPr>
      </w:pPr>
    </w:p>
    <w:p>
      <w:pPr>
        <w:pStyle w:val="Body"/>
        <w:spacing w:line="360" w:lineRule="auto"/>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The field of SLC has received a great deal of interest and research from the academic community with researchers aiming to identify how best, to support children in schools, as well as what interventions to implement and to enhance multi-agency work.  This has culminated in numerous literature surrounding </w:t>
      </w:r>
      <w:r>
        <w:rPr>
          <w:rFonts w:ascii="Times New Roman" w:hAnsi="Times New Roman"/>
          <w:sz w:val="24"/>
          <w:szCs w:val="24"/>
          <w:shd w:val="clear" w:color="auto" w:fill="fefefe"/>
          <w:rtl w:val="0"/>
          <w:lang w:val="es-ES_tradnl"/>
        </w:rPr>
        <w:t>comorbidity</w:t>
      </w:r>
      <w:r>
        <w:rPr>
          <w:rFonts w:ascii="Times New Roman" w:hAnsi="Times New Roman"/>
          <w:sz w:val="24"/>
          <w:szCs w:val="24"/>
          <w:shd w:val="clear" w:color="auto" w:fill="fefefe"/>
          <w:rtl w:val="0"/>
          <w:lang w:val="en-US"/>
        </w:rPr>
        <w:t xml:space="preserve"> of difficulties that children face. However, there have been a wide range of research topics focusing on different elements of SLC. The most notable is the link between behavioural difficulties and SLC (</w:t>
      </w:r>
      <w:r>
        <w:rPr>
          <w:rFonts w:ascii="Times New Roman" w:hAnsi="Times New Roman"/>
          <w:sz w:val="24"/>
          <w:szCs w:val="24"/>
          <w:shd w:val="clear" w:color="auto" w:fill="fefefe"/>
          <w:rtl w:val="0"/>
          <w:lang w:val="es-ES_tradnl"/>
        </w:rPr>
        <w:t>Hartas</w:t>
      </w:r>
      <w:r>
        <w:rPr>
          <w:rFonts w:ascii="Times New Roman" w:hAnsi="Times New Roman"/>
          <w:sz w:val="24"/>
          <w:szCs w:val="24"/>
          <w:shd w:val="clear" w:color="auto" w:fill="fefefe"/>
          <w:rtl w:val="0"/>
          <w:lang w:val="en-US"/>
        </w:rPr>
        <w:t xml:space="preserve">, </w:t>
      </w:r>
      <w:r>
        <w:rPr>
          <w:rFonts w:ascii="Times New Roman" w:hAnsi="Times New Roman"/>
          <w:sz w:val="24"/>
          <w:szCs w:val="24"/>
          <w:shd w:val="clear" w:color="auto" w:fill="fefefe"/>
          <w:rtl w:val="0"/>
        </w:rPr>
        <w:t>2011)</w:t>
      </w:r>
      <w:r>
        <w:rPr>
          <w:rFonts w:ascii="Times New Roman" w:hAnsi="Times New Roman"/>
          <w:sz w:val="24"/>
          <w:szCs w:val="24"/>
          <w:shd w:val="clear" w:color="auto" w:fill="fefefe"/>
          <w:rtl w:val="0"/>
          <w:lang w:val="en-US"/>
        </w:rPr>
        <w:t xml:space="preserve">. The literature has been greatly influenced by digging deeper, focusing on children with SLC from disadvantaged backgrounds, while </w:t>
      </w:r>
      <w:r>
        <w:rPr>
          <w:rFonts w:ascii="Times New Roman" w:hAnsi="Times New Roman"/>
          <w:sz w:val="24"/>
          <w:szCs w:val="24"/>
          <w:shd w:val="clear" w:color="auto" w:fill="fefefe"/>
          <w:rtl w:val="0"/>
        </w:rPr>
        <w:t>Brodin &amp; Renblad</w:t>
      </w:r>
      <w:r>
        <w:rPr>
          <w:rFonts w:ascii="Times New Roman" w:hAnsi="Times New Roman"/>
          <w:sz w:val="24"/>
          <w:szCs w:val="24"/>
          <w:shd w:val="clear" w:color="auto" w:fill="fefefe"/>
          <w:rtl w:val="0"/>
          <w:lang w:val="en-US"/>
        </w:rPr>
        <w:t xml:space="preserve"> (</w:t>
      </w:r>
      <w:r>
        <w:rPr>
          <w:rFonts w:ascii="Times New Roman" w:hAnsi="Times New Roman"/>
          <w:sz w:val="24"/>
          <w:szCs w:val="24"/>
          <w:shd w:val="clear" w:color="auto" w:fill="fefefe"/>
          <w:rtl w:val="0"/>
        </w:rPr>
        <w:t>2019)</w:t>
      </w:r>
      <w:r>
        <w:rPr>
          <w:rFonts w:ascii="Times New Roman" w:hAnsi="Times New Roman"/>
          <w:sz w:val="24"/>
          <w:szCs w:val="24"/>
          <w:shd w:val="clear" w:color="auto" w:fill="fefefe"/>
          <w:rtl w:val="0"/>
          <w:lang w:val="en-US"/>
        </w:rPr>
        <w:t xml:space="preserve"> provided evidence to support </w:t>
      </w:r>
      <w:r>
        <w:rPr>
          <w:rFonts w:ascii="Times New Roman" w:hAnsi="Times New Roman"/>
          <w:sz w:val="24"/>
          <w:szCs w:val="24"/>
          <w:shd w:val="clear" w:color="auto" w:fill="fefefe"/>
          <w:rtl w:val="0"/>
          <w:lang w:val="en-US"/>
        </w:rPr>
        <w:t>early intervention</w:t>
      </w:r>
      <w:r>
        <w:rPr>
          <w:rFonts w:ascii="Times New Roman" w:hAnsi="Times New Roman"/>
          <w:sz w:val="24"/>
          <w:szCs w:val="24"/>
          <w:shd w:val="clear" w:color="auto" w:fill="fefefe"/>
          <w:rtl w:val="0"/>
          <w:lang w:val="en-US"/>
        </w:rPr>
        <w:t>, suggesting it was key to help SLC children more effectively. The body of literature indicates that children, from socially disadvantaged backgrounds do not hear appropriate language as frequently as their peers from more advantaged groups. Additionally, parental involvement is another area which has provided a foundation that WG Policy can apply recent research to ensure guidance is up to date and relevant to help our children with SLC (</w:t>
      </w:r>
      <w:r>
        <w:rPr>
          <w:rFonts w:ascii="Times New Roman" w:hAnsi="Times New Roman"/>
          <w:sz w:val="24"/>
          <w:szCs w:val="24"/>
          <w:shd w:val="clear" w:color="auto" w:fill="fefefe"/>
          <w:rtl w:val="0"/>
        </w:rPr>
        <w:t>Skar et al</w:t>
      </w:r>
      <w:r>
        <w:rPr>
          <w:rFonts w:ascii="Times New Roman" w:hAnsi="Times New Roman"/>
          <w:sz w:val="24"/>
          <w:szCs w:val="24"/>
          <w:shd w:val="clear" w:color="auto" w:fill="fefefe"/>
          <w:rtl w:val="0"/>
          <w:lang w:val="en-US"/>
        </w:rPr>
        <w:t>.,</w:t>
      </w:r>
      <w:r>
        <w:rPr>
          <w:rFonts w:ascii="Times New Roman" w:hAnsi="Times New Roman"/>
          <w:sz w:val="24"/>
          <w:szCs w:val="24"/>
          <w:shd w:val="clear" w:color="auto" w:fill="fefefe"/>
          <w:rtl w:val="0"/>
        </w:rPr>
        <w:t xml:space="preserve"> 2014</w:t>
      </w:r>
      <w:r>
        <w:rPr>
          <w:rFonts w:ascii="Times New Roman" w:hAnsi="Times New Roman"/>
          <w:sz w:val="24"/>
          <w:szCs w:val="24"/>
          <w:shd w:val="clear" w:color="auto" w:fill="fefefe"/>
          <w:rtl w:val="0"/>
          <w:lang w:val="en-US"/>
        </w:rPr>
        <w:t>; Green et al.,2018).</w:t>
      </w:r>
    </w:p>
    <w:p>
      <w:pPr>
        <w:pStyle w:val="Body"/>
        <w:spacing w:line="360" w:lineRule="auto"/>
        <w:rPr>
          <w:rFonts w:ascii="Times New Roman" w:cs="Times New Roman" w:hAnsi="Times New Roman" w:eastAsia="Times New Roman"/>
          <w:sz w:val="24"/>
          <w:szCs w:val="24"/>
          <w:shd w:val="clear" w:color="auto" w:fill="fefefe"/>
        </w:rPr>
      </w:pPr>
    </w:p>
    <w:p>
      <w:pPr>
        <w:pStyle w:val="Body"/>
        <w:spacing w:line="360" w:lineRule="auto"/>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 The Bercow Report (2008) emphasised the need for an in-depth  review of children</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s services with SLC. The report concluded with five main themes surrounding the challenges that services face, for example communication, early identification, joint working and highlighted the need for personalised and consistent service delivery. All the themes are crucial in supporting children with SLC in a Foundation Phase setting. Early identification of children with SLC will ensure their needs are addressed and supported at the earliest opportunity.  This would also establish joint working relationships between the relevant professionals and would therefore inform best practice for SLC interventions. The Bercow Report (2008) has been crucial in promoting early interventions and describing the need to support children in the first four years of a child</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s development. The report suggests the need for senior management team (SMT) to strategically plan for compliance with the WG Draft ALN Code for Wales (WG, 2018). Raising the profile of SLC and the need to support children that have been disadvantaged by many factors.</w:t>
      </w:r>
    </w:p>
    <w:p>
      <w:pPr>
        <w:pStyle w:val="Body"/>
        <w:spacing w:line="360" w:lineRule="auto"/>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 </w:t>
      </w:r>
    </w:p>
    <w:p>
      <w:pPr>
        <w:pStyle w:val="Body"/>
        <w:spacing w:line="360" w:lineRule="auto"/>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  Wales is also prioritising the </w:t>
      </w:r>
      <w:r>
        <w:rPr>
          <w:rFonts w:ascii="Times New Roman" w:hAnsi="Times New Roman"/>
          <w:sz w:val="24"/>
          <w:szCs w:val="24"/>
          <w:shd w:val="clear" w:color="auto" w:fill="fefefe"/>
          <w:rtl w:val="0"/>
          <w:lang w:val="en-US"/>
        </w:rPr>
        <w:t>Well-being of Future Generations (Wales) Act 2015</w:t>
      </w:r>
      <w:r>
        <w:rPr>
          <w:rFonts w:ascii="Times New Roman" w:hAnsi="Times New Roman"/>
          <w:sz w:val="24"/>
          <w:szCs w:val="24"/>
          <w:shd w:val="clear" w:color="auto" w:fill="fefefe"/>
          <w:rtl w:val="0"/>
          <w:lang w:val="en-US"/>
        </w:rPr>
        <w:t xml:space="preserve"> and is also implementing the Curriculum for Wales (WG, 2020a) , there is a great deal of change in the field of Education. However, with effective planning and delivery from SMT and practitioners, the aims of the new curriculum and The Code (2018) will be achieved. Crucially children in school with SLC will be given opportunities to access high quality intervention.</w:t>
      </w:r>
    </w:p>
    <w:p>
      <w:pPr>
        <w:pStyle w:val="Body"/>
        <w:spacing w:line="360" w:lineRule="auto"/>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  The introduction of the new Draft ALN Code of Practice (WG, 2018)  has ensured an emerging awareness of the need for schools to meaningfully plan to support SLC pupils and to also up skill the workforce.  The Code (2018) aims to foster a strengthened collaboration between external agencies and teacher, while encouraging teachers to take on the responsibility to continue their professional learning and support pre-school provision to ensure a consistent transition to primary school.</w:t>
      </w:r>
    </w:p>
    <w:p>
      <w:pPr>
        <w:pStyle w:val="Body"/>
        <w:spacing w:line="360" w:lineRule="auto"/>
        <w:rPr>
          <w:rFonts w:ascii="Times New Roman" w:cs="Times New Roman" w:hAnsi="Times New Roman" w:eastAsia="Times New Roman"/>
          <w:sz w:val="24"/>
          <w:szCs w:val="24"/>
          <w:shd w:val="clear" w:color="auto" w:fill="fefefe"/>
        </w:rPr>
      </w:pPr>
    </w:p>
    <w:p>
      <w:pPr>
        <w:pStyle w:val="Body"/>
        <w:spacing w:line="360" w:lineRule="auto"/>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   </w:t>
      </w:r>
    </w:p>
    <w:p>
      <w:pPr>
        <w:pStyle w:val="Body"/>
        <w:spacing w:line="360" w:lineRule="auto"/>
        <w:rPr>
          <w:rFonts w:ascii="Times New Roman" w:cs="Times New Roman" w:hAnsi="Times New Roman" w:eastAsia="Times New Roman"/>
          <w:b w:val="1"/>
          <w:bCs w:val="1"/>
          <w:sz w:val="24"/>
          <w:szCs w:val="24"/>
          <w:shd w:val="clear" w:color="auto" w:fill="fefefe"/>
        </w:rPr>
      </w:pPr>
      <w:r>
        <w:rPr>
          <w:rFonts w:ascii="Times New Roman" w:hAnsi="Times New Roman"/>
          <w:b w:val="1"/>
          <w:bCs w:val="1"/>
          <w:sz w:val="24"/>
          <w:szCs w:val="24"/>
          <w:shd w:val="clear" w:color="auto" w:fill="fefefe"/>
          <w:rtl w:val="0"/>
          <w:lang w:val="en-US"/>
        </w:rPr>
        <w:t>Literature Review</w:t>
      </w:r>
    </w:p>
    <w:p>
      <w:pPr>
        <w:pStyle w:val="Default"/>
        <w:bidi w:val="0"/>
        <w:spacing w:line="360" w:lineRule="auto"/>
        <w:ind w:left="0" w:right="0" w:firstLine="0"/>
        <w:jc w:val="left"/>
        <w:rPr>
          <w:rFonts w:ascii="Times New Roman" w:cs="Times New Roman" w:hAnsi="Times New Roman" w:eastAsia="Times New Roman"/>
          <w:sz w:val="24"/>
          <w:szCs w:val="24"/>
          <w:u w:color="000000"/>
          <w:shd w:val="clear" w:color="auto" w:fill="fefefe"/>
          <w:rtl w:val="0"/>
          <w:lang w:val="en-US"/>
          <w14:textOutline w14:w="12700" w14:cap="flat">
            <w14:noFill/>
            <w14:miter w14:lim="400000"/>
          </w14:textOutline>
        </w:rPr>
      </w:pPr>
    </w:p>
    <w:p>
      <w:pPr>
        <w:pStyle w:val="Default"/>
        <w:bidi w:val="0"/>
        <w:spacing w:line="360" w:lineRule="auto"/>
        <w:ind w:left="0" w:right="0" w:firstLine="0"/>
        <w:jc w:val="left"/>
        <w:rPr>
          <w:rFonts w:ascii="Times New Roman" w:cs="Times New Roman" w:hAnsi="Times New Roman" w:eastAsia="Times New Roman"/>
          <w:sz w:val="24"/>
          <w:szCs w:val="24"/>
          <w:u w:color="000000"/>
          <w:shd w:val="clear" w:color="auto" w:fill="fefefe"/>
          <w:rtl w:val="0"/>
          <w:lang w:val="en-US"/>
          <w14:textOutline w14:w="12700" w14:cap="flat">
            <w14:noFill/>
            <w14:miter w14:lim="400000"/>
          </w14:textOutline>
        </w:rPr>
      </w:pPr>
      <w:r>
        <w:rPr>
          <w:rFonts w:ascii="Times New Roman" w:hAnsi="Times New Roman"/>
          <w:sz w:val="24"/>
          <w:szCs w:val="24"/>
          <w:u w:color="000000"/>
          <w:shd w:val="clear" w:color="auto" w:fill="fefefe"/>
          <w:rtl w:val="0"/>
          <w:lang w:val="en-US"/>
          <w14:textOutline w14:w="12700" w14:cap="flat">
            <w14:noFill/>
            <w14:miter w14:lim="400000"/>
          </w14:textOutline>
        </w:rPr>
        <w:t xml:space="preserve">SLC is a huge area of interest with multiple </w:t>
      </w:r>
      <w:r>
        <w:rPr>
          <w:rFonts w:ascii="Times New Roman" w:hAnsi="Times New Roman"/>
          <w:sz w:val="24"/>
          <w:szCs w:val="24"/>
          <w:u w:color="000000"/>
          <w:shd w:val="clear" w:color="auto" w:fill="fefefe"/>
          <w:rtl w:val="0"/>
          <w:lang w:val="en-US"/>
          <w14:textOutline w14:w="12700" w14:cap="flat">
            <w14:noFill/>
            <w14:miter w14:lim="400000"/>
          </w14:textOutline>
        </w:rPr>
        <w:t>definitions</w:t>
      </w:r>
      <w:r>
        <w:rPr>
          <w:rFonts w:ascii="Times New Roman" w:hAnsi="Times New Roman"/>
          <w:sz w:val="24"/>
          <w:szCs w:val="24"/>
          <w:u w:color="000000"/>
          <w:shd w:val="clear" w:color="auto" w:fill="fefefe"/>
          <w:rtl w:val="0"/>
          <w:lang w:val="en-US"/>
          <w14:textOutline w14:w="12700" w14:cap="flat">
            <w14:noFill/>
            <w14:miter w14:lim="400000"/>
          </w14:textOutline>
        </w:rPr>
        <w:t xml:space="preserve"> such as </w:t>
      </w:r>
      <w:r>
        <w:rPr>
          <w:rFonts w:ascii="Times New Roman" w:hAnsi="Times New Roman"/>
          <w:sz w:val="24"/>
          <w:szCs w:val="24"/>
          <w:u w:color="000000"/>
          <w:shd w:val="clear" w:color="auto" w:fill="fefefe"/>
          <w:rtl w:val="0"/>
          <w:lang w:val="en-US"/>
          <w14:textOutline w14:w="12700" w14:cap="flat">
            <w14:noFill/>
            <w14:miter w14:lim="400000"/>
          </w14:textOutline>
        </w:rPr>
        <w:t xml:space="preserve">Speech and Language (SL),  Speech and Language Concern (SLC), Speech and Language Difficulties (SPLD), Speech, Language and Communication Needs (SLCN) and Speech and Language Delay (SLD).  There is no consistent use of terminology. However, in 2020 the WG defined the area of interest for this literature review as Speech, Language and Communication (SLC). The definition of SLC is used by WG in order to ensure a total coverage of literature and theory combining research and aims to ensure consistency across settings. </w:t>
      </w:r>
    </w:p>
    <w:p>
      <w:pPr>
        <w:pStyle w:val="Default"/>
        <w:bidi w:val="0"/>
        <w:spacing w:line="360" w:lineRule="auto"/>
        <w:ind w:left="0" w:right="0" w:firstLine="0"/>
        <w:jc w:val="left"/>
        <w:rPr>
          <w:rFonts w:ascii="Times New Roman" w:cs="Times New Roman" w:hAnsi="Times New Roman" w:eastAsia="Times New Roman"/>
          <w:sz w:val="24"/>
          <w:szCs w:val="24"/>
          <w:u w:color="000000"/>
          <w:shd w:val="clear" w:color="auto" w:fill="fefefe"/>
          <w:rtl w:val="0"/>
          <w:lang w:val="en-US"/>
          <w14:textOutline w14:w="12700" w14:cap="flat">
            <w14:noFill/>
            <w14:miter w14:lim="400000"/>
          </w14:textOutline>
        </w:rPr>
      </w:pPr>
      <w:r>
        <w:rPr>
          <w:rFonts w:ascii="Times New Roman" w:hAnsi="Times New Roman"/>
          <w:sz w:val="24"/>
          <w:szCs w:val="24"/>
          <w:u w:color="000000"/>
          <w:shd w:val="clear" w:color="auto" w:fill="fefefe"/>
          <w:rtl w:val="0"/>
          <w:lang w:val="en-US"/>
          <w14:textOutline w14:w="12700" w14:cap="flat">
            <w14:noFill/>
            <w14:miter w14:lim="400000"/>
          </w14:textOutline>
        </w:rPr>
        <w:t>The definition of SLC will be used throughout this Literature Review.</w:t>
      </w:r>
    </w:p>
    <w:p>
      <w:pPr>
        <w:pStyle w:val="Body"/>
        <w:spacing w:line="360" w:lineRule="auto"/>
        <w:rPr>
          <w:rFonts w:ascii="Times New Roman" w:cs="Times New Roman" w:hAnsi="Times New Roman" w:eastAsia="Times New Roman"/>
          <w:b w:val="1"/>
          <w:bCs w:val="1"/>
          <w:sz w:val="24"/>
          <w:szCs w:val="24"/>
          <w:shd w:val="clear" w:color="auto" w:fill="fefefe"/>
        </w:rPr>
      </w:pPr>
    </w:p>
    <w:p>
      <w:pPr>
        <w:pStyle w:val="Body"/>
        <w:spacing w:line="360" w:lineRule="auto"/>
        <w:rPr>
          <w:rFonts w:ascii="Times New Roman" w:cs="Times New Roman" w:hAnsi="Times New Roman" w:eastAsia="Times New Roman"/>
          <w:b w:val="1"/>
          <w:bCs w:val="1"/>
          <w:sz w:val="24"/>
          <w:szCs w:val="24"/>
          <w:shd w:val="clear" w:color="auto" w:fill="fefefe"/>
        </w:rPr>
      </w:pPr>
    </w:p>
    <w:p>
      <w:pPr>
        <w:pStyle w:val="Body"/>
        <w:spacing w:line="360" w:lineRule="auto"/>
        <w:rPr>
          <w:rFonts w:ascii="Times New Roman" w:cs="Times New Roman" w:hAnsi="Times New Roman" w:eastAsia="Times New Roman"/>
          <w:b w:val="1"/>
          <w:bCs w:val="1"/>
          <w:sz w:val="24"/>
          <w:szCs w:val="24"/>
          <w:shd w:val="clear" w:color="auto" w:fill="fefefe"/>
        </w:rPr>
      </w:pPr>
      <w:r>
        <w:rPr>
          <w:rFonts w:ascii="Times New Roman" w:hAnsi="Times New Roman"/>
          <w:b w:val="1"/>
          <w:bCs w:val="1"/>
          <w:sz w:val="24"/>
          <w:szCs w:val="24"/>
          <w:shd w:val="clear" w:color="auto" w:fill="fefefe"/>
          <w:rtl w:val="0"/>
          <w:lang w:val="en-US"/>
        </w:rPr>
        <w:t>Intervention definition</w:t>
      </w:r>
    </w:p>
    <w:p>
      <w:pPr>
        <w:pStyle w:val="Body"/>
        <w:spacing w:line="360" w:lineRule="auto"/>
        <w:rPr>
          <w:rFonts w:ascii="Times New Roman" w:cs="Times New Roman" w:hAnsi="Times New Roman" w:eastAsia="Times New Roman"/>
          <w:b w:val="1"/>
          <w:bCs w:val="1"/>
          <w:sz w:val="24"/>
          <w:szCs w:val="24"/>
          <w:shd w:val="clear" w:color="auto" w:fill="fefefe"/>
        </w:rPr>
      </w:pPr>
    </w:p>
    <w:p>
      <w:pPr>
        <w:pStyle w:val="Body"/>
        <w:spacing w:line="360" w:lineRule="auto"/>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For the purpose of this review an intervention is classified aa an activity or procedure that aims to improve or prevent a negative outcome in regard to speech and language skills of a child. An intervention has been defined as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an explicit application of therapeutic/educational techniques intended to modify an individual</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s performance in a designated area associated with communication</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rPr>
        <w:t xml:space="preserve"> </w:t>
      </w:r>
      <w:r>
        <w:rPr>
          <w:rFonts w:ascii="Times New Roman" w:hAnsi="Times New Roman"/>
          <w:sz w:val="24"/>
          <w:szCs w:val="24"/>
          <w:shd w:val="clear" w:color="auto" w:fill="fefefe"/>
          <w:rtl w:val="0"/>
          <w:lang w:val="en-US"/>
        </w:rPr>
        <w:t>(</w:t>
      </w:r>
      <w:r>
        <w:rPr>
          <w:rFonts w:ascii="Times New Roman" w:hAnsi="Times New Roman"/>
          <w:sz w:val="24"/>
          <w:szCs w:val="24"/>
          <w:shd w:val="clear" w:color="auto" w:fill="fefefe"/>
          <w:rtl w:val="0"/>
          <w:lang w:val="en-US"/>
        </w:rPr>
        <w:t>Law et al</w:t>
      </w:r>
      <w:r>
        <w:rPr>
          <w:rFonts w:ascii="Times New Roman" w:hAnsi="Times New Roman"/>
          <w:sz w:val="24"/>
          <w:szCs w:val="24"/>
          <w:shd w:val="clear" w:color="auto" w:fill="fefefe"/>
          <w:rtl w:val="0"/>
          <w:lang w:val="en-US"/>
        </w:rPr>
        <w:t xml:space="preserve">., </w:t>
      </w:r>
      <w:r>
        <w:rPr>
          <w:rFonts w:ascii="Times New Roman" w:hAnsi="Times New Roman"/>
          <w:sz w:val="24"/>
          <w:szCs w:val="24"/>
          <w:shd w:val="clear" w:color="auto" w:fill="fefefe"/>
          <w:rtl w:val="0"/>
        </w:rPr>
        <w:t>1998</w:t>
      </w:r>
      <w:r>
        <w:rPr>
          <w:rFonts w:ascii="Times New Roman" w:hAnsi="Times New Roman"/>
          <w:sz w:val="24"/>
          <w:szCs w:val="24"/>
          <w:shd w:val="clear" w:color="auto" w:fill="fefefe"/>
          <w:rtl w:val="0"/>
          <w:lang w:val="en-US"/>
        </w:rPr>
        <w:t xml:space="preserve">, p </w:t>
      </w:r>
      <w:r>
        <w:rPr>
          <w:rFonts w:ascii="Times New Roman" w:hAnsi="Times New Roman"/>
          <w:sz w:val="24"/>
          <w:szCs w:val="24"/>
          <w:shd w:val="clear" w:color="auto" w:fill="fefefe"/>
          <w:rtl w:val="0"/>
        </w:rPr>
        <w:t>iii-iv)</w:t>
      </w:r>
      <w:r>
        <w:rPr>
          <w:rFonts w:ascii="Times New Roman" w:hAnsi="Times New Roman"/>
          <w:sz w:val="24"/>
          <w:szCs w:val="24"/>
          <w:shd w:val="clear" w:color="auto" w:fill="fefefe"/>
          <w:rtl w:val="0"/>
          <w:lang w:val="en-US"/>
        </w:rPr>
        <w:t>.</w:t>
      </w:r>
    </w:p>
    <w:p>
      <w:pPr>
        <w:pStyle w:val="Body"/>
        <w:spacing w:line="360" w:lineRule="auto"/>
        <w:rPr>
          <w:rFonts w:ascii="Times New Roman" w:cs="Times New Roman" w:hAnsi="Times New Roman" w:eastAsia="Times New Roman"/>
          <w:sz w:val="24"/>
          <w:szCs w:val="24"/>
          <w:shd w:val="clear" w:color="auto" w:fill="fefefe"/>
        </w:rPr>
      </w:pPr>
    </w:p>
    <w:p>
      <w:pPr>
        <w:pStyle w:val="Body"/>
        <w:spacing w:line="360" w:lineRule="auto"/>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In a systematic review of literature by Pickstone et al., (2009) the author discussed the complexity of interventions for children with SLC, as there is no single formula for success. They noted, the difficultly to replicate an intervention</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s findings as each setting is different, with differences in staff competence, interventions offered and delivery.  </w:t>
      </w:r>
      <w:r>
        <w:rPr>
          <w:rFonts w:ascii="Times New Roman" w:hAnsi="Times New Roman"/>
          <w:sz w:val="24"/>
          <w:szCs w:val="24"/>
          <w:shd w:val="clear" w:color="auto" w:fill="fefefe"/>
          <w:rtl w:val="0"/>
          <w:lang w:val="da-DK"/>
        </w:rPr>
        <w:t>Pickstone et</w:t>
      </w:r>
      <w:r>
        <w:rPr>
          <w:rFonts w:ascii="Times New Roman" w:hAnsi="Times New Roman"/>
          <w:sz w:val="24"/>
          <w:szCs w:val="24"/>
          <w:shd w:val="clear" w:color="auto" w:fill="fefefe"/>
          <w:rtl w:val="0"/>
          <w:lang w:val="en-US"/>
        </w:rPr>
        <w:t>.,</w:t>
      </w:r>
      <w:r>
        <w:rPr>
          <w:rFonts w:ascii="Times New Roman" w:hAnsi="Times New Roman"/>
          <w:sz w:val="24"/>
          <w:szCs w:val="24"/>
          <w:shd w:val="clear" w:color="auto" w:fill="fefefe"/>
          <w:rtl w:val="0"/>
        </w:rPr>
        <w:t xml:space="preserve"> al (2009)</w:t>
      </w:r>
      <w:r>
        <w:rPr>
          <w:rFonts w:ascii="Times New Roman" w:hAnsi="Times New Roman"/>
          <w:sz w:val="24"/>
          <w:szCs w:val="24"/>
          <w:shd w:val="clear" w:color="auto" w:fill="fefefe"/>
          <w:rtl w:val="0"/>
          <w:lang w:val="en-US"/>
        </w:rPr>
        <w:t xml:space="preserve"> have also questioned the methods of different studies, for example in some studies outcomes are measured very closely to the end of an intervention and in others they have not been looked at at all. The reliability and generalisability of the findings can also be questioned (Denscombe, 2010) as the methods used cannot be repeated and an observer bias could have influenced the results. </w:t>
      </w:r>
    </w:p>
    <w:p>
      <w:pPr>
        <w:pStyle w:val="Body"/>
        <w:spacing w:line="360" w:lineRule="auto"/>
        <w:rPr>
          <w:rFonts w:ascii="Times New Roman" w:cs="Times New Roman" w:hAnsi="Times New Roman" w:eastAsia="Times New Roman"/>
          <w:sz w:val="24"/>
          <w:szCs w:val="24"/>
          <w:shd w:val="clear" w:color="auto" w:fill="fefefe"/>
        </w:rPr>
      </w:pPr>
    </w:p>
    <w:p>
      <w:pPr>
        <w:pStyle w:val="Body"/>
        <w:spacing w:line="360" w:lineRule="auto"/>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 Contrary to Pickstone et al., (2009)  there is growing evidence to support interventions, but they note that the potential to support children with SLC is not so clear. There are differences in frequency of intervention, difficulties with expressing language and SLC screening tools used , as they do not provide a clear starting base for an intervention.  They note some positive impacts of intervention such as developing literacy skills and consistency of support needed to achieve better outcomes.  However, they also raise questions regarding the suitability of children for interventions and question how best to differentiate for these in order to succeed. Crucially, the research promotes the use of evidence-based practice in order to inform policy makers and to develop practice.</w:t>
      </w:r>
    </w:p>
    <w:p>
      <w:pPr>
        <w:pStyle w:val="Default"/>
        <w:bidi w:val="0"/>
        <w:spacing w:line="360" w:lineRule="auto"/>
        <w:ind w:left="0" w:right="0" w:firstLine="0"/>
        <w:jc w:val="left"/>
        <w:rPr>
          <w:rFonts w:ascii="Times New Roman" w:cs="Times New Roman" w:hAnsi="Times New Roman" w:eastAsia="Times New Roman"/>
          <w:sz w:val="24"/>
          <w:szCs w:val="24"/>
          <w:u w:color="000000"/>
          <w:shd w:val="clear" w:color="auto" w:fill="fefefe"/>
          <w:rtl w:val="0"/>
          <w:lang w:val="en-US"/>
          <w14:textOutline w14:w="12700" w14:cap="flat">
            <w14:noFill/>
            <w14:miter w14:lim="400000"/>
          </w14:textOutline>
        </w:rPr>
      </w:pPr>
    </w:p>
    <w:p>
      <w:pPr>
        <w:pStyle w:val="Body"/>
        <w:spacing w:line="360" w:lineRule="auto"/>
        <w:rPr>
          <w:rFonts w:ascii="Times New Roman" w:cs="Times New Roman" w:hAnsi="Times New Roman" w:eastAsia="Times New Roman"/>
          <w:b w:val="1"/>
          <w:bCs w:val="1"/>
          <w:sz w:val="24"/>
          <w:szCs w:val="24"/>
          <w:shd w:val="clear" w:color="auto" w:fill="fefefe"/>
        </w:rPr>
      </w:pPr>
      <w:r>
        <w:rPr>
          <w:rFonts w:ascii="Times New Roman" w:hAnsi="Times New Roman"/>
          <w:b w:val="1"/>
          <w:bCs w:val="1"/>
          <w:sz w:val="24"/>
          <w:szCs w:val="24"/>
          <w:shd w:val="clear" w:color="auto" w:fill="fefefe"/>
          <w:rtl w:val="0"/>
          <w:lang w:val="en-US"/>
        </w:rPr>
        <w:t>Historical</w:t>
      </w:r>
    </w:p>
    <w:p>
      <w:pPr>
        <w:pStyle w:val="Body"/>
        <w:spacing w:line="360" w:lineRule="auto"/>
        <w:rPr>
          <w:rFonts w:ascii="Times New Roman" w:cs="Times New Roman" w:hAnsi="Times New Roman" w:eastAsia="Times New Roman"/>
          <w:b w:val="1"/>
          <w:bCs w:val="1"/>
          <w:sz w:val="24"/>
          <w:szCs w:val="24"/>
          <w:shd w:val="clear" w:color="auto" w:fill="fefefe"/>
        </w:rPr>
      </w:pPr>
      <w:r>
        <w:rPr>
          <w:rFonts w:ascii="Times New Roman" w:hAnsi="Times New Roman"/>
          <w:b w:val="1"/>
          <w:bCs w:val="1"/>
          <w:sz w:val="24"/>
          <w:szCs w:val="24"/>
          <w:shd w:val="clear" w:color="auto" w:fill="fefefe"/>
          <w:rtl w:val="0"/>
          <w:lang w:val="en-US"/>
        </w:rPr>
        <w:t xml:space="preserve"> </w:t>
      </w:r>
    </w:p>
    <w:p>
      <w:pPr>
        <w:pStyle w:val="Body"/>
        <w:spacing w:line="360" w:lineRule="auto"/>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    The field of SLC has been influenced by the research of Piaget, Vygotsky and Bronfenbrenner as their ideas have directly informed policy surrounding the development of speech and language. </w:t>
      </w: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0"/>
          <w:bCs w:val="0"/>
          <w:sz w:val="24"/>
          <w:szCs w:val="24"/>
          <w:shd w:val="clear" w:color="auto" w:fill="fefefe"/>
          <w:rtl w:val="0"/>
          <w:lang w:val="en-US"/>
        </w:rPr>
        <w:t xml:space="preserve">Vygostky (1962) has been highly influential in the field of education, linguistics and also Psychology. His ideas can be linked to environmental factors and learning from others. He believed in the importance of </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Zone of Proximal Development</w:t>
      </w:r>
      <w:r>
        <w:rPr>
          <w:rFonts w:ascii="Times New Roman" w:hAnsi="Times New Roman" w:hint="default"/>
          <w:b w:val="0"/>
          <w:bCs w:val="0"/>
          <w:sz w:val="24"/>
          <w:szCs w:val="24"/>
          <w:shd w:val="clear" w:color="auto" w:fill="fefefe"/>
          <w:rtl w:val="0"/>
          <w:lang w:val="en-US"/>
        </w:rPr>
        <w:t xml:space="preserve">’ </w:t>
      </w:r>
      <w:r>
        <w:rPr>
          <w:rFonts w:ascii="Times New Roman" w:hAnsi="Times New Roman"/>
          <w:b w:val="0"/>
          <w:bCs w:val="0"/>
          <w:sz w:val="24"/>
          <w:szCs w:val="24"/>
          <w:shd w:val="clear" w:color="auto" w:fill="fefefe"/>
          <w:rtl w:val="0"/>
          <w:lang w:val="en-US"/>
        </w:rPr>
        <w:t xml:space="preserve">(ZPD) and suggests the idea of </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inner speech</w:t>
      </w:r>
      <w:r>
        <w:rPr>
          <w:rFonts w:ascii="Times New Roman" w:hAnsi="Times New Roman" w:hint="default"/>
          <w:b w:val="0"/>
          <w:bCs w:val="0"/>
          <w:sz w:val="24"/>
          <w:szCs w:val="24"/>
          <w:shd w:val="clear" w:color="auto" w:fill="fefefe"/>
          <w:rtl w:val="0"/>
          <w:lang w:val="en-US"/>
        </w:rPr>
        <w:t xml:space="preserve">’ </w:t>
      </w:r>
      <w:r>
        <w:rPr>
          <w:rFonts w:ascii="Times New Roman" w:hAnsi="Times New Roman"/>
          <w:b w:val="0"/>
          <w:bCs w:val="0"/>
          <w:sz w:val="24"/>
          <w:szCs w:val="24"/>
          <w:shd w:val="clear" w:color="auto" w:fill="fefefe"/>
          <w:rtl w:val="0"/>
          <w:lang w:val="en-US"/>
        </w:rPr>
        <w:t>where outside social forces play just as an important part as inner resources. Vygotsky</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s views still influence child and language development and education today (Brodin et al., 2015) and the importance of promoting problem solving and collaboration can be seen in the Curriculum for Wales</w:t>
      </w:r>
      <w:r>
        <w:rPr>
          <w:rFonts w:ascii="Times New Roman" w:hAnsi="Times New Roman"/>
          <w:b w:val="1"/>
          <w:bCs w:val="1"/>
          <w:sz w:val="24"/>
          <w:szCs w:val="24"/>
          <w:shd w:val="clear" w:color="auto" w:fill="fefefe"/>
          <w:rtl w:val="0"/>
          <w:lang w:val="en-US"/>
        </w:rPr>
        <w:t xml:space="preserve"> </w:t>
      </w:r>
      <w:r>
        <w:rPr>
          <w:rFonts w:ascii="Times New Roman" w:hAnsi="Times New Roman"/>
          <w:b w:val="0"/>
          <w:bCs w:val="0"/>
          <w:sz w:val="24"/>
          <w:szCs w:val="24"/>
          <w:shd w:val="clear" w:color="auto" w:fill="fefefe"/>
          <w:rtl w:val="0"/>
          <w:lang w:val="en-US"/>
        </w:rPr>
        <w:t>(WG, 2020a).</w:t>
      </w:r>
      <w:r>
        <w:rPr>
          <w:rFonts w:ascii="Times New Roman" w:hAnsi="Times New Roman"/>
          <w:b w:val="1"/>
          <w:bCs w:val="1"/>
          <w:sz w:val="24"/>
          <w:szCs w:val="24"/>
          <w:shd w:val="clear" w:color="auto" w:fill="fefefe"/>
          <w:rtl w:val="0"/>
          <w:lang w:val="en-US"/>
        </w:rPr>
        <w:t xml:space="preserve"> </w:t>
      </w:r>
      <w:r>
        <w:rPr>
          <w:rFonts w:ascii="Times New Roman" w:hAnsi="Times New Roman"/>
          <w:b w:val="0"/>
          <w:bCs w:val="0"/>
          <w:sz w:val="24"/>
          <w:szCs w:val="24"/>
          <w:shd w:val="clear" w:color="auto" w:fill="fefefe"/>
          <w:rtl w:val="0"/>
          <w:lang w:val="en-US"/>
        </w:rPr>
        <w:t>Vygostky (1962) crucially highlighted the need to consider the parental impacts, poverty and also other factors that impede on children</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s learning. Which is still a focus of many researchers and policy today. The influence of the environment that a child is fostered in effects a child with SLC and also will help pinpoint any additional support needed.</w:t>
      </w:r>
    </w:p>
    <w:p>
      <w:pPr>
        <w:pStyle w:val="Body"/>
        <w:spacing w:line="360" w:lineRule="auto"/>
        <w:rPr>
          <w:rFonts w:ascii="Times New Roman" w:cs="Times New Roman" w:hAnsi="Times New Roman" w:eastAsia="Times New Roman"/>
          <w:b w:val="0"/>
          <w:bCs w:val="0"/>
          <w:sz w:val="24"/>
          <w:szCs w:val="24"/>
          <w:shd w:val="clear" w:color="auto" w:fill="fefefe"/>
        </w:rPr>
      </w:pPr>
    </w:p>
    <w:p>
      <w:pPr>
        <w:pStyle w:val="Body"/>
        <w:spacing w:line="360" w:lineRule="auto"/>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 While, Piaget (1972) linked that education was important for the growing child as an individual. He emphasised parental input and the importance of education on learning. Piaget</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s research has been influential in the application of group learning and also learning by oneself. His ideas can be seen in the Curriculum for Wales documentation (WG, 2020a) by promoting group collaboration, taking responsibility for their own learning and to support social and emotional development of children in Wales.</w:t>
      </w: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0"/>
          <w:bCs w:val="0"/>
          <w:sz w:val="24"/>
          <w:szCs w:val="24"/>
          <w:shd w:val="clear" w:color="auto" w:fill="fefefe"/>
          <w:rtl w:val="0"/>
          <w:lang w:val="en-US"/>
        </w:rPr>
        <w:t xml:space="preserve">     </w:t>
      </w:r>
    </w:p>
    <w:p>
      <w:pPr>
        <w:pStyle w:val="Body"/>
        <w:spacing w:line="360" w:lineRule="auto"/>
        <w:rPr>
          <w:rFonts w:ascii="Times New Roman" w:cs="Times New Roman" w:hAnsi="Times New Roman" w:eastAsia="Times New Roman"/>
          <w:b w:val="0"/>
          <w:bCs w:val="0"/>
          <w:sz w:val="24"/>
          <w:szCs w:val="24"/>
          <w:shd w:val="clear" w:color="auto" w:fill="fefefe"/>
        </w:rPr>
      </w:pPr>
    </w:p>
    <w:p>
      <w:pPr>
        <w:pStyle w:val="Body"/>
        <w:spacing w:line="360" w:lineRule="auto"/>
        <w:rPr>
          <w:rFonts w:ascii="Times New Roman" w:cs="Times New Roman" w:hAnsi="Times New Roman" w:eastAsia="Times New Roman"/>
          <w:b w:val="0"/>
          <w:bCs w:val="0"/>
          <w:sz w:val="24"/>
          <w:szCs w:val="24"/>
          <w:shd w:val="clear" w:color="auto" w:fill="fefefe"/>
        </w:rPr>
      </w:pP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0"/>
          <w:bCs w:val="0"/>
          <w:sz w:val="24"/>
          <w:szCs w:val="24"/>
          <w:shd w:val="clear" w:color="auto" w:fill="fefefe"/>
          <w:rtl w:val="0"/>
          <w:lang w:val="en-US"/>
        </w:rPr>
        <w:t>Another commentator, Bronfenbrenner (1986)</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s ecological systems theory, stresses the importance of the environment and society on child development. Bronfenbrenner (1986) highlighted many environmental factors such as parental employment, family life, school and other settings that affect children</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 xml:space="preserve">s development. The environmental impact of poverty on lifelong learning is a highly important factor influencing children with SLC and has links to behavioural difficulties (Henrichs et al., 2011; Law et al., 2011). </w:t>
      </w: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1"/>
          <w:bCs w:val="1"/>
          <w:sz w:val="24"/>
          <w:szCs w:val="24"/>
          <w:shd w:val="clear" w:color="auto" w:fill="fefefe"/>
          <w:rtl w:val="0"/>
          <w:lang w:val="en-US"/>
        </w:rPr>
        <w:t xml:space="preserve">      </w:t>
      </w:r>
      <w:r>
        <w:rPr>
          <w:rFonts w:ascii="Times New Roman" w:hAnsi="Times New Roman"/>
          <w:b w:val="0"/>
          <w:bCs w:val="0"/>
          <w:sz w:val="24"/>
          <w:szCs w:val="24"/>
          <w:shd w:val="clear" w:color="auto" w:fill="fefefe"/>
          <w:rtl w:val="0"/>
          <w:lang w:val="en-US"/>
        </w:rPr>
        <w:t xml:space="preserve"> In the United Kingdom (UK) and particularly in Wales, there has been much debate and publicity surrounding speech and language development of children upon entering school, with socially disadvantaged children being highlighted. Empirical evidence suggests that more children with SLC are entering school with limited SLC skills and teachers are asking for extended support to help parents develop their skills.</w:t>
      </w: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0"/>
          <w:bCs w:val="0"/>
          <w:sz w:val="24"/>
          <w:szCs w:val="24"/>
          <w:shd w:val="clear" w:color="auto" w:fill="fefefe"/>
          <w:rtl w:val="0"/>
          <w:lang w:val="en-US"/>
        </w:rPr>
        <w:t xml:space="preserve"> The Bercow Report (2008) highlighted how delayed language skills are a significant barrier to learning and found areas of improvement for service delivery. Brownlie et al., 2004; Lindsay, Dockrell &amp; Strand, 2007 found </w:t>
      </w:r>
      <w:r>
        <w:rPr>
          <w:rFonts w:ascii="Times New Roman" w:hAnsi="Times New Roman"/>
          <w:b w:val="0"/>
          <w:bCs w:val="0"/>
          <w:sz w:val="24"/>
          <w:szCs w:val="24"/>
          <w:shd w:val="clear" w:color="auto" w:fill="fefefe"/>
          <w:rtl w:val="0"/>
          <w:lang w:val="en-US"/>
        </w:rPr>
        <w:t>that</w:t>
      </w:r>
      <w:r>
        <w:rPr>
          <w:rFonts w:ascii="Times New Roman" w:hAnsi="Times New Roman"/>
          <w:b w:val="0"/>
          <w:bCs w:val="0"/>
          <w:sz w:val="24"/>
          <w:szCs w:val="24"/>
          <w:shd w:val="clear" w:color="auto" w:fill="fefefe"/>
          <w:rtl w:val="0"/>
          <w:lang w:val="en-US"/>
        </w:rPr>
        <w:t xml:space="preserve"> children with speech and language difficulties may display behavioural problems in school and Hartas (2011) found that the behavioural and language problems persist over time and usually still present in adulthood.</w:t>
      </w: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0"/>
          <w:bCs w:val="0"/>
          <w:sz w:val="24"/>
          <w:szCs w:val="24"/>
          <w:shd w:val="clear" w:color="auto" w:fill="fefefe"/>
          <w:rtl w:val="0"/>
          <w:lang w:val="en-US"/>
        </w:rPr>
        <w:t xml:space="preserve">           Based on Hartas (2011) research, The WG introduced Flying Start to close age gap identified by Henrichs et al., (2011) and Law et al., (2011). The WG Flying Start Early Years programme for families was introduced in 2007 and aims to provide children with a flying start to access free quality part time childcare, enhanced health visiting, access to parenting support programmes and early access to speech, language and provision for all children under four years old in certain geographical areas of Wales (WG, 2014). This initiative follows Hartas (2011) principle that behavioural and language problems persist over time and the need to prioritise support given to parents at an early stage to help SLC children with behavioural difficulties. </w:t>
      </w:r>
    </w:p>
    <w:p>
      <w:pPr>
        <w:pStyle w:val="Body"/>
        <w:spacing w:line="360" w:lineRule="auto"/>
        <w:rPr>
          <w:rFonts w:ascii="Times New Roman" w:cs="Times New Roman" w:hAnsi="Times New Roman" w:eastAsia="Times New Roman"/>
          <w:b w:val="0"/>
          <w:bCs w:val="0"/>
          <w:sz w:val="24"/>
          <w:szCs w:val="24"/>
          <w:shd w:val="clear" w:color="auto" w:fill="fefefe"/>
        </w:rPr>
      </w:pP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0"/>
          <w:bCs w:val="0"/>
          <w:sz w:val="24"/>
          <w:szCs w:val="24"/>
          <w:shd w:val="clear" w:color="auto" w:fill="fefefe"/>
          <w:rtl w:val="0"/>
          <w:lang w:val="en-US"/>
        </w:rPr>
        <w:t xml:space="preserve">     Alternatively, a WG Social Research Report into speech and language development (WG, 2014a) found that home-based provision and supporting parents to deliver and co-deliver parts of the intervention can increase the success of the intervention. The report suggests that features of successful interventions include, practitioners sharing and discussing observations with parents, training for professionals, being consistent in modelling rich language, exposure to text and that interventions and strategies are often promoted alongside each other. The report also stressed, the need for more emphasis to be placed on home-based provision, to encourage parents to deliver aspects of the intervention, which supports Piaget, Vygotsky and Bronfenbrenner</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s earlier theories. The importance of the home learning environment and communication is crucial for success. The research report has been influential in directing research into home based provision, enhancing support for parents and also influencing WG policy to ensure consistency of SLC provision.</w:t>
      </w: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0"/>
          <w:bCs w:val="0"/>
          <w:sz w:val="24"/>
          <w:szCs w:val="24"/>
          <w:shd w:val="clear" w:color="auto" w:fill="fefefe"/>
          <w:rtl w:val="0"/>
          <w:lang w:val="en-US"/>
        </w:rPr>
        <w:t xml:space="preserve">       This report supports the ideas of Dunst</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s (2012) who has identified a gap between interventions and current practice.The WG has released a SLC Consultation Document (WG, 2020) that aims to raise the profile of SLC, following on from the gains of Flying Start and further aims  to remove the barriers for children, who have speech and language difficulties to ensure a more strategic approach to current practice. However, Dunst's (2012) research found many discrepancies of policy and current practice. The WG (WG, 2020) document aims to amend the policy for children with SLC to ensure a consistent approach to the delivery of speech and language interventions for Wales as a whole and to learn from Dunst</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s (2012) research that difficulties such as funding and staffing can affect the delivery of interventions.</w:t>
      </w: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0"/>
          <w:bCs w:val="0"/>
          <w:sz w:val="24"/>
          <w:szCs w:val="24"/>
          <w:shd w:val="clear" w:color="auto" w:fill="fefefe"/>
          <w:rtl w:val="0"/>
          <w:lang w:val="en-US"/>
        </w:rPr>
        <w:t xml:space="preserve">  The SLC documentation (WG, 2020) has raised numerous questions surrounding the demographic of each local education authority (LEA) and their provision for speech and language. The consultation document aims to ensure everyone, including parents raise the profile of SLC to better their children</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s lives. In order to inform practice and policy it would be highly beneficial to work with other departments such as the local Wellbeing Teams (WBT) and Autism Spectrum Disorders Team (ASD Team) to have a more unified and consistent approach within the LEA.  A brief investigation for ALN teams names has resulted in numerous differently named organisations such as Additional Learning Needs/Inclusion Team (Neath and Port Talbot LEA), Early Years Inclusion Service (Cardiff LEA) and Additional Learning Needs Team (Merthyr LEA), again highlighting that different LEAs are using different terminology and the inconsistency in practice. This investigation stresses the importance of the findings by WG (WG, 2020) that a consistent approach needs to be implemented in Wales and that LEAs need to be more consistent in their approach to Additional Learning Needs (ALN) provision.</w:t>
      </w:r>
    </w:p>
    <w:p>
      <w:pPr>
        <w:pStyle w:val="Body"/>
        <w:spacing w:line="360" w:lineRule="auto"/>
        <w:rPr>
          <w:rFonts w:ascii="Times New Roman" w:cs="Times New Roman" w:hAnsi="Times New Roman" w:eastAsia="Times New Roman"/>
          <w:b w:val="0"/>
          <w:bCs w:val="0"/>
          <w:sz w:val="24"/>
          <w:szCs w:val="24"/>
          <w:shd w:val="clear" w:color="auto" w:fill="fefefe"/>
        </w:rPr>
      </w:pP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0"/>
          <w:bCs w:val="0"/>
          <w:sz w:val="24"/>
          <w:szCs w:val="24"/>
          <w:shd w:val="clear" w:color="auto" w:fill="fefefe"/>
          <w:rtl w:val="0"/>
          <w:lang w:val="en-US"/>
        </w:rPr>
        <w:t xml:space="preserve">   One way to support consistent provision is to develop Professional Learning Communities (PLC) in order to share good practice and knowledge, as Wilson et al., (2016) highlights the importance of sharing knowledge from different services and settings is needed to effectively develop our practice and to enhance our delivery of specific SLC interventions.</w:t>
      </w:r>
    </w:p>
    <w:p>
      <w:pPr>
        <w:pStyle w:val="Body"/>
        <w:spacing w:line="360" w:lineRule="auto"/>
        <w:rPr>
          <w:rFonts w:ascii="Times New Roman" w:cs="Times New Roman" w:hAnsi="Times New Roman" w:eastAsia="Times New Roman"/>
          <w:b w:val="1"/>
          <w:bCs w:val="1"/>
          <w:outline w:val="0"/>
          <w:color w:val="ff2600"/>
          <w:sz w:val="24"/>
          <w:szCs w:val="24"/>
          <w:shd w:val="clear" w:color="auto" w:fill="fefefe"/>
          <w14:textFill>
            <w14:solidFill>
              <w14:srgbClr w14:val="FF2600"/>
            </w14:solidFill>
          </w14:textFill>
        </w:rPr>
      </w:pPr>
      <w:r>
        <w:rPr>
          <w:rFonts w:ascii="Times New Roman" w:hAnsi="Times New Roman"/>
          <w:b w:val="0"/>
          <w:bCs w:val="0"/>
          <w:sz w:val="24"/>
          <w:szCs w:val="24"/>
          <w:shd w:val="clear" w:color="auto" w:fill="fefefe"/>
          <w:rtl w:val="0"/>
          <w:lang w:val="en-US"/>
        </w:rPr>
        <w:t xml:space="preserve">   Piaget, Vygotsky and Bronfenbrenner's research has continued to influence education and research, particularly on how education settings aim to support early language development via speech and language interventions. Their ideas are even more prominent with children from the age of 0-25 being included in The Code (2018) and the potential difficulties that the Local Educational Authorities (LEA) will face to plan and support the children and staff of these settings. The LEA will have an increased responsibility for children from 0-3 years and can ensure that these children are are identified early</w:t>
      </w:r>
      <w:r>
        <w:rPr>
          <w:rFonts w:ascii="Times New Roman" w:hAnsi="Times New Roman"/>
          <w:b w:val="0"/>
          <w:bCs w:val="0"/>
          <w:sz w:val="24"/>
          <w:szCs w:val="24"/>
          <w:shd w:val="clear" w:color="auto" w:fill="fefefe"/>
          <w:rtl w:val="0"/>
        </w:rPr>
        <w:t xml:space="preserve"> (Brodin &amp; Renblad, 2019)</w:t>
      </w:r>
      <w:r>
        <w:rPr>
          <w:rFonts w:ascii="Times New Roman" w:hAnsi="Times New Roman"/>
          <w:b w:val="0"/>
          <w:bCs w:val="0"/>
          <w:sz w:val="24"/>
          <w:szCs w:val="24"/>
          <w:shd w:val="clear" w:color="auto" w:fill="fefefe"/>
          <w:rtl w:val="0"/>
          <w:lang w:val="en-US"/>
        </w:rPr>
        <w:t>. The Code (2018) prioritises early intervention (Brodin &amp; Renblad, 2019), collaboration with professionals and parental involvement are at the forefront of the reform documentation and these areas have been highlighted in numerous studies of being of utmost importance (</w:t>
      </w:r>
      <w:r>
        <w:rPr>
          <w:rFonts w:ascii="Times New Roman" w:hAnsi="Times New Roman"/>
          <w:b w:val="0"/>
          <w:bCs w:val="0"/>
          <w:sz w:val="24"/>
          <w:szCs w:val="24"/>
          <w:shd w:val="clear" w:color="auto" w:fill="fefefe"/>
          <w:rtl w:val="0"/>
        </w:rPr>
        <w:t>Guralnick, 2013; Skar et al</w:t>
      </w:r>
      <w:r>
        <w:rPr>
          <w:rFonts w:ascii="Times New Roman" w:hAnsi="Times New Roman"/>
          <w:b w:val="0"/>
          <w:bCs w:val="0"/>
          <w:sz w:val="24"/>
          <w:szCs w:val="24"/>
          <w:shd w:val="clear" w:color="auto" w:fill="fefefe"/>
          <w:rtl w:val="0"/>
          <w:lang w:val="en-US"/>
        </w:rPr>
        <w:t>.</w:t>
      </w:r>
      <w:r>
        <w:rPr>
          <w:rFonts w:ascii="Times New Roman" w:hAnsi="Times New Roman"/>
          <w:b w:val="0"/>
          <w:bCs w:val="0"/>
          <w:sz w:val="24"/>
          <w:szCs w:val="24"/>
          <w:shd w:val="clear" w:color="auto" w:fill="fefefe"/>
          <w:rtl w:val="0"/>
        </w:rPr>
        <w:t>, 2014</w:t>
      </w:r>
      <w:r>
        <w:rPr>
          <w:rFonts w:ascii="Times New Roman" w:hAnsi="Times New Roman"/>
          <w:b w:val="0"/>
          <w:bCs w:val="0"/>
          <w:sz w:val="24"/>
          <w:szCs w:val="24"/>
          <w:shd w:val="clear" w:color="auto" w:fill="fefefe"/>
          <w:rtl w:val="0"/>
          <w:lang w:val="en-US"/>
        </w:rPr>
        <w:t>; Green et al., 2018). Each LEA needs to adhere and plan effectively to implement these areas effectively to improve outcomes for SLC children.</w:t>
      </w:r>
    </w:p>
    <w:p>
      <w:pPr>
        <w:pStyle w:val="Body"/>
        <w:spacing w:line="360" w:lineRule="auto"/>
        <w:rPr>
          <w:rFonts w:ascii="Times New Roman" w:cs="Times New Roman" w:hAnsi="Times New Roman" w:eastAsia="Times New Roman"/>
          <w:b w:val="1"/>
          <w:bCs w:val="1"/>
          <w:outline w:val="0"/>
          <w:color w:val="ff2600"/>
          <w:sz w:val="24"/>
          <w:szCs w:val="24"/>
          <w:shd w:val="clear" w:color="auto" w:fill="fefefe"/>
          <w14:textFill>
            <w14:solidFill>
              <w14:srgbClr w14:val="FF2600"/>
            </w14:solidFill>
          </w14:textFill>
        </w:rPr>
      </w:pPr>
      <w:r>
        <w:rPr>
          <w:rFonts w:ascii="Times New Roman" w:hAnsi="Times New Roman"/>
          <w:b w:val="1"/>
          <w:bCs w:val="1"/>
          <w:outline w:val="0"/>
          <w:color w:val="ff2600"/>
          <w:sz w:val="24"/>
          <w:szCs w:val="24"/>
          <w:shd w:val="clear" w:color="auto" w:fill="fefefe"/>
          <w:rtl w:val="0"/>
          <w:lang w:val="en-US"/>
          <w14:textFill>
            <w14:solidFill>
              <w14:srgbClr w14:val="FF2600"/>
            </w14:solidFill>
          </w14:textFill>
        </w:rPr>
        <w:t xml:space="preserve">       </w:t>
      </w:r>
    </w:p>
    <w:p>
      <w:pPr>
        <w:pStyle w:val="Body"/>
        <w:spacing w:line="360" w:lineRule="auto"/>
        <w:rPr>
          <w:rFonts w:ascii="Times New Roman" w:cs="Times New Roman" w:hAnsi="Times New Roman" w:eastAsia="Times New Roman"/>
          <w:b w:val="1"/>
          <w:bCs w:val="1"/>
          <w:outline w:val="0"/>
          <w:color w:val="ff2600"/>
          <w:sz w:val="24"/>
          <w:szCs w:val="24"/>
          <w:shd w:val="clear" w:color="auto" w:fill="fefefe"/>
          <w14:textFill>
            <w14:solidFill>
              <w14:srgbClr w14:val="FF2600"/>
            </w14:solidFill>
          </w14:textFill>
        </w:rPr>
      </w:pPr>
    </w:p>
    <w:p>
      <w:pPr>
        <w:pStyle w:val="Body"/>
        <w:spacing w:line="360" w:lineRule="auto"/>
        <w:rPr>
          <w:rFonts w:ascii="Times New Roman" w:cs="Times New Roman" w:hAnsi="Times New Roman" w:eastAsia="Times New Roman"/>
          <w:b w:val="0"/>
          <w:bCs w:val="0"/>
          <w:sz w:val="24"/>
          <w:szCs w:val="24"/>
          <w:shd w:val="clear" w:color="auto" w:fill="fefefe"/>
        </w:rPr>
      </w:pPr>
    </w:p>
    <w:p>
      <w:pPr>
        <w:pStyle w:val="Body"/>
        <w:spacing w:line="360" w:lineRule="auto"/>
        <w:rPr>
          <w:rFonts w:ascii="Times New Roman" w:cs="Times New Roman" w:hAnsi="Times New Roman" w:eastAsia="Times New Roman"/>
          <w:b w:val="1"/>
          <w:bCs w:val="1"/>
          <w:sz w:val="24"/>
          <w:szCs w:val="24"/>
          <w:shd w:val="clear" w:color="auto" w:fill="fefefe"/>
        </w:rPr>
      </w:pPr>
      <w:r>
        <w:rPr>
          <w:rFonts w:ascii="Times New Roman" w:hAnsi="Times New Roman"/>
          <w:b w:val="0"/>
          <w:bCs w:val="0"/>
          <w:sz w:val="24"/>
          <w:szCs w:val="24"/>
          <w:shd w:val="clear" w:color="auto" w:fill="fefefe"/>
          <w:rtl w:val="0"/>
          <w:lang w:val="en-US"/>
        </w:rPr>
        <w:t xml:space="preserve">   </w:t>
      </w:r>
      <w:r>
        <w:rPr>
          <w:rFonts w:ascii="Times New Roman" w:hAnsi="Times New Roman"/>
          <w:b w:val="1"/>
          <w:bCs w:val="1"/>
          <w:sz w:val="24"/>
          <w:szCs w:val="24"/>
          <w:shd w:val="clear" w:color="auto" w:fill="fefefe"/>
          <w:rtl w:val="0"/>
          <w:lang w:val="en-US"/>
        </w:rPr>
        <w:t>Early Intervention</w:t>
      </w:r>
    </w:p>
    <w:p>
      <w:pPr>
        <w:pStyle w:val="Body"/>
        <w:spacing w:line="360" w:lineRule="auto"/>
        <w:rPr>
          <w:rFonts w:ascii="Times New Roman" w:cs="Times New Roman" w:hAnsi="Times New Roman" w:eastAsia="Times New Roman"/>
          <w:b w:val="1"/>
          <w:bCs w:val="1"/>
          <w:sz w:val="24"/>
          <w:szCs w:val="24"/>
          <w:shd w:val="clear" w:color="auto" w:fill="fefefe"/>
        </w:rPr>
      </w:pPr>
    </w:p>
    <w:p>
      <w:pPr>
        <w:pStyle w:val="Body"/>
        <w:spacing w:line="360" w:lineRule="auto"/>
        <w:rPr>
          <w:rFonts w:ascii="Times New Roman" w:cs="Times New Roman" w:hAnsi="Times New Roman" w:eastAsia="Times New Roman"/>
          <w:b w:val="1"/>
          <w:bCs w:val="1"/>
          <w:sz w:val="24"/>
          <w:szCs w:val="24"/>
          <w:shd w:val="clear" w:color="auto" w:fill="fefefe"/>
        </w:rPr>
      </w:pPr>
      <w:r>
        <w:rPr>
          <w:rFonts w:ascii="Times New Roman" w:hAnsi="Times New Roman"/>
          <w:b w:val="1"/>
          <w:bCs w:val="1"/>
          <w:sz w:val="24"/>
          <w:szCs w:val="24"/>
          <w:shd w:val="clear" w:color="auto" w:fill="fefefe"/>
          <w:rtl w:val="0"/>
          <w:lang w:val="en-US"/>
        </w:rPr>
        <w:t xml:space="preserve">   </w:t>
      </w:r>
      <w:r>
        <w:rPr>
          <w:rFonts w:ascii="Times New Roman" w:hAnsi="Times New Roman"/>
          <w:b w:val="0"/>
          <w:bCs w:val="0"/>
          <w:sz w:val="24"/>
          <w:szCs w:val="24"/>
          <w:shd w:val="clear" w:color="auto" w:fill="fefefe"/>
          <w:rtl w:val="0"/>
          <w:lang w:val="en-US"/>
        </w:rPr>
        <w:t>Early intervention ensures that children with SLC are involved with relevant professionals and supported by regular provision in order to develop their understanding.</w:t>
      </w: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0"/>
          <w:bCs w:val="0"/>
          <w:sz w:val="24"/>
          <w:szCs w:val="24"/>
          <w:shd w:val="clear" w:color="auto" w:fill="fefefe"/>
          <w:rtl w:val="0"/>
          <w:lang w:val="en-US"/>
        </w:rPr>
        <w:t xml:space="preserve">   Research by</w:t>
      </w:r>
      <w:r>
        <w:rPr>
          <w:rFonts w:ascii="Times New Roman" w:hAnsi="Times New Roman"/>
          <w:b w:val="1"/>
          <w:bCs w:val="1"/>
          <w:sz w:val="24"/>
          <w:szCs w:val="24"/>
          <w:shd w:val="clear" w:color="auto" w:fill="fefefe"/>
          <w:rtl w:val="0"/>
          <w:lang w:val="en-US"/>
        </w:rPr>
        <w:t xml:space="preserve"> </w:t>
      </w:r>
      <w:r>
        <w:rPr>
          <w:rFonts w:ascii="Times New Roman" w:hAnsi="Times New Roman"/>
          <w:b w:val="0"/>
          <w:bCs w:val="0"/>
          <w:sz w:val="24"/>
          <w:szCs w:val="24"/>
          <w:shd w:val="clear" w:color="auto" w:fill="fefefe"/>
          <w:rtl w:val="0"/>
          <w:lang w:val="en-US"/>
        </w:rPr>
        <w:t>Brodin &amp; Renblad (2019) have stressed the significance of improving preschool children</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s speech and language in Sweden and how crucial speech and language development is for all areas of learning. Brodin &amp; Renblad</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s (2019) research further supports previous literature that stresses the importance of early interaction and also on developing oracy skills as early as possible (Saracho &amp; Spodek, 2007).</w:t>
      </w: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0"/>
          <w:bCs w:val="0"/>
          <w:sz w:val="24"/>
          <w:szCs w:val="24"/>
          <w:shd w:val="clear" w:color="auto" w:fill="fefefe"/>
          <w:rtl w:val="0"/>
          <w:lang w:val="en-US"/>
        </w:rPr>
        <w:t xml:space="preserve">   Saracho &amp; Spodek</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s (2007) research promotes the ideas of developing oracy skills and social play including reading aloud and storytelling as critical ways to support literacy in children (Brodin &amp; Renblad, 2015) and crucially highlights the importance of preschool provision for speech and language development. Saracho &amp; Spodek (2007) also suggest that developing early language skills is important for children and the need for parents to be supported to help their children thrive.  Their research, even though limited in sample size has raised many questions regarding provision prior to schooling in Wales.  Most concerning are the issues raised to access services, different LEA provision and funding of services.</w:t>
      </w: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0"/>
          <w:bCs w:val="0"/>
          <w:sz w:val="24"/>
          <w:szCs w:val="24"/>
          <w:shd w:val="clear" w:color="auto" w:fill="fefefe"/>
          <w:rtl w:val="0"/>
          <w:lang w:val="en-US"/>
        </w:rPr>
        <w:t xml:space="preserve">    Additionally, Love et al., (2005)</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s research, strengthened the idea of accessing quality early years provision as they noted that children are more independent, co-operative and better prepared for the challenges that they face. The children in the study have been found to display positive impacts on social-emotional development and positive impacts had been seen on parental support for language and learning.</w:t>
      </w:r>
    </w:p>
    <w:p>
      <w:pPr>
        <w:pStyle w:val="Body"/>
        <w:spacing w:line="360" w:lineRule="auto"/>
        <w:rPr>
          <w:rFonts w:ascii="Times New Roman" w:cs="Times New Roman" w:hAnsi="Times New Roman" w:eastAsia="Times New Roman"/>
          <w:b w:val="0"/>
          <w:bCs w:val="0"/>
          <w:sz w:val="24"/>
          <w:szCs w:val="24"/>
          <w:shd w:val="clear" w:color="auto" w:fill="fefefe"/>
        </w:rPr>
      </w:pP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0"/>
          <w:bCs w:val="0"/>
          <w:sz w:val="24"/>
          <w:szCs w:val="24"/>
          <w:shd w:val="clear" w:color="auto" w:fill="fefefe"/>
          <w:rtl w:val="0"/>
          <w:lang w:val="en-US"/>
        </w:rPr>
        <w:t xml:space="preserve">  However, Brodin &amp; Renblad (2015)</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s study notes many challenges that influence the quality of preschool provision such as competent staff, pedagogical planning and staffing levels. Their research notes the need for staff to posses a recommended minimum level of qualification that is relevant to child development. Additionally, they have noted that retention of qualified staff can be difficult due to the salary being offered. The retention of staff can be very disruptive especially for children with ALN and for establishing quality interventions to support children with SLC.</w:t>
      </w: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0"/>
          <w:bCs w:val="0"/>
          <w:sz w:val="24"/>
          <w:szCs w:val="24"/>
          <w:shd w:val="clear" w:color="auto" w:fill="fefefe"/>
          <w:rtl w:val="0"/>
          <w:lang w:val="en-US"/>
        </w:rPr>
        <w:t xml:space="preserve"> Empirical evidence suggests that Neath and Port Talbot LEA (NPT LEA) are strategically planning and amending their policy to ensure children with SLC are provided with high quality provision. NPT LEA are being very proactive, implementing action plans to work towards The Code (2018), up skilling staff and are aiming to ensure transition between pre-school provision and school is strengthened. The plan should develop a more consistent approach identified in the SLC Delivery Plan (WG, 2020).</w:t>
      </w:r>
    </w:p>
    <w:p>
      <w:pPr>
        <w:pStyle w:val="Body"/>
        <w:spacing w:line="360" w:lineRule="auto"/>
        <w:rPr>
          <w:rFonts w:ascii="Times New Roman" w:cs="Times New Roman" w:hAnsi="Times New Roman" w:eastAsia="Times New Roman"/>
          <w:b w:val="0"/>
          <w:bCs w:val="0"/>
          <w:sz w:val="24"/>
          <w:szCs w:val="24"/>
          <w:shd w:val="clear" w:color="auto" w:fill="fefefe"/>
        </w:rPr>
      </w:pP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0"/>
          <w:bCs w:val="0"/>
          <w:sz w:val="24"/>
          <w:szCs w:val="24"/>
          <w:shd w:val="clear" w:color="auto" w:fill="fefefe"/>
          <w:rtl w:val="0"/>
          <w:lang w:val="en-US"/>
        </w:rPr>
        <w:t xml:space="preserve">       Brodin &amp; Renblad (2019)</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 xml:space="preserve">s research builds on the work of Norling &amp; Lillvist (2016) who suggest that early support is crucial to help close some of the gaps between children with SLC and their peers. The research highlights the importance of parent support,  joint working and getting support early to close the gap  in attainment. The research also confirms the findings of the Bercow Report (2008) that suggested the theme of </w:t>
      </w:r>
      <w:r>
        <w:rPr>
          <w:rFonts w:ascii="Times New Roman" w:hAnsi="Times New Roman"/>
          <w:b w:val="0"/>
          <w:bCs w:val="0"/>
          <w:sz w:val="24"/>
          <w:szCs w:val="24"/>
          <w:shd w:val="clear" w:color="auto" w:fill="fefefe"/>
          <w:rtl w:val="0"/>
          <w:lang w:val="en-US"/>
        </w:rPr>
        <w:t>personalised and consistent service delivery</w:t>
      </w:r>
      <w:r>
        <w:rPr>
          <w:rFonts w:ascii="Times New Roman" w:hAnsi="Times New Roman"/>
          <w:b w:val="0"/>
          <w:bCs w:val="0"/>
          <w:sz w:val="24"/>
          <w:szCs w:val="24"/>
          <w:shd w:val="clear" w:color="auto" w:fill="fefefe"/>
          <w:rtl w:val="0"/>
          <w:lang w:val="en-US"/>
        </w:rPr>
        <w:t xml:space="preserve"> for children with SLC in order to achieve better outcomes. Unfortunately, the research is still highlighting the same inconsistencies mentioned nearly fourteen years ago. Therefore, policy and practice must be strengthened in order to improve on provision for SLC children.</w:t>
      </w: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0"/>
          <w:bCs w:val="0"/>
          <w:sz w:val="24"/>
          <w:szCs w:val="24"/>
          <w:shd w:val="clear" w:color="auto" w:fill="fefefe"/>
          <w:rtl w:val="0"/>
          <w:lang w:val="en-US"/>
        </w:rPr>
        <w:t xml:space="preserve">      The findings of Brodin &amp; Renblad (2019) and Norling &amp; Lillvis (2016) have supported research by Allen (2011) and Lee and Bring (2016) who conclude that a greater effort must be made to reach children with SLC at a younger age. Empirical evidence suggests that NPT LEA are acting upon research and WG policy, and aims to identify children early via the WG Flying Start initiative. </w:t>
      </w: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0"/>
          <w:bCs w:val="0"/>
          <w:sz w:val="24"/>
          <w:szCs w:val="24"/>
          <w:shd w:val="clear" w:color="auto" w:fill="fefefe"/>
          <w:rtl w:val="0"/>
          <w:lang w:val="en-US"/>
        </w:rPr>
        <w:t xml:space="preserve">      Research undertaken on behalf of the WG has found that the Flying Start Early Years initiative has influenced parenting behaviour and skills and has increased the uptake of accessing professionals (WG,2013). These positive outcomes ensure that parents are supported and encouraged to access services to ensure early identification. More research will need to be completed in readiness for the The Code (2018) to measure the impact of Flying Start Early Years initiative on identifying children with SLC early. The research also provides practical evidence, highlighting good practice and ensures provision is inline with national guidance and policy. Again, the limitations suggested by Dunst's (2012) research are being strengthened to ensure better consistency between policy and practice.</w:t>
      </w:r>
    </w:p>
    <w:p>
      <w:pPr>
        <w:pStyle w:val="Body"/>
        <w:spacing w:line="360" w:lineRule="auto"/>
        <w:rPr>
          <w:rFonts w:ascii="Times New Roman" w:cs="Times New Roman" w:hAnsi="Times New Roman" w:eastAsia="Times New Roman"/>
          <w:b w:val="0"/>
          <w:bCs w:val="0"/>
          <w:sz w:val="24"/>
          <w:szCs w:val="24"/>
          <w:shd w:val="clear" w:color="auto" w:fill="fefefe"/>
        </w:rPr>
      </w:pP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0"/>
          <w:bCs w:val="0"/>
          <w:sz w:val="24"/>
          <w:szCs w:val="24"/>
          <w:shd w:val="clear" w:color="auto" w:fill="fefefe"/>
          <w:rtl w:val="0"/>
          <w:lang w:val="en-US"/>
        </w:rPr>
        <w:t xml:space="preserve">  The Neath Port Talbot Inclusion Service has created a Local Implementation Plan aimed to raise awareness, workforce development and develop pupil and parent partnership working in order to work towards The Code (2018). These key areas of development support Norling &amp; Lillvist (2016)</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s and Brodin &amp; Renblad</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s (2019)</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 xml:space="preserve">s findings to support early years provision and to develop competent and informed staff.  The Implementation Plan has been shared with school settings and is used to inform practice, and inform school practice as schools can actively plan to up skill staff, develop better transition links and improve partnership working. </w:t>
      </w: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0"/>
          <w:bCs w:val="0"/>
          <w:sz w:val="24"/>
          <w:szCs w:val="24"/>
          <w:shd w:val="clear" w:color="auto" w:fill="fefefe"/>
          <w:rtl w:val="0"/>
          <w:lang w:val="en-US"/>
        </w:rPr>
        <w:t xml:space="preserve">      Brodin &amp; Renblad (2015)</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s research highlighted the need for competent and informed staff to develop high quality provision especially for children with SLC.  The WG have set guidelines suggesting that it would be good practice for Flying Start Support Staff to have at least a level 3 Certificate in Child Care and for managers and leaders to be qualified up to level 4. Melhuish (2004) has noted the need for staff to be trained and for continuing professional development (CPD) to be maintained in order to enhance children</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s development.  Bertram and Pascal (2002) also suggest that well trained, professional staff are best at ensuring quality provision. The need for consistent, confident and up-skilled staff is essential to support SLC interventions. Brodin &amp; Renblad</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s (2015) research also notes that budgets must be taken into consideration when supporting children with SLC. Empirical evidence suggests that schools and pre-school provisions are becoming more self reliant, and have created PLCs to continue consistency of training for pre-school and school settings to help with reduced budgets being faced.</w:t>
      </w: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0"/>
          <w:bCs w:val="0"/>
          <w:sz w:val="24"/>
          <w:szCs w:val="24"/>
          <w:shd w:val="clear" w:color="auto" w:fill="fefefe"/>
          <w:rtl w:val="0"/>
          <w:lang w:val="en-US"/>
        </w:rPr>
        <w:t xml:space="preserve">         The research and policy (WG, 2020) suggest that there is a need to develop a consistent approach in delivering speech and language intervention in Wales, especially between local education authorities. One way of achieving this would be to develop action plans for SLC, to ask professionals for their thoughts and agree on one way of working.</w:t>
      </w:r>
    </w:p>
    <w:p>
      <w:pPr>
        <w:pStyle w:val="Body"/>
        <w:spacing w:line="360" w:lineRule="auto"/>
        <w:rPr>
          <w:rFonts w:ascii="Times New Roman" w:cs="Times New Roman" w:hAnsi="Times New Roman" w:eastAsia="Times New Roman"/>
          <w:b w:val="0"/>
          <w:bCs w:val="0"/>
          <w:sz w:val="24"/>
          <w:szCs w:val="24"/>
          <w:shd w:val="clear" w:color="auto" w:fill="fefefe"/>
        </w:rPr>
      </w:pP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0"/>
          <w:bCs w:val="0"/>
          <w:sz w:val="24"/>
          <w:szCs w:val="24"/>
          <w:shd w:val="clear" w:color="auto" w:fill="fefefe"/>
          <w:rtl w:val="0"/>
          <w:lang w:val="en-US"/>
        </w:rPr>
        <w:t xml:space="preserve">  Although there is numerous research that supports early intervention, there is also research that documents that early instruction is limited or ill timed (Pelatti et al, 2014). Beard (2018) stresses the need to ensure specialist support from Speech and Language Therapists is sought and notes the need for multi-disciplinary working between school and health boards. The research further strengthens the role of Flying Start, however, again highlights the need for a consistent approach to paperwork, pathways and working to remove barriers of accessing services.</w:t>
      </w: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0"/>
          <w:bCs w:val="0"/>
          <w:sz w:val="24"/>
          <w:szCs w:val="24"/>
          <w:shd w:val="clear" w:color="auto" w:fill="fefefe"/>
          <w:rtl w:val="0"/>
          <w:lang w:val="en-US"/>
        </w:rPr>
        <w:t xml:space="preserve">   One of the NPT LEA priorities mentioned in the implementation plan is to continue to develop pupil parent working. </w:t>
      </w:r>
      <w:r>
        <w:rPr>
          <w:rFonts w:ascii="Times New Roman" w:hAnsi="Times New Roman"/>
          <w:b w:val="1"/>
          <w:bCs w:val="1"/>
          <w:sz w:val="24"/>
          <w:szCs w:val="24"/>
          <w:shd w:val="clear" w:color="auto" w:fill="fefefe"/>
          <w:rtl w:val="0"/>
          <w:lang w:val="en-US"/>
        </w:rPr>
        <w:t xml:space="preserve"> </w:t>
      </w:r>
      <w:r>
        <w:rPr>
          <w:rFonts w:ascii="Times New Roman" w:hAnsi="Times New Roman"/>
          <w:b w:val="0"/>
          <w:bCs w:val="0"/>
          <w:sz w:val="24"/>
          <w:szCs w:val="24"/>
          <w:shd w:val="clear" w:color="auto" w:fill="fefefe"/>
          <w:rtl w:val="0"/>
          <w:lang w:val="en-US"/>
        </w:rPr>
        <w:t>Green et al., (2018)</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s pilot study highlights previous research by Guralnick, 2013; Skar et al, 2014 who suggest that better outcomes are achieved, when the whole child including their family and ecological system are considered. Although, the research appears consistent with prior research, and reiterates Dunst (2012)</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 xml:space="preserve">s findings that there is a significant gap between research, policy and practice as these interventions aim to develop parental involvement within SLC intervention. </w:t>
      </w: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0"/>
          <w:bCs w:val="0"/>
          <w:sz w:val="24"/>
          <w:szCs w:val="24"/>
          <w:shd w:val="clear" w:color="auto" w:fill="fefefe"/>
          <w:rtl w:val="0"/>
          <w:lang w:val="en-US"/>
        </w:rPr>
        <w:t xml:space="preserve"> Empirical evidence suggests that policy needs to be broken down to ensure that one consistent method is agreed and followed by all in Wales. This will effectively ensure that the limitations found by Dunst (2012)</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s are not repeated.</w:t>
      </w: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0"/>
          <w:bCs w:val="0"/>
          <w:sz w:val="24"/>
          <w:szCs w:val="24"/>
          <w:shd w:val="clear" w:color="auto" w:fill="fefefe"/>
          <w:rtl w:val="0"/>
          <w:lang w:val="en-US"/>
        </w:rPr>
        <w:t xml:space="preserve"> </w:t>
      </w:r>
    </w:p>
    <w:p>
      <w:pPr>
        <w:pStyle w:val="Body"/>
        <w:spacing w:line="360" w:lineRule="auto"/>
        <w:rPr>
          <w:rFonts w:ascii="Times New Roman" w:cs="Times New Roman" w:hAnsi="Times New Roman" w:eastAsia="Times New Roman"/>
          <w:b w:val="1"/>
          <w:bCs w:val="1"/>
          <w:sz w:val="24"/>
          <w:szCs w:val="24"/>
          <w:shd w:val="clear" w:color="auto" w:fill="fefefe"/>
        </w:rPr>
      </w:pPr>
      <w:r>
        <w:rPr>
          <w:rFonts w:ascii="Times New Roman" w:hAnsi="Times New Roman"/>
          <w:b w:val="0"/>
          <w:bCs w:val="0"/>
          <w:sz w:val="24"/>
          <w:szCs w:val="24"/>
          <w:shd w:val="clear" w:color="auto" w:fill="fefefe"/>
          <w:rtl w:val="0"/>
          <w:lang w:val="en-US"/>
        </w:rPr>
        <w:t>One method employed by Green et al., (2018) is the triadic relationship model for intervention that Brown and Woods (2015, 2016) had introduced. The model highlights the need for interventionist, parent and child involvement to promote communication for better outcomes.  Roberts and Kaiser (2011)</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s earlier research suggests the importance of parental input for further positive outcomes with SLC. Highlighting, the need to involve parents and promote their skills further.</w:t>
      </w:r>
    </w:p>
    <w:p>
      <w:pPr>
        <w:pStyle w:val="Body"/>
        <w:spacing w:line="360" w:lineRule="auto"/>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    The SLC intervention literature typically revolves around child and parent outcomes or traditional interventions (Liberman-Betz, 2015). Brown and Woods (2016) and Green et al., (2018) have highlighted the importance of coaching parents and actively involving children and their environment to achieve better outcomes for SLC. Their theories support the seminal ideas from Piaget, Vygotsky and Bronfenbrenner, who note how important our social surroundings are to our social development. Parents who felt better equipped to support their children agreed that their children</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s communication skills increased. The research highlighted by Dunst</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s (2012) also reveals a gap between effective interventions for young children and current practices. The authors have noted that the limitations of the research are a small sample size, differing data points and being unable to complete a follow up study. However, most importantly the research has highlighted the need for further investigation of parental involvement, especially during the crucial first three years of life. The author has highlighted their limitations and that more reliable results would be found if a triangulation method was used to fully understand the views of parents (Denscombe, 2010). Additionally, sample size could also be increased and interviews and observations could be completed over longer periods of time in order to assess the impact of early identification (Cohen, Manion and Morrison, 2011).</w:t>
      </w:r>
    </w:p>
    <w:p>
      <w:pPr>
        <w:pStyle w:val="Body"/>
        <w:spacing w:line="360" w:lineRule="auto"/>
        <w:rPr>
          <w:rFonts w:ascii="Times New Roman" w:cs="Times New Roman" w:hAnsi="Times New Roman" w:eastAsia="Times New Roman"/>
          <w:sz w:val="24"/>
          <w:szCs w:val="24"/>
          <w:shd w:val="clear" w:color="auto" w:fill="fefefe"/>
        </w:rPr>
      </w:pPr>
    </w:p>
    <w:p>
      <w:pPr>
        <w:pStyle w:val="Body"/>
        <w:spacing w:line="360" w:lineRule="auto"/>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   Interestingly, Harrison et al., (2017) have noted the need to listen to parents reports as they are effective in their awareness of reporting children who need specialist support. Therefore, stressing the need for a comprehensive consistent approach aimed at developing parent awareness and effective communication. This will allow parents, and joint working between education and health boards to reach the best possible outcome for the child.</w:t>
      </w:r>
    </w:p>
    <w:p>
      <w:pPr>
        <w:pStyle w:val="Body"/>
        <w:spacing w:line="360" w:lineRule="auto"/>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  As a result, Person Centred Practice (PCP) has been recommended by the WG (WG, 2015) and prioritised by LEAs to promote good practice for education settings to provide a voice for parents. These PCP tools can be used to create One Page Profiles (OPP), gather evidence of learning, to help decide what is important for the SLC child and can also support different processes for professionals and parents to have a say in their child</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s education. However, providing quality training to all staff would be difficult and the use of the PCP tools in settings would need to be consistent to develop effective communication. Funding may also be an issue as many teachers are not being offered or allowed to attend training due to limited budgets (Elis and Tod, 2014). Webster and Blatchford (2013) note that funding is a huge concern to support children with ALN as previously ALN was not given a prioritised role. Beard (2018) notes that children with SLC are under identified due to a lack of SLC trained staff.  One area of research still lacking, is the impact of PCP tools to support communication between educational settings and parents. This is an area that needs to be researched and implemented consistently, to ensure that the PCP tools do have an impact on supporting children with SLC. The PCP tools aim to develop good home school links and should not be seen as extra workload for teachers. Careful consideration must also be taken when hearing the voices of children with severe learning difficulties (Ware, 2019) and the resource implications need to be acknowledged, for example, funding, training and support not being offered may hinder outcomes. There is a need to be more imaginative and self reliant as suggested by Pearson et al., (2015), as dwindling budgets may provide opportunities to create networks to share good practices and ease funding worries that will benefit children with SLC. </w:t>
      </w:r>
    </w:p>
    <w:p>
      <w:pPr>
        <w:pStyle w:val="Body"/>
        <w:spacing w:line="360" w:lineRule="auto"/>
        <w:rPr>
          <w:rFonts w:ascii="Times New Roman" w:cs="Times New Roman" w:hAnsi="Times New Roman" w:eastAsia="Times New Roman"/>
          <w:sz w:val="24"/>
          <w:szCs w:val="24"/>
          <w:shd w:val="clear" w:color="auto" w:fill="fefefe"/>
        </w:rPr>
      </w:pPr>
    </w:p>
    <w:p>
      <w:pPr>
        <w:pStyle w:val="Body"/>
        <w:spacing w:line="360" w:lineRule="auto"/>
        <w:rPr>
          <w:rFonts w:ascii="Times New Roman" w:cs="Times New Roman" w:hAnsi="Times New Roman" w:eastAsia="Times New Roman"/>
          <w:b w:val="1"/>
          <w:bCs w:val="1"/>
          <w:sz w:val="24"/>
          <w:szCs w:val="24"/>
          <w:shd w:val="clear" w:color="auto" w:fill="fefefe"/>
        </w:rPr>
      </w:pPr>
    </w:p>
    <w:p>
      <w:pPr>
        <w:pStyle w:val="Body"/>
        <w:spacing w:line="360" w:lineRule="auto"/>
        <w:rPr>
          <w:rFonts w:ascii="Times New Roman" w:cs="Times New Roman" w:hAnsi="Times New Roman" w:eastAsia="Times New Roman"/>
          <w:b w:val="1"/>
          <w:bCs w:val="1"/>
          <w:sz w:val="24"/>
          <w:szCs w:val="24"/>
          <w:shd w:val="clear" w:color="auto" w:fill="fefefe"/>
        </w:rPr>
      </w:pPr>
      <w:r>
        <w:rPr>
          <w:rFonts w:ascii="Times New Roman" w:hAnsi="Times New Roman"/>
          <w:b w:val="1"/>
          <w:bCs w:val="1"/>
          <w:sz w:val="24"/>
          <w:szCs w:val="24"/>
          <w:shd w:val="clear" w:color="auto" w:fill="fefefe"/>
          <w:rtl w:val="0"/>
          <w:lang w:val="en-US"/>
        </w:rPr>
        <w:t>Collaboration with professionals and teacher training</w:t>
      </w:r>
    </w:p>
    <w:p>
      <w:pPr>
        <w:pStyle w:val="Body"/>
        <w:spacing w:line="360" w:lineRule="auto"/>
        <w:rPr>
          <w:rFonts w:ascii="Times New Roman" w:cs="Times New Roman" w:hAnsi="Times New Roman" w:eastAsia="Times New Roman"/>
          <w:b w:val="1"/>
          <w:bCs w:val="1"/>
          <w:sz w:val="24"/>
          <w:szCs w:val="24"/>
          <w:shd w:val="clear" w:color="auto" w:fill="fefefe"/>
        </w:rPr>
      </w:pP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1"/>
          <w:bCs w:val="1"/>
          <w:sz w:val="24"/>
          <w:szCs w:val="24"/>
          <w:shd w:val="clear" w:color="auto" w:fill="fefefe"/>
          <w:rtl w:val="0"/>
          <w:lang w:val="en-US"/>
        </w:rPr>
        <w:t xml:space="preserve">    </w:t>
      </w:r>
      <w:r>
        <w:rPr>
          <w:rFonts w:ascii="Times New Roman" w:hAnsi="Times New Roman"/>
          <w:b w:val="0"/>
          <w:bCs w:val="0"/>
          <w:sz w:val="24"/>
          <w:szCs w:val="24"/>
          <w:shd w:val="clear" w:color="auto" w:fill="fefefe"/>
          <w:rtl w:val="0"/>
          <w:lang w:val="en-US"/>
        </w:rPr>
        <w:t xml:space="preserve">Hutchinson &amp; Clegg (2011) have completed an effectiveness study that looks at one school-based language training model named </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Let</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s Talk</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 The program was administered in the UK and was developed through speech and language, health and special needs teaching service working collaboratively. The programme was offered via the LEA and aimed to raise awareness, identify children with delayed and impoverished language ad improve staff knowledge. The programme ensures a training period was completed with specialists in speech and language from both health and educational backgrounds. Hutchinson &amp; Clegg (2011)</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s research has highlighted the research literature surrounding collaboration within interventions, suggesting that language groups are considered to have a positive impact. Dockrell et al., (2010) found that there is conflicting evidence of the delivery of speech and language interventions by Speech and Language Therapists (SLTs), teaching assistants and SLT assistants, they found that there was no difference in outcome of delivery between SLTs or TAs. Typically, most schools, offer in house interventions provided by teaching assistants.  This intervention from school based staff has been found to be a cost effective way to deliver a language programme (Boyle et al, 2009) especially with limited budgets (</w:t>
      </w:r>
      <w:r>
        <w:rPr>
          <w:rFonts w:ascii="Times New Roman" w:hAnsi="Times New Roman"/>
          <w:b w:val="0"/>
          <w:bCs w:val="0"/>
          <w:sz w:val="24"/>
          <w:szCs w:val="24"/>
          <w:shd w:val="clear" w:color="auto" w:fill="fefefe"/>
          <w:rtl w:val="0"/>
          <w:lang w:val="es-ES_tradnl"/>
        </w:rPr>
        <w:t>Elis and Tod</w:t>
      </w:r>
      <w:r>
        <w:rPr>
          <w:rFonts w:ascii="Times New Roman" w:hAnsi="Times New Roman"/>
          <w:b w:val="0"/>
          <w:bCs w:val="0"/>
          <w:sz w:val="24"/>
          <w:szCs w:val="24"/>
          <w:shd w:val="clear" w:color="auto" w:fill="fefefe"/>
          <w:rtl w:val="0"/>
          <w:lang w:val="en-US"/>
        </w:rPr>
        <w:t xml:space="preserve">, </w:t>
      </w:r>
      <w:r>
        <w:rPr>
          <w:rFonts w:ascii="Times New Roman" w:hAnsi="Times New Roman"/>
          <w:b w:val="0"/>
          <w:bCs w:val="0"/>
          <w:sz w:val="24"/>
          <w:szCs w:val="24"/>
          <w:shd w:val="clear" w:color="auto" w:fill="fefefe"/>
          <w:rtl w:val="0"/>
        </w:rPr>
        <w:t>2014</w:t>
      </w:r>
      <w:r>
        <w:rPr>
          <w:rFonts w:ascii="Times New Roman" w:hAnsi="Times New Roman"/>
          <w:b w:val="0"/>
          <w:bCs w:val="0"/>
          <w:sz w:val="24"/>
          <w:szCs w:val="24"/>
          <w:shd w:val="clear" w:color="auto" w:fill="fefefe"/>
          <w:rtl w:val="0"/>
          <w:lang w:val="en-US"/>
        </w:rPr>
        <w:t xml:space="preserve">; </w:t>
      </w:r>
      <w:r>
        <w:rPr>
          <w:rFonts w:ascii="Times New Roman" w:hAnsi="Times New Roman"/>
          <w:b w:val="0"/>
          <w:bCs w:val="0"/>
          <w:sz w:val="24"/>
          <w:szCs w:val="24"/>
          <w:shd w:val="clear" w:color="auto" w:fill="fefefe"/>
          <w:rtl w:val="0"/>
          <w:lang w:val="en-US"/>
        </w:rPr>
        <w:t>Webster and Blatchford</w:t>
      </w:r>
      <w:r>
        <w:rPr>
          <w:rFonts w:ascii="Times New Roman" w:hAnsi="Times New Roman"/>
          <w:b w:val="0"/>
          <w:bCs w:val="0"/>
          <w:sz w:val="24"/>
          <w:szCs w:val="24"/>
          <w:shd w:val="clear" w:color="auto" w:fill="fefefe"/>
          <w:rtl w:val="0"/>
          <w:lang w:val="en-US"/>
        </w:rPr>
        <w:t xml:space="preserve">, </w:t>
      </w:r>
      <w:r>
        <w:rPr>
          <w:rFonts w:ascii="Times New Roman" w:hAnsi="Times New Roman"/>
          <w:b w:val="0"/>
          <w:bCs w:val="0"/>
          <w:sz w:val="24"/>
          <w:szCs w:val="24"/>
          <w:shd w:val="clear" w:color="auto" w:fill="fefefe"/>
          <w:rtl w:val="0"/>
        </w:rPr>
        <w:t>2013</w:t>
      </w:r>
      <w:r>
        <w:rPr>
          <w:rFonts w:ascii="Times New Roman" w:hAnsi="Times New Roman"/>
          <w:b w:val="0"/>
          <w:bCs w:val="0"/>
          <w:sz w:val="24"/>
          <w:szCs w:val="24"/>
          <w:shd w:val="clear" w:color="auto" w:fill="fefefe"/>
          <w:rtl w:val="0"/>
          <w:lang w:val="en-US"/>
        </w:rPr>
        <w:t>). However, in contrast, Gallagher and Chiat (2009) found that direct intervention from a SLT was found to be most effective. Fallon and Katz (2011) note that speech and language therapists rarely or never provide classroom based services. The findings maybe linked to many different challenges for example, funding, knowledge of other professional areas and also workload demands placed on relevant professionals, which could be improved upon.</w:t>
      </w: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0"/>
          <w:bCs w:val="0"/>
          <w:sz w:val="24"/>
          <w:szCs w:val="24"/>
          <w:shd w:val="clear" w:color="auto" w:fill="fefefe"/>
          <w:rtl w:val="0"/>
          <w:lang w:val="en-US"/>
        </w:rPr>
        <w:t xml:space="preserve">     Fallon and Katz (2011) highlighted that if  intervention is to be implemented and successful, emphasis must be placed on up skilling staff. By up skilling staff, best practice and effective models of intervention can be highlighted. However, with schools stretching their budgets SLC interventions may decrease or even cease. </w:t>
      </w:r>
    </w:p>
    <w:p>
      <w:pPr>
        <w:pStyle w:val="Body"/>
        <w:spacing w:line="360" w:lineRule="auto"/>
        <w:rPr>
          <w:rFonts w:ascii="Times New Roman" w:cs="Times New Roman" w:hAnsi="Times New Roman" w:eastAsia="Times New Roman"/>
          <w:b w:val="0"/>
          <w:bCs w:val="0"/>
          <w:sz w:val="24"/>
          <w:szCs w:val="24"/>
          <w:shd w:val="clear" w:color="auto" w:fill="fefefe"/>
        </w:rPr>
      </w:pP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0"/>
          <w:bCs w:val="0"/>
          <w:sz w:val="24"/>
          <w:szCs w:val="24"/>
          <w:shd w:val="clear" w:color="auto" w:fill="fefefe"/>
          <w:rtl w:val="0"/>
          <w:lang w:val="en-US"/>
        </w:rPr>
        <w:t xml:space="preserve">    Interestingly, Hutchinson and Clegg (2011) concluded that small group language interventions delivered by trained education practitioners do facilitate language learning and this research has been positively received by educational settings. This small group interventions can help children with SLC to develop their communication and listening skills. Empirical evidence suggests that interventions are being delivered by Teaching Assistants (TA) who have limited training (Lim et al., 2019) and have been provided with little support. One way to support limited training has been mentioned by Stewart (2019), who suggested that TAs should benefit from flexible tools and strategies to use to deliver interventions, such as defining their role and giving recommendations on how to use the tools effectively. </w:t>
      </w: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0"/>
          <w:bCs w:val="0"/>
          <w:sz w:val="24"/>
          <w:szCs w:val="24"/>
          <w:shd w:val="clear" w:color="auto" w:fill="fefefe"/>
          <w:rtl w:val="0"/>
          <w:lang w:val="en-US"/>
        </w:rPr>
        <w:t xml:space="preserve">   Wilson et al., (2016)</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s research supports both teachers and speech and language professionals during university to improve collaboration and share knowledge. Both teachers and speech and language professionals can then increase their understanding of each other</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s areas of expertise and understand any barriers that are faced. Speech and language therapists possess an advanced phoneme awareness than teachers (Caroll, Gillon &amp; McNeill, 2012) and teachers need to increasingly develop their knowledge of concepts of structures of language and children</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s literacy (Washburn et al 2011; Moats, 2014) in order to best support children with SLC. Multiagency working from SLT and teachers would provide up-skilling to the education sector and to foster better working relationships between the health and education boards.   The study by Wilson et al (2016) highlights the need to build a shared knowledge base for initial teacher training and for speech and language therapists to prepare for future collaboration and effective multi-agency working. The study highlights the need for initial teacher training in Wales, to provide teachers with opportunities to collaborate with educationally relevant specialists at an early stage and to fully understand its importance.</w:t>
      </w:r>
    </w:p>
    <w:p>
      <w:pPr>
        <w:pStyle w:val="Body"/>
        <w:spacing w:line="360" w:lineRule="auto"/>
        <w:rPr>
          <w:rFonts w:ascii="Times New Roman" w:cs="Times New Roman" w:hAnsi="Times New Roman" w:eastAsia="Times New Roman"/>
          <w:b w:val="0"/>
          <w:bCs w:val="0"/>
          <w:sz w:val="24"/>
          <w:szCs w:val="24"/>
          <w:shd w:val="clear" w:color="auto" w:fill="fefefe"/>
        </w:rPr>
      </w:pP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0"/>
          <w:bCs w:val="0"/>
          <w:sz w:val="24"/>
          <w:szCs w:val="24"/>
          <w:shd w:val="clear" w:color="auto" w:fill="fefefe"/>
          <w:rtl w:val="0"/>
          <w:lang w:val="en-US"/>
        </w:rPr>
        <w:t xml:space="preserve"> On the other hand, Baxter et al (2009) has highlighted the fact that there are considerable challenges when professionals are faced to work effectively with others, such as power struggles between staff surrounding the interventions and the sharing of essential information. Jago &amp; Radford (2017) have also noted that Government policy assumes that collaborative practice is taking place at all levels, especially between educational and health professionals which was highlighted as a weakness in the Bercow Report (2008). However, they have noted that there is limited clarity of how staff should work together to overcome barriers for effective collaboration and how to address issues faced. WG (WG, 2020) SLC documentation and The Code (2018) aim to promote collaborative working, but again gives limited clarity of how to overcome any barriers that practitioners face daily. </w:t>
      </w:r>
    </w:p>
    <w:p>
      <w:pPr>
        <w:pStyle w:val="Body"/>
        <w:spacing w:line="360" w:lineRule="auto"/>
        <w:rPr>
          <w:rFonts w:ascii="Times New Roman" w:cs="Times New Roman" w:hAnsi="Times New Roman" w:eastAsia="Times New Roman"/>
          <w:b w:val="0"/>
          <w:bCs w:val="0"/>
          <w:sz w:val="24"/>
          <w:szCs w:val="24"/>
          <w:shd w:val="clear" w:color="auto" w:fill="fefefe"/>
        </w:rPr>
      </w:pP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0"/>
          <w:bCs w:val="0"/>
          <w:sz w:val="24"/>
          <w:szCs w:val="24"/>
          <w:shd w:val="clear" w:color="auto" w:fill="fefefe"/>
          <w:rtl w:val="0"/>
          <w:lang w:val="en-US"/>
        </w:rPr>
        <w:t xml:space="preserve">  The studies have highlighted a need for a consistent approach to the education system and other professionals, for example there is a difference between the structure of the NHS service and the education system. There are also differences in how professionals interact with parents, for example education settings have multiagency team meetings, have support from Educational Psychologists (EP) and use PCP tools to support parental partnership, whereas SLT tend to assess children and then will communicate advice to school. Therefore, SLT increase teacher workload with out providing relevant training or giving face to face contact to discuss delivery of the intervention. There may be a difficulty of not understanding the roles of other professionals, hindering collaboration and delay any assistance from specialist services. As Hepp et al., (2015) point out, the current literature has looked at knowledge and attitudes towards collaboration and not at applying inter-professional working in a setting. More research into inter-professional working is essential to ensure that practice is consistent across all areas, and to make sure that all children are given the flying start to life that the WG has prioritised over numerous years.</w:t>
      </w: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0"/>
          <w:bCs w:val="0"/>
          <w:sz w:val="24"/>
          <w:szCs w:val="24"/>
          <w:shd w:val="clear" w:color="auto" w:fill="fefefe"/>
          <w:rtl w:val="0"/>
          <w:lang w:val="en-US"/>
        </w:rPr>
        <w:t xml:space="preserve">      </w:t>
      </w:r>
    </w:p>
    <w:p>
      <w:pPr>
        <w:pStyle w:val="Body"/>
        <w:spacing w:line="360" w:lineRule="auto"/>
        <w:rPr>
          <w:rFonts w:ascii="Times New Roman" w:cs="Times New Roman" w:hAnsi="Times New Roman" w:eastAsia="Times New Roman"/>
          <w:b w:val="1"/>
          <w:bCs w:val="1"/>
          <w:sz w:val="24"/>
          <w:szCs w:val="24"/>
          <w:shd w:val="clear" w:color="auto" w:fill="fefefe"/>
        </w:rPr>
      </w:pPr>
      <w:r>
        <w:rPr>
          <w:rFonts w:ascii="Times New Roman" w:hAnsi="Times New Roman"/>
          <w:b w:val="1"/>
          <w:bCs w:val="1"/>
          <w:sz w:val="24"/>
          <w:szCs w:val="24"/>
          <w:shd w:val="clear" w:color="auto" w:fill="fefefe"/>
          <w:rtl w:val="0"/>
          <w:lang w:val="en-US"/>
        </w:rPr>
        <w:t>Parental Involvement</w:t>
      </w:r>
    </w:p>
    <w:p>
      <w:pPr>
        <w:pStyle w:val="Body"/>
        <w:spacing w:line="360" w:lineRule="auto"/>
        <w:rPr>
          <w:rFonts w:ascii="Times New Roman" w:cs="Times New Roman" w:hAnsi="Times New Roman" w:eastAsia="Times New Roman"/>
          <w:b w:val="1"/>
          <w:bCs w:val="1"/>
          <w:sz w:val="24"/>
          <w:szCs w:val="24"/>
          <w:shd w:val="clear" w:color="auto" w:fill="fefefe"/>
        </w:rPr>
      </w:pPr>
    </w:p>
    <w:p>
      <w:pPr>
        <w:pStyle w:val="Body"/>
        <w:spacing w:line="360" w:lineRule="auto"/>
        <w:rPr>
          <w:rFonts w:ascii="Times New Roman" w:cs="Times New Roman" w:hAnsi="Times New Roman" w:eastAsia="Times New Roman"/>
          <w:b w:val="1"/>
          <w:bCs w:val="1"/>
          <w:sz w:val="24"/>
          <w:szCs w:val="24"/>
          <w:shd w:val="clear" w:color="auto" w:fill="fefefe"/>
        </w:rPr>
      </w:pPr>
      <w:r>
        <w:rPr>
          <w:rFonts w:ascii="Times New Roman" w:hAnsi="Times New Roman"/>
          <w:b w:val="1"/>
          <w:bCs w:val="1"/>
          <w:sz w:val="24"/>
          <w:szCs w:val="24"/>
          <w:shd w:val="clear" w:color="auto" w:fill="fefefe"/>
          <w:rtl w:val="0"/>
          <w:lang w:val="en-US"/>
        </w:rPr>
        <w:t xml:space="preserve">  </w:t>
      </w:r>
      <w:r>
        <w:rPr>
          <w:rFonts w:ascii="Times New Roman" w:hAnsi="Times New Roman"/>
          <w:b w:val="0"/>
          <w:bCs w:val="0"/>
          <w:sz w:val="24"/>
          <w:szCs w:val="24"/>
          <w:shd w:val="clear" w:color="auto" w:fill="fefefe"/>
          <w:rtl w:val="0"/>
          <w:lang w:val="en-US"/>
        </w:rPr>
        <w:t>Early language exposure provides a starting point for children to develop and grow, the children who hear a variety of words also use and remember more words (Bergelson et al, 2019) and Rowe (2012) stresses the importance of both the quantity and quality of the speech that children hear.</w:t>
      </w: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1"/>
          <w:bCs w:val="1"/>
          <w:sz w:val="24"/>
          <w:szCs w:val="24"/>
          <w:shd w:val="clear" w:color="auto" w:fill="fefefe"/>
          <w:rtl w:val="0"/>
          <w:lang w:val="en-US"/>
        </w:rPr>
        <w:t xml:space="preserve"> </w:t>
      </w:r>
      <w:r>
        <w:rPr>
          <w:rFonts w:ascii="Times New Roman" w:hAnsi="Times New Roman"/>
          <w:b w:val="0"/>
          <w:bCs w:val="0"/>
          <w:sz w:val="24"/>
          <w:szCs w:val="24"/>
          <w:shd w:val="clear" w:color="auto" w:fill="fefefe"/>
          <w:rtl w:val="0"/>
          <w:lang w:val="en-US"/>
        </w:rPr>
        <w:t xml:space="preserve">Early parental involvement has long been highlighted by researchers as being a benefit to child language growth. </w:t>
      </w:r>
      <w:r>
        <w:rPr>
          <w:rFonts w:ascii="Times New Roman" w:hAnsi="Times New Roman"/>
          <w:b w:val="1"/>
          <w:bCs w:val="1"/>
          <w:sz w:val="24"/>
          <w:szCs w:val="24"/>
          <w:shd w:val="clear" w:color="auto" w:fill="fefefe"/>
          <w:rtl w:val="0"/>
          <w:lang w:val="en-US"/>
        </w:rPr>
        <w:t xml:space="preserve"> </w:t>
      </w:r>
      <w:r>
        <w:rPr>
          <w:rFonts w:ascii="Times New Roman" w:hAnsi="Times New Roman"/>
          <w:b w:val="0"/>
          <w:bCs w:val="0"/>
          <w:sz w:val="24"/>
          <w:szCs w:val="24"/>
          <w:shd w:val="clear" w:color="auto" w:fill="fefefe"/>
          <w:rtl w:val="0"/>
          <w:lang w:val="en-US"/>
        </w:rPr>
        <w:t>Researchers highlight the importance of maternal responsiveness and turn-taking between child and adults as an important factor (Hirsh-Pasek et al., 2015) and Homes and Kiernan (2013) have found that children</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s cognitive outcomes improved, where mothers read regularly to their children and interactions are positive. The researchers Home and Kiernan (2013) do note the replication of variables in intervention studies needs to be cautiously received,  however,  this research interestingly highlights the difference between parental involvement, language growth and poverty for speaking and language.</w:t>
      </w:r>
    </w:p>
    <w:p>
      <w:pPr>
        <w:pStyle w:val="Body"/>
        <w:spacing w:line="360" w:lineRule="auto"/>
        <w:rPr>
          <w:rFonts w:ascii="Times New Roman" w:cs="Times New Roman" w:hAnsi="Times New Roman" w:eastAsia="Times New Roman"/>
          <w:b w:val="0"/>
          <w:bCs w:val="0"/>
          <w:sz w:val="24"/>
          <w:szCs w:val="24"/>
          <w:shd w:val="clear" w:color="auto" w:fill="fefefe"/>
        </w:rPr>
      </w:pPr>
    </w:p>
    <w:p>
      <w:pPr>
        <w:pStyle w:val="Body"/>
        <w:spacing w:line="360" w:lineRule="auto"/>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   Hoff et al., (2020)</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s research, has provided insights around the quality of direct speech and language proficiency of parents, their research strengthens previous findings, that proficiency of parents language, is related to their children</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s language (Chodrogianni &amp; Marinis, 2011) and that early language exposure is the foundation pillars for language development (Bergelson et al, 2019). </w:t>
      </w:r>
    </w:p>
    <w:p>
      <w:pPr>
        <w:pStyle w:val="Body"/>
        <w:spacing w:line="360" w:lineRule="auto"/>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   This literature clearly highlights the importance of early language skills (</w:t>
      </w:r>
      <w:r>
        <w:rPr>
          <w:rFonts w:ascii="Times New Roman" w:hAnsi="Times New Roman"/>
          <w:sz w:val="24"/>
          <w:szCs w:val="24"/>
          <w:shd w:val="clear" w:color="auto" w:fill="fefefe"/>
          <w:rtl w:val="0"/>
          <w:lang w:val="it-IT"/>
        </w:rPr>
        <w:t>Chodrogianni &amp; Marinis, 2011</w:t>
      </w:r>
      <w:r>
        <w:rPr>
          <w:rFonts w:ascii="Times New Roman" w:hAnsi="Times New Roman"/>
          <w:sz w:val="24"/>
          <w:szCs w:val="24"/>
          <w:shd w:val="clear" w:color="auto" w:fill="fefefe"/>
          <w:rtl w:val="0"/>
          <w:lang w:val="en-US"/>
        </w:rPr>
        <w:t xml:space="preserve">: Hirsh-Pasek et al., 2015; </w:t>
      </w:r>
      <w:r>
        <w:rPr>
          <w:rFonts w:ascii="Times New Roman" w:hAnsi="Times New Roman"/>
          <w:sz w:val="24"/>
          <w:szCs w:val="24"/>
          <w:shd w:val="clear" w:color="auto" w:fill="fefefe"/>
          <w:rtl w:val="0"/>
          <w:lang w:val="fr-FR"/>
        </w:rPr>
        <w:t>Bergelson et al</w:t>
      </w:r>
      <w:r>
        <w:rPr>
          <w:rFonts w:ascii="Times New Roman" w:hAnsi="Times New Roman"/>
          <w:sz w:val="24"/>
          <w:szCs w:val="24"/>
          <w:shd w:val="clear" w:color="auto" w:fill="fefefe"/>
          <w:rtl w:val="0"/>
          <w:lang w:val="en-US"/>
        </w:rPr>
        <w:t>.</w:t>
      </w:r>
      <w:r>
        <w:rPr>
          <w:rFonts w:ascii="Times New Roman" w:hAnsi="Times New Roman"/>
          <w:sz w:val="24"/>
          <w:szCs w:val="24"/>
          <w:shd w:val="clear" w:color="auto" w:fill="fefefe"/>
          <w:rtl w:val="0"/>
        </w:rPr>
        <w:t>, 2019)</w:t>
      </w:r>
      <w:r>
        <w:rPr>
          <w:rFonts w:ascii="Times New Roman" w:hAnsi="Times New Roman"/>
          <w:sz w:val="24"/>
          <w:szCs w:val="24"/>
          <w:shd w:val="clear" w:color="auto" w:fill="fefefe"/>
          <w:rtl w:val="0"/>
          <w:lang w:val="en-US"/>
        </w:rPr>
        <w:t xml:space="preserve">  However, there is only limited research that evaluates service delivery of interventions that involves parents. Gibbard and Smith (2016) found that when a new project of joint working intervention was piloted in areas of social disadvantage, parent involvement increased from 35% to 100% and gains in children</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s speech development was reported. This is clearly significant, and should be investigated further, to develop best practice on increasing parental involvement within areas of social disadvantage. If these findings could be replicated nationally, these outcomes would benefit society as a whole and possibly provide opportunities to cost save.</w:t>
      </w:r>
    </w:p>
    <w:p>
      <w:pPr>
        <w:pStyle w:val="Body"/>
        <w:spacing w:line="360" w:lineRule="auto"/>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 Hoff et al., (2020) conclude that more educational opportunities are required to close the barriers faced by children due to poverty and the lack of language heard and used in their households. The findings may be linked to many different challenges being faced by parents, for example, being able to reach parents to complete and continue to deliver support for children, working parents and parents from disadvantaged backgrounds may not have the skills to be able to support their children. Even with these barriers, there is some emerging best practice that can be used to overcome barriers seen by children with SLC in areas of social disadvantage. </w:t>
      </w:r>
    </w:p>
    <w:p>
      <w:pPr>
        <w:pStyle w:val="Default"/>
        <w:bidi w:val="0"/>
        <w:spacing w:line="360" w:lineRule="auto"/>
        <w:ind w:left="0" w:right="0" w:firstLine="0"/>
        <w:jc w:val="left"/>
        <w:rPr>
          <w:rFonts w:ascii="Times New Roman" w:cs="Times New Roman" w:hAnsi="Times New Roman" w:eastAsia="Times New Roman"/>
          <w:outline w:val="0"/>
          <w:color w:val="666666"/>
          <w:sz w:val="24"/>
          <w:szCs w:val="24"/>
          <w:shd w:val="clear" w:color="auto" w:fill="ffffff"/>
          <w:rtl w:val="0"/>
          <w14:textOutline w14:w="0" w14:cap="flat">
            <w14:solidFill>
              <w14:srgbClr w14:val="666666"/>
            </w14:solidFill>
            <w14:prstDash w14:val="solid"/>
            <w14:miter w14:lim="400000"/>
          </w14:textOutline>
          <w14:textFill>
            <w14:solidFill>
              <w14:srgbClr w14:val="666666"/>
            </w14:solidFill>
          </w14:textFill>
        </w:rPr>
      </w:pPr>
    </w:p>
    <w:p>
      <w:pPr>
        <w:pStyle w:val="Body"/>
        <w:spacing w:line="360" w:lineRule="auto"/>
        <w:rPr>
          <w:rFonts w:ascii="Times New Roman" w:cs="Times New Roman" w:hAnsi="Times New Roman" w:eastAsia="Times New Roman"/>
          <w:b w:val="1"/>
          <w:bCs w:val="1"/>
          <w:sz w:val="24"/>
          <w:szCs w:val="24"/>
          <w:shd w:val="clear" w:color="auto" w:fill="fefefe"/>
        </w:rPr>
      </w:pPr>
      <w:r>
        <w:rPr>
          <w:rFonts w:ascii="Times New Roman" w:hAnsi="Times New Roman"/>
          <w:b w:val="1"/>
          <w:bCs w:val="1"/>
          <w:sz w:val="24"/>
          <w:szCs w:val="24"/>
          <w:shd w:val="clear" w:color="auto" w:fill="fefefe"/>
          <w:rtl w:val="0"/>
          <w:lang w:val="en-US"/>
        </w:rPr>
        <w:t>Low Socio-economic Status (SES)/Socially disadvantaged backgrounds</w:t>
      </w:r>
    </w:p>
    <w:p>
      <w:pPr>
        <w:pStyle w:val="Body"/>
        <w:spacing w:line="360" w:lineRule="auto"/>
        <w:rPr>
          <w:rFonts w:ascii="Times New Roman" w:cs="Times New Roman" w:hAnsi="Times New Roman" w:eastAsia="Times New Roman"/>
          <w:b w:val="1"/>
          <w:bCs w:val="1"/>
          <w:sz w:val="24"/>
          <w:szCs w:val="24"/>
          <w:shd w:val="clear" w:color="auto" w:fill="fefefe"/>
        </w:rPr>
      </w:pPr>
    </w:p>
    <w:p>
      <w:pPr>
        <w:pStyle w:val="Body"/>
        <w:spacing w:line="360" w:lineRule="auto"/>
        <w:rPr>
          <w:rFonts w:ascii="Times New Roman" w:cs="Times New Roman" w:hAnsi="Times New Roman" w:eastAsia="Times New Roman"/>
          <w:b w:val="1"/>
          <w:bCs w:val="1"/>
          <w:sz w:val="24"/>
          <w:szCs w:val="24"/>
          <w:shd w:val="clear" w:color="auto" w:fill="fefefe"/>
        </w:rPr>
      </w:pPr>
      <w:r>
        <w:rPr>
          <w:rFonts w:ascii="Times New Roman" w:hAnsi="Times New Roman"/>
          <w:b w:val="1"/>
          <w:bCs w:val="1"/>
          <w:sz w:val="24"/>
          <w:szCs w:val="24"/>
          <w:shd w:val="clear" w:color="auto" w:fill="fefefe"/>
          <w:rtl w:val="0"/>
          <w:lang w:val="en-US"/>
        </w:rPr>
        <w:t xml:space="preserve"> </w:t>
      </w:r>
      <w:r>
        <w:rPr>
          <w:rFonts w:ascii="Times New Roman" w:hAnsi="Times New Roman"/>
          <w:b w:val="0"/>
          <w:bCs w:val="0"/>
          <w:sz w:val="24"/>
          <w:szCs w:val="24"/>
          <w:shd w:val="clear" w:color="auto" w:fill="fefefe"/>
          <w:rtl w:val="0"/>
          <w:lang w:val="en-US"/>
        </w:rPr>
        <w:t xml:space="preserve">  The Bercow Report (2008) and empirical evidence highlight the gap in speech development between children from low social-economic status and their peers. This finding has been long reported within policy. Beard (2018)</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s recent research highlights that up to 50% of children entering school in the most disadvantaged areas have SLC difficulties. She</w:t>
      </w:r>
      <w:r>
        <w:rPr>
          <w:rFonts w:ascii="Times New Roman" w:hAnsi="Times New Roman"/>
          <w:b w:val="0"/>
          <w:bCs w:val="0"/>
          <w:outline w:val="0"/>
          <w:color w:val="ed220b"/>
          <w:sz w:val="24"/>
          <w:szCs w:val="24"/>
          <w:shd w:val="clear" w:color="auto" w:fill="fefefe"/>
          <w:rtl w:val="0"/>
          <w:lang w:val="en-US"/>
          <w14:textFill>
            <w14:solidFill>
              <w14:srgbClr w14:val="EE220C"/>
            </w14:solidFill>
          </w14:textFill>
        </w:rPr>
        <w:t xml:space="preserve"> </w:t>
      </w:r>
      <w:r>
        <w:rPr>
          <w:rFonts w:ascii="Times New Roman" w:hAnsi="Times New Roman"/>
          <w:b w:val="0"/>
          <w:bCs w:val="0"/>
          <w:sz w:val="24"/>
          <w:szCs w:val="24"/>
          <w:shd w:val="clear" w:color="auto" w:fill="fefefe"/>
          <w:rtl w:val="0"/>
          <w:lang w:val="en-US"/>
        </w:rPr>
        <w:t xml:space="preserve">has highlighted the nationwide concern that children who have SLC from socially disadvantaged backgrounds are less likely to catch up with their more advantaged peers. </w:t>
      </w: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1"/>
          <w:bCs w:val="1"/>
          <w:sz w:val="24"/>
          <w:szCs w:val="24"/>
          <w:shd w:val="clear" w:color="auto" w:fill="fefefe"/>
          <w:rtl w:val="0"/>
          <w:lang w:val="en-US"/>
        </w:rPr>
        <w:t xml:space="preserve">       </w:t>
      </w:r>
      <w:r>
        <w:rPr>
          <w:rFonts w:ascii="Times New Roman" w:hAnsi="Times New Roman"/>
          <w:b w:val="0"/>
          <w:bCs w:val="0"/>
          <w:sz w:val="24"/>
          <w:szCs w:val="24"/>
          <w:shd w:val="clear" w:color="auto" w:fill="fefefe"/>
          <w:rtl w:val="0"/>
          <w:lang w:val="en-US"/>
        </w:rPr>
        <w:t xml:space="preserve"> The Marmot review of health inequalities (Marmot, 2010) was influential in highlighting the differences in early child development and the importance of a commitment to the early years in England. </w:t>
      </w:r>
      <w:r>
        <w:rPr>
          <w:rFonts w:ascii="Times New Roman" w:hAnsi="Times New Roman"/>
          <w:b w:val="0"/>
          <w:bCs w:val="0"/>
          <w:sz w:val="24"/>
          <w:szCs w:val="24"/>
          <w:shd w:val="clear" w:color="auto" w:fill="fefefe"/>
          <w:rtl w:val="0"/>
          <w:lang w:val="da-DK"/>
        </w:rPr>
        <w:t>Waldfogel</w:t>
      </w:r>
      <w:r>
        <w:rPr>
          <w:rFonts w:ascii="Times New Roman" w:hAnsi="Times New Roman"/>
          <w:b w:val="0"/>
          <w:bCs w:val="0"/>
          <w:sz w:val="24"/>
          <w:szCs w:val="24"/>
          <w:shd w:val="clear" w:color="auto" w:fill="fefefe"/>
          <w:rtl w:val="0"/>
          <w:lang w:val="en-US"/>
        </w:rPr>
        <w:t xml:space="preserve"> (2004) identified that later interventions are important, but they are considerably less effective where social disadvantage is evident. They again highlight that early intervention is key to identify and support children with SLC. The Marmot review (Marmot, 2010) recommends a commitment to the early years, suggesting a need for increased expenditure in the early years via training opportunities and providing more support. The review also emphasises the importance of early years development and the need to support families through parenting programmes. The Marmot review (Marmot, 2010)  also stresses the importance to develop programmes for the transition to school and to share any evidence and professional opinions. The updated Marmot review (Marmot, 2020) also identified that funding cuts have sadly impacted on the delivery of early interventions. One way to combat some funding issues suggested is to recommend an increase to pay and qualification requirements of the childcare workforce, to aid retention and to support families further. The recent review highlights the thoughts of Brodin &amp; Renblad (2015) who suggest the challenges of recruitment and the delivery of early interventions in order to provide the best possible support.</w:t>
      </w:r>
      <w:r>
        <w:rPr>
          <w:rFonts w:ascii="Times New Roman" w:hAnsi="Times New Roman"/>
          <w:b w:val="0"/>
          <w:bCs w:val="0"/>
          <w:sz w:val="24"/>
          <w:szCs w:val="24"/>
          <w:shd w:val="clear" w:color="auto" w:fill="fefefe"/>
          <w:rtl w:val="0"/>
        </w:rPr>
        <w:t xml:space="preserve"> </w:t>
      </w:r>
      <w:r>
        <w:rPr>
          <w:rFonts w:ascii="Times New Roman" w:hAnsi="Times New Roman"/>
          <w:b w:val="0"/>
          <w:bCs w:val="0"/>
          <w:sz w:val="24"/>
          <w:szCs w:val="24"/>
          <w:shd w:val="clear" w:color="auto" w:fill="fefefe"/>
          <w:rtl w:val="0"/>
          <w:lang w:val="en-US"/>
        </w:rPr>
        <w:t xml:space="preserve"> </w:t>
      </w:r>
      <w:r>
        <w:rPr>
          <w:rFonts w:ascii="Times New Roman" w:hAnsi="Times New Roman"/>
          <w:b w:val="0"/>
          <w:bCs w:val="0"/>
          <w:sz w:val="24"/>
          <w:szCs w:val="24"/>
          <w:shd w:val="clear" w:color="auto" w:fill="fefefe"/>
          <w:rtl w:val="0"/>
          <w:lang w:val="en-US"/>
        </w:rPr>
        <w:t>Gibbard and Smith (2016)</w:t>
      </w:r>
      <w:r>
        <w:rPr>
          <w:rFonts w:ascii="Times New Roman" w:hAnsi="Times New Roman"/>
          <w:b w:val="0"/>
          <w:bCs w:val="0"/>
          <w:sz w:val="24"/>
          <w:szCs w:val="24"/>
          <w:shd w:val="clear" w:color="auto" w:fill="fefefe"/>
          <w:rtl w:val="0"/>
          <w:lang w:val="en-US"/>
        </w:rPr>
        <w:t xml:space="preserve"> have questioned previous research that links child language delay and social disadvantage. Gibbard and Smith</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s (2016) research notes that increased parental involvement acts as a positive factor on social disadvantage. Their results suggest that it</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s not social disadvantage that affects the child's SLC, but that home learning and communication is crucial for SLC. Therefore, highlighting the need to engage and actively promote parental involvement for better outcomes for children with SLC.</w:t>
      </w:r>
    </w:p>
    <w:p>
      <w:pPr>
        <w:pStyle w:val="Body"/>
        <w:spacing w:line="360" w:lineRule="auto"/>
        <w:rPr>
          <w:rFonts w:ascii="Times New Roman" w:cs="Times New Roman" w:hAnsi="Times New Roman" w:eastAsia="Times New Roman"/>
          <w:b w:val="0"/>
          <w:bCs w:val="0"/>
          <w:sz w:val="24"/>
          <w:szCs w:val="24"/>
          <w:shd w:val="clear" w:color="auto" w:fill="fefefe"/>
        </w:rPr>
      </w:pPr>
    </w:p>
    <w:p>
      <w:pPr>
        <w:pStyle w:val="Body"/>
        <w:spacing w:line="360" w:lineRule="auto"/>
        <w:rPr>
          <w:rFonts w:ascii="Times New Roman" w:cs="Times New Roman" w:hAnsi="Times New Roman" w:eastAsia="Times New Roman"/>
          <w:b w:val="1"/>
          <w:bCs w:val="1"/>
          <w:sz w:val="24"/>
          <w:szCs w:val="24"/>
          <w:shd w:val="clear" w:color="auto" w:fill="fefefe"/>
        </w:rPr>
      </w:pPr>
      <w:r>
        <w:rPr>
          <w:rFonts w:ascii="Times New Roman" w:hAnsi="Times New Roman"/>
          <w:b w:val="0"/>
          <w:bCs w:val="0"/>
          <w:sz w:val="24"/>
          <w:szCs w:val="24"/>
          <w:shd w:val="clear" w:color="auto" w:fill="fefefe"/>
          <w:rtl w:val="0"/>
          <w:lang w:val="en-US"/>
        </w:rPr>
        <w:t xml:space="preserve"> A more recent Marmot review (Marmot, 2020) again highlights the importance of Dunst (2012)</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s research that suggests that there is great gap between research, policy and practice of interventions in general. Brodin &amp; Renblad (2015)</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s work suggests that more research is needed to review the service delivery of policy surrounding interventions especially to support children from low SES. The literature clearly points to the fact that children who display language difficulties from low socio-economic status are more likely to have long term language issues and prolonged lifelong difficulties (Henrichs et al., 2011, Law et al., 2011) in education, mental health and long-term unemployment in adulthood (Beard, 2018). The children from low social economic backgrounds are severely hindered in a world that expects good communication, these children are significantly disadvantaged from the very beginning. However, this disadvantage may be linked to the lack of services offered and communication at home rather than being from a socially disadvantaged background (Gibbard and Smith, 2016) which needs further investigation.</w:t>
      </w:r>
    </w:p>
    <w:p>
      <w:pPr>
        <w:pStyle w:val="Body"/>
        <w:spacing w:line="360" w:lineRule="auto"/>
        <w:rPr>
          <w:rFonts w:ascii="Times New Roman" w:cs="Times New Roman" w:hAnsi="Times New Roman" w:eastAsia="Times New Roman"/>
          <w:b w:val="1"/>
          <w:bCs w:val="1"/>
          <w:sz w:val="24"/>
          <w:szCs w:val="24"/>
          <w:shd w:val="clear" w:color="auto" w:fill="fefefe"/>
        </w:rPr>
      </w:pPr>
    </w:p>
    <w:p>
      <w:pPr>
        <w:pStyle w:val="Body"/>
        <w:spacing w:line="360" w:lineRule="auto"/>
        <w:rPr>
          <w:rFonts w:ascii="Times New Roman" w:cs="Times New Roman" w:hAnsi="Times New Roman" w:eastAsia="Times New Roman"/>
          <w:b w:val="1"/>
          <w:bCs w:val="1"/>
          <w:sz w:val="24"/>
          <w:szCs w:val="24"/>
          <w:shd w:val="clear" w:color="auto" w:fill="fefefe"/>
        </w:rPr>
      </w:pPr>
    </w:p>
    <w:p>
      <w:pPr>
        <w:pStyle w:val="Body"/>
        <w:spacing w:line="360" w:lineRule="auto"/>
        <w:rPr>
          <w:rFonts w:ascii="Times New Roman" w:cs="Times New Roman" w:hAnsi="Times New Roman" w:eastAsia="Times New Roman"/>
          <w:b w:val="1"/>
          <w:bCs w:val="1"/>
          <w:sz w:val="24"/>
          <w:szCs w:val="24"/>
          <w:shd w:val="clear" w:color="auto" w:fill="fefefe"/>
        </w:rPr>
      </w:pPr>
      <w:r>
        <w:rPr>
          <w:rFonts w:ascii="Times New Roman" w:hAnsi="Times New Roman"/>
          <w:b w:val="1"/>
          <w:bCs w:val="1"/>
          <w:sz w:val="24"/>
          <w:szCs w:val="24"/>
          <w:shd w:val="clear" w:color="auto" w:fill="fefefe"/>
          <w:rtl w:val="0"/>
          <w:lang w:val="en-US"/>
        </w:rPr>
        <w:t>Local LEA- WellComm/Speech and Language Link</w:t>
      </w:r>
    </w:p>
    <w:p>
      <w:pPr>
        <w:pStyle w:val="Body"/>
        <w:spacing w:line="360" w:lineRule="auto"/>
        <w:rPr>
          <w:rFonts w:ascii="Times New Roman" w:cs="Times New Roman" w:hAnsi="Times New Roman" w:eastAsia="Times New Roman"/>
          <w:b w:val="1"/>
          <w:bCs w:val="1"/>
          <w:sz w:val="24"/>
          <w:szCs w:val="24"/>
          <w:shd w:val="clear" w:color="auto" w:fill="fefefe"/>
        </w:rPr>
      </w:pP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1"/>
          <w:bCs w:val="1"/>
          <w:sz w:val="24"/>
          <w:szCs w:val="24"/>
          <w:shd w:val="clear" w:color="auto" w:fill="fefefe"/>
          <w:rtl w:val="0"/>
          <w:lang w:val="en-US"/>
        </w:rPr>
        <w:t xml:space="preserve">   </w:t>
      </w:r>
      <w:r>
        <w:rPr>
          <w:rFonts w:ascii="Times New Roman" w:hAnsi="Times New Roman"/>
          <w:b w:val="0"/>
          <w:bCs w:val="0"/>
          <w:sz w:val="24"/>
          <w:szCs w:val="24"/>
          <w:shd w:val="clear" w:color="auto" w:fill="fefefe"/>
          <w:rtl w:val="0"/>
          <w:lang w:val="en-US"/>
        </w:rPr>
        <w:t>NPT LEA have rolled out the WellComm Early Years toolkit for school staff to use to easily identify children needing speech and language support. The toolkits are quick and simple to administer and use an easy understandable traffic light scoring system of red, amber and green. The screening tool has been highlighted to identify SLC early, increase collaboration with both professionals and parents and to develop a good working relationship between parents and school. NPT LEA has started to implement WellComm in nursery settings and childcare settings prior to school admission. The LEA is heavily investing in training staff in both education and pre-school settings to ensure early identification and increased parental involvement. The research literature strengthens the LEAs stance on early intervention (Saracho &amp; Spodek, 2007;</w:t>
      </w:r>
      <w:r>
        <w:rPr>
          <w:rFonts w:ascii="Times New Roman" w:hAnsi="Times New Roman"/>
          <w:b w:val="1"/>
          <w:bCs w:val="1"/>
          <w:sz w:val="24"/>
          <w:szCs w:val="24"/>
          <w:shd w:val="clear" w:color="auto" w:fill="fefefe"/>
          <w:rtl w:val="0"/>
          <w:lang w:val="en-US"/>
        </w:rPr>
        <w:t xml:space="preserve"> </w:t>
      </w:r>
      <w:r>
        <w:rPr>
          <w:rFonts w:ascii="Times New Roman" w:hAnsi="Times New Roman"/>
          <w:b w:val="0"/>
          <w:bCs w:val="0"/>
          <w:sz w:val="24"/>
          <w:szCs w:val="24"/>
          <w:shd w:val="clear" w:color="auto" w:fill="fefefe"/>
          <w:rtl w:val="0"/>
          <w:lang w:val="en-US"/>
        </w:rPr>
        <w:t xml:space="preserve">Norling &amp; Lillvist, 2016; Brodin &amp; Renblad, 2019) and policy WG (WG, 2020) in order to identify children early, develop a consistent approach and to support parents to help their children.  </w:t>
      </w:r>
    </w:p>
    <w:p>
      <w:pPr>
        <w:pStyle w:val="Body"/>
        <w:spacing w:line="360" w:lineRule="auto"/>
        <w:rPr>
          <w:rFonts w:ascii="Times New Roman" w:cs="Times New Roman" w:hAnsi="Times New Roman" w:eastAsia="Times New Roman"/>
          <w:b w:val="1"/>
          <w:bCs w:val="1"/>
          <w:sz w:val="24"/>
          <w:szCs w:val="24"/>
          <w:shd w:val="clear" w:color="auto" w:fill="fefefe"/>
        </w:rPr>
      </w:pP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1"/>
          <w:bCs w:val="1"/>
          <w:sz w:val="24"/>
          <w:szCs w:val="24"/>
          <w:shd w:val="clear" w:color="auto" w:fill="fefefe"/>
          <w:rtl w:val="0"/>
          <w:lang w:val="en-US"/>
        </w:rPr>
        <w:t xml:space="preserve">  </w:t>
      </w:r>
      <w:r>
        <w:rPr>
          <w:rFonts w:ascii="Times New Roman" w:hAnsi="Times New Roman"/>
          <w:b w:val="0"/>
          <w:bCs w:val="0"/>
          <w:sz w:val="24"/>
          <w:szCs w:val="24"/>
          <w:shd w:val="clear" w:color="auto" w:fill="fefefe"/>
          <w:rtl w:val="0"/>
          <w:lang w:val="en-US"/>
        </w:rPr>
        <w:t>To the researchers knowledge there is only one piece of work that investigates the use of WellComm as a screening tool. This research by Seager &amp; Abbot-Smith (2017) highlights the benefits of interventions for speech and language (Gallagher and Chiat, 2009). Seger &amp; Abbot-Smith (2017) also question the sensitivity of universal screening tools, suggesting that, one off screening tools are not consistently accurate to predict long term difficulties with speech and language (Dockrell and Marshall, 2015). Law et al., (2011) also points out that children from socially deprived areas perform poorly in language assessments. Teachers also report limited confidence in identifying children</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s oral language needs (Communication Trust, 2017) which again provides a barrier for support. The literature highlights that there is a considerable gap in identifying children with screening tools for SLC especially from deprived backgrounds.</w:t>
      </w: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0"/>
          <w:bCs w:val="0"/>
          <w:sz w:val="24"/>
          <w:szCs w:val="24"/>
          <w:shd w:val="clear" w:color="auto" w:fill="fefefe"/>
          <w:rtl w:val="0"/>
          <w:lang w:val="en-US"/>
        </w:rPr>
        <w:t xml:space="preserve">   Seager &amp; Abbot-Smith (2017) also suggest that UK professionals do not routinely assess language development and until recently there was no consistent format for 0-3 year olds. At two years of age a check by Health Visitors is completed and this check generally consists of questioning parents and completing a very short activity. They also note that only until recently the two year health check did not include a standardised test, therefore procedures and outcomes have been inconsistent throughout the UK and hinders children from being provided with essential early support. In light of  Lee and Pring (2016) who note that children with SLC will go undetected until they start school this clearly needs to be investigated further.</w:t>
      </w:r>
    </w:p>
    <w:p>
      <w:pPr>
        <w:pStyle w:val="Body"/>
        <w:spacing w:line="360" w:lineRule="auto"/>
        <w:rPr>
          <w:rFonts w:ascii="Times New Roman" w:cs="Times New Roman" w:hAnsi="Times New Roman" w:eastAsia="Times New Roman"/>
          <w:b w:val="0"/>
          <w:bCs w:val="0"/>
          <w:sz w:val="24"/>
          <w:szCs w:val="24"/>
          <w:shd w:val="clear" w:color="auto" w:fill="fefefe"/>
        </w:rPr>
      </w:pP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0"/>
          <w:bCs w:val="0"/>
          <w:sz w:val="24"/>
          <w:szCs w:val="24"/>
          <w:shd w:val="clear" w:color="auto" w:fill="fefefe"/>
          <w:rtl w:val="0"/>
          <w:lang w:val="en-US"/>
        </w:rPr>
        <w:t xml:space="preserve"> Currently, in Wales children who attend Flying Start settings are assessed by the Welsh Government (WG, 2014) assessment tool, Schedule of Growing Skills (SoGS) that aims to develop a consistent approach in assessing the development of children at an early age. The literature by Dockrell and Marshall (2015) and Brodin &amp; Renblad</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s (2015) found that many different SLC assessment tools are being used, but there is very limited consistent approach to SLC assessment. The children are assessed at the age of two and again at the age of three by Flying Start health visitors, the assessment results are then used to identify needs and inform the transition of the children into the Foundation Phase via the Child Development Plan. The assessments aim to ensure that parents are kept informed about their child</w:t>
      </w:r>
      <w:r>
        <w:rPr>
          <w:rFonts w:ascii="Times New Roman" w:hAnsi="Times New Roman" w:hint="default"/>
          <w:b w:val="0"/>
          <w:bCs w:val="0"/>
          <w:sz w:val="24"/>
          <w:szCs w:val="24"/>
          <w:shd w:val="clear" w:color="auto" w:fill="fefefe"/>
          <w:rtl w:val="0"/>
          <w:lang w:val="en-US"/>
        </w:rPr>
        <w:t>’</w:t>
      </w:r>
      <w:r>
        <w:rPr>
          <w:rFonts w:ascii="Times New Roman" w:hAnsi="Times New Roman"/>
          <w:b w:val="0"/>
          <w:bCs w:val="0"/>
          <w:sz w:val="24"/>
          <w:szCs w:val="24"/>
          <w:shd w:val="clear" w:color="auto" w:fill="fefefe"/>
          <w:rtl w:val="0"/>
          <w:lang w:val="en-US"/>
        </w:rPr>
        <w:t xml:space="preserve">s outcomes and hope to increase involvement in planning learning within the home, these aims again strengthen the findings of </w:t>
      </w:r>
      <w:r>
        <w:rPr>
          <w:rFonts w:ascii="Times New Roman" w:hAnsi="Times New Roman"/>
          <w:b w:val="0"/>
          <w:bCs w:val="0"/>
          <w:sz w:val="24"/>
          <w:szCs w:val="24"/>
          <w:shd w:val="clear" w:color="auto" w:fill="fefefe"/>
          <w:rtl w:val="0"/>
          <w:lang w:val="en-US"/>
        </w:rPr>
        <w:t>Brown and Woods (2016) and Green et al</w:t>
      </w:r>
      <w:r>
        <w:rPr>
          <w:rFonts w:ascii="Times New Roman" w:hAnsi="Times New Roman"/>
          <w:b w:val="0"/>
          <w:bCs w:val="0"/>
          <w:sz w:val="24"/>
          <w:szCs w:val="24"/>
          <w:shd w:val="clear" w:color="auto" w:fill="fefefe"/>
          <w:rtl w:val="0"/>
          <w:lang w:val="en-US"/>
        </w:rPr>
        <w:t>.,</w:t>
      </w:r>
      <w:r>
        <w:rPr>
          <w:rFonts w:ascii="Times New Roman" w:hAnsi="Times New Roman"/>
          <w:b w:val="0"/>
          <w:bCs w:val="0"/>
          <w:sz w:val="24"/>
          <w:szCs w:val="24"/>
          <w:shd w:val="clear" w:color="auto" w:fill="fefefe"/>
          <w:rtl w:val="0"/>
        </w:rPr>
        <w:t xml:space="preserve"> (2018)</w:t>
      </w:r>
      <w:r>
        <w:rPr>
          <w:rFonts w:ascii="Times New Roman" w:hAnsi="Times New Roman"/>
          <w:b w:val="0"/>
          <w:bCs w:val="0"/>
          <w:sz w:val="24"/>
          <w:szCs w:val="24"/>
          <w:shd w:val="clear" w:color="auto" w:fill="fefefe"/>
          <w:rtl w:val="0"/>
          <w:lang w:val="en-US"/>
        </w:rPr>
        <w:t xml:space="preserve">. </w:t>
      </w:r>
    </w:p>
    <w:p>
      <w:pPr>
        <w:pStyle w:val="Body"/>
        <w:spacing w:line="360" w:lineRule="auto"/>
        <w:rPr>
          <w:rFonts w:ascii="Times New Roman" w:cs="Times New Roman" w:hAnsi="Times New Roman" w:eastAsia="Times New Roman"/>
          <w:b w:val="0"/>
          <w:bCs w:val="0"/>
          <w:sz w:val="24"/>
          <w:szCs w:val="24"/>
          <w:shd w:val="clear" w:color="auto" w:fill="fefefe"/>
        </w:rPr>
      </w:pPr>
    </w:p>
    <w:p>
      <w:pPr>
        <w:pStyle w:val="Body"/>
        <w:spacing w:line="360" w:lineRule="auto"/>
        <w:rPr>
          <w:rFonts w:ascii="Times New Roman" w:cs="Times New Roman" w:hAnsi="Times New Roman" w:eastAsia="Times New Roman"/>
          <w:b w:val="0"/>
          <w:bCs w:val="0"/>
          <w:sz w:val="24"/>
          <w:szCs w:val="24"/>
          <w:shd w:val="clear" w:color="auto" w:fill="fefefe"/>
        </w:rPr>
      </w:pPr>
      <w:r>
        <w:rPr>
          <w:rFonts w:ascii="Times New Roman" w:hAnsi="Times New Roman"/>
          <w:b w:val="0"/>
          <w:bCs w:val="0"/>
          <w:sz w:val="24"/>
          <w:szCs w:val="24"/>
          <w:shd w:val="clear" w:color="auto" w:fill="fefefe"/>
          <w:rtl w:val="0"/>
          <w:lang w:val="en-US"/>
        </w:rPr>
        <w:t xml:space="preserve">    There is a further need to investigate the impact of WellComm and other SLC packages to support children prior to attending school and their early development. WellComm has been rolled out to NPT LEA and also to numerous other LEAs in Wales, there has been limited validation from quality research to see the benefits and any improvements that can be made from its application.  Empirical evidence suggests that greater collaborative working helps children with SLC. Transition between settings would be enhanced as information would be shared with all agencies, including school, who can then access specialist support agencies for SLC children. Evidence can then be collected in order to meet the criteria for referral. SLC referrals require a great amount of paperwork and with a more cohesive approach this process would be far more efficient.</w:t>
      </w:r>
    </w:p>
    <w:p>
      <w:pPr>
        <w:pStyle w:val="Body"/>
        <w:spacing w:line="360" w:lineRule="auto"/>
        <w:rPr>
          <w:rFonts w:ascii="Times New Roman" w:cs="Times New Roman" w:hAnsi="Times New Roman" w:eastAsia="Times New Roman"/>
          <w:b w:val="1"/>
          <w:bCs w:val="1"/>
          <w:sz w:val="24"/>
          <w:szCs w:val="24"/>
          <w:shd w:val="clear" w:color="auto" w:fill="fefefe"/>
        </w:rPr>
      </w:pPr>
      <w:r>
        <w:rPr>
          <w:rFonts w:ascii="Times New Roman" w:hAnsi="Times New Roman"/>
          <w:b w:val="0"/>
          <w:bCs w:val="0"/>
          <w:sz w:val="24"/>
          <w:szCs w:val="24"/>
          <w:shd w:val="clear" w:color="auto" w:fill="fefefe"/>
          <w:rtl w:val="0"/>
          <w:lang w:val="en-US"/>
        </w:rPr>
        <w:t xml:space="preserve">   However, with the WG (WG, 2020) SLC Consultation document for developing Speech and Language, the guidelines set out clear expectations to support children with SLC in Wales. The WG (WG, 2020) document also suggests that there should be greater CPD and improved staff development to ensure the consistency between all professionals working to support children with </w:t>
      </w:r>
      <w:r>
        <w:rPr>
          <w:rFonts w:ascii="Times New Roman" w:hAnsi="Times New Roman"/>
          <w:b w:val="0"/>
          <w:bCs w:val="0"/>
          <w:sz w:val="24"/>
          <w:szCs w:val="24"/>
          <w:shd w:val="clear" w:color="auto" w:fill="fefefe"/>
          <w:rtl w:val="0"/>
        </w:rPr>
        <w:t>SLC</w:t>
      </w:r>
      <w:r>
        <w:rPr>
          <w:rFonts w:ascii="Times New Roman" w:hAnsi="Times New Roman"/>
          <w:b w:val="0"/>
          <w:bCs w:val="0"/>
          <w:sz w:val="24"/>
          <w:szCs w:val="24"/>
          <w:shd w:val="clear" w:color="auto" w:fill="fefefe"/>
          <w:rtl w:val="0"/>
          <w:lang w:val="en-US"/>
        </w:rPr>
        <w:t xml:space="preserve"> difficulties in Wales.</w:t>
      </w:r>
    </w:p>
    <w:p>
      <w:pPr>
        <w:pStyle w:val="Body"/>
        <w:spacing w:line="360" w:lineRule="auto"/>
        <w:rPr>
          <w:rFonts w:ascii="Times New Roman" w:cs="Times New Roman" w:hAnsi="Times New Roman" w:eastAsia="Times New Roman"/>
          <w:b w:val="1"/>
          <w:bCs w:val="1"/>
          <w:sz w:val="24"/>
          <w:szCs w:val="24"/>
          <w:shd w:val="clear" w:color="auto" w:fill="fefefe"/>
        </w:rPr>
      </w:pPr>
    </w:p>
    <w:p>
      <w:pPr>
        <w:pStyle w:val="Body"/>
        <w:spacing w:line="360" w:lineRule="auto"/>
        <w:rPr>
          <w:rFonts w:ascii="Times New Roman" w:cs="Times New Roman" w:hAnsi="Times New Roman" w:eastAsia="Times New Roman"/>
          <w:b w:val="1"/>
          <w:bCs w:val="1"/>
          <w:sz w:val="24"/>
          <w:szCs w:val="24"/>
          <w:shd w:val="clear" w:color="auto" w:fill="fefefe"/>
        </w:rPr>
      </w:pPr>
      <w:r>
        <w:rPr>
          <w:rFonts w:ascii="Times New Roman" w:hAnsi="Times New Roman"/>
          <w:b w:val="1"/>
          <w:bCs w:val="1"/>
          <w:sz w:val="24"/>
          <w:szCs w:val="24"/>
          <w:shd w:val="clear" w:color="auto" w:fill="fefefe"/>
          <w:rtl w:val="0"/>
          <w:lang w:val="en-US"/>
        </w:rPr>
        <w:t>Conclusion</w:t>
      </w:r>
    </w:p>
    <w:p>
      <w:pPr>
        <w:pStyle w:val="Default"/>
        <w:bidi w:val="0"/>
        <w:spacing w:line="360" w:lineRule="auto"/>
        <w:ind w:left="0" w:right="0" w:firstLine="0"/>
        <w:jc w:val="left"/>
        <w:rPr>
          <w:rFonts w:ascii="Times New Roman" w:cs="Times New Roman" w:hAnsi="Times New Roman" w:eastAsia="Times New Roman"/>
          <w:sz w:val="24"/>
          <w:szCs w:val="24"/>
          <w:u w:color="000000"/>
          <w:shd w:val="clear" w:color="auto" w:fill="fefefe"/>
          <w:rtl w:val="0"/>
          <w:lang w:val="en-US"/>
          <w14:textOutline w14:w="12700" w14:cap="flat">
            <w14:noFill/>
            <w14:miter w14:lim="400000"/>
          </w14:textOutline>
        </w:rPr>
      </w:pPr>
      <w:r>
        <w:rPr>
          <w:rFonts w:ascii="Times New Roman" w:hAnsi="Times New Roman"/>
          <w:sz w:val="24"/>
          <w:szCs w:val="24"/>
          <w:u w:color="000000"/>
          <w:shd w:val="clear" w:color="auto" w:fill="fefefe"/>
          <w:rtl w:val="0"/>
          <w:lang w:val="en-US"/>
          <w14:textOutline w14:w="12700" w14:cap="flat">
            <w14:noFill/>
            <w14:miter w14:lim="400000"/>
          </w14:textOutline>
        </w:rPr>
        <w:t xml:space="preserve">   </w:t>
      </w:r>
    </w:p>
    <w:p>
      <w:pPr>
        <w:pStyle w:val="Default"/>
        <w:bidi w:val="0"/>
        <w:spacing w:line="360" w:lineRule="auto"/>
        <w:ind w:left="0" w:right="0" w:firstLine="0"/>
        <w:jc w:val="left"/>
        <w:rPr>
          <w:rFonts w:ascii="Times New Roman" w:cs="Times New Roman" w:hAnsi="Times New Roman" w:eastAsia="Times New Roman"/>
          <w:sz w:val="24"/>
          <w:szCs w:val="24"/>
          <w:u w:color="000000"/>
          <w:shd w:val="clear" w:color="auto" w:fill="fefefe"/>
          <w:rtl w:val="0"/>
          <w:lang w:val="en-US"/>
          <w14:textOutline w14:w="12700" w14:cap="flat">
            <w14:noFill/>
            <w14:miter w14:lim="400000"/>
          </w14:textOutline>
        </w:rPr>
      </w:pPr>
      <w:r>
        <w:rPr>
          <w:rFonts w:ascii="Times New Roman" w:hAnsi="Times New Roman"/>
          <w:sz w:val="24"/>
          <w:szCs w:val="24"/>
          <w:u w:color="000000"/>
          <w:shd w:val="clear" w:color="auto" w:fill="fefefe"/>
          <w:rtl w:val="0"/>
          <w:lang w:val="en-US"/>
          <w14:textOutline w14:w="12700" w14:cap="flat">
            <w14:noFill/>
            <w14:miter w14:lim="400000"/>
          </w14:textOutline>
        </w:rPr>
        <w:t>Over the next two years the WG aims to implement the Speech, Language and Communication Delivery Plan in order to raise the profile of SLC, to remove barriers to learning and to support early identification. However, many challenges have been highlighted in delivering this support for SLC such as SLC assessment tools integrity (Seager &amp; Abbot-Smith, 2017), workforce understanding of SLC (Brodin &amp; Renblad, 2019) and the timing of SLC interventions (Pelatti et al., 2014).</w:t>
      </w:r>
    </w:p>
    <w:p>
      <w:pPr>
        <w:pStyle w:val="Default"/>
        <w:bidi w:val="0"/>
        <w:spacing w:line="360" w:lineRule="auto"/>
        <w:ind w:left="0" w:right="0" w:firstLine="0"/>
        <w:jc w:val="left"/>
        <w:rPr>
          <w:rFonts w:ascii="Times New Roman" w:cs="Times New Roman" w:hAnsi="Times New Roman" w:eastAsia="Times New Roman"/>
          <w:sz w:val="24"/>
          <w:szCs w:val="24"/>
          <w:u w:color="000000"/>
          <w:shd w:val="clear" w:color="auto" w:fill="fefefe"/>
          <w:rtl w:val="0"/>
          <w:lang w:val="en-US"/>
          <w14:textOutline w14:w="12700" w14:cap="flat">
            <w14:noFill/>
            <w14:miter w14:lim="400000"/>
          </w14:textOutline>
        </w:rPr>
      </w:pPr>
      <w:r>
        <w:rPr>
          <w:rFonts w:ascii="Times New Roman" w:hAnsi="Times New Roman"/>
          <w:sz w:val="24"/>
          <w:szCs w:val="24"/>
          <w:u w:color="000000"/>
          <w:shd w:val="clear" w:color="auto" w:fill="fefefe"/>
          <w:rtl w:val="0"/>
          <w:lang w:val="en-US"/>
          <w14:textOutline w14:w="12700" w14:cap="flat">
            <w14:noFill/>
            <w14:miter w14:lim="400000"/>
          </w14:textOutline>
        </w:rPr>
        <w:t xml:space="preserve">   However, research from </w:t>
      </w:r>
      <w:r>
        <w:rPr>
          <w:rFonts w:ascii="Times New Roman" w:hAnsi="Times New Roman"/>
          <w:sz w:val="24"/>
          <w:szCs w:val="24"/>
          <w:u w:color="000000"/>
          <w:shd w:val="clear" w:color="auto" w:fill="fefefe"/>
          <w:rtl w:val="0"/>
          <w:lang w:val="en-US"/>
          <w14:textOutline w14:w="12700" w14:cap="flat">
            <w14:noFill/>
            <w14:miter w14:lim="400000"/>
          </w14:textOutline>
        </w:rPr>
        <w:t>Seager &amp; Abbot-Smith</w:t>
      </w:r>
      <w:r>
        <w:rPr>
          <w:rFonts w:ascii="Times New Roman" w:hAnsi="Times New Roman"/>
          <w:sz w:val="24"/>
          <w:szCs w:val="24"/>
          <w:u w:color="000000"/>
          <w:shd w:val="clear" w:color="auto" w:fill="fefefe"/>
          <w:rtl w:val="0"/>
          <w:lang w:val="en-US"/>
          <w14:textOutline w14:w="12700" w14:cap="flat">
            <w14:noFill/>
            <w14:miter w14:lim="400000"/>
          </w14:textOutline>
        </w:rPr>
        <w:t xml:space="preserve"> (</w:t>
      </w:r>
      <w:r>
        <w:rPr>
          <w:rFonts w:ascii="Times New Roman" w:hAnsi="Times New Roman"/>
          <w:sz w:val="24"/>
          <w:szCs w:val="24"/>
          <w:u w:color="000000"/>
          <w:shd w:val="clear" w:color="auto" w:fill="fefefe"/>
          <w:rtl w:val="0"/>
          <w:lang w:val="en-US"/>
          <w14:textOutline w14:w="12700" w14:cap="flat">
            <w14:noFill/>
            <w14:miter w14:lim="400000"/>
          </w14:textOutline>
        </w:rPr>
        <w:t>2017)</w:t>
      </w:r>
      <w:r>
        <w:rPr>
          <w:rFonts w:ascii="Times New Roman" w:hAnsi="Times New Roman"/>
          <w:sz w:val="24"/>
          <w:szCs w:val="24"/>
          <w:u w:color="000000"/>
          <w:shd w:val="clear" w:color="auto" w:fill="fefefe"/>
          <w:rtl w:val="0"/>
          <w:lang w:val="en-US"/>
          <w14:textOutline w14:w="12700" w14:cap="flat">
            <w14:noFill/>
            <w14:miter w14:lim="400000"/>
          </w14:textOutline>
        </w:rPr>
        <w:t xml:space="preserve"> has identified the need to develop SLC assessments that are used over time and that are developmentally progressive rather than a one off assessment. WellComm addresses many of these concerns, as children are assessed more frequently and parents are informed of their progress and greater collaboration can be sought.</w:t>
      </w:r>
    </w:p>
    <w:p>
      <w:pPr>
        <w:pStyle w:val="Default"/>
        <w:bidi w:val="0"/>
        <w:spacing w:line="360" w:lineRule="auto"/>
        <w:ind w:left="0" w:right="0" w:firstLine="0"/>
        <w:jc w:val="left"/>
        <w:rPr>
          <w:rFonts w:ascii="Times New Roman" w:cs="Times New Roman" w:hAnsi="Times New Roman" w:eastAsia="Times New Roman"/>
          <w:sz w:val="24"/>
          <w:szCs w:val="24"/>
          <w:u w:color="000000"/>
          <w:shd w:val="clear" w:color="auto" w:fill="fefefe"/>
          <w:rtl w:val="0"/>
          <w:lang w:val="en-US"/>
          <w14:textOutline w14:w="12700" w14:cap="flat">
            <w14:noFill/>
            <w14:miter w14:lim="400000"/>
          </w14:textOutline>
        </w:rPr>
      </w:pPr>
      <w:r>
        <w:rPr>
          <w:rFonts w:ascii="Times New Roman" w:hAnsi="Times New Roman"/>
          <w:sz w:val="24"/>
          <w:szCs w:val="24"/>
          <w:u w:color="000000"/>
          <w:shd w:val="clear" w:color="auto" w:fill="fefefe"/>
          <w:rtl w:val="0"/>
          <w:lang w:val="en-US"/>
          <w14:textOutline w14:w="12700" w14:cap="flat">
            <w14:noFill/>
            <w14:miter w14:lim="400000"/>
          </w14:textOutline>
        </w:rPr>
        <w:t xml:space="preserve">    There is a large body of research and multiple definitions of SLC, but limited practical intervention strategy advice to support schools. As a result, interventions across the education system are varied and even vary across LEAs. Dunst (2012)</w:t>
      </w:r>
      <w:r>
        <w:rPr>
          <w:rFonts w:ascii="Times New Roman" w:hAnsi="Times New Roman" w:hint="default"/>
          <w:sz w:val="24"/>
          <w:szCs w:val="24"/>
          <w:u w:color="000000"/>
          <w:shd w:val="clear" w:color="auto" w:fill="fefefe"/>
          <w:rtl w:val="0"/>
          <w:lang w:val="en-US"/>
          <w14:textOutline w14:w="12700" w14:cap="flat">
            <w14:noFill/>
            <w14:miter w14:lim="400000"/>
          </w14:textOutline>
        </w:rPr>
        <w:t>’</w:t>
      </w:r>
      <w:r>
        <w:rPr>
          <w:rFonts w:ascii="Times New Roman" w:hAnsi="Times New Roman"/>
          <w:sz w:val="24"/>
          <w:szCs w:val="24"/>
          <w:u w:color="000000"/>
          <w:shd w:val="clear" w:color="auto" w:fill="fefefe"/>
          <w:rtl w:val="0"/>
          <w:lang w:val="en-US"/>
          <w14:textOutline w14:w="12700" w14:cap="flat">
            <w14:noFill/>
            <w14:miter w14:lim="400000"/>
          </w14:textOutline>
        </w:rPr>
        <w:t xml:space="preserve">s research highlights that there is a need for greater consistency between policy and practice and empirical evidence suggests that a more joined up multi-agency approach is required to ensure barriers to SLC are broken down. </w:t>
      </w:r>
    </w:p>
    <w:p>
      <w:pPr>
        <w:pStyle w:val="Default"/>
        <w:bidi w:val="0"/>
        <w:spacing w:line="360" w:lineRule="auto"/>
        <w:ind w:left="0" w:right="0" w:firstLine="0"/>
        <w:jc w:val="left"/>
        <w:rPr>
          <w:rFonts w:ascii="Times New Roman" w:cs="Times New Roman" w:hAnsi="Times New Roman" w:eastAsia="Times New Roman"/>
          <w:sz w:val="24"/>
          <w:szCs w:val="24"/>
          <w:u w:color="000000"/>
          <w:shd w:val="clear" w:color="auto" w:fill="fefefe"/>
          <w:rtl w:val="0"/>
          <w:lang w:val="en-US"/>
          <w14:textOutline w14:w="12700" w14:cap="flat">
            <w14:noFill/>
            <w14:miter w14:lim="400000"/>
          </w14:textOutline>
        </w:rPr>
      </w:pPr>
      <w:r>
        <w:rPr>
          <w:rFonts w:ascii="Times New Roman" w:hAnsi="Times New Roman"/>
          <w:sz w:val="24"/>
          <w:szCs w:val="24"/>
          <w:u w:color="000000"/>
          <w:shd w:val="clear" w:color="auto" w:fill="fefefe"/>
          <w:rtl w:val="0"/>
          <w:lang w:val="en-US"/>
          <w14:textOutline w14:w="12700" w14:cap="flat">
            <w14:noFill/>
            <w14:miter w14:lim="400000"/>
          </w14:textOutline>
        </w:rPr>
        <w:t xml:space="preserve">   WellComm is one SLC assessment tool that if used over time, prioritised CPD and supports parents can affectively remove barriers seen by children with SLC. These positives can be used to provide a more consistent method to identification and SLC intervention if used effectively throughout Wales.  WellComm would provide a consistent approach to delivery and mentor parents to support children with SLC in Wales. WellComm could further support the WG (WG, 2020) Speech, Language and Communication Delivery plan in obtaining practical tools to remove barriers seen by practitioners and parents with children with SLC in Wales.</w:t>
      </w:r>
    </w:p>
    <w:p>
      <w:pPr>
        <w:pStyle w:val="Default"/>
        <w:bidi w:val="0"/>
        <w:spacing w:line="360" w:lineRule="auto"/>
        <w:ind w:left="0" w:right="0" w:firstLine="0"/>
        <w:jc w:val="left"/>
        <w:rPr>
          <w:rFonts w:ascii="Times New Roman" w:cs="Times New Roman" w:hAnsi="Times New Roman" w:eastAsia="Times New Roman"/>
          <w:sz w:val="24"/>
          <w:szCs w:val="24"/>
          <w:u w:color="000000"/>
          <w:shd w:val="clear" w:color="auto" w:fill="fefefe"/>
          <w:rtl w:val="0"/>
          <w:lang w:val="en-US"/>
          <w14:textOutline w14:w="12700" w14:cap="flat">
            <w14:noFill/>
            <w14:miter w14:lim="400000"/>
          </w14:textOutline>
        </w:rPr>
      </w:pPr>
      <w:r>
        <w:rPr>
          <w:rFonts w:ascii="Times New Roman" w:hAnsi="Times New Roman"/>
          <w:sz w:val="24"/>
          <w:szCs w:val="24"/>
          <w:u w:color="000000"/>
          <w:shd w:val="clear" w:color="auto" w:fill="fefefe"/>
          <w:rtl w:val="0"/>
          <w:lang w:val="en-US"/>
          <w14:textOutline w14:w="12700" w14:cap="flat">
            <w14:noFill/>
            <w14:miter w14:lim="400000"/>
          </w14:textOutline>
        </w:rPr>
        <w:t xml:space="preserve">   </w:t>
      </w:r>
    </w:p>
    <w:p>
      <w:pPr>
        <w:pStyle w:val="Default"/>
        <w:bidi w:val="0"/>
        <w:spacing w:line="360" w:lineRule="auto"/>
        <w:ind w:left="0" w:right="0" w:firstLine="0"/>
        <w:jc w:val="left"/>
        <w:rPr>
          <w:rFonts w:ascii="Times New Roman" w:cs="Times New Roman" w:hAnsi="Times New Roman" w:eastAsia="Times New Roman"/>
          <w:sz w:val="24"/>
          <w:szCs w:val="24"/>
          <w:u w:color="000000"/>
          <w:shd w:val="clear" w:color="auto" w:fill="fefefe"/>
          <w:rtl w:val="0"/>
          <w:lang w:val="en-US"/>
          <w14:textOutline w14:w="12700" w14:cap="flat">
            <w14:noFill/>
            <w14:miter w14:lim="400000"/>
          </w14:textOutline>
        </w:rPr>
      </w:pPr>
    </w:p>
    <w:p>
      <w:pPr>
        <w:pStyle w:val="Body"/>
        <w:spacing w:line="360" w:lineRule="auto"/>
        <w:rPr>
          <w:rFonts w:ascii="Times New Roman" w:cs="Times New Roman" w:hAnsi="Times New Roman" w:eastAsia="Times New Roman"/>
          <w:b w:val="1"/>
          <w:bCs w:val="1"/>
          <w:sz w:val="24"/>
          <w:szCs w:val="24"/>
          <w:shd w:val="clear" w:color="auto" w:fill="fefefe"/>
        </w:rPr>
      </w:pPr>
      <w:r>
        <w:rPr>
          <w:rFonts w:ascii="Times New Roman" w:hAnsi="Times New Roman"/>
          <w:b w:val="1"/>
          <w:bCs w:val="1"/>
          <w:sz w:val="24"/>
          <w:szCs w:val="24"/>
          <w:shd w:val="clear" w:color="auto" w:fill="fefefe"/>
          <w:rtl w:val="0"/>
          <w:lang w:val="en-US"/>
        </w:rPr>
        <w:t>Recommendations</w:t>
      </w:r>
    </w:p>
    <w:p>
      <w:pPr>
        <w:pStyle w:val="Body"/>
        <w:spacing w:line="360" w:lineRule="auto"/>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1. Further research is needed on how to develop and increase parental involvement in supporting children with SLC. The literature suggests that parents can have a key role in supporting their children especially in the early years. However, there needs to be an increased understanding between policy and actual practice.  Parents would need coaching, monitoring and need to be supported in order to efficiently apply their understanding to help their children. </w:t>
      </w:r>
      <w:r>
        <w:rPr>
          <w:rFonts w:ascii="Times New Roman" w:hAnsi="Times New Roman"/>
          <w:sz w:val="24"/>
          <w:szCs w:val="24"/>
          <w:shd w:val="clear" w:color="auto" w:fill="fefefe"/>
          <w:rtl w:val="0"/>
          <w:lang w:val="fr-FR"/>
        </w:rPr>
        <w:t>Ebbels et al.</w:t>
      </w:r>
      <w:r>
        <w:rPr>
          <w:rFonts w:ascii="Times New Roman" w:hAnsi="Times New Roman"/>
          <w:sz w:val="24"/>
          <w:szCs w:val="24"/>
          <w:shd w:val="clear" w:color="auto" w:fill="fefefe"/>
          <w:rtl w:val="0"/>
          <w:lang w:val="en-US"/>
        </w:rPr>
        <w:t>,</w:t>
      </w:r>
      <w:r>
        <w:rPr>
          <w:rFonts w:ascii="Times New Roman" w:hAnsi="Times New Roman"/>
          <w:sz w:val="24"/>
          <w:szCs w:val="24"/>
          <w:shd w:val="clear" w:color="auto" w:fill="fefefe"/>
          <w:rtl w:val="0"/>
          <w:lang w:val="en-US"/>
        </w:rPr>
        <w:t xml:space="preserve"> (2019) found that coaching and monitoring was important for lasting change. </w:t>
      </w:r>
      <w:r>
        <w:rPr>
          <w:rFonts w:ascii="Times New Roman" w:hAnsi="Times New Roman"/>
          <w:sz w:val="24"/>
          <w:szCs w:val="24"/>
          <w:shd w:val="clear" w:color="auto" w:fill="fefefe"/>
          <w:rtl w:val="0"/>
          <w:lang w:val="en-US"/>
        </w:rPr>
        <w:t>If research and policy could ensure a more joined up approach the policy would help many children with SLC, especially from socially deprived backgrounds (</w:t>
      </w:r>
      <w:r>
        <w:rPr>
          <w:rFonts w:ascii="Times New Roman" w:hAnsi="Times New Roman"/>
          <w:sz w:val="24"/>
          <w:szCs w:val="24"/>
          <w:shd w:val="clear" w:color="auto" w:fill="fefefe"/>
          <w:rtl w:val="0"/>
          <w:lang w:val="en-US"/>
        </w:rPr>
        <w:t xml:space="preserve">Waldfogel </w:t>
      </w:r>
      <w:r>
        <w:rPr>
          <w:rFonts w:ascii="Times New Roman" w:hAnsi="Times New Roman"/>
          <w:sz w:val="24"/>
          <w:szCs w:val="24"/>
          <w:shd w:val="clear" w:color="auto" w:fill="fefefe"/>
          <w:rtl w:val="0"/>
          <w:lang w:val="en-US"/>
        </w:rPr>
        <w:t xml:space="preserve">2004; </w:t>
      </w:r>
      <w:r>
        <w:rPr>
          <w:rFonts w:ascii="Times New Roman" w:hAnsi="Times New Roman"/>
          <w:sz w:val="24"/>
          <w:szCs w:val="24"/>
          <w:shd w:val="clear" w:color="auto" w:fill="fefefe"/>
          <w:rtl w:val="0"/>
          <w:lang w:val="en-US"/>
        </w:rPr>
        <w:t xml:space="preserve">Brooks-Gunn &amp; Markman, 2004; Hornby, 2011; </w:t>
      </w:r>
      <w:r>
        <w:rPr>
          <w:rFonts w:ascii="Times New Roman" w:hAnsi="Times New Roman"/>
          <w:sz w:val="24"/>
          <w:szCs w:val="24"/>
          <w:shd w:val="clear" w:color="auto" w:fill="fefefe"/>
          <w:rtl w:val="0"/>
          <w:lang w:val="en-US"/>
        </w:rPr>
        <w:t>Hoff et al., 2020)</w:t>
      </w:r>
      <w:r>
        <w:rPr>
          <w:rFonts w:ascii="Times New Roman" w:hAnsi="Times New Roman"/>
          <w:sz w:val="24"/>
          <w:szCs w:val="24"/>
          <w:shd w:val="clear" w:color="auto" w:fill="fefefe"/>
          <w:rtl w:val="0"/>
          <w:lang w:val="en-US"/>
        </w:rPr>
        <w:t>.</w:t>
      </w:r>
    </w:p>
    <w:p>
      <w:pPr>
        <w:pStyle w:val="Body"/>
        <w:spacing w:line="360" w:lineRule="auto"/>
        <w:rPr>
          <w:rFonts w:ascii="Times New Roman" w:cs="Times New Roman" w:hAnsi="Times New Roman" w:eastAsia="Times New Roman"/>
          <w:sz w:val="24"/>
          <w:szCs w:val="24"/>
          <w:shd w:val="clear" w:color="auto" w:fill="fefefe"/>
        </w:rPr>
      </w:pPr>
    </w:p>
    <w:p>
      <w:pPr>
        <w:pStyle w:val="Body"/>
        <w:spacing w:line="360" w:lineRule="auto"/>
        <w:rPr>
          <w:rFonts w:ascii="Times New Roman" w:cs="Times New Roman" w:hAnsi="Times New Roman" w:eastAsia="Times New Roman"/>
          <w:sz w:val="24"/>
          <w:szCs w:val="24"/>
          <w:shd w:val="clear" w:color="auto" w:fill="fefefe"/>
        </w:rPr>
      </w:pPr>
    </w:p>
    <w:p>
      <w:pPr>
        <w:pStyle w:val="Body"/>
        <w:spacing w:line="360" w:lineRule="auto"/>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2.  A consistent approach to interagency working between pre-school settings and school settings for transition into Nursery needs to be trialled. The literature states that training is crucial in order to identify and support children earlier with SLC and that this information could then be shared. The WG (WG, 2020) document aims to aid this process of transition and also the new ALN Code (WG, 2018). However, there are many discrepancies with practice throughout Wales that have been identified and can be improved upon for better outcomes for children in Wales with SLC and ALN. </w:t>
      </w:r>
    </w:p>
    <w:p>
      <w:pPr>
        <w:pStyle w:val="Body"/>
        <w:spacing w:line="360" w:lineRule="auto"/>
        <w:rPr>
          <w:rFonts w:ascii="Times New Roman" w:cs="Times New Roman" w:hAnsi="Times New Roman" w:eastAsia="Times New Roman"/>
          <w:sz w:val="24"/>
          <w:szCs w:val="24"/>
          <w:shd w:val="clear" w:color="auto" w:fill="fefefe"/>
        </w:rPr>
      </w:pPr>
    </w:p>
    <w:p>
      <w:pPr>
        <w:pStyle w:val="Body"/>
        <w:spacing w:line="360" w:lineRule="auto"/>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3. Further research on the WellComm assessment tool and other packages to screen for SLC difficulties in children should be welcomed in LEAs and for Wales. Research needs to be pooled together in order to possibly create PLCs and share good practice. As the literature mentions there is a lack of awareness of other professionals and their duties. The researcher feels that more could be done within the profession to create learning networks to share good practice and hence support the parents and children who need it the most. The need to evaluate and evidence the progress the children make through the interventions will also help with consistency of delivery and good practice being shared.</w:t>
      </w:r>
    </w:p>
    <w:p>
      <w:pPr>
        <w:pStyle w:val="Body"/>
        <w:spacing w:line="360" w:lineRule="auto"/>
        <w:rPr>
          <w:rFonts w:ascii="Times New Roman" w:cs="Times New Roman" w:hAnsi="Times New Roman" w:eastAsia="Times New Roman"/>
          <w:sz w:val="24"/>
          <w:szCs w:val="24"/>
          <w:shd w:val="clear" w:color="auto" w:fill="fefefe"/>
        </w:rPr>
      </w:pPr>
    </w:p>
    <w:p>
      <w:pPr>
        <w:pStyle w:val="Body"/>
        <w:spacing w:line="360" w:lineRule="auto"/>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4.  Consistency of assessment tools used by all professionals regarding children with SLC needs to be considered. There have been numerous changes in the last twelve years since the introduction of the Foundation Phase and differing assessment tools used. There needs to be a consistency of tools used by all professionals that is manageable and meaningful for assessment and for moving on the learning of the child. The WG (WG, 2020) Consultation document is welcomed, but more thought needs to be placed into how professionals interact with each other and clear interventions need to be identified and promoted for use by all. The research clearly indicates that there are many positives to support children with SLC.</w:t>
      </w:r>
    </w:p>
    <w:p>
      <w:pPr>
        <w:pStyle w:val="Body"/>
        <w:spacing w:line="360" w:lineRule="auto"/>
        <w:rPr>
          <w:rFonts w:ascii="Times New Roman" w:cs="Times New Roman" w:hAnsi="Times New Roman" w:eastAsia="Times New Roman"/>
          <w:b w:val="1"/>
          <w:bCs w:val="1"/>
          <w:sz w:val="24"/>
          <w:szCs w:val="24"/>
          <w:shd w:val="clear" w:color="auto" w:fill="fefefe"/>
        </w:rPr>
      </w:pPr>
    </w:p>
    <w:p>
      <w:pPr>
        <w:pStyle w:val="Default"/>
        <w:bidi w:val="0"/>
        <w:spacing w:line="360" w:lineRule="auto"/>
        <w:ind w:left="0" w:right="0" w:firstLine="0"/>
        <w:jc w:val="left"/>
        <w:rPr>
          <w:rFonts w:ascii="Times New Roman" w:cs="Times New Roman" w:hAnsi="Times New Roman" w:eastAsia="Times New Roman"/>
          <w:sz w:val="24"/>
          <w:szCs w:val="24"/>
          <w:u w:color="000000"/>
          <w:shd w:val="clear" w:color="auto" w:fill="fefefe"/>
          <w:rtl w:val="0"/>
          <w:lang w:val="en-US"/>
          <w14:textOutline w14:w="12700" w14:cap="flat">
            <w14:noFill/>
            <w14:miter w14:lim="400000"/>
          </w14:textOutline>
        </w:rPr>
      </w:pPr>
    </w:p>
    <w:p>
      <w:pPr>
        <w:pStyle w:val="Default"/>
        <w:bidi w:val="0"/>
        <w:spacing w:line="360" w:lineRule="auto"/>
        <w:ind w:left="0" w:right="0" w:firstLine="0"/>
        <w:jc w:val="left"/>
        <w:rPr>
          <w:rFonts w:ascii="Times New Roman" w:cs="Times New Roman" w:hAnsi="Times New Roman" w:eastAsia="Times New Roman"/>
          <w:sz w:val="24"/>
          <w:szCs w:val="24"/>
          <w:u w:color="000000"/>
          <w:shd w:val="clear" w:color="auto" w:fill="fefefe"/>
          <w:rtl w:val="0"/>
          <w:lang w:val="en-US"/>
          <w14:textOutline w14:w="12700" w14:cap="flat">
            <w14:noFill/>
            <w14:miter w14:lim="400000"/>
          </w14:textOutline>
        </w:rPr>
      </w:pPr>
    </w:p>
    <w:p>
      <w:pPr>
        <w:pStyle w:val="Default"/>
        <w:bidi w:val="0"/>
        <w:spacing w:line="360" w:lineRule="auto"/>
        <w:ind w:left="0" w:right="0" w:firstLine="0"/>
        <w:jc w:val="left"/>
        <w:rPr>
          <w:rFonts w:ascii="Times New Roman" w:cs="Times New Roman" w:hAnsi="Times New Roman" w:eastAsia="Times New Roman"/>
          <w:b w:val="1"/>
          <w:bCs w:val="1"/>
          <w:sz w:val="24"/>
          <w:szCs w:val="24"/>
          <w:u w:color="000000"/>
          <w:rtl w:val="0"/>
          <w:lang w:val="en-US"/>
          <w14:textOutline w14:w="12700" w14:cap="flat">
            <w14:noFill/>
            <w14:miter w14:lim="400000"/>
          </w14:textOutlin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References:- </w:t>
      </w:r>
      <w:r>
        <w:rPr>
          <w:rFonts w:ascii="Times New Roman" w:hAnsi="Times New Roman"/>
          <w:b w:val="1"/>
          <w:bCs w:val="1"/>
          <w:sz w:val="24"/>
          <w:szCs w:val="24"/>
          <w:shd w:val="clear" w:color="auto" w:fill="fefefe"/>
          <w:rtl w:val="0"/>
          <w:lang w:val="en-US"/>
        </w:rPr>
        <w:t xml:space="preserve"> </w:t>
      </w: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Allen, G (2011) </w:t>
      </w:r>
      <w:r>
        <w:rPr>
          <w:rFonts w:ascii="Times New Roman" w:hAnsi="Times New Roman"/>
          <w:i w:val="1"/>
          <w:iCs w:val="1"/>
          <w:sz w:val="24"/>
          <w:szCs w:val="24"/>
          <w:shd w:val="clear" w:color="auto" w:fill="fefefe"/>
          <w:rtl w:val="0"/>
          <w:lang w:val="en-US"/>
        </w:rPr>
        <w:t>Early intervention: The next steps. An independent report to Her Majesty</w:t>
      </w:r>
      <w:r>
        <w:rPr>
          <w:rFonts w:ascii="Times New Roman" w:hAnsi="Times New Roman" w:hint="default"/>
          <w:i w:val="1"/>
          <w:iCs w:val="1"/>
          <w:sz w:val="24"/>
          <w:szCs w:val="24"/>
          <w:shd w:val="clear" w:color="auto" w:fill="fefefe"/>
          <w:rtl w:val="0"/>
          <w:lang w:val="en-US"/>
        </w:rPr>
        <w:t>’</w:t>
      </w:r>
      <w:r>
        <w:rPr>
          <w:rFonts w:ascii="Times New Roman" w:hAnsi="Times New Roman"/>
          <w:i w:val="1"/>
          <w:iCs w:val="1"/>
          <w:sz w:val="24"/>
          <w:szCs w:val="24"/>
          <w:shd w:val="clear" w:color="auto" w:fill="fefefe"/>
          <w:rtl w:val="0"/>
          <w:lang w:val="en-US"/>
        </w:rPr>
        <w:t>s Government</w:t>
      </w:r>
      <w:r>
        <w:rPr>
          <w:rFonts w:ascii="Times New Roman" w:hAnsi="Times New Roman"/>
          <w:sz w:val="24"/>
          <w:szCs w:val="24"/>
          <w:shd w:val="clear" w:color="auto" w:fill="fefefe"/>
          <w:rtl w:val="0"/>
          <w:lang w:val="en-US"/>
        </w:rPr>
        <w:t>. London: Department of Work and Pensions Cabinet Office.</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Baxter, S., Brookes, C., Bianchi, K., Rashid, K., &amp; Hay, F (2009)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Speech and language therapists and teachers working together: Exploring the issues</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Child Language Teaching and Therapy</w:t>
      </w:r>
      <w:r>
        <w:rPr>
          <w:rFonts w:ascii="Times New Roman" w:hAnsi="Times New Roman"/>
          <w:sz w:val="24"/>
          <w:szCs w:val="24"/>
          <w:shd w:val="clear" w:color="auto" w:fill="fefefe"/>
          <w:rtl w:val="0"/>
          <w:lang w:val="en-US"/>
        </w:rPr>
        <w:t>, 25, pp. 215-234.</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Beard, A (2018)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Speech, language and communication: a public health issue across the life-course</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Paediatrics and Child Health</w:t>
      </w:r>
      <w:r>
        <w:rPr>
          <w:rFonts w:ascii="Times New Roman" w:hAnsi="Times New Roman"/>
          <w:sz w:val="24"/>
          <w:szCs w:val="24"/>
          <w:shd w:val="clear" w:color="auto" w:fill="fefefe"/>
          <w:rtl w:val="0"/>
          <w:lang w:val="en-US"/>
        </w:rPr>
        <w:t>, 28(3), pp. 126-131.</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Bercow, J (2008) </w:t>
      </w:r>
      <w:r>
        <w:rPr>
          <w:rFonts w:ascii="Times New Roman" w:hAnsi="Times New Roman"/>
          <w:i w:val="1"/>
          <w:iCs w:val="1"/>
          <w:sz w:val="24"/>
          <w:szCs w:val="24"/>
          <w:shd w:val="clear" w:color="auto" w:fill="fefefe"/>
          <w:rtl w:val="0"/>
          <w:lang w:val="en-US"/>
        </w:rPr>
        <w:t>The Bercow Report: A review of services for children and young people (0-19) with speech, language and communication needs</w:t>
      </w:r>
      <w:r>
        <w:rPr>
          <w:rFonts w:ascii="Times New Roman" w:hAnsi="Times New Roman"/>
          <w:sz w:val="24"/>
          <w:szCs w:val="24"/>
          <w:shd w:val="clear" w:color="auto" w:fill="fefefe"/>
          <w:rtl w:val="0"/>
          <w:lang w:val="en-US"/>
        </w:rPr>
        <w:t>. Nottingham: Department for Children, Schools and Families.</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Bergelson, E., Casillas, M., Soderstrom, M., Seidl, A., Warlauont, A. S., &amp; Amatuni, A (2019)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What do North American babies hear? A large-scale cross-corpus analysis,</w:t>
      </w:r>
      <w:r>
        <w:rPr>
          <w:rFonts w:ascii="Times New Roman" w:hAnsi="Times New Roman" w:hint="default"/>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Developmental Science</w:t>
      </w:r>
      <w:r>
        <w:rPr>
          <w:rFonts w:ascii="Times New Roman" w:hAnsi="Times New Roman"/>
          <w:sz w:val="24"/>
          <w:szCs w:val="24"/>
          <w:shd w:val="clear" w:color="auto" w:fill="fefefe"/>
          <w:rtl w:val="0"/>
          <w:lang w:val="en-US"/>
        </w:rPr>
        <w:t>, 22 (1), pp. 1-12.</w:t>
      </w:r>
    </w:p>
    <w:p>
      <w:pPr>
        <w:pStyle w:val="Body"/>
        <w:rPr>
          <w:rFonts w:ascii="Times New Roman" w:cs="Times New Roman" w:hAnsi="Times New Roman" w:eastAsia="Times New Roman"/>
          <w:sz w:val="24"/>
          <w:szCs w:val="24"/>
          <w:shd w:val="clear" w:color="auto" w:fill="fefefe"/>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efefe"/>
          <w:rtl w:val="0"/>
          <w14:textOutline w14:w="0" w14:cap="flat">
            <w14:solidFill>
              <w14:srgbClr w14:val="000000"/>
            </w14:solidFill>
            <w14:prstDash w14:val="solid"/>
            <w14:miter w14:lim="400000"/>
          </w14:textOutline>
        </w:rPr>
      </w:pPr>
      <w:r>
        <w:rPr>
          <w:rFonts w:ascii="Times New Roman" w:hAnsi="Times New Roman"/>
          <w:sz w:val="24"/>
          <w:szCs w:val="24"/>
          <w:shd w:val="clear" w:color="auto" w:fill="fefefe"/>
          <w:rtl w:val="0"/>
          <w:lang w:val="en-US"/>
          <w14:textOutline w14:w="0" w14:cap="flat">
            <w14:solidFill>
              <w14:srgbClr w14:val="000000"/>
            </w14:solidFill>
            <w14:prstDash w14:val="solid"/>
            <w14:miter w14:lim="400000"/>
          </w14:textOutline>
        </w:rPr>
        <w:t xml:space="preserve">Bertram, T, and Pascal, C (2002) </w:t>
      </w:r>
      <w:r>
        <w:rPr>
          <w:rFonts w:ascii="Times New Roman" w:hAnsi="Times New Roman" w:hint="default"/>
          <w:sz w:val="24"/>
          <w:szCs w:val="24"/>
          <w:shd w:val="clear" w:color="auto" w:fill="fefefe"/>
          <w:rtl w:val="0"/>
          <w14:textOutline w14:w="0" w14:cap="flat">
            <w14:solidFill>
              <w14:srgbClr w14:val="000000"/>
            </w14:solidFill>
            <w14:prstDash w14:val="solid"/>
            <w14:miter w14:lim="400000"/>
          </w14:textOutline>
        </w:rPr>
        <w:t>‘</w:t>
      </w:r>
      <w:r>
        <w:rPr>
          <w:rFonts w:ascii="Times New Roman" w:hAnsi="Times New Roman"/>
          <w:i w:val="1"/>
          <w:iCs w:val="1"/>
          <w:sz w:val="24"/>
          <w:szCs w:val="24"/>
          <w:shd w:val="clear" w:color="auto" w:fill="fefefe"/>
          <w:rtl w:val="0"/>
          <w:lang w:val="en-US"/>
          <w14:textOutline w14:w="0" w14:cap="flat">
            <w14:solidFill>
              <w14:srgbClr w14:val="000000"/>
            </w14:solidFill>
            <w14:prstDash w14:val="solid"/>
            <w14:miter w14:lim="400000"/>
          </w14:textOutline>
        </w:rPr>
        <w:t>Early Years Education: An International Perspective</w:t>
      </w:r>
      <w:r>
        <w:rPr>
          <w:rFonts w:ascii="Times New Roman" w:hAnsi="Times New Roman" w:hint="default"/>
          <w:i w:val="1"/>
          <w:iCs w:val="1"/>
          <w:sz w:val="24"/>
          <w:szCs w:val="24"/>
          <w:shd w:val="clear" w:color="auto" w:fill="fefefe"/>
          <w:rtl w:val="0"/>
          <w14:textOutline w14:w="0" w14:cap="flat">
            <w14:solidFill>
              <w14:srgbClr w14:val="000000"/>
            </w14:solidFill>
            <w14:prstDash w14:val="solid"/>
            <w14:miter w14:lim="400000"/>
          </w14:textOutline>
        </w:rPr>
        <w:t>’</w:t>
      </w:r>
      <w:r>
        <w:rPr>
          <w:rFonts w:ascii="Times New Roman" w:hAnsi="Times New Roman"/>
          <w:i w:val="1"/>
          <w:iCs w:val="1"/>
          <w:sz w:val="24"/>
          <w:szCs w:val="24"/>
          <w:shd w:val="clear" w:color="auto" w:fill="fefefe"/>
          <w:rtl w:val="0"/>
          <w:lang w:val="en-US"/>
          <w14:textOutline w14:w="0" w14:cap="flat">
            <w14:solidFill>
              <w14:srgbClr w14:val="000000"/>
            </w14:solidFill>
            <w14:prstDash w14:val="solid"/>
            <w14:miter w14:lim="400000"/>
          </w14:textOutline>
        </w:rPr>
        <w:t xml:space="preserve">, </w:t>
      </w:r>
      <w:r>
        <w:rPr>
          <w:rFonts w:ascii="Times New Roman" w:hAnsi="Times New Roman"/>
          <w:sz w:val="24"/>
          <w:szCs w:val="24"/>
          <w:shd w:val="clear" w:color="auto" w:fill="fefefe"/>
          <w:rtl w:val="0"/>
          <w:lang w:val="en-US"/>
          <w14:textOutline w14:w="0" w14:cap="flat">
            <w14:solidFill>
              <w14:srgbClr w14:val="000000"/>
            </w14:solidFill>
            <w14:prstDash w14:val="solid"/>
            <w14:miter w14:lim="400000"/>
          </w14:textOutline>
        </w:rPr>
        <w:t>Centre for Research in Early Childhood, Birmingham for QCA and NFER</w:t>
      </w:r>
      <w:r>
        <w:rPr>
          <w:rFonts w:ascii="Times New Roman" w:hAnsi="Times New Roman"/>
          <w:sz w:val="24"/>
          <w:szCs w:val="24"/>
          <w:shd w:val="clear" w:color="auto" w:fill="fefefe"/>
          <w:rtl w:val="0"/>
          <w:lang w:val="en-US"/>
          <w14:textOutline w14:w="0" w14:cap="flat">
            <w14:solidFill>
              <w14:srgbClr w14:val="000000"/>
            </w14:solidFill>
            <w14:prstDash w14:val="solid"/>
            <w14:miter w14:lim="400000"/>
          </w14:textOutline>
        </w:rPr>
        <w:t>.</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Boyle, J.M., McCartney, E., O</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Hare, A, and Forbes, J (2009)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Direct versus indirect and individual versus group modes of language therapy for children with primary language impairment: Principal outcomes from a randomised controlled trial and economic evaluation</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I</w:t>
      </w:r>
      <w:r>
        <w:rPr>
          <w:rFonts w:ascii="Times New Roman" w:hAnsi="Times New Roman"/>
          <w:i w:val="1"/>
          <w:iCs w:val="1"/>
          <w:sz w:val="24"/>
          <w:szCs w:val="24"/>
          <w:shd w:val="clear" w:color="auto" w:fill="fefefe"/>
          <w:rtl w:val="0"/>
          <w:lang w:val="en-US"/>
        </w:rPr>
        <w:t>nternational Journal of Language and Communication Disorders,</w:t>
      </w:r>
      <w:r>
        <w:rPr>
          <w:rFonts w:ascii="Times New Roman" w:hAnsi="Times New Roman"/>
          <w:sz w:val="24"/>
          <w:szCs w:val="24"/>
          <w:shd w:val="clear" w:color="auto" w:fill="fefefe"/>
          <w:rtl w:val="0"/>
          <w:lang w:val="en-US"/>
        </w:rPr>
        <w:t xml:space="preserve"> 44, pp. 826-846.</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Brodin, J &amp; Renblad, K (2015)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Early Childhood Educators</w:t>
      </w:r>
      <w:r>
        <w:rPr>
          <w:rFonts w:ascii="Times New Roman" w:hAnsi="Times New Roman" w:hint="default"/>
          <w:sz w:val="24"/>
          <w:szCs w:val="24"/>
          <w:shd w:val="clear" w:color="auto" w:fill="fefefe"/>
          <w:rtl w:val="0"/>
          <w:lang w:val="en-US"/>
        </w:rPr>
        <w:t xml:space="preserve">’ </w:t>
      </w:r>
      <w:r>
        <w:rPr>
          <w:rFonts w:ascii="Times New Roman" w:hAnsi="Times New Roman"/>
          <w:sz w:val="24"/>
          <w:szCs w:val="24"/>
          <w:shd w:val="clear" w:color="auto" w:fill="fefefe"/>
          <w:rtl w:val="0"/>
          <w:lang w:val="en-US"/>
        </w:rPr>
        <w:t>Perspectives of the Swedish National Curriculum for Preschool and Quality Work</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Early Childhood Education Journal</w:t>
      </w:r>
      <w:r>
        <w:rPr>
          <w:rFonts w:ascii="Times New Roman" w:hAnsi="Times New Roman"/>
          <w:sz w:val="24"/>
          <w:szCs w:val="24"/>
          <w:shd w:val="clear" w:color="auto" w:fill="fefefe"/>
          <w:rtl w:val="0"/>
          <w:lang w:val="en-US"/>
        </w:rPr>
        <w:t>, 43 (5), pp. 347-355.</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Brodin, J., Hollerer, L., Renblad, K., &amp; Stancheva-Popkostadinova, V. (2015).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Preschool teachers</w:t>
      </w:r>
      <w:r>
        <w:rPr>
          <w:rFonts w:ascii="Times New Roman" w:hAnsi="Times New Roman" w:hint="default"/>
          <w:sz w:val="24"/>
          <w:szCs w:val="24"/>
          <w:shd w:val="clear" w:color="auto" w:fill="fefefe"/>
          <w:rtl w:val="0"/>
          <w:lang w:val="en-US"/>
        </w:rPr>
        <w:t xml:space="preserve">’ </w:t>
      </w:r>
      <w:r>
        <w:rPr>
          <w:rFonts w:ascii="Times New Roman" w:hAnsi="Times New Roman"/>
          <w:sz w:val="24"/>
          <w:szCs w:val="24"/>
          <w:shd w:val="clear" w:color="auto" w:fill="fefefe"/>
          <w:rtl w:val="0"/>
          <w:lang w:val="en-US"/>
        </w:rPr>
        <w:t>understanding of quality in preschool: A comparative study in three European countries</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Early Child Development and Care</w:t>
      </w:r>
      <w:r>
        <w:rPr>
          <w:rFonts w:ascii="Times New Roman" w:hAnsi="Times New Roman"/>
          <w:sz w:val="24"/>
          <w:szCs w:val="24"/>
          <w:shd w:val="clear" w:color="auto" w:fill="fefefe"/>
          <w:rtl w:val="0"/>
          <w:lang w:val="en-US"/>
        </w:rPr>
        <w:t>, 185 (6) , pp. 968-981.</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Brodin, J &amp; Renblad, K (2019)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Improvement of preschool children</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s speech and language skills</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Early Child Development and Care,</w:t>
      </w:r>
      <w:r>
        <w:rPr>
          <w:rFonts w:ascii="Times New Roman" w:hAnsi="Times New Roman"/>
          <w:sz w:val="24"/>
          <w:szCs w:val="24"/>
          <w:shd w:val="clear" w:color="auto" w:fill="fefefe"/>
          <w:rtl w:val="0"/>
          <w:lang w:val="en-US"/>
        </w:rPr>
        <w:t xml:space="preserve"> pp.1-9.</w:t>
      </w:r>
    </w:p>
    <w:p>
      <w:pPr>
        <w:pStyle w:val="Body"/>
        <w:rPr>
          <w:rFonts w:ascii="Times New Roman" w:cs="Times New Roman" w:hAnsi="Times New Roman" w:eastAsia="Times New Roman"/>
          <w:sz w:val="24"/>
          <w:szCs w:val="24"/>
          <w:shd w:val="clear" w:color="auto" w:fill="fefefe"/>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efefe"/>
          <w:rtl w:val="0"/>
          <w14:textOutline w14:w="0" w14:cap="flat">
            <w14:solidFill>
              <w14:srgbClr w14:val="000000"/>
            </w14:solidFill>
            <w14:prstDash w14:val="solid"/>
            <w14:miter w14:lim="400000"/>
          </w14:textOutline>
        </w:rPr>
      </w:pPr>
      <w:r>
        <w:rPr>
          <w:rFonts w:ascii="Times New Roman" w:hAnsi="Times New Roman"/>
          <w:sz w:val="24"/>
          <w:szCs w:val="24"/>
          <w:shd w:val="clear" w:color="auto" w:fill="fefefe"/>
          <w:rtl w:val="0"/>
          <w:lang w:val="en-US"/>
          <w14:textOutline w14:w="0" w14:cap="flat">
            <w14:solidFill>
              <w14:srgbClr w14:val="000000"/>
            </w14:solidFill>
            <w14:prstDash w14:val="solid"/>
            <w14:miter w14:lim="400000"/>
          </w14:textOutline>
        </w:rPr>
        <w:t xml:space="preserve">Bronfenbrenner, U (1986) </w:t>
      </w:r>
      <w:r>
        <w:rPr>
          <w:rFonts w:ascii="Times New Roman" w:hAnsi="Times New Roman" w:hint="default"/>
          <w:sz w:val="24"/>
          <w:szCs w:val="24"/>
          <w:shd w:val="clear" w:color="auto" w:fill="fefefe"/>
          <w:rtl w:val="0"/>
          <w:lang w:val="en-US"/>
          <w14:textOutline w14:w="0" w14:cap="flat">
            <w14:solidFill>
              <w14:srgbClr w14:val="000000"/>
            </w14:solidFill>
            <w14:prstDash w14:val="solid"/>
            <w14:miter w14:lim="400000"/>
          </w14:textOutline>
        </w:rPr>
        <w:t>‘</w:t>
      </w:r>
      <w:r>
        <w:rPr>
          <w:rFonts w:ascii="Times New Roman" w:hAnsi="Times New Roman"/>
          <w:sz w:val="24"/>
          <w:szCs w:val="24"/>
          <w:shd w:val="clear" w:color="auto" w:fill="fefefe"/>
          <w:rtl w:val="0"/>
          <w:lang w:val="en-US"/>
          <w14:textOutline w14:w="0" w14:cap="flat">
            <w14:solidFill>
              <w14:srgbClr w14:val="000000"/>
            </w14:solidFill>
            <w14:prstDash w14:val="solid"/>
            <w14:miter w14:lim="400000"/>
          </w14:textOutline>
        </w:rPr>
        <w:t>Ecology of the Family as a Context for Human Development: Research Perspectives</w:t>
      </w:r>
      <w:r>
        <w:rPr>
          <w:rFonts w:ascii="Times New Roman" w:hAnsi="Times New Roman" w:hint="default"/>
          <w:sz w:val="24"/>
          <w:szCs w:val="24"/>
          <w:shd w:val="clear" w:color="auto" w:fill="fefefe"/>
          <w:rtl w:val="0"/>
          <w:lang w:val="en-US"/>
          <w14:textOutline w14:w="0" w14:cap="flat">
            <w14:solidFill>
              <w14:srgbClr w14:val="000000"/>
            </w14:solidFill>
            <w14:prstDash w14:val="solid"/>
            <w14:miter w14:lim="400000"/>
          </w14:textOutline>
        </w:rPr>
        <w:t>’</w:t>
      </w:r>
      <w:r>
        <w:rPr>
          <w:rFonts w:ascii="Times New Roman" w:hAnsi="Times New Roman"/>
          <w:sz w:val="24"/>
          <w:szCs w:val="24"/>
          <w:shd w:val="clear" w:color="auto" w:fill="fefefe"/>
          <w:rtl w:val="0"/>
          <w:lang w:val="en-US"/>
          <w14:textOutline w14:w="0" w14:cap="flat">
            <w14:solidFill>
              <w14:srgbClr w14:val="000000"/>
            </w14:solidFill>
            <w14:prstDash w14:val="solid"/>
            <w14:miter w14:lim="400000"/>
          </w14:textOutline>
        </w:rPr>
        <w:t xml:space="preserve">, </w:t>
      </w:r>
      <w:r>
        <w:rPr>
          <w:rFonts w:ascii="Times New Roman" w:hAnsi="Times New Roman"/>
          <w:i w:val="1"/>
          <w:iCs w:val="1"/>
          <w:sz w:val="24"/>
          <w:szCs w:val="24"/>
          <w:shd w:val="clear" w:color="auto" w:fill="fefefe"/>
          <w:rtl w:val="0"/>
          <w:lang w:val="en-US"/>
          <w14:textOutline w14:w="0" w14:cap="flat">
            <w14:solidFill>
              <w14:srgbClr w14:val="000000"/>
            </w14:solidFill>
            <w14:prstDash w14:val="solid"/>
            <w14:miter w14:lim="400000"/>
          </w14:textOutline>
        </w:rPr>
        <w:t>Developmental Psychology</w:t>
      </w:r>
      <w:r>
        <w:rPr>
          <w:rFonts w:ascii="Times New Roman" w:hAnsi="Times New Roman"/>
          <w:sz w:val="24"/>
          <w:szCs w:val="24"/>
          <w:shd w:val="clear" w:color="auto" w:fill="fefefe"/>
          <w:rtl w:val="0"/>
          <w:lang w:val="en-US"/>
          <w14:textOutline w14:w="0" w14:cap="flat">
            <w14:solidFill>
              <w14:srgbClr w14:val="000000"/>
            </w14:solidFill>
            <w14:prstDash w14:val="solid"/>
            <w14:miter w14:lim="400000"/>
          </w14:textOutline>
        </w:rPr>
        <w:t>, 22 (6), 723-742.</w:t>
      </w: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efefe"/>
          <w:rtl w:val="0"/>
          <w14:textOutline w14:w="0" w14:cap="flat">
            <w14:solidFill>
              <w14:srgbClr w14:val="000000"/>
            </w14:solidFill>
            <w14:prstDash w14:val="solid"/>
            <w14:miter w14:lim="400000"/>
          </w14:textOutline>
        </w:rPr>
      </w:pPr>
    </w:p>
    <w:p>
      <w:pPr>
        <w:pStyle w:val="Default"/>
        <w:bidi w:val="0"/>
        <w:spacing w:after="240" w:line="260" w:lineRule="atLeast"/>
        <w:ind w:left="0" w:right="0" w:firstLine="0"/>
        <w:jc w:val="left"/>
        <w:rPr>
          <w:rFonts w:ascii="Times New Roman" w:cs="Times New Roman" w:hAnsi="Times New Roman" w:eastAsia="Times New Roman"/>
          <w:sz w:val="24"/>
          <w:szCs w:val="24"/>
          <w:shd w:val="clear" w:color="auto" w:fill="fefefe"/>
          <w:rtl w:val="0"/>
        </w:rPr>
      </w:pPr>
      <w:r>
        <w:rPr>
          <w:rFonts w:ascii="Times New Roman" w:hAnsi="Times New Roman"/>
          <w:sz w:val="24"/>
          <w:szCs w:val="24"/>
          <w:shd w:val="clear" w:color="auto" w:fill="fefefe"/>
          <w:rtl w:val="0"/>
          <w:lang w:val="en-US"/>
        </w:rPr>
        <w:t xml:space="preserve">Brooks-Gunn, J. (2004). Intervention and policy as change agents for young children. In P. L. Chase-Lansdale, K. Kiernan, &amp; R. J. Friedman (Eds.), </w:t>
      </w:r>
      <w:r>
        <w:rPr>
          <w:rFonts w:ascii="Times New Roman" w:hAnsi="Times New Roman"/>
          <w:i w:val="1"/>
          <w:iCs w:val="1"/>
          <w:sz w:val="24"/>
          <w:szCs w:val="24"/>
          <w:shd w:val="clear" w:color="auto" w:fill="fefefe"/>
          <w:rtl w:val="0"/>
          <w:lang w:val="en-US"/>
        </w:rPr>
        <w:t xml:space="preserve">Human development across lives and generations: The potential for change </w:t>
      </w:r>
      <w:r>
        <w:rPr>
          <w:rFonts w:ascii="Times New Roman" w:hAnsi="Times New Roman"/>
          <w:sz w:val="24"/>
          <w:szCs w:val="24"/>
          <w:shd w:val="clear" w:color="auto" w:fill="fefefe"/>
          <w:rtl w:val="0"/>
          <w:lang w:val="en-US"/>
        </w:rPr>
        <w:t>(pp. 293</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340). New York: Cambridge University Press. </w:t>
      </w: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efefe"/>
          <w:rtl w:val="0"/>
          <w14:textOutline w14:w="0" w14:cap="flat">
            <w14:solidFill>
              <w14:srgbClr w14:val="000000"/>
            </w14:solidFill>
            <w14:prstDash w14:val="solid"/>
            <w14:miter w14:lim="400000"/>
          </w14:textOutline>
        </w:rPr>
      </w:pPr>
      <w:r>
        <w:rPr>
          <w:rFonts w:ascii="Times New Roman" w:hAnsi="Times New Roman"/>
          <w:sz w:val="24"/>
          <w:szCs w:val="24"/>
          <w:shd w:val="clear" w:color="auto" w:fill="fefefe"/>
          <w:rtl w:val="0"/>
          <w:lang w:val="en-US"/>
          <w14:textOutline w14:w="0" w14:cap="flat">
            <w14:solidFill>
              <w14:srgbClr w14:val="000000"/>
            </w14:solidFill>
            <w14:prstDash w14:val="solid"/>
            <w14:miter w14:lim="400000"/>
          </w14:textOutline>
        </w:rPr>
        <w:t>Brown, J. A and Woods, J. J (2015) 'Effects of a triadic parent-implemented home-based communication intervention for toddlers</w:t>
      </w:r>
      <w:r>
        <w:rPr>
          <w:rFonts w:ascii="Times New Roman" w:hAnsi="Times New Roman" w:hint="default"/>
          <w:sz w:val="24"/>
          <w:szCs w:val="24"/>
          <w:shd w:val="clear" w:color="auto" w:fill="fefefe"/>
          <w:rtl w:val="0"/>
          <w:lang w:val="en-US"/>
          <w14:textOutline w14:w="0" w14:cap="flat">
            <w14:solidFill>
              <w14:srgbClr w14:val="000000"/>
            </w14:solidFill>
            <w14:prstDash w14:val="solid"/>
            <w14:miter w14:lim="400000"/>
          </w14:textOutline>
        </w:rPr>
        <w:t>’</w:t>
      </w:r>
      <w:r>
        <w:rPr>
          <w:rFonts w:ascii="Times New Roman" w:hAnsi="Times New Roman"/>
          <w:sz w:val="24"/>
          <w:szCs w:val="24"/>
          <w:shd w:val="clear" w:color="auto" w:fill="fefefe"/>
          <w:rtl w:val="0"/>
          <w:lang w:val="en-US"/>
          <w14:textOutline w14:w="0" w14:cap="flat">
            <w14:solidFill>
              <w14:srgbClr w14:val="000000"/>
            </w14:solidFill>
            <w14:prstDash w14:val="solid"/>
            <w14:miter w14:lim="400000"/>
          </w14:textOutline>
        </w:rPr>
        <w:t xml:space="preserve">, </w:t>
      </w:r>
      <w:r>
        <w:rPr>
          <w:rFonts w:ascii="Times New Roman" w:hAnsi="Times New Roman"/>
          <w:i w:val="1"/>
          <w:iCs w:val="1"/>
          <w:sz w:val="24"/>
          <w:szCs w:val="24"/>
          <w:shd w:val="clear" w:color="auto" w:fill="fefefe"/>
          <w:rtl w:val="0"/>
          <w:lang w:val="en-US"/>
          <w14:textOutline w14:w="0" w14:cap="flat">
            <w14:solidFill>
              <w14:srgbClr w14:val="000000"/>
            </w14:solidFill>
            <w14:prstDash w14:val="solid"/>
            <w14:miter w14:lim="400000"/>
          </w14:textOutline>
        </w:rPr>
        <w:t xml:space="preserve">Journal of Early Intervention, </w:t>
      </w:r>
      <w:r>
        <w:rPr>
          <w:rFonts w:ascii="Times New Roman" w:hAnsi="Times New Roman"/>
          <w:sz w:val="24"/>
          <w:szCs w:val="24"/>
          <w:shd w:val="clear" w:color="auto" w:fill="fefefe"/>
          <w:rtl w:val="0"/>
          <w:lang w:val="en-US"/>
          <w14:textOutline w14:w="0" w14:cap="flat">
            <w14:solidFill>
              <w14:srgbClr w14:val="000000"/>
            </w14:solidFill>
            <w14:prstDash w14:val="solid"/>
            <w14:miter w14:lim="400000"/>
          </w14:textOutline>
        </w:rPr>
        <w:t>(37), pp 44-68.</w:t>
      </w: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efefe"/>
          <w:rtl w:val="0"/>
          <w14:textOutline w14:w="0" w14:cap="flat">
            <w14:solidFill>
              <w14:srgbClr w14:val="000000"/>
            </w14:solidFill>
            <w14:prstDash w14:val="solid"/>
            <w14:miter w14:lim="400000"/>
          </w14:textOutline>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efefe"/>
          <w:rtl w:val="0"/>
          <w14:textOutline w14:w="0" w14:cap="flat">
            <w14:solidFill>
              <w14:srgbClr w14:val="000000"/>
            </w14:solidFill>
            <w14:prstDash w14:val="solid"/>
            <w14:miter w14:lim="400000"/>
          </w14:textOutline>
        </w:rPr>
      </w:pPr>
      <w:r>
        <w:rPr>
          <w:rFonts w:ascii="Times New Roman" w:hAnsi="Times New Roman"/>
          <w:sz w:val="24"/>
          <w:szCs w:val="24"/>
          <w:shd w:val="clear" w:color="auto" w:fill="fefefe"/>
          <w:rtl w:val="0"/>
          <w:lang w:val="en-US"/>
          <w14:textOutline w14:w="0" w14:cap="flat">
            <w14:solidFill>
              <w14:srgbClr w14:val="000000"/>
            </w14:solidFill>
            <w14:prstDash w14:val="solid"/>
            <w14:miter w14:lim="400000"/>
          </w14:textOutline>
        </w:rPr>
        <w:t xml:space="preserve">Brown, J. A and Woods, J. J (2016) </w:t>
      </w:r>
      <w:r>
        <w:rPr>
          <w:rFonts w:ascii="Times New Roman" w:hAnsi="Times New Roman" w:hint="default"/>
          <w:sz w:val="24"/>
          <w:szCs w:val="24"/>
          <w:shd w:val="clear" w:color="auto" w:fill="fefefe"/>
          <w:rtl w:val="0"/>
          <w:lang w:val="en-US"/>
          <w14:textOutline w14:w="0" w14:cap="flat">
            <w14:solidFill>
              <w14:srgbClr w14:val="000000"/>
            </w14:solidFill>
            <w14:prstDash w14:val="solid"/>
            <w14:miter w14:lim="400000"/>
          </w14:textOutline>
        </w:rPr>
        <w:t>‘</w:t>
      </w:r>
      <w:r>
        <w:rPr>
          <w:rFonts w:ascii="Times New Roman" w:hAnsi="Times New Roman"/>
          <w:sz w:val="24"/>
          <w:szCs w:val="24"/>
          <w:shd w:val="clear" w:color="auto" w:fill="fefefe"/>
          <w:rtl w:val="0"/>
          <w:lang w:val="en-US"/>
          <w14:textOutline w14:w="0" w14:cap="flat">
            <w14:solidFill>
              <w14:srgbClr w14:val="000000"/>
            </w14:solidFill>
            <w14:prstDash w14:val="solid"/>
            <w14:miter w14:lim="400000"/>
          </w14:textOutline>
        </w:rPr>
        <w:t xml:space="preserve">Parent-implemented communication intervention sequential analysis of triadic relationships', </w:t>
      </w:r>
      <w:r>
        <w:rPr>
          <w:rFonts w:ascii="Times New Roman" w:hAnsi="Times New Roman"/>
          <w:i w:val="1"/>
          <w:iCs w:val="1"/>
          <w:sz w:val="24"/>
          <w:szCs w:val="24"/>
          <w:shd w:val="clear" w:color="auto" w:fill="fefefe"/>
          <w:rtl w:val="0"/>
          <w:lang w:val="en-US"/>
          <w14:textOutline w14:w="0" w14:cap="flat">
            <w14:solidFill>
              <w14:srgbClr w14:val="000000"/>
            </w14:solidFill>
            <w14:prstDash w14:val="solid"/>
            <w14:miter w14:lim="400000"/>
          </w14:textOutline>
        </w:rPr>
        <w:t xml:space="preserve">Topics in Early Childhood Special Education, </w:t>
      </w:r>
      <w:r>
        <w:rPr>
          <w:rFonts w:ascii="Times New Roman" w:hAnsi="Times New Roman"/>
          <w:sz w:val="24"/>
          <w:szCs w:val="24"/>
          <w:shd w:val="clear" w:color="auto" w:fill="fefefe"/>
          <w:rtl w:val="0"/>
          <w:lang w:val="en-US"/>
          <w14:textOutline w14:w="0" w14:cap="flat">
            <w14:solidFill>
              <w14:srgbClr w14:val="000000"/>
            </w14:solidFill>
            <w14:prstDash w14:val="solid"/>
            <w14:miter w14:lim="400000"/>
          </w14:textOutline>
        </w:rPr>
        <w:t>(36), pp 115-124.</w:t>
      </w: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efefe"/>
          <w:rtl w:val="0"/>
          <w14:textOutline w14:w="0" w14:cap="flat">
            <w14:solidFill>
              <w14:srgbClr w14:val="000000"/>
            </w14:solidFill>
            <w14:prstDash w14:val="solid"/>
            <w14:miter w14:lim="400000"/>
          </w14:textOutline>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efefe"/>
          <w:rtl w:val="0"/>
          <w14:textOutline w14:w="0" w14:cap="flat">
            <w14:solidFill>
              <w14:srgbClr w14:val="000000"/>
            </w14:solidFill>
            <w14:prstDash w14:val="solid"/>
            <w14:miter w14:lim="400000"/>
          </w14:textOutline>
        </w:rPr>
      </w:pPr>
      <w:r>
        <w:rPr>
          <w:rFonts w:ascii="Times New Roman" w:hAnsi="Times New Roman"/>
          <w:sz w:val="24"/>
          <w:szCs w:val="24"/>
          <w:shd w:val="clear" w:color="auto" w:fill="fefefe"/>
          <w:rtl w:val="0"/>
          <w:lang w:val="en-US"/>
          <w14:textOutline w14:w="0" w14:cap="flat">
            <w14:solidFill>
              <w14:srgbClr w14:val="000000"/>
            </w14:solidFill>
            <w14:prstDash w14:val="solid"/>
            <w14:miter w14:lim="400000"/>
          </w14:textOutline>
        </w:rPr>
        <w:t xml:space="preserve">Brownlie, E.B., Beitchman, J.H., Escobar, M., Young, A., Atkinson, L., Johnson, C., Wilson, B. and Douglas L. (2004) </w:t>
      </w:r>
      <w:r>
        <w:rPr>
          <w:rFonts w:ascii="Times New Roman" w:hAnsi="Times New Roman" w:hint="default"/>
          <w:sz w:val="24"/>
          <w:szCs w:val="24"/>
          <w:shd w:val="clear" w:color="auto" w:fill="fefefe"/>
          <w:rtl w:val="0"/>
          <w:lang w:val="en-US"/>
          <w14:textOutline w14:w="0" w14:cap="flat">
            <w14:solidFill>
              <w14:srgbClr w14:val="000000"/>
            </w14:solidFill>
            <w14:prstDash w14:val="solid"/>
            <w14:miter w14:lim="400000"/>
          </w14:textOutline>
        </w:rPr>
        <w:t>‘</w:t>
      </w:r>
      <w:r>
        <w:rPr>
          <w:rFonts w:ascii="Times New Roman" w:hAnsi="Times New Roman"/>
          <w:sz w:val="24"/>
          <w:szCs w:val="24"/>
          <w:shd w:val="clear" w:color="auto" w:fill="fefefe"/>
          <w:rtl w:val="0"/>
          <w:lang w:val="en-US"/>
          <w14:textOutline w14:w="0" w14:cap="flat">
            <w14:solidFill>
              <w14:srgbClr w14:val="000000"/>
            </w14:solidFill>
            <w14:prstDash w14:val="solid"/>
            <w14:miter w14:lim="400000"/>
          </w14:textOutline>
        </w:rPr>
        <w:t>Early Language Impairment and Young Adult Delinquent and Aggressive Behaviour</w:t>
      </w:r>
      <w:r>
        <w:rPr>
          <w:rFonts w:ascii="Times New Roman" w:hAnsi="Times New Roman" w:hint="default"/>
          <w:sz w:val="24"/>
          <w:szCs w:val="24"/>
          <w:shd w:val="clear" w:color="auto" w:fill="fefefe"/>
          <w:rtl w:val="0"/>
          <w:lang w:val="en-US"/>
          <w14:textOutline w14:w="0" w14:cap="flat">
            <w14:solidFill>
              <w14:srgbClr w14:val="000000"/>
            </w14:solidFill>
            <w14:prstDash w14:val="solid"/>
            <w14:miter w14:lim="400000"/>
          </w14:textOutline>
        </w:rPr>
        <w:t>’</w:t>
      </w:r>
      <w:r>
        <w:rPr>
          <w:rFonts w:ascii="Times New Roman" w:hAnsi="Times New Roman"/>
          <w:sz w:val="24"/>
          <w:szCs w:val="24"/>
          <w:shd w:val="clear" w:color="auto" w:fill="fefefe"/>
          <w:rtl w:val="0"/>
          <w:lang w:val="en-US"/>
          <w14:textOutline w14:w="0" w14:cap="flat">
            <w14:solidFill>
              <w14:srgbClr w14:val="000000"/>
            </w14:solidFill>
            <w14:prstDash w14:val="solid"/>
            <w14:miter w14:lim="400000"/>
          </w14:textOutline>
        </w:rPr>
        <w:t>,  J</w:t>
      </w:r>
      <w:r>
        <w:rPr>
          <w:rFonts w:ascii="Times New Roman" w:hAnsi="Times New Roman"/>
          <w:i w:val="1"/>
          <w:iCs w:val="1"/>
          <w:sz w:val="24"/>
          <w:szCs w:val="24"/>
          <w:shd w:val="clear" w:color="auto" w:fill="fefefe"/>
          <w:rtl w:val="0"/>
          <w:lang w:val="en-US"/>
          <w14:textOutline w14:w="0" w14:cap="flat">
            <w14:solidFill>
              <w14:srgbClr w14:val="000000"/>
            </w14:solidFill>
            <w14:prstDash w14:val="solid"/>
            <w14:miter w14:lim="400000"/>
          </w14:textOutline>
        </w:rPr>
        <w:t>ournal of Abnormal Child Psychology,</w:t>
      </w:r>
      <w:r>
        <w:rPr>
          <w:rFonts w:ascii="Times New Roman" w:hAnsi="Times New Roman"/>
          <w:sz w:val="24"/>
          <w:szCs w:val="24"/>
          <w:shd w:val="clear" w:color="auto" w:fill="fefefe"/>
          <w:rtl w:val="0"/>
          <w:lang w:val="en-US"/>
          <w14:textOutline w14:w="0" w14:cap="flat">
            <w14:solidFill>
              <w14:srgbClr w14:val="000000"/>
            </w14:solidFill>
            <w14:prstDash w14:val="solid"/>
            <w14:miter w14:lim="400000"/>
          </w14:textOutline>
        </w:rPr>
        <w:t>32, pp. 453-467.</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Caroll, J., Gillen, G., &amp; McNeill, B. (2012)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Explicit phonological knowledge of educational professionals</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Asia Pacific Journal of Speech, Language and Hearing</w:t>
      </w:r>
      <w:r>
        <w:rPr>
          <w:rFonts w:ascii="Times New Roman" w:hAnsi="Times New Roman"/>
          <w:sz w:val="24"/>
          <w:szCs w:val="24"/>
          <w:shd w:val="clear" w:color="auto" w:fill="fefefe"/>
          <w:rtl w:val="0"/>
          <w:lang w:val="en-US"/>
        </w:rPr>
        <w:t>, 15 (4), pp. 231-244.</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Chodrogianni, V., &amp; Marnis, T (2011)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Differential effects of internal and external factors on the development of vocabulary, tense morphology and morph-syntax in successive bilingual children</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Linguistic Approaches to Bilingualism</w:t>
      </w:r>
      <w:r>
        <w:rPr>
          <w:rFonts w:ascii="Times New Roman" w:hAnsi="Times New Roman"/>
          <w:sz w:val="24"/>
          <w:szCs w:val="24"/>
          <w:shd w:val="clear" w:color="auto" w:fill="fefefe"/>
          <w:rtl w:val="0"/>
          <w:lang w:val="en-US"/>
        </w:rPr>
        <w:t>, 1, pp. 318-45.</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Cohen, C., Manion, L &amp; Morrison, K (2011) Research Methods in Education (7th Edition), Routledge: London.</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Communication Trust (2017) S</w:t>
      </w:r>
      <w:r>
        <w:rPr>
          <w:rFonts w:ascii="Times New Roman" w:hAnsi="Times New Roman"/>
          <w:i w:val="1"/>
          <w:iCs w:val="1"/>
          <w:sz w:val="24"/>
          <w:szCs w:val="24"/>
          <w:shd w:val="clear" w:color="auto" w:fill="fefefe"/>
          <w:rtl w:val="0"/>
          <w:lang w:val="en-US"/>
        </w:rPr>
        <w:t>peech, Language and Communication Progression Tools:</w:t>
      </w:r>
      <w:r>
        <w:rPr>
          <w:rFonts w:ascii="Times New Roman" w:hAnsi="Times New Roman"/>
          <w:sz w:val="24"/>
          <w:szCs w:val="24"/>
          <w:shd w:val="clear" w:color="auto" w:fill="fefefe"/>
          <w:rtl w:val="0"/>
          <w:lang w:val="en-US"/>
        </w:rPr>
        <w:t xml:space="preserve"> Primary. London: The Communication Trust.</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Denscombe, M (2010) The Good Research Guide: For small-scale social research projects (4th edition, Mc Graw Hill, Open University Press: England.</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Dockrell, J.E., Stuart, M and King, D (2010)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Supporting early oral language skills for English language learners in inner city preschool provision</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British Journal of Educational Psychology</w:t>
      </w:r>
      <w:r>
        <w:rPr>
          <w:rFonts w:ascii="Times New Roman" w:hAnsi="Times New Roman"/>
          <w:sz w:val="24"/>
          <w:szCs w:val="24"/>
          <w:shd w:val="clear" w:color="auto" w:fill="fefefe"/>
          <w:rtl w:val="0"/>
          <w:lang w:val="en-US"/>
        </w:rPr>
        <w:t>, 80, pp. 497-515.</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Dockrell, J. E &amp; Marshall, C. R (2015)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Measurement issues: Assessing language skills in young children</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Child and Adolescent Mental Health</w:t>
      </w:r>
      <w:r>
        <w:rPr>
          <w:rFonts w:ascii="Times New Roman" w:hAnsi="Times New Roman"/>
          <w:sz w:val="24"/>
          <w:szCs w:val="24"/>
          <w:shd w:val="clear" w:color="auto" w:fill="fefefe"/>
          <w:rtl w:val="0"/>
          <w:lang w:val="en-US"/>
        </w:rPr>
        <w:t>, 20, pp. 116-125.</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Dunst, C. J (2012)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Parapatric speciation in the evolution of early intervention for infants and toddlers with disabilities and their families</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 xml:space="preserve">Topics in Early Childhood Special Education </w:t>
      </w:r>
      <w:r>
        <w:rPr>
          <w:rFonts w:ascii="Times New Roman" w:hAnsi="Times New Roman"/>
          <w:sz w:val="24"/>
          <w:szCs w:val="24"/>
          <w:shd w:val="clear" w:color="auto" w:fill="fefefe"/>
          <w:rtl w:val="0"/>
          <w:lang w:val="en-US"/>
        </w:rPr>
        <w:t>(31), pp 208-215.</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p>
    <w:p>
      <w:pPr>
        <w:pStyle w:val="Default"/>
        <w:bidi w:val="0"/>
        <w:spacing w:after="240" w:line="300" w:lineRule="atLeast"/>
        <w:ind w:left="0" w:right="0" w:firstLine="0"/>
        <w:jc w:val="left"/>
        <w:rPr>
          <w:rFonts w:ascii="Times New Roman" w:cs="Times New Roman" w:hAnsi="Times New Roman" w:eastAsia="Times New Roman"/>
          <w:sz w:val="24"/>
          <w:szCs w:val="24"/>
          <w:shd w:val="clear" w:color="auto" w:fill="fefefe"/>
          <w:rtl w:val="0"/>
        </w:rPr>
      </w:pPr>
      <w:r>
        <w:rPr>
          <w:rFonts w:ascii="Times New Roman" w:hAnsi="Times New Roman"/>
          <w:sz w:val="24"/>
          <w:szCs w:val="24"/>
          <w:shd w:val="clear" w:color="auto" w:fill="fefefe"/>
          <w:rtl w:val="0"/>
          <w:lang w:val="en-US"/>
        </w:rPr>
        <w:t xml:space="preserve">Ebbels SH, McCartney E, Slonims V, Dockrell JE, and Norbury CF (2019)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Evidence-based pathways to inter-vention for children with language disorders</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International journal of Language and Communication</w:t>
      </w:r>
      <w:r>
        <w:rPr>
          <w:rFonts w:ascii="Times New Roman" w:hAnsi="Times New Roman"/>
          <w:sz w:val="24"/>
          <w:szCs w:val="24"/>
          <w:shd w:val="clear" w:color="auto" w:fill="fefefe"/>
          <w:rtl w:val="0"/>
          <w:lang w:val="en-US"/>
        </w:rPr>
        <w:t>, Disorders 54, pp. 3</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19.</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Ellis,</w:t>
      </w:r>
      <w:r>
        <w:rPr>
          <w:rFonts w:ascii="Times New Roman" w:hAnsi="Times New Roman" w:hint="default"/>
          <w:sz w:val="24"/>
          <w:szCs w:val="24"/>
          <w:shd w:val="clear" w:color="auto" w:fill="fefefe"/>
          <w:rtl w:val="0"/>
          <w:lang w:val="en-US"/>
        </w:rPr>
        <w:t> </w:t>
      </w:r>
      <w:r>
        <w:rPr>
          <w:rFonts w:ascii="Times New Roman" w:hAnsi="Times New Roman"/>
          <w:sz w:val="24"/>
          <w:szCs w:val="24"/>
          <w:shd w:val="clear" w:color="auto" w:fill="fefefe"/>
          <w:rtl w:val="0"/>
          <w:lang w:val="en-US"/>
        </w:rPr>
        <w:t>S., &amp; J.</w:t>
      </w:r>
      <w:r>
        <w:rPr>
          <w:rFonts w:ascii="Times New Roman" w:hAnsi="Times New Roman" w:hint="default"/>
          <w:sz w:val="24"/>
          <w:szCs w:val="24"/>
          <w:shd w:val="clear" w:color="auto" w:fill="fefefe"/>
          <w:rtl w:val="0"/>
          <w:lang w:val="en-US"/>
        </w:rPr>
        <w:t> </w:t>
      </w:r>
      <w:r>
        <w:rPr>
          <w:rFonts w:ascii="Times New Roman" w:hAnsi="Times New Roman"/>
          <w:sz w:val="24"/>
          <w:szCs w:val="24"/>
          <w:shd w:val="clear" w:color="auto" w:fill="fefefe"/>
          <w:rtl w:val="0"/>
          <w:lang w:val="en-US"/>
        </w:rPr>
        <w:t xml:space="preserve">Tod.(2014)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Special Educational Needs and Inclusion: Reflection, Renewal and Reality</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Journal of Research in Special Educational Needs,</w:t>
      </w:r>
      <w:r>
        <w:rPr>
          <w:rFonts w:ascii="Times New Roman" w:hAnsi="Times New Roman" w:hint="default"/>
          <w:i w:val="1"/>
          <w:iCs w:val="1"/>
          <w:sz w:val="24"/>
          <w:szCs w:val="24"/>
          <w:shd w:val="clear" w:color="auto" w:fill="fefefe"/>
          <w:rtl w:val="0"/>
          <w:lang w:val="en-US"/>
        </w:rPr>
        <w:t> </w:t>
      </w:r>
      <w:r>
        <w:rPr>
          <w:rFonts w:ascii="Times New Roman" w:hAnsi="Times New Roman"/>
          <w:sz w:val="24"/>
          <w:szCs w:val="24"/>
          <w:shd w:val="clear" w:color="auto" w:fill="fefefe"/>
          <w:rtl w:val="0"/>
          <w:lang w:val="en-US"/>
        </w:rPr>
        <w:t>14(3), pp. 205</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210.</w:t>
      </w:r>
      <w:r>
        <w:rPr>
          <w:rFonts w:ascii="Times New Roman" w:hAnsi="Times New Roman" w:hint="default"/>
          <w:sz w:val="24"/>
          <w:szCs w:val="24"/>
          <w:shd w:val="clear" w:color="auto" w:fill="fefefe"/>
          <w:rtl w:val="0"/>
          <w:lang w:val="en-US"/>
        </w:rPr>
        <w:t> </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Fallon, K. A and Katz, L. A (2011)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Providing written language services in the schools: The Time is now</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Language, Speech and Hearing Services in Schools,</w:t>
      </w:r>
      <w:r>
        <w:rPr>
          <w:rFonts w:ascii="Times New Roman" w:hAnsi="Times New Roman"/>
          <w:sz w:val="24"/>
          <w:szCs w:val="24"/>
          <w:shd w:val="clear" w:color="auto" w:fill="fefefe"/>
          <w:rtl w:val="0"/>
          <w:lang w:val="en-US"/>
        </w:rPr>
        <w:t xml:space="preserve"> 42, pp. 3-17.</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Gallagher, A. L &amp; Chiat, S (2009)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Evaluation of speech and language therapy interventions for pre school children with specific language impairment: A comparison of outcomes following specialist intensive, nursery based and no intervention</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International Journal of Language and Communication Disorders</w:t>
      </w:r>
      <w:r>
        <w:rPr>
          <w:rFonts w:ascii="Times New Roman" w:hAnsi="Times New Roman"/>
          <w:sz w:val="24"/>
          <w:szCs w:val="24"/>
          <w:shd w:val="clear" w:color="auto" w:fill="fefefe"/>
          <w:rtl w:val="0"/>
          <w:lang w:val="en-US"/>
        </w:rPr>
        <w:t>, 44, pp. 616-638.</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Gibbard, D &amp; Smith, C (2016)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A transagency approach to enabling access to parent-based intervention for language delay in areas of social disadvantage: A Service evaluation</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Child Language Teaching &amp; Therapy</w:t>
      </w:r>
      <w:r>
        <w:rPr>
          <w:rFonts w:ascii="Times New Roman" w:hAnsi="Times New Roman"/>
          <w:sz w:val="24"/>
          <w:szCs w:val="24"/>
          <w:shd w:val="clear" w:color="auto" w:fill="fefefe"/>
          <w:rtl w:val="0"/>
          <w:lang w:val="en-US"/>
        </w:rPr>
        <w:t>, 32 (1), pp.19-33.</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Green, K. B., Towson, J. A, Head, C., Janowski, B &amp; Smith, L., (2018)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Facilitated playgroups to promote speech and language skills of young children with communication delays: A pilot study</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Child Language Teaching and Therapy</w:t>
      </w:r>
      <w:r>
        <w:rPr>
          <w:rFonts w:ascii="Times New Roman" w:hAnsi="Times New Roman"/>
          <w:sz w:val="24"/>
          <w:szCs w:val="24"/>
          <w:shd w:val="clear" w:color="auto" w:fill="fefefe"/>
          <w:rtl w:val="0"/>
          <w:lang w:val="en-US"/>
        </w:rPr>
        <w:t>, 34(1), pp. 37 -52.</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Guralnick M. J. (2013).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Developmental Science and Preventive Interventions for Children at Environmental Risk</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w:t>
      </w:r>
      <w:r>
        <w:rPr>
          <w:rFonts w:ascii="Times New Roman" w:hAnsi="Times New Roman" w:hint="default"/>
          <w:sz w:val="24"/>
          <w:szCs w:val="24"/>
          <w:shd w:val="clear" w:color="auto" w:fill="fefefe"/>
          <w:rtl w:val="0"/>
          <w:lang w:val="en-US"/>
        </w:rPr>
        <w:t> </w:t>
      </w:r>
      <w:r>
        <w:rPr>
          <w:rFonts w:ascii="Times New Roman" w:hAnsi="Times New Roman"/>
          <w:i w:val="1"/>
          <w:iCs w:val="1"/>
          <w:sz w:val="24"/>
          <w:szCs w:val="24"/>
          <w:shd w:val="clear" w:color="auto" w:fill="fefefe"/>
          <w:rtl w:val="0"/>
          <w:lang w:val="en-US"/>
        </w:rPr>
        <w:t>Infants and young children</w:t>
      </w:r>
      <w:r>
        <w:rPr>
          <w:rFonts w:ascii="Times New Roman" w:hAnsi="Times New Roman"/>
          <w:sz w:val="24"/>
          <w:szCs w:val="24"/>
          <w:shd w:val="clear" w:color="auto" w:fill="fefefe"/>
          <w:rtl w:val="0"/>
          <w:lang w:val="en-US"/>
        </w:rPr>
        <w:t>,</w:t>
      </w:r>
      <w:r>
        <w:rPr>
          <w:rFonts w:ascii="Times New Roman" w:hAnsi="Times New Roman" w:hint="default"/>
          <w:sz w:val="24"/>
          <w:szCs w:val="24"/>
          <w:shd w:val="clear" w:color="auto" w:fill="fefefe"/>
          <w:rtl w:val="0"/>
          <w:lang w:val="en-US"/>
        </w:rPr>
        <w:t> </w:t>
      </w:r>
      <w:r>
        <w:rPr>
          <w:rFonts w:ascii="Times New Roman" w:hAnsi="Times New Roman"/>
          <w:i w:val="1"/>
          <w:iCs w:val="1"/>
          <w:sz w:val="24"/>
          <w:szCs w:val="24"/>
          <w:shd w:val="clear" w:color="auto" w:fill="fefefe"/>
          <w:rtl w:val="0"/>
          <w:lang w:val="en-US"/>
        </w:rPr>
        <w:t>26</w:t>
      </w:r>
      <w:r>
        <w:rPr>
          <w:rFonts w:ascii="Times New Roman" w:hAnsi="Times New Roman"/>
          <w:sz w:val="24"/>
          <w:szCs w:val="24"/>
          <w:shd w:val="clear" w:color="auto" w:fill="fefefe"/>
          <w:rtl w:val="0"/>
          <w:lang w:val="en-US"/>
        </w:rPr>
        <w:t>(4), 270</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285.</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Harrison, L. J., McLoed, S., McAllister, L &amp; McCormack, J (2017)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Speech sound disorder in preschool children: Correspondence between clinical diagnosis and parent and teacher report</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Australian Journal of Learning Difficulties</w:t>
      </w:r>
      <w:r>
        <w:rPr>
          <w:rFonts w:ascii="Times New Roman" w:hAnsi="Times New Roman"/>
          <w:sz w:val="24"/>
          <w:szCs w:val="24"/>
          <w:shd w:val="clear" w:color="auto" w:fill="fefefe"/>
          <w:rtl w:val="0"/>
          <w:lang w:val="en-US"/>
        </w:rPr>
        <w:t>, 22, pp. 35-48.</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Hartas, D (2011)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Children</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s Language and Behvaioural, Social and Emotional Difficulties and Prosocial Behaviour during the Toddler Years and at School Entry</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British Journal of Special Education</w:t>
      </w:r>
      <w:r>
        <w:rPr>
          <w:rFonts w:ascii="Times New Roman" w:hAnsi="Times New Roman"/>
          <w:sz w:val="24"/>
          <w:szCs w:val="24"/>
          <w:shd w:val="clear" w:color="auto" w:fill="fefefe"/>
          <w:rtl w:val="0"/>
          <w:lang w:val="en-US"/>
        </w:rPr>
        <w:t>, 38 (2), pp. 83-91.</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p>
    <w:p>
      <w:pPr>
        <w:pStyle w:val="Default"/>
        <w:bidi w:val="0"/>
        <w:spacing w:line="280" w:lineRule="atLeast"/>
        <w:ind w:left="0" w:right="0" w:firstLine="0"/>
        <w:jc w:val="left"/>
        <w:rPr>
          <w:rFonts w:ascii="Times New Roman" w:cs="Times New Roman" w:hAnsi="Times New Roman" w:eastAsia="Times New Roman"/>
          <w:outline w:val="0"/>
          <w:color w:val="444444"/>
          <w:sz w:val="24"/>
          <w:szCs w:val="24"/>
          <w:shd w:val="clear" w:color="auto" w:fill="fefefe"/>
          <w:rtl w:val="0"/>
          <w14:textOutline w14:w="0" w14:cap="flat">
            <w14:solidFill>
              <w14:srgbClr w14:val="444444"/>
            </w14:solidFill>
            <w14:prstDash w14:val="solid"/>
            <w14:miter w14:lim="400000"/>
          </w14:textOutline>
          <w14:textFill>
            <w14:solidFill>
              <w14:srgbClr w14:val="444444"/>
            </w14:solidFill>
          </w14:textFill>
        </w:rPr>
      </w:pPr>
      <w:r>
        <w:rPr>
          <w:rFonts w:ascii="Times New Roman" w:hAnsi="Times New Roman"/>
          <w:outline w:val="0"/>
          <w:color w:val="444444"/>
          <w:sz w:val="24"/>
          <w:szCs w:val="24"/>
          <w:shd w:val="clear" w:color="auto" w:fill="fefefe"/>
          <w:rtl w:val="0"/>
          <w:lang w:val="en-US"/>
          <w14:textOutline w14:w="0" w14:cap="flat">
            <w14:solidFill>
              <w14:srgbClr w14:val="444444"/>
            </w14:solidFill>
            <w14:prstDash w14:val="solid"/>
            <w14:miter w14:lim="400000"/>
          </w14:textOutline>
          <w14:textFill>
            <w14:solidFill>
              <w14:srgbClr w14:val="444444"/>
            </w14:solidFill>
          </w14:textFill>
        </w:rPr>
        <w:t>Henrichs, J, Rescorla, L, Schenk, J, Schmidt, H, Jaddoe, A, Hofman, A (2011)</w:t>
      </w:r>
      <w:r>
        <w:rPr>
          <w:rFonts w:ascii="Times New Roman" w:hAnsi="Times New Roman" w:hint="default"/>
          <w:outline w:val="0"/>
          <w:color w:val="444444"/>
          <w:sz w:val="24"/>
          <w:szCs w:val="24"/>
          <w:shd w:val="clear" w:color="auto" w:fill="fefefe"/>
          <w:rtl w:val="0"/>
          <w:lang w:val="en-US"/>
          <w14:textOutline w14:w="0" w14:cap="flat">
            <w14:solidFill>
              <w14:srgbClr w14:val="444444"/>
            </w14:solidFill>
            <w14:prstDash w14:val="solid"/>
            <w14:miter w14:lim="400000"/>
          </w14:textOutline>
          <w14:textFill>
            <w14:solidFill>
              <w14:srgbClr w14:val="444444"/>
            </w14:solidFill>
          </w14:textFill>
        </w:rPr>
        <w:t> ‘</w:t>
      </w:r>
      <w:r>
        <w:rPr>
          <w:rFonts w:ascii="Times New Roman" w:hAnsi="Times New Roman"/>
          <w:outline w:val="0"/>
          <w:color w:val="444444"/>
          <w:sz w:val="24"/>
          <w:szCs w:val="24"/>
          <w:shd w:val="clear" w:color="auto" w:fill="fefefe"/>
          <w:rtl w:val="0"/>
          <w:lang w:val="en-US"/>
          <w14:textOutline w14:w="0" w14:cap="flat">
            <w14:solidFill>
              <w14:srgbClr w14:val="444444"/>
            </w14:solidFill>
            <w14:prstDash w14:val="solid"/>
            <w14:miter w14:lim="400000"/>
          </w14:textOutline>
          <w14:textFill>
            <w14:solidFill>
              <w14:srgbClr w14:val="444444"/>
            </w14:solidFill>
          </w14:textFill>
        </w:rPr>
        <w:t>Examining continuity of early expressive vocabulary development: The Generation R study</w:t>
      </w:r>
      <w:r>
        <w:rPr>
          <w:rFonts w:ascii="Times New Roman" w:hAnsi="Times New Roman" w:hint="default"/>
          <w:outline w:val="0"/>
          <w:color w:val="444444"/>
          <w:sz w:val="24"/>
          <w:szCs w:val="24"/>
          <w:shd w:val="clear" w:color="auto" w:fill="fefefe"/>
          <w:rtl w:val="0"/>
          <w:lang w:val="en-US"/>
          <w14:textOutline w14:w="0" w14:cap="flat">
            <w14:solidFill>
              <w14:srgbClr w14:val="444444"/>
            </w14:solidFill>
            <w14:prstDash w14:val="solid"/>
            <w14:miter w14:lim="400000"/>
          </w14:textOutline>
          <w14:textFill>
            <w14:solidFill>
              <w14:srgbClr w14:val="444444"/>
            </w14:solidFill>
          </w14:textFill>
        </w:rPr>
        <w:t>’</w:t>
      </w:r>
      <w:r>
        <w:rPr>
          <w:rFonts w:ascii="Times New Roman" w:hAnsi="Times New Roman"/>
          <w:outline w:val="0"/>
          <w:color w:val="444444"/>
          <w:sz w:val="24"/>
          <w:szCs w:val="24"/>
          <w:shd w:val="clear" w:color="auto" w:fill="fefefe"/>
          <w:rtl w:val="0"/>
          <w:lang w:val="en-US"/>
          <w14:textOutline w14:w="0" w14:cap="flat">
            <w14:solidFill>
              <w14:srgbClr w14:val="444444"/>
            </w14:solidFill>
            <w14:prstDash w14:val="solid"/>
            <w14:miter w14:lim="400000"/>
          </w14:textOutline>
          <w14:textFill>
            <w14:solidFill>
              <w14:srgbClr w14:val="444444"/>
            </w14:solidFill>
          </w14:textFill>
        </w:rPr>
        <w:t xml:space="preserve">. </w:t>
      </w:r>
      <w:r>
        <w:rPr>
          <w:rFonts w:ascii="Times New Roman" w:hAnsi="Times New Roman"/>
          <w:i w:val="1"/>
          <w:iCs w:val="1"/>
          <w:outline w:val="0"/>
          <w:color w:val="444444"/>
          <w:sz w:val="24"/>
          <w:szCs w:val="24"/>
          <w:shd w:val="clear" w:color="auto" w:fill="fefefe"/>
          <w:rtl w:val="0"/>
          <w:lang w:val="en-US"/>
          <w14:textOutline w14:w="0" w14:cap="flat">
            <w14:solidFill>
              <w14:srgbClr w14:val="444444"/>
            </w14:solidFill>
            <w14:prstDash w14:val="solid"/>
            <w14:miter w14:lim="400000"/>
          </w14:textOutline>
          <w14:textFill>
            <w14:solidFill>
              <w14:srgbClr w14:val="444444"/>
            </w14:solidFill>
          </w14:textFill>
        </w:rPr>
        <w:t>Journal of Speech, Language and Hearing Research,</w:t>
      </w:r>
      <w:r>
        <w:rPr>
          <w:rFonts w:ascii="Times New Roman" w:hAnsi="Times New Roman"/>
          <w:outline w:val="0"/>
          <w:color w:val="444444"/>
          <w:sz w:val="24"/>
          <w:szCs w:val="24"/>
          <w:shd w:val="clear" w:color="auto" w:fill="fefefe"/>
          <w:rtl w:val="0"/>
          <w:lang w:val="en-US"/>
          <w14:textOutline w14:w="0" w14:cap="flat">
            <w14:solidFill>
              <w14:srgbClr w14:val="444444"/>
            </w14:solidFill>
            <w14:prstDash w14:val="solid"/>
            <w14:miter w14:lim="400000"/>
          </w14:textOutline>
          <w14:textFill>
            <w14:solidFill>
              <w14:srgbClr w14:val="444444"/>
            </w14:solidFill>
          </w14:textFill>
        </w:rPr>
        <w:t>54, pp.</w:t>
      </w:r>
      <w:r>
        <w:rPr>
          <w:rFonts w:ascii="Times New Roman" w:hAnsi="Times New Roman" w:hint="default"/>
          <w:outline w:val="0"/>
          <w:color w:val="444444"/>
          <w:sz w:val="24"/>
          <w:szCs w:val="24"/>
          <w:shd w:val="clear" w:color="auto" w:fill="fefefe"/>
          <w:rtl w:val="0"/>
          <w:lang w:val="en-US"/>
          <w14:textOutline w14:w="0" w14:cap="flat">
            <w14:solidFill>
              <w14:srgbClr w14:val="444444"/>
            </w14:solidFill>
            <w14:prstDash w14:val="solid"/>
            <w14:miter w14:lim="400000"/>
          </w14:textOutline>
          <w14:textFill>
            <w14:solidFill>
              <w14:srgbClr w14:val="444444"/>
            </w14:solidFill>
          </w14:textFill>
        </w:rPr>
        <w:t> </w:t>
      </w:r>
      <w:r>
        <w:rPr>
          <w:rFonts w:ascii="Times New Roman" w:hAnsi="Times New Roman"/>
          <w:outline w:val="0"/>
          <w:color w:val="444444"/>
          <w:sz w:val="24"/>
          <w:szCs w:val="24"/>
          <w:shd w:val="clear" w:color="auto" w:fill="fefefe"/>
          <w:rtl w:val="0"/>
          <w:lang w:val="en-US"/>
          <w14:textOutline w14:w="0" w14:cap="flat">
            <w14:solidFill>
              <w14:srgbClr w14:val="444444"/>
            </w14:solidFill>
            <w14:prstDash w14:val="solid"/>
            <w14:miter w14:lim="400000"/>
          </w14:textOutline>
          <w14:textFill>
            <w14:solidFill>
              <w14:srgbClr w14:val="444444"/>
            </w14:solidFill>
          </w14:textFill>
        </w:rPr>
        <w:t>854</w:t>
      </w:r>
      <w:r>
        <w:rPr>
          <w:rFonts w:ascii="Times New Roman" w:hAnsi="Times New Roman" w:hint="default"/>
          <w:outline w:val="0"/>
          <w:color w:val="444444"/>
          <w:sz w:val="24"/>
          <w:szCs w:val="24"/>
          <w:shd w:val="clear" w:color="auto" w:fill="fefefe"/>
          <w:rtl w:val="0"/>
          <w:lang w:val="en-US"/>
          <w14:textOutline w14:w="0" w14:cap="flat">
            <w14:solidFill>
              <w14:srgbClr w14:val="444444"/>
            </w14:solidFill>
            <w14:prstDash w14:val="solid"/>
            <w14:miter w14:lim="400000"/>
          </w14:textOutline>
          <w14:textFill>
            <w14:solidFill>
              <w14:srgbClr w14:val="444444"/>
            </w14:solidFill>
          </w14:textFill>
        </w:rPr>
        <w:t>–</w:t>
      </w:r>
      <w:r>
        <w:rPr>
          <w:rFonts w:ascii="Times New Roman" w:hAnsi="Times New Roman"/>
          <w:outline w:val="0"/>
          <w:color w:val="444444"/>
          <w:sz w:val="24"/>
          <w:szCs w:val="24"/>
          <w:shd w:val="clear" w:color="auto" w:fill="fefefe"/>
          <w:rtl w:val="0"/>
          <w:lang w:val="en-US"/>
          <w14:textOutline w14:w="0" w14:cap="flat">
            <w14:solidFill>
              <w14:srgbClr w14:val="444444"/>
            </w14:solidFill>
            <w14:prstDash w14:val="solid"/>
            <w14:miter w14:lim="400000"/>
          </w14:textOutline>
          <w14:textFill>
            <w14:solidFill>
              <w14:srgbClr w14:val="444444"/>
            </w14:solidFill>
          </w14:textFill>
        </w:rPr>
        <w:t>69.</w:t>
      </w:r>
    </w:p>
    <w:p>
      <w:pPr>
        <w:pStyle w:val="Default"/>
        <w:bidi w:val="0"/>
        <w:spacing w:line="280" w:lineRule="atLeast"/>
        <w:ind w:left="0" w:right="0" w:firstLine="0"/>
        <w:jc w:val="left"/>
        <w:rPr>
          <w:rFonts w:ascii="Times New Roman" w:cs="Times New Roman" w:hAnsi="Times New Roman" w:eastAsia="Times New Roman"/>
          <w:outline w:val="0"/>
          <w:color w:val="444444"/>
          <w:sz w:val="24"/>
          <w:szCs w:val="24"/>
          <w:shd w:val="clear" w:color="auto" w:fill="fefefe"/>
          <w:rtl w:val="0"/>
          <w14:textOutline w14:w="0" w14:cap="flat">
            <w14:solidFill>
              <w14:srgbClr w14:val="444444"/>
            </w14:solidFill>
            <w14:prstDash w14:val="solid"/>
            <w14:miter w14:lim="400000"/>
          </w14:textOutline>
          <w14:textFill>
            <w14:solidFill>
              <w14:srgbClr w14:val="444444"/>
            </w14:solidFill>
          </w14:textFill>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Hepp, S., Suter, E., Jackson, K (2015)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Using an inter-professional competency framework to examine collaborative practice</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w:t>
      </w:r>
      <w:r>
        <w:rPr>
          <w:rFonts w:ascii="Times New Roman" w:hAnsi="Times New Roman"/>
          <w:i w:val="1"/>
          <w:iCs w:val="1"/>
          <w:sz w:val="24"/>
          <w:szCs w:val="24"/>
          <w:shd w:val="clear" w:color="auto" w:fill="fefefe"/>
          <w:rtl w:val="0"/>
          <w:lang w:val="en-US"/>
        </w:rPr>
        <w:t xml:space="preserve"> Journal of Inter-professional Care</w:t>
      </w:r>
      <w:r>
        <w:rPr>
          <w:rFonts w:ascii="Times New Roman" w:hAnsi="Times New Roman"/>
          <w:sz w:val="24"/>
          <w:szCs w:val="24"/>
          <w:shd w:val="clear" w:color="auto" w:fill="fefefe"/>
          <w:rtl w:val="0"/>
          <w:lang w:val="en-US"/>
        </w:rPr>
        <w:t>, 29, pp. 131-137.</w:t>
      </w:r>
    </w:p>
    <w:p>
      <w:pPr>
        <w:pStyle w:val="Body"/>
        <w:rPr>
          <w:rFonts w:ascii="Times New Roman" w:cs="Times New Roman" w:hAnsi="Times New Roman" w:eastAsia="Times New Roman"/>
          <w:sz w:val="24"/>
          <w:szCs w:val="24"/>
          <w:shd w:val="clear" w:color="auto" w:fill="fefefe"/>
        </w:rPr>
      </w:pPr>
    </w:p>
    <w:p>
      <w:pPr>
        <w:pStyle w:val="Default"/>
        <w:bidi w:val="0"/>
        <w:spacing w:after="240" w:line="260" w:lineRule="atLeast"/>
        <w:ind w:left="0" w:right="0" w:firstLine="0"/>
        <w:jc w:val="left"/>
        <w:rPr>
          <w:rFonts w:ascii="Times New Roman" w:cs="Times New Roman" w:hAnsi="Times New Roman" w:eastAsia="Times New Roman"/>
          <w:sz w:val="24"/>
          <w:szCs w:val="24"/>
          <w:shd w:val="clear" w:color="auto" w:fill="fefefe"/>
          <w:rtl w:val="0"/>
        </w:rPr>
      </w:pPr>
      <w:r>
        <w:rPr>
          <w:rFonts w:ascii="Times New Roman" w:hAnsi="Times New Roman"/>
          <w:sz w:val="24"/>
          <w:szCs w:val="24"/>
          <w:shd w:val="clear" w:color="auto" w:fill="fefefe"/>
          <w:rtl w:val="0"/>
          <w:lang w:val="en-US"/>
        </w:rPr>
        <w:t xml:space="preserve">Hirsh-Pasek, K., Adamson, L. B., Bakeman, R., Owen, M. T., Golinkoff, R. M., Pace, A., &amp; Suma, K. (2015).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The contribution of early communication quality to low-income children</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s language success</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Psychological Science</w:t>
      </w:r>
      <w:r>
        <w:rPr>
          <w:rFonts w:ascii="Times New Roman" w:hAnsi="Times New Roman"/>
          <w:sz w:val="24"/>
          <w:szCs w:val="24"/>
          <w:shd w:val="clear" w:color="auto" w:fill="fefefe"/>
          <w:rtl w:val="0"/>
          <w:lang w:val="en-US"/>
        </w:rPr>
        <w:t>, 26, pp.1071</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83. </w:t>
      </w: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Hoff, E, Core, C., and Shanks, K (2020)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The quality of child-directed speech depends on the speaker</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s language proficiency</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Journal of Child Language</w:t>
      </w:r>
      <w:r>
        <w:rPr>
          <w:rFonts w:ascii="Times New Roman" w:hAnsi="Times New Roman"/>
          <w:sz w:val="24"/>
          <w:szCs w:val="24"/>
          <w:shd w:val="clear" w:color="auto" w:fill="fefefe"/>
          <w:rtl w:val="0"/>
          <w:lang w:val="en-US"/>
        </w:rPr>
        <w:t>, 47, pp. 132-145.</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Holmes, J and Kiernan, K (2013)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Persistent poverty and children</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s development in the early years of childhood</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Policy and Politics,</w:t>
      </w:r>
      <w:r>
        <w:rPr>
          <w:rFonts w:ascii="Times New Roman" w:hAnsi="Times New Roman"/>
          <w:sz w:val="24"/>
          <w:szCs w:val="24"/>
          <w:shd w:val="clear" w:color="auto" w:fill="fefefe"/>
          <w:rtl w:val="0"/>
          <w:lang w:val="en-US"/>
        </w:rPr>
        <w:t xml:space="preserve"> 41, pp. 19-42.</w:t>
      </w:r>
    </w:p>
    <w:p>
      <w:pPr>
        <w:pStyle w:val="Body"/>
        <w:rPr>
          <w:rFonts w:ascii="Times New Roman" w:cs="Times New Roman" w:hAnsi="Times New Roman" w:eastAsia="Times New Roman"/>
          <w:sz w:val="24"/>
          <w:szCs w:val="24"/>
          <w:shd w:val="clear" w:color="auto" w:fill="fefefe"/>
        </w:rPr>
      </w:pPr>
    </w:p>
    <w:p>
      <w:pPr>
        <w:pStyle w:val="Default"/>
        <w:bidi w:val="0"/>
        <w:spacing w:after="240" w:line="300" w:lineRule="atLeast"/>
        <w:ind w:left="0" w:right="0" w:firstLine="0"/>
        <w:jc w:val="left"/>
        <w:rPr>
          <w:rFonts w:ascii="Times New Roman" w:cs="Times New Roman" w:hAnsi="Times New Roman" w:eastAsia="Times New Roman"/>
          <w:i w:val="1"/>
          <w:iCs w:val="1"/>
          <w:sz w:val="24"/>
          <w:szCs w:val="24"/>
          <w:shd w:val="clear" w:color="auto" w:fill="fefefe"/>
          <w:rtl w:val="0"/>
        </w:rPr>
      </w:pPr>
      <w:r>
        <w:rPr>
          <w:rFonts w:ascii="Times New Roman" w:hAnsi="Times New Roman"/>
          <w:i w:val="0"/>
          <w:iCs w:val="0"/>
          <w:sz w:val="24"/>
          <w:szCs w:val="24"/>
          <w:shd w:val="clear" w:color="auto" w:fill="fefefe"/>
          <w:rtl w:val="0"/>
          <w:lang w:val="en-US"/>
        </w:rPr>
        <w:t xml:space="preserve">Hornby, G. (2011) </w:t>
      </w:r>
      <w:r>
        <w:rPr>
          <w:rFonts w:ascii="Times New Roman" w:hAnsi="Times New Roman"/>
          <w:i w:val="1"/>
          <w:iCs w:val="1"/>
          <w:sz w:val="24"/>
          <w:szCs w:val="24"/>
          <w:shd w:val="clear" w:color="auto" w:fill="fefefe"/>
          <w:rtl w:val="0"/>
          <w:lang w:val="en-US"/>
        </w:rPr>
        <w:t>Parental Involvement in Childhood Education: building effective school-family partnerships</w:t>
      </w:r>
      <w:r>
        <w:rPr>
          <w:rFonts w:ascii="Times New Roman" w:hAnsi="Times New Roman"/>
          <w:i w:val="0"/>
          <w:iCs w:val="0"/>
          <w:sz w:val="24"/>
          <w:szCs w:val="24"/>
          <w:shd w:val="clear" w:color="auto" w:fill="fefefe"/>
          <w:rtl w:val="0"/>
          <w:lang w:val="en-US"/>
        </w:rPr>
        <w:t>. New York: Springer.</w:t>
      </w: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Hutchinson, J &amp; Clegg, J (2011)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Education practitioner-led intervention to facilitate language learning in young children: An effectiveness study</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Child Language Teaching and Therapy</w:t>
      </w:r>
      <w:r>
        <w:rPr>
          <w:rFonts w:ascii="Times New Roman" w:hAnsi="Times New Roman"/>
          <w:sz w:val="24"/>
          <w:szCs w:val="24"/>
          <w:shd w:val="clear" w:color="auto" w:fill="fefefe"/>
          <w:rtl w:val="0"/>
          <w:lang w:val="en-US"/>
        </w:rPr>
        <w:t>, 27(2), pp.151-164.</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Jago, S., &amp; Radford, J (2017)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SLT beliefs about collaborative practice: Implications for eduction and learning',</w:t>
      </w:r>
      <w:r>
        <w:rPr>
          <w:rFonts w:ascii="Times New Roman" w:hAnsi="Times New Roman"/>
          <w:i w:val="1"/>
          <w:iCs w:val="1"/>
          <w:sz w:val="24"/>
          <w:szCs w:val="24"/>
          <w:shd w:val="clear" w:color="auto" w:fill="fefefe"/>
          <w:rtl w:val="0"/>
          <w:lang w:val="en-US"/>
        </w:rPr>
        <w:t xml:space="preserve"> Chiild Language Teaching and Therapy,</w:t>
      </w:r>
      <w:r>
        <w:rPr>
          <w:rFonts w:ascii="Times New Roman" w:hAnsi="Times New Roman"/>
          <w:sz w:val="24"/>
          <w:szCs w:val="24"/>
          <w:shd w:val="clear" w:color="auto" w:fill="fefefe"/>
          <w:rtl w:val="0"/>
          <w:lang w:val="en-US"/>
        </w:rPr>
        <w:t xml:space="preserve"> 33 (2), pp. 199-213.</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Law, J., Boyle, J., Harkness, A &amp; Nye, C (1998)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Screening for speech and language delay: A systematic review of the literature</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Health and Technology Assessment</w:t>
      </w:r>
      <w:r>
        <w:rPr>
          <w:rFonts w:ascii="Times New Roman" w:hAnsi="Times New Roman"/>
          <w:sz w:val="24"/>
          <w:szCs w:val="24"/>
          <w:shd w:val="clear" w:color="auto" w:fill="fefefe"/>
          <w:rtl w:val="0"/>
          <w:lang w:val="en-US"/>
        </w:rPr>
        <w:t>, 2.</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Law, J, McBean, K and Rush, R (2011)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Communication skills in a population of primary school-aged children raised in an area of pronounced social disadvantage</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I</w:t>
      </w:r>
      <w:r>
        <w:rPr>
          <w:rFonts w:ascii="Times New Roman" w:hAnsi="Times New Roman"/>
          <w:i w:val="1"/>
          <w:iCs w:val="1"/>
          <w:sz w:val="24"/>
          <w:szCs w:val="24"/>
          <w:shd w:val="clear" w:color="auto" w:fill="fefefe"/>
          <w:rtl w:val="0"/>
          <w:lang w:val="en-US"/>
        </w:rPr>
        <w:t>nternational Journal of Language and Communication Disorders</w:t>
      </w:r>
      <w:r>
        <w:rPr>
          <w:rFonts w:ascii="Times New Roman" w:hAnsi="Times New Roman"/>
          <w:sz w:val="24"/>
          <w:szCs w:val="24"/>
          <w:shd w:val="clear" w:color="auto" w:fill="fefefe"/>
          <w:rtl w:val="0"/>
          <w:lang w:val="en-US"/>
        </w:rPr>
        <w:t>, 46, pp. 657-664.</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Lee, W &amp; Pring, T (2016)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Supporting language schools: Evaluating an intervention for children with delayed language in the early school years</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Child Language Teaching and Therapy</w:t>
      </w:r>
      <w:r>
        <w:rPr>
          <w:rFonts w:ascii="Times New Roman" w:hAnsi="Times New Roman"/>
          <w:sz w:val="24"/>
          <w:szCs w:val="24"/>
          <w:shd w:val="clear" w:color="auto" w:fill="fefefe"/>
          <w:rtl w:val="0"/>
          <w:lang w:val="en-US"/>
        </w:rPr>
        <w:t>, 32 (2), pp. 135-146.</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p>
    <w:p>
      <w:pPr>
        <w:pStyle w:val="Table Style 2"/>
        <w:bidi w:val="0"/>
        <w:spacing w:line="400" w:lineRule="atLeast"/>
        <w:ind w:left="0" w:right="0" w:firstLine="0"/>
        <w:jc w:val="left"/>
        <w:rPr>
          <w:rFonts w:ascii="Times New Roman" w:cs="Times New Roman" w:hAnsi="Times New Roman" w:eastAsia="Times New Roman"/>
          <w:outline w:val="0"/>
          <w:color w:val="333333"/>
          <w:sz w:val="24"/>
          <w:szCs w:val="24"/>
          <w:shd w:val="clear" w:color="auto" w:fill="fefefe"/>
          <w:rtl w:val="0"/>
          <w14:textOutline w14:w="0" w14:cap="flat">
            <w14:solidFill>
              <w14:srgbClr w14:val="333333"/>
            </w14:solidFill>
            <w14:prstDash w14:val="solid"/>
            <w14:miter w14:lim="400000"/>
          </w14:textOutline>
          <w14:textFill>
            <w14:solidFill>
              <w14:srgbClr w14:val="333333"/>
            </w14:solidFill>
          </w14:textFill>
        </w:rPr>
      </w:pPr>
      <w:r>
        <w:rPr>
          <w:rFonts w:ascii="Times New Roman" w:hAnsi="Times New Roman"/>
          <w:outline w:val="0"/>
          <w:color w:val="333333"/>
          <w:sz w:val="24"/>
          <w:szCs w:val="24"/>
          <w:shd w:val="clear" w:color="auto" w:fill="fefefe"/>
          <w:rtl w:val="0"/>
          <w:lang w:val="en-US"/>
          <w14:textOutline w14:w="0" w14:cap="flat">
            <w14:solidFill>
              <w14:srgbClr w14:val="333333"/>
            </w14:solidFill>
            <w14:prstDash w14:val="solid"/>
            <w14:miter w14:lim="400000"/>
          </w14:textOutline>
          <w14:textFill>
            <w14:solidFill>
              <w14:srgbClr w14:val="333333"/>
            </w14:solidFill>
          </w14:textFill>
        </w:rPr>
        <w:t>Lieberman-Betz, R. G. (2015).</w:t>
      </w:r>
      <w:r>
        <w:rPr>
          <w:rFonts w:ascii="Times New Roman" w:hAnsi="Times New Roman" w:hint="default"/>
          <w:outline w:val="0"/>
          <w:color w:val="333333"/>
          <w:sz w:val="24"/>
          <w:szCs w:val="24"/>
          <w:shd w:val="clear" w:color="auto" w:fill="fefefe"/>
          <w:rtl w:val="0"/>
          <w:lang w:val="en-US"/>
          <w14:textOutline w14:w="0" w14:cap="flat">
            <w14:solidFill>
              <w14:srgbClr w14:val="333333"/>
            </w14:solidFill>
            <w14:prstDash w14:val="solid"/>
            <w14:miter w14:lim="400000"/>
          </w14:textOutline>
          <w14:textFill>
            <w14:solidFill>
              <w14:srgbClr w14:val="333333"/>
            </w14:solidFill>
          </w14:textFill>
        </w:rPr>
        <w:t> ‘</w:t>
      </w:r>
      <w:r>
        <w:rPr>
          <w:rFonts w:ascii="Times New Roman" w:hAnsi="Times New Roman"/>
          <w:outline w:val="0"/>
          <w:color w:val="333333"/>
          <w:sz w:val="24"/>
          <w:szCs w:val="24"/>
          <w:shd w:val="clear" w:color="auto" w:fill="fefefe"/>
          <w:rtl w:val="0"/>
          <w:lang w:val="en-US"/>
          <w14:textOutline w14:w="0" w14:cap="flat">
            <w14:solidFill>
              <w14:srgbClr w14:val="333333"/>
            </w14:solidFill>
            <w14:prstDash w14:val="solid"/>
            <w14:miter w14:lim="400000"/>
          </w14:textOutline>
          <w14:textFill>
            <w14:solidFill>
              <w14:srgbClr w14:val="333333"/>
            </w14:solidFill>
          </w14:textFill>
        </w:rPr>
        <w:t>A systematic review of fidelity of implementation in parent-mediated early communication intervention</w:t>
      </w:r>
      <w:r>
        <w:rPr>
          <w:rFonts w:ascii="Times New Roman" w:hAnsi="Times New Roman" w:hint="default"/>
          <w:outline w:val="0"/>
          <w:color w:val="333333"/>
          <w:sz w:val="24"/>
          <w:szCs w:val="24"/>
          <w:shd w:val="clear" w:color="auto" w:fill="fefefe"/>
          <w:rtl w:val="0"/>
          <w:lang w:val="en-US"/>
          <w14:textOutline w14:w="0" w14:cap="flat">
            <w14:solidFill>
              <w14:srgbClr w14:val="333333"/>
            </w14:solidFill>
            <w14:prstDash w14:val="solid"/>
            <w14:miter w14:lim="400000"/>
          </w14:textOutline>
          <w14:textFill>
            <w14:solidFill>
              <w14:srgbClr w14:val="333333"/>
            </w14:solidFill>
          </w14:textFill>
        </w:rPr>
        <w:t>’</w:t>
      </w:r>
      <w:r>
        <w:rPr>
          <w:rFonts w:ascii="Times New Roman" w:hAnsi="Times New Roman"/>
          <w:outline w:val="0"/>
          <w:color w:val="333333"/>
          <w:sz w:val="24"/>
          <w:szCs w:val="24"/>
          <w:shd w:val="clear" w:color="auto" w:fill="fefefe"/>
          <w:rtl w:val="0"/>
          <w:lang w:val="en-US"/>
          <w14:textOutline w14:w="0" w14:cap="flat">
            <w14:solidFill>
              <w14:srgbClr w14:val="333333"/>
            </w14:solidFill>
            <w14:prstDash w14:val="solid"/>
            <w14:miter w14:lim="400000"/>
          </w14:textOutline>
          <w14:textFill>
            <w14:solidFill>
              <w14:srgbClr w14:val="333333"/>
            </w14:solidFill>
          </w14:textFill>
        </w:rPr>
        <w:t xml:space="preserve">, </w:t>
      </w:r>
      <w:r>
        <w:rPr>
          <w:rFonts w:ascii="Times New Roman" w:hAnsi="Times New Roman"/>
          <w:i w:val="1"/>
          <w:iCs w:val="1"/>
          <w:outline w:val="0"/>
          <w:color w:val="333333"/>
          <w:sz w:val="24"/>
          <w:szCs w:val="24"/>
          <w:shd w:val="clear" w:color="auto" w:fill="fefefe"/>
          <w:rtl w:val="0"/>
          <w:lang w:val="en-US"/>
          <w14:textOutline w14:w="0" w14:cap="flat">
            <w14:solidFill>
              <w14:srgbClr w14:val="333333"/>
            </w14:solidFill>
            <w14:prstDash w14:val="solid"/>
            <w14:miter w14:lim="400000"/>
          </w14:textOutline>
          <w14:textFill>
            <w14:solidFill>
              <w14:srgbClr w14:val="333333"/>
            </w14:solidFill>
          </w14:textFill>
        </w:rPr>
        <w:t>Topics in Early Childhood Special Education</w:t>
      </w:r>
      <w:r>
        <w:rPr>
          <w:rFonts w:ascii="Times New Roman" w:hAnsi="Times New Roman"/>
          <w:outline w:val="0"/>
          <w:color w:val="333333"/>
          <w:sz w:val="24"/>
          <w:szCs w:val="24"/>
          <w:shd w:val="clear" w:color="auto" w:fill="fefefe"/>
          <w:rtl w:val="0"/>
          <w:lang w:val="en-US"/>
          <w14:textOutline w14:w="0" w14:cap="flat">
            <w14:solidFill>
              <w14:srgbClr w14:val="333333"/>
            </w14:solidFill>
            <w14:prstDash w14:val="solid"/>
            <w14:miter w14:lim="400000"/>
          </w14:textOutline>
          <w14:textFill>
            <w14:solidFill>
              <w14:srgbClr w14:val="333333"/>
            </w14:solidFill>
          </w14:textFill>
        </w:rPr>
        <w:t>, 35, pp.15</w:t>
      </w:r>
      <w:r>
        <w:rPr>
          <w:rFonts w:ascii="Times New Roman" w:hAnsi="Times New Roman" w:hint="default"/>
          <w:outline w:val="0"/>
          <w:color w:val="333333"/>
          <w:sz w:val="24"/>
          <w:szCs w:val="24"/>
          <w:shd w:val="clear" w:color="auto" w:fill="fefefe"/>
          <w:rtl w:val="0"/>
          <w:lang w:val="en-US"/>
          <w14:textOutline w14:w="0" w14:cap="flat">
            <w14:solidFill>
              <w14:srgbClr w14:val="333333"/>
            </w14:solidFill>
            <w14:prstDash w14:val="solid"/>
            <w14:miter w14:lim="400000"/>
          </w14:textOutline>
          <w14:textFill>
            <w14:solidFill>
              <w14:srgbClr w14:val="333333"/>
            </w14:solidFill>
          </w14:textFill>
        </w:rPr>
        <w:t>–</w:t>
      </w:r>
      <w:r>
        <w:rPr>
          <w:rFonts w:ascii="Times New Roman" w:hAnsi="Times New Roman"/>
          <w:outline w:val="0"/>
          <w:color w:val="333333"/>
          <w:sz w:val="24"/>
          <w:szCs w:val="24"/>
          <w:shd w:val="clear" w:color="auto" w:fill="fefefe"/>
          <w:rtl w:val="0"/>
          <w:lang w:val="en-US"/>
          <w14:textOutline w14:w="0" w14:cap="flat">
            <w14:solidFill>
              <w14:srgbClr w14:val="333333"/>
            </w14:solidFill>
            <w14:prstDash w14:val="solid"/>
            <w14:miter w14:lim="400000"/>
          </w14:textOutline>
          <w14:textFill>
            <w14:solidFill>
              <w14:srgbClr w14:val="333333"/>
            </w14:solidFill>
          </w14:textFill>
        </w:rPr>
        <w:t>27.</w:t>
      </w:r>
    </w:p>
    <w:p>
      <w:pPr>
        <w:pStyle w:val="Body"/>
        <w:rPr>
          <w:rFonts w:ascii="Times New Roman" w:cs="Times New Roman" w:hAnsi="Times New Roman" w:eastAsia="Times New Roman"/>
          <w:sz w:val="24"/>
          <w:szCs w:val="24"/>
          <w:shd w:val="clear" w:color="auto" w:fill="fefefe"/>
        </w:rPr>
      </w:pPr>
    </w:p>
    <w:p>
      <w:pPr>
        <w:pStyle w:val="Default"/>
        <w:bidi w:val="0"/>
        <w:spacing w:line="20" w:lineRule="atLeast"/>
        <w:ind w:left="0" w:right="0" w:firstLine="0"/>
        <w:jc w:val="left"/>
        <w:rPr>
          <w:rFonts w:ascii="Times New Roman" w:cs="Times New Roman" w:hAnsi="Times New Roman" w:eastAsia="Times New Roman"/>
          <w:outline w:val="0"/>
          <w:color w:val="333333"/>
          <w:sz w:val="24"/>
          <w:szCs w:val="24"/>
          <w:shd w:val="clear" w:color="auto" w:fill="fefefe"/>
          <w:rtl w:val="0"/>
          <w14:textOutline w14:w="0" w14:cap="flat">
            <w14:solidFill>
              <w14:srgbClr w14:val="333333"/>
            </w14:solidFill>
            <w14:prstDash w14:val="solid"/>
            <w14:miter w14:lim="400000"/>
          </w14:textOutline>
          <w14:textFill>
            <w14:solidFill>
              <w14:srgbClr w14:val="333333"/>
            </w14:solidFill>
          </w14:textFill>
        </w:rPr>
      </w:pPr>
      <w:r>
        <w:rPr>
          <w:rFonts w:ascii="Times New Roman" w:hAnsi="Times New Roman"/>
          <w:outline w:val="0"/>
          <w:color w:val="333333"/>
          <w:sz w:val="24"/>
          <w:szCs w:val="24"/>
          <w:shd w:val="clear" w:color="auto" w:fill="fefefe"/>
          <w:rtl w:val="0"/>
          <w:lang w:val="en-US"/>
          <w14:textOutline w14:w="0" w14:cap="flat">
            <w14:solidFill>
              <w14:srgbClr w14:val="333333"/>
            </w14:solidFill>
            <w14:prstDash w14:val="solid"/>
            <w14:miter w14:lim="400000"/>
          </w14:textOutline>
          <w14:textFill>
            <w14:solidFill>
              <w14:srgbClr w14:val="333333"/>
            </w14:solidFill>
          </w14:textFill>
        </w:rPr>
        <w:t xml:space="preserve">Lim, J., McCabe, P., Purcell, A (2019) </w:t>
      </w:r>
      <w:r>
        <w:rPr>
          <w:rFonts w:ascii="Times New Roman" w:hAnsi="Times New Roman" w:hint="default"/>
          <w:outline w:val="0"/>
          <w:color w:val="333333"/>
          <w:sz w:val="24"/>
          <w:szCs w:val="24"/>
          <w:shd w:val="clear" w:color="auto" w:fill="fefefe"/>
          <w:rtl w:val="0"/>
          <w:lang w:val="en-US"/>
          <w14:textOutline w14:w="0" w14:cap="flat">
            <w14:solidFill>
              <w14:srgbClr w14:val="333333"/>
            </w14:solidFill>
            <w14:prstDash w14:val="solid"/>
            <w14:miter w14:lim="400000"/>
          </w14:textOutline>
          <w14:textFill>
            <w14:solidFill>
              <w14:srgbClr w14:val="333333"/>
            </w14:solidFill>
          </w14:textFill>
        </w:rPr>
        <w:t>‘</w:t>
      </w:r>
      <w:r>
        <w:rPr>
          <w:rFonts w:ascii="Times New Roman" w:hAnsi="Times New Roman"/>
          <w:outline w:val="0"/>
          <w:color w:val="333333"/>
          <w:sz w:val="24"/>
          <w:szCs w:val="24"/>
          <w:shd w:val="clear" w:color="auto" w:fill="fefefe"/>
          <w:rtl w:val="0"/>
          <w:lang w:val="en-US"/>
          <w14:textOutline w14:w="0" w14:cap="flat">
            <w14:solidFill>
              <w14:srgbClr w14:val="333333"/>
            </w14:solidFill>
            <w14:prstDash w14:val="solid"/>
            <w14:miter w14:lim="400000"/>
          </w14:textOutline>
          <w14:textFill>
            <w14:solidFill>
              <w14:srgbClr w14:val="333333"/>
            </w14:solidFill>
          </w14:textFill>
        </w:rPr>
        <w:t>Another tool in my toolbox</w:t>
      </w:r>
      <w:r>
        <w:rPr>
          <w:rFonts w:ascii="Times New Roman" w:hAnsi="Times New Roman" w:hint="default"/>
          <w:outline w:val="0"/>
          <w:color w:val="333333"/>
          <w:sz w:val="24"/>
          <w:szCs w:val="24"/>
          <w:shd w:val="clear" w:color="auto" w:fill="fefefe"/>
          <w:rtl w:val="0"/>
          <w:lang w:val="en-US"/>
          <w14:textOutline w14:w="0" w14:cap="flat">
            <w14:solidFill>
              <w14:srgbClr w14:val="333333"/>
            </w14:solidFill>
            <w14:prstDash w14:val="solid"/>
            <w14:miter w14:lim="400000"/>
          </w14:textOutline>
          <w14:textFill>
            <w14:solidFill>
              <w14:srgbClr w14:val="333333"/>
            </w14:solidFill>
          </w14:textFill>
        </w:rPr>
        <w:t>’</w:t>
      </w:r>
      <w:r>
        <w:rPr>
          <w:rFonts w:ascii="Times New Roman" w:hAnsi="Times New Roman"/>
          <w:outline w:val="0"/>
          <w:color w:val="333333"/>
          <w:sz w:val="24"/>
          <w:szCs w:val="24"/>
          <w:shd w:val="clear" w:color="auto" w:fill="fefefe"/>
          <w:rtl w:val="0"/>
          <w:lang w:val="en-US"/>
          <w14:textOutline w14:w="0" w14:cap="flat">
            <w14:solidFill>
              <w14:srgbClr w14:val="333333"/>
            </w14:solidFill>
            <w14:prstDash w14:val="solid"/>
            <w14:miter w14:lim="400000"/>
          </w14:textOutline>
          <w14:textFill>
            <w14:solidFill>
              <w14:srgbClr w14:val="333333"/>
            </w14:solidFill>
          </w14:textFill>
        </w:rPr>
        <w:t xml:space="preserve">: Training school teaching assistants to use dynamic temporal and tactile cueing with children with childhood apraxia of speech, </w:t>
      </w:r>
      <w:r>
        <w:rPr>
          <w:rFonts w:ascii="Times New Roman" w:hAnsi="Times New Roman"/>
          <w:i w:val="1"/>
          <w:iCs w:val="1"/>
          <w:outline w:val="0"/>
          <w:color w:val="333333"/>
          <w:sz w:val="24"/>
          <w:szCs w:val="24"/>
          <w:shd w:val="clear" w:color="auto" w:fill="fefefe"/>
          <w:rtl w:val="0"/>
          <w:lang w:val="en-US"/>
          <w14:textOutline w14:w="0" w14:cap="flat">
            <w14:solidFill>
              <w14:srgbClr w14:val="333333"/>
            </w14:solidFill>
            <w14:prstDash w14:val="solid"/>
            <w14:miter w14:lim="400000"/>
          </w14:textOutline>
          <w14:textFill>
            <w14:solidFill>
              <w14:srgbClr w14:val="333333"/>
            </w14:solidFill>
          </w14:textFill>
        </w:rPr>
        <w:t>Child Language Teaching &amp; Therapy</w:t>
      </w:r>
      <w:r>
        <w:rPr>
          <w:rFonts w:ascii="Times New Roman" w:hAnsi="Times New Roman"/>
          <w:outline w:val="0"/>
          <w:color w:val="333333"/>
          <w:sz w:val="24"/>
          <w:szCs w:val="24"/>
          <w:shd w:val="clear" w:color="auto" w:fill="fefefe"/>
          <w:rtl w:val="0"/>
          <w:lang w:val="en-US"/>
          <w14:textOutline w14:w="0" w14:cap="flat">
            <w14:solidFill>
              <w14:srgbClr w14:val="333333"/>
            </w14:solidFill>
            <w14:prstDash w14:val="solid"/>
            <w14:miter w14:lim="400000"/>
          </w14:textOutline>
          <w14:textFill>
            <w14:solidFill>
              <w14:srgbClr w14:val="333333"/>
            </w14:solidFill>
          </w14:textFill>
        </w:rPr>
        <w:t>, 35(3), pp. 241-256.</w:t>
      </w:r>
    </w:p>
    <w:p>
      <w:pPr>
        <w:pStyle w:val="Body"/>
        <w:rPr>
          <w:rFonts w:ascii="Times New Roman" w:cs="Times New Roman" w:hAnsi="Times New Roman" w:eastAsia="Times New Roman"/>
          <w:sz w:val="24"/>
          <w:szCs w:val="24"/>
          <w:shd w:val="clear" w:color="auto" w:fill="fefefe"/>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efefe"/>
          <w:rtl w:val="0"/>
          <w14:textOutline w14:w="0" w14:cap="flat">
            <w14:solidFill>
              <w14:srgbClr w14:val="000000"/>
            </w14:solidFill>
            <w14:prstDash w14:val="solid"/>
            <w14:miter w14:lim="400000"/>
          </w14:textOutline>
        </w:rPr>
      </w:pPr>
      <w:r>
        <w:rPr>
          <w:rFonts w:ascii="Times New Roman" w:hAnsi="Times New Roman"/>
          <w:sz w:val="24"/>
          <w:szCs w:val="24"/>
          <w:shd w:val="clear" w:color="auto" w:fill="fefefe"/>
          <w:rtl w:val="0"/>
          <w:lang w:val="en-US"/>
          <w14:textOutline w14:w="0" w14:cap="flat">
            <w14:solidFill>
              <w14:srgbClr w14:val="000000"/>
            </w14:solidFill>
            <w14:prstDash w14:val="solid"/>
            <w14:miter w14:lim="400000"/>
          </w14:textOutline>
        </w:rPr>
        <w:t xml:space="preserve">Lindsay, Dockrell &amp; Strand (2007) </w:t>
      </w:r>
      <w:r>
        <w:rPr>
          <w:rFonts w:ascii="Times New Roman" w:hAnsi="Times New Roman" w:hint="default"/>
          <w:sz w:val="24"/>
          <w:szCs w:val="24"/>
          <w:shd w:val="clear" w:color="auto" w:fill="fefefe"/>
          <w:rtl w:val="0"/>
          <w:lang w:val="en-US"/>
          <w14:textOutline w14:w="0" w14:cap="flat">
            <w14:solidFill>
              <w14:srgbClr w14:val="000000"/>
            </w14:solidFill>
            <w14:prstDash w14:val="solid"/>
            <w14:miter w14:lim="400000"/>
          </w14:textOutline>
        </w:rPr>
        <w:t>‘</w:t>
      </w:r>
      <w:r>
        <w:rPr>
          <w:rFonts w:ascii="Times New Roman" w:hAnsi="Times New Roman"/>
          <w:sz w:val="24"/>
          <w:szCs w:val="24"/>
          <w:shd w:val="clear" w:color="auto" w:fill="fefefe"/>
          <w:rtl w:val="0"/>
          <w:lang w:val="en-US"/>
          <w14:textOutline w14:w="0" w14:cap="flat">
            <w14:solidFill>
              <w14:srgbClr w14:val="000000"/>
            </w14:solidFill>
            <w14:prstDash w14:val="solid"/>
            <w14:miter w14:lim="400000"/>
          </w14:textOutline>
        </w:rPr>
        <w:t>Longitudinal patterns of behaviour problems in children with specific speech and language difficulties: Child and contextual factors</w:t>
      </w:r>
      <w:r>
        <w:rPr>
          <w:rFonts w:ascii="Times New Roman" w:hAnsi="Times New Roman" w:hint="default"/>
          <w:sz w:val="24"/>
          <w:szCs w:val="24"/>
          <w:shd w:val="clear" w:color="auto" w:fill="fefefe"/>
          <w:rtl w:val="0"/>
          <w:lang w:val="en-US"/>
          <w14:textOutline w14:w="0" w14:cap="flat">
            <w14:solidFill>
              <w14:srgbClr w14:val="000000"/>
            </w14:solidFill>
            <w14:prstDash w14:val="solid"/>
            <w14:miter w14:lim="400000"/>
          </w14:textOutline>
        </w:rPr>
        <w:t>’</w:t>
      </w:r>
      <w:r>
        <w:rPr>
          <w:rFonts w:ascii="Times New Roman" w:hAnsi="Times New Roman"/>
          <w:sz w:val="24"/>
          <w:szCs w:val="24"/>
          <w:shd w:val="clear" w:color="auto" w:fill="fefefe"/>
          <w:rtl w:val="0"/>
          <w:lang w:val="en-US"/>
          <w14:textOutline w14:w="0" w14:cap="flat">
            <w14:solidFill>
              <w14:srgbClr w14:val="000000"/>
            </w14:solidFill>
            <w14:prstDash w14:val="solid"/>
            <w14:miter w14:lim="400000"/>
          </w14:textOutline>
        </w:rPr>
        <w:t xml:space="preserve">, </w:t>
      </w:r>
      <w:r>
        <w:rPr>
          <w:rFonts w:ascii="Times New Roman" w:hAnsi="Times New Roman"/>
          <w:i w:val="1"/>
          <w:iCs w:val="1"/>
          <w:sz w:val="24"/>
          <w:szCs w:val="24"/>
          <w:shd w:val="clear" w:color="auto" w:fill="fefefe"/>
          <w:rtl w:val="0"/>
          <w:lang w:val="en-US"/>
          <w14:textOutline w14:w="0" w14:cap="flat">
            <w14:solidFill>
              <w14:srgbClr w14:val="000000"/>
            </w14:solidFill>
            <w14:prstDash w14:val="solid"/>
            <w14:miter w14:lim="400000"/>
          </w14:textOutline>
        </w:rPr>
        <w:t>British Journal of Educational Psychology,</w:t>
      </w:r>
      <w:r>
        <w:rPr>
          <w:rFonts w:ascii="Times New Roman" w:hAnsi="Times New Roman"/>
          <w:sz w:val="24"/>
          <w:szCs w:val="24"/>
          <w:shd w:val="clear" w:color="auto" w:fill="fefefe"/>
          <w:rtl w:val="0"/>
          <w:lang w:val="en-US"/>
          <w14:textOutline w14:w="0" w14:cap="flat">
            <w14:solidFill>
              <w14:srgbClr w14:val="000000"/>
            </w14:solidFill>
            <w14:prstDash w14:val="solid"/>
            <w14:miter w14:lim="400000"/>
          </w14:textOutline>
        </w:rPr>
        <w:t xml:space="preserve"> 77, pp. 811-828.</w:t>
      </w: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efefe"/>
          <w:rtl w:val="0"/>
          <w14:textOutline w14:w="0" w14:cap="flat">
            <w14:solidFill>
              <w14:srgbClr w14:val="000000"/>
            </w14:solidFill>
            <w14:prstDash w14:val="solid"/>
            <w14:miter w14:lim="400000"/>
          </w14:textOutline>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efefe"/>
          <w:rtl w:val="0"/>
          <w14:textOutline w14:w="0" w14:cap="flat">
            <w14:solidFill>
              <w14:srgbClr w14:val="000000"/>
            </w14:solidFill>
            <w14:prstDash w14:val="solid"/>
            <w14:miter w14:lim="400000"/>
          </w14:textOutline>
        </w:rPr>
      </w:pPr>
      <w:r>
        <w:rPr>
          <w:rFonts w:ascii="Times New Roman" w:hAnsi="Times New Roman"/>
          <w:sz w:val="24"/>
          <w:szCs w:val="24"/>
          <w:shd w:val="clear" w:color="auto" w:fill="fefefe"/>
          <w:rtl w:val="0"/>
          <w:lang w:val="en-US"/>
          <w14:textOutline w14:w="0" w14:cap="flat">
            <w14:solidFill>
              <w14:srgbClr w14:val="000000"/>
            </w14:solidFill>
            <w14:prstDash w14:val="solid"/>
            <w14:miter w14:lim="400000"/>
          </w14:textOutline>
        </w:rPr>
        <w:t>Love, J. M., Kisker, E. E and Ross, C, Constantine, J., Boller, K., Chazan-Cohen, R., Brady-Smith, C., Fulingni, A. S., Raikes, H, Brooks-Gunn, J., Tarullo, L, B, Schochet, P, Z, Paulsnell, D and Vogel, C (2005) 'The Effectiveness of Early Head Start for 3-Year-Old Children and Their Parents: Lessons for Policy and Programs</w:t>
      </w:r>
      <w:r>
        <w:rPr>
          <w:rFonts w:ascii="Times New Roman" w:hAnsi="Times New Roman" w:hint="default"/>
          <w:sz w:val="24"/>
          <w:szCs w:val="24"/>
          <w:shd w:val="clear" w:color="auto" w:fill="fefefe"/>
          <w:rtl w:val="0"/>
          <w:lang w:val="en-US"/>
          <w14:textOutline w14:w="0" w14:cap="flat">
            <w14:solidFill>
              <w14:srgbClr w14:val="000000"/>
            </w14:solidFill>
            <w14:prstDash w14:val="solid"/>
            <w14:miter w14:lim="400000"/>
          </w14:textOutline>
        </w:rPr>
        <w:t>’</w:t>
      </w:r>
      <w:r>
        <w:rPr>
          <w:rFonts w:ascii="Times New Roman" w:hAnsi="Times New Roman"/>
          <w:sz w:val="24"/>
          <w:szCs w:val="24"/>
          <w:shd w:val="clear" w:color="auto" w:fill="fefefe"/>
          <w:rtl w:val="0"/>
          <w:lang w:val="en-US"/>
          <w14:textOutline w14:w="0" w14:cap="flat">
            <w14:solidFill>
              <w14:srgbClr w14:val="000000"/>
            </w14:solidFill>
            <w14:prstDash w14:val="solid"/>
            <w14:miter w14:lim="400000"/>
          </w14:textOutline>
        </w:rPr>
        <w:t xml:space="preserve">, </w:t>
      </w:r>
      <w:r>
        <w:rPr>
          <w:rFonts w:ascii="Times New Roman" w:hAnsi="Times New Roman"/>
          <w:i w:val="1"/>
          <w:iCs w:val="1"/>
          <w:sz w:val="24"/>
          <w:szCs w:val="24"/>
          <w:shd w:val="clear" w:color="auto" w:fill="fefefe"/>
          <w:rtl w:val="0"/>
          <w:lang w:val="en-US"/>
          <w14:textOutline w14:w="0" w14:cap="flat">
            <w14:solidFill>
              <w14:srgbClr w14:val="000000"/>
            </w14:solidFill>
            <w14:prstDash w14:val="solid"/>
            <w14:miter w14:lim="400000"/>
          </w14:textOutline>
        </w:rPr>
        <w:t>Developmental Psychology,</w:t>
      </w:r>
      <w:r>
        <w:rPr>
          <w:rFonts w:ascii="Times New Roman" w:hAnsi="Times New Roman"/>
          <w:sz w:val="24"/>
          <w:szCs w:val="24"/>
          <w:shd w:val="clear" w:color="auto" w:fill="fefefe"/>
          <w:rtl w:val="0"/>
          <w:lang w:val="en-US"/>
          <w14:textOutline w14:w="0" w14:cap="flat">
            <w14:solidFill>
              <w14:srgbClr w14:val="000000"/>
            </w14:solidFill>
            <w14:prstDash w14:val="solid"/>
            <w14:miter w14:lim="400000"/>
          </w14:textOutline>
        </w:rPr>
        <w:t xml:space="preserve"> 41 (6), pp. 885-901.</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p>
    <w:p>
      <w:pPr>
        <w:pStyle w:val="Default"/>
        <w:bidi w:val="0"/>
        <w:spacing w:line="280" w:lineRule="atLeast"/>
        <w:ind w:left="0" w:right="0" w:firstLine="0"/>
        <w:jc w:val="left"/>
        <w:rPr>
          <w:rFonts w:ascii="Times New Roman" w:cs="Times New Roman" w:hAnsi="Times New Roman" w:eastAsia="Times New Roman"/>
          <w:outline w:val="0"/>
          <w:color w:val="444444"/>
          <w:sz w:val="24"/>
          <w:szCs w:val="24"/>
          <w:shd w:val="clear" w:color="auto" w:fill="fefefe"/>
          <w:rtl w:val="0"/>
          <w14:textOutline w14:w="0" w14:cap="flat">
            <w14:solidFill>
              <w14:srgbClr w14:val="444444"/>
            </w14:solidFill>
            <w14:prstDash w14:val="solid"/>
            <w14:miter w14:lim="400000"/>
          </w14:textOutline>
          <w14:textFill>
            <w14:solidFill>
              <w14:srgbClr w14:val="444444"/>
            </w14:solidFill>
          </w14:textFill>
        </w:rPr>
      </w:pPr>
      <w:r>
        <w:rPr>
          <w:rFonts w:ascii="Times New Roman" w:hAnsi="Times New Roman"/>
          <w:outline w:val="0"/>
          <w:color w:val="444444"/>
          <w:sz w:val="24"/>
          <w:szCs w:val="24"/>
          <w:shd w:val="clear" w:color="auto" w:fill="fefefe"/>
          <w:rtl w:val="0"/>
          <w:lang w:val="en-US"/>
          <w14:textOutline w14:w="0" w14:cap="flat">
            <w14:solidFill>
              <w14:srgbClr w14:val="444444"/>
            </w14:solidFill>
            <w14:prstDash w14:val="solid"/>
            <w14:miter w14:lim="400000"/>
          </w14:textOutline>
          <w14:textFill>
            <w14:solidFill>
              <w14:srgbClr w14:val="444444"/>
            </w14:solidFill>
          </w14:textFill>
        </w:rPr>
        <w:t>Marmot, M (2010)</w:t>
      </w:r>
      <w:r>
        <w:rPr>
          <w:rFonts w:ascii="Times New Roman" w:hAnsi="Times New Roman" w:hint="default"/>
          <w:outline w:val="0"/>
          <w:color w:val="444444"/>
          <w:sz w:val="24"/>
          <w:szCs w:val="24"/>
          <w:shd w:val="clear" w:color="auto" w:fill="fefefe"/>
          <w:rtl w:val="0"/>
          <w:lang w:val="en-US"/>
          <w14:textOutline w14:w="0" w14:cap="flat">
            <w14:solidFill>
              <w14:srgbClr w14:val="444444"/>
            </w14:solidFill>
            <w14:prstDash w14:val="solid"/>
            <w14:miter w14:lim="400000"/>
          </w14:textOutline>
          <w14:textFill>
            <w14:solidFill>
              <w14:srgbClr w14:val="444444"/>
            </w14:solidFill>
          </w14:textFill>
        </w:rPr>
        <w:t> </w:t>
      </w:r>
      <w:r>
        <w:rPr>
          <w:rFonts w:ascii="Times New Roman" w:hAnsi="Times New Roman"/>
          <w:i w:val="1"/>
          <w:iCs w:val="1"/>
          <w:outline w:val="0"/>
          <w:color w:val="444444"/>
          <w:sz w:val="24"/>
          <w:szCs w:val="24"/>
          <w:shd w:val="clear" w:color="auto" w:fill="fefefe"/>
          <w:rtl w:val="0"/>
          <w:lang w:val="en-US"/>
          <w14:textOutline w14:w="0" w14:cap="flat">
            <w14:solidFill>
              <w14:srgbClr w14:val="444444"/>
            </w14:solidFill>
            <w14:prstDash w14:val="solid"/>
            <w14:miter w14:lim="400000"/>
          </w14:textOutline>
          <w14:textFill>
            <w14:solidFill>
              <w14:srgbClr w14:val="444444"/>
            </w14:solidFill>
          </w14:textFill>
        </w:rPr>
        <w:t>Fair society, healthy lives: The Marmot Review. Strategic review of health inequalities in England post-2010</w:t>
      </w:r>
      <w:r>
        <w:rPr>
          <w:rFonts w:ascii="Times New Roman" w:hAnsi="Times New Roman"/>
          <w:outline w:val="0"/>
          <w:color w:val="444444"/>
          <w:sz w:val="24"/>
          <w:szCs w:val="24"/>
          <w:shd w:val="clear" w:color="auto" w:fill="fefefe"/>
          <w:rtl w:val="0"/>
          <w:lang w:val="en-US"/>
          <w14:textOutline w14:w="0" w14:cap="flat">
            <w14:solidFill>
              <w14:srgbClr w14:val="444444"/>
            </w14:solidFill>
            <w14:prstDash w14:val="solid"/>
            <w14:miter w14:lim="400000"/>
          </w14:textOutline>
          <w14:textFill>
            <w14:solidFill>
              <w14:srgbClr w14:val="444444"/>
            </w14:solidFill>
          </w14:textFill>
        </w:rPr>
        <w:t>.</w:t>
      </w:r>
      <w:r>
        <w:rPr>
          <w:rFonts w:ascii="Times New Roman" w:hAnsi="Times New Roman" w:hint="default"/>
          <w:outline w:val="0"/>
          <w:color w:val="444444"/>
          <w:sz w:val="24"/>
          <w:szCs w:val="24"/>
          <w:shd w:val="clear" w:color="auto" w:fill="fefefe"/>
          <w:rtl w:val="0"/>
          <w:lang w:val="en-US"/>
          <w14:textOutline w14:w="0" w14:cap="flat">
            <w14:solidFill>
              <w14:srgbClr w14:val="444444"/>
            </w14:solidFill>
            <w14:prstDash w14:val="solid"/>
            <w14:miter w14:lim="400000"/>
          </w14:textOutline>
          <w14:textFill>
            <w14:solidFill>
              <w14:srgbClr w14:val="444444"/>
            </w14:solidFill>
          </w14:textFill>
        </w:rPr>
        <w:t> </w:t>
      </w:r>
      <w:r>
        <w:rPr>
          <w:rFonts w:ascii="Times New Roman" w:hAnsi="Times New Roman"/>
          <w:outline w:val="0"/>
          <w:color w:val="444444"/>
          <w:sz w:val="24"/>
          <w:szCs w:val="24"/>
          <w:shd w:val="clear" w:color="auto" w:fill="fefefe"/>
          <w:rtl w:val="0"/>
          <w:lang w:val="en-US"/>
          <w14:textOutline w14:w="0" w14:cap="flat">
            <w14:solidFill>
              <w14:srgbClr w14:val="444444"/>
            </w14:solidFill>
            <w14:prstDash w14:val="solid"/>
            <w14:miter w14:lim="400000"/>
          </w14:textOutline>
          <w14:textFill>
            <w14:solidFill>
              <w14:srgbClr w14:val="444444"/>
            </w14:solidFill>
          </w14:textFill>
        </w:rPr>
        <w:t>London:</w:t>
      </w:r>
      <w:r>
        <w:rPr>
          <w:rFonts w:ascii="Times New Roman" w:hAnsi="Times New Roman" w:hint="default"/>
          <w:outline w:val="0"/>
          <w:color w:val="444444"/>
          <w:sz w:val="24"/>
          <w:szCs w:val="24"/>
          <w:shd w:val="clear" w:color="auto" w:fill="fefefe"/>
          <w:rtl w:val="0"/>
          <w:lang w:val="en-US"/>
          <w14:textOutline w14:w="0" w14:cap="flat">
            <w14:solidFill>
              <w14:srgbClr w14:val="444444"/>
            </w14:solidFill>
            <w14:prstDash w14:val="solid"/>
            <w14:miter w14:lim="400000"/>
          </w14:textOutline>
          <w14:textFill>
            <w14:solidFill>
              <w14:srgbClr w14:val="444444"/>
            </w14:solidFill>
          </w14:textFill>
        </w:rPr>
        <w:t> </w:t>
      </w:r>
      <w:r>
        <w:rPr>
          <w:rFonts w:ascii="Times New Roman" w:hAnsi="Times New Roman"/>
          <w:outline w:val="0"/>
          <w:color w:val="444444"/>
          <w:sz w:val="24"/>
          <w:szCs w:val="24"/>
          <w:shd w:val="clear" w:color="auto" w:fill="fefefe"/>
          <w:rtl w:val="0"/>
          <w:lang w:val="en-US"/>
          <w14:textOutline w14:w="0" w14:cap="flat">
            <w14:solidFill>
              <w14:srgbClr w14:val="444444"/>
            </w14:solidFill>
            <w14:prstDash w14:val="solid"/>
            <w14:miter w14:lim="400000"/>
          </w14:textOutline>
          <w14:textFill>
            <w14:solidFill>
              <w14:srgbClr w14:val="444444"/>
            </w14:solidFill>
          </w14:textFill>
        </w:rPr>
        <w:t>The Marmot Review. Available at:</w:t>
      </w:r>
    </w:p>
    <w:p>
      <w:pPr>
        <w:pStyle w:val="Body"/>
        <w:rPr>
          <w:rFonts w:ascii="Times New Roman" w:cs="Times New Roman" w:hAnsi="Times New Roman" w:eastAsia="Times New Roman"/>
          <w:sz w:val="24"/>
          <w:szCs w:val="24"/>
          <w:shd w:val="clear" w:color="auto" w:fill="fefefe"/>
        </w:rPr>
      </w:pPr>
      <w:r>
        <w:rPr>
          <w:rStyle w:val="Hyperlink.0"/>
          <w:rFonts w:ascii="Times New Roman" w:cs="Times New Roman" w:hAnsi="Times New Roman" w:eastAsia="Times New Roman"/>
          <w:sz w:val="24"/>
          <w:szCs w:val="24"/>
          <w:shd w:val="clear" w:color="auto" w:fill="fefefe"/>
        </w:rPr>
        <w:fldChar w:fldCharType="begin" w:fldLock="0"/>
      </w:r>
      <w:r>
        <w:rPr>
          <w:rStyle w:val="Hyperlink.0"/>
          <w:rFonts w:ascii="Times New Roman" w:cs="Times New Roman" w:hAnsi="Times New Roman" w:eastAsia="Times New Roman"/>
          <w:sz w:val="24"/>
          <w:szCs w:val="24"/>
          <w:shd w:val="clear" w:color="auto" w:fill="fefefe"/>
        </w:rPr>
        <w:instrText xml:space="preserve"> HYPERLINK "http://www.instituteofhealthequity.org/resources-reports/fair-society-healthy-lives-the-marmot-review/fair-society-healthy-lives-exec-summary-pdf.pdf"</w:instrText>
      </w:r>
      <w:r>
        <w:rPr>
          <w:rStyle w:val="Hyperlink.0"/>
          <w:rFonts w:ascii="Times New Roman" w:cs="Times New Roman" w:hAnsi="Times New Roman" w:eastAsia="Times New Roman"/>
          <w:sz w:val="24"/>
          <w:szCs w:val="24"/>
          <w:shd w:val="clear" w:color="auto" w:fill="fefefe"/>
        </w:rPr>
        <w:fldChar w:fldCharType="separate" w:fldLock="0"/>
      </w:r>
      <w:r>
        <w:rPr>
          <w:rStyle w:val="Hyperlink.0"/>
          <w:rFonts w:ascii="Times New Roman" w:hAnsi="Times New Roman"/>
          <w:sz w:val="24"/>
          <w:szCs w:val="24"/>
          <w:shd w:val="clear" w:color="auto" w:fill="fefefe"/>
          <w:rtl w:val="0"/>
          <w:lang w:val="en-US"/>
        </w:rPr>
        <w:t>http://www.instituteofhealthequity.org/resources-reports/fair-society-healthy-lives-the-marmot-review/fair-society-healthy-lives-exec-summary-pdf.pdf</w:t>
      </w:r>
      <w:r>
        <w:rPr>
          <w:rFonts w:ascii="Times New Roman" w:cs="Times New Roman" w:hAnsi="Times New Roman" w:eastAsia="Times New Roman"/>
          <w:sz w:val="24"/>
          <w:szCs w:val="24"/>
          <w:shd w:val="clear" w:color="auto" w:fill="fefefe"/>
        </w:rPr>
        <w:fldChar w:fldCharType="end" w:fldLock="0"/>
      </w:r>
      <w:r>
        <w:rPr>
          <w:rFonts w:ascii="Times New Roman" w:hAnsi="Times New Roman"/>
          <w:sz w:val="24"/>
          <w:szCs w:val="24"/>
          <w:shd w:val="clear" w:color="auto" w:fill="fefefe"/>
          <w:rtl w:val="0"/>
          <w:lang w:val="en-US"/>
        </w:rPr>
        <w:t xml:space="preserve"> (Accessed: 08th June 2020).</w:t>
      </w:r>
    </w:p>
    <w:p>
      <w:pPr>
        <w:pStyle w:val="Default"/>
        <w:bidi w:val="0"/>
        <w:spacing w:line="280" w:lineRule="atLeast"/>
        <w:ind w:left="0" w:right="0" w:firstLine="0"/>
        <w:jc w:val="left"/>
        <w:rPr>
          <w:rFonts w:ascii="Times New Roman" w:cs="Times New Roman" w:hAnsi="Times New Roman" w:eastAsia="Times New Roman"/>
          <w:outline w:val="0"/>
          <w:color w:val="444444"/>
          <w:sz w:val="24"/>
          <w:szCs w:val="24"/>
          <w:shd w:val="clear" w:color="auto" w:fill="fefefe"/>
          <w:rtl w:val="0"/>
          <w14:textOutline w14:w="0" w14:cap="flat">
            <w14:solidFill>
              <w14:srgbClr w14:val="444444"/>
            </w14:solidFill>
            <w14:prstDash w14:val="solid"/>
            <w14:miter w14:lim="400000"/>
          </w14:textOutline>
          <w14:textFill>
            <w14:solidFill>
              <w14:srgbClr w14:val="444444"/>
            </w14:solidFill>
          </w14:textFill>
        </w:rPr>
      </w:pPr>
    </w:p>
    <w:p>
      <w:pPr>
        <w:pStyle w:val="Default"/>
        <w:bidi w:val="0"/>
        <w:spacing w:line="280" w:lineRule="atLeast"/>
        <w:ind w:left="0" w:right="0" w:firstLine="0"/>
        <w:jc w:val="left"/>
        <w:rPr>
          <w:rFonts w:ascii="Times New Roman" w:cs="Times New Roman" w:hAnsi="Times New Roman" w:eastAsia="Times New Roman"/>
          <w:outline w:val="0"/>
          <w:color w:val="444444"/>
          <w:sz w:val="24"/>
          <w:szCs w:val="24"/>
          <w:shd w:val="clear" w:color="auto" w:fill="fefefe"/>
          <w:rtl w:val="0"/>
          <w14:textOutline w14:w="0" w14:cap="flat">
            <w14:solidFill>
              <w14:srgbClr w14:val="444444"/>
            </w14:solidFill>
            <w14:prstDash w14:val="solid"/>
            <w14:miter w14:lim="400000"/>
          </w14:textOutline>
          <w14:textFill>
            <w14:solidFill>
              <w14:srgbClr w14:val="444444"/>
            </w14:solidFill>
          </w14:textFill>
        </w:rPr>
      </w:pPr>
    </w:p>
    <w:p>
      <w:pPr>
        <w:pStyle w:val="Default"/>
        <w:bidi w:val="0"/>
        <w:spacing w:line="280" w:lineRule="atLeast"/>
        <w:ind w:left="0" w:right="0" w:firstLine="0"/>
        <w:jc w:val="left"/>
        <w:rPr>
          <w:rFonts w:ascii="Times New Roman" w:cs="Times New Roman" w:hAnsi="Times New Roman" w:eastAsia="Times New Roman"/>
          <w:i w:val="1"/>
          <w:iCs w:val="1"/>
          <w:outline w:val="0"/>
          <w:color w:val="444444"/>
          <w:sz w:val="24"/>
          <w:szCs w:val="24"/>
          <w:shd w:val="clear" w:color="auto" w:fill="fefefe"/>
          <w:rtl w:val="0"/>
          <w14:textOutline w14:w="0" w14:cap="flat">
            <w14:solidFill>
              <w14:srgbClr w14:val="444444"/>
            </w14:solidFill>
            <w14:prstDash w14:val="solid"/>
            <w14:miter w14:lim="400000"/>
          </w14:textOutline>
          <w14:textFill>
            <w14:solidFill>
              <w14:srgbClr w14:val="444444"/>
            </w14:solidFill>
          </w14:textFill>
        </w:rPr>
      </w:pPr>
      <w:r>
        <w:rPr>
          <w:rFonts w:ascii="Times New Roman" w:hAnsi="Times New Roman"/>
          <w:outline w:val="0"/>
          <w:color w:val="444444"/>
          <w:sz w:val="24"/>
          <w:szCs w:val="24"/>
          <w:shd w:val="clear" w:color="auto" w:fill="fefefe"/>
          <w:rtl w:val="0"/>
          <w:lang w:val="en-US"/>
          <w14:textOutline w14:w="0" w14:cap="flat">
            <w14:solidFill>
              <w14:srgbClr w14:val="444444"/>
            </w14:solidFill>
            <w14:prstDash w14:val="solid"/>
            <w14:miter w14:lim="400000"/>
          </w14:textOutline>
          <w14:textFill>
            <w14:solidFill>
              <w14:srgbClr w14:val="444444"/>
            </w14:solidFill>
          </w14:textFill>
        </w:rPr>
        <w:t xml:space="preserve">Marmot, M (2020) </w:t>
      </w:r>
      <w:r>
        <w:rPr>
          <w:rFonts w:ascii="Times New Roman" w:hAnsi="Times New Roman"/>
          <w:i w:val="1"/>
          <w:iCs w:val="1"/>
          <w:outline w:val="0"/>
          <w:color w:val="444444"/>
          <w:sz w:val="24"/>
          <w:szCs w:val="24"/>
          <w:shd w:val="clear" w:color="auto" w:fill="fefefe"/>
          <w:rtl w:val="0"/>
          <w:lang w:val="en-US"/>
          <w14:textOutline w14:w="0" w14:cap="flat">
            <w14:solidFill>
              <w14:srgbClr w14:val="444444"/>
            </w14:solidFill>
            <w14:prstDash w14:val="solid"/>
            <w14:miter w14:lim="400000"/>
          </w14:textOutline>
          <w14:textFill>
            <w14:solidFill>
              <w14:srgbClr w14:val="444444"/>
            </w14:solidFill>
          </w14:textFill>
        </w:rPr>
        <w:t>Health Equity in England: The Marmot Review 10 Years on. London: The Marmot Review 10 Years on. Available at:</w:t>
      </w:r>
    </w:p>
    <w:p>
      <w:pPr>
        <w:pStyle w:val="Body"/>
        <w:rPr>
          <w:rFonts w:ascii="Times New Roman" w:cs="Times New Roman" w:hAnsi="Times New Roman" w:eastAsia="Times New Roman"/>
          <w:sz w:val="24"/>
          <w:szCs w:val="24"/>
          <w:shd w:val="clear" w:color="auto" w:fill="fefefe"/>
        </w:rPr>
      </w:pPr>
      <w:r>
        <w:rPr>
          <w:rStyle w:val="Hyperlink.0"/>
          <w:rFonts w:ascii="Times New Roman" w:cs="Times New Roman" w:hAnsi="Times New Roman" w:eastAsia="Times New Roman"/>
          <w:sz w:val="24"/>
          <w:szCs w:val="24"/>
          <w:shd w:val="clear" w:color="auto" w:fill="fefefe"/>
        </w:rPr>
        <w:fldChar w:fldCharType="begin" w:fldLock="0"/>
      </w:r>
      <w:r>
        <w:rPr>
          <w:rStyle w:val="Hyperlink.0"/>
          <w:rFonts w:ascii="Times New Roman" w:cs="Times New Roman" w:hAnsi="Times New Roman" w:eastAsia="Times New Roman"/>
          <w:sz w:val="24"/>
          <w:szCs w:val="24"/>
          <w:shd w:val="clear" w:color="auto" w:fill="fefefe"/>
        </w:rPr>
        <w:instrText xml:space="preserve"> HYPERLINK "https://www.health.org.uk/sites/default/files/upload/publications/2020/Health%20Equity%20in%20England_The%20Marmot%20Review%2010%20Years%20On_full%20report.pdf"</w:instrText>
      </w:r>
      <w:r>
        <w:rPr>
          <w:rStyle w:val="Hyperlink.0"/>
          <w:rFonts w:ascii="Times New Roman" w:cs="Times New Roman" w:hAnsi="Times New Roman" w:eastAsia="Times New Roman"/>
          <w:sz w:val="24"/>
          <w:szCs w:val="24"/>
          <w:shd w:val="clear" w:color="auto" w:fill="fefefe"/>
        </w:rPr>
        <w:fldChar w:fldCharType="separate" w:fldLock="0"/>
      </w:r>
      <w:r>
        <w:rPr>
          <w:rStyle w:val="Hyperlink.0"/>
          <w:rFonts w:ascii="Times New Roman" w:hAnsi="Times New Roman"/>
          <w:sz w:val="24"/>
          <w:szCs w:val="24"/>
          <w:shd w:val="clear" w:color="auto" w:fill="fefefe"/>
          <w:rtl w:val="0"/>
          <w:lang w:val="en-US"/>
        </w:rPr>
        <w:t>https://www.health.org.uk/sites/default/files/upload/publications/2020/Health%20Equity%20in%20England_The%20Marmot%20Review%2010%20Years%20On_full%20report.pdf</w:t>
      </w:r>
      <w:r>
        <w:rPr>
          <w:rFonts w:ascii="Times New Roman" w:cs="Times New Roman" w:hAnsi="Times New Roman" w:eastAsia="Times New Roman"/>
          <w:sz w:val="24"/>
          <w:szCs w:val="24"/>
          <w:shd w:val="clear" w:color="auto" w:fill="fefefe"/>
        </w:rPr>
        <w:fldChar w:fldCharType="end" w:fldLock="0"/>
      </w:r>
      <w:r>
        <w:rPr>
          <w:rFonts w:ascii="Times New Roman" w:hAnsi="Times New Roman"/>
          <w:sz w:val="24"/>
          <w:szCs w:val="24"/>
          <w:shd w:val="clear" w:color="auto" w:fill="fefefe"/>
          <w:rtl w:val="0"/>
          <w:lang w:val="en-US"/>
        </w:rPr>
        <w:t>(</w:t>
      </w:r>
      <w:r>
        <w:rPr>
          <w:rFonts w:ascii="Times New Roman" w:hAnsi="Times New Roman"/>
          <w:sz w:val="24"/>
          <w:szCs w:val="24"/>
          <w:shd w:val="clear" w:color="auto" w:fill="fefefe"/>
          <w:rtl w:val="0"/>
          <w:lang w:val="en-US"/>
        </w:rPr>
        <w:t>Accessed: 08th June 2020).</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efefe"/>
          <w:rtl w:val="0"/>
          <w14:textOutline w14:w="0" w14:cap="flat">
            <w14:solidFill>
              <w14:srgbClr w14:val="000000"/>
            </w14:solidFill>
            <w14:prstDash w14:val="solid"/>
            <w14:miter w14:lim="400000"/>
          </w14:textOutline>
        </w:rPr>
      </w:pPr>
      <w:r>
        <w:rPr>
          <w:rFonts w:ascii="Times New Roman" w:hAnsi="Times New Roman"/>
          <w:sz w:val="24"/>
          <w:szCs w:val="24"/>
          <w:shd w:val="clear" w:color="auto" w:fill="fefefe"/>
          <w:rtl w:val="0"/>
          <w:lang w:val="en-US"/>
          <w14:textOutline w14:w="0" w14:cap="flat">
            <w14:solidFill>
              <w14:srgbClr w14:val="000000"/>
            </w14:solidFill>
            <w14:prstDash w14:val="solid"/>
            <w14:miter w14:lim="400000"/>
          </w14:textOutline>
        </w:rPr>
        <w:t xml:space="preserve">Melhuish, E. (2004) </w:t>
      </w:r>
      <w:r>
        <w:rPr>
          <w:rFonts w:ascii="Times New Roman" w:hAnsi="Times New Roman"/>
          <w:i w:val="1"/>
          <w:iCs w:val="1"/>
          <w:sz w:val="24"/>
          <w:szCs w:val="24"/>
          <w:shd w:val="clear" w:color="auto" w:fill="fefefe"/>
          <w:rtl w:val="0"/>
          <w:lang w:val="en-US"/>
          <w14:textOutline w14:w="0" w14:cap="flat">
            <w14:solidFill>
              <w14:srgbClr w14:val="000000"/>
            </w14:solidFill>
            <w14:prstDash w14:val="solid"/>
            <w14:miter w14:lim="400000"/>
          </w14:textOutline>
        </w:rPr>
        <w:t>A Literature Review of the Impact of Early Years Provision on Young Children, with Emphasis given to Children from Disadvantaged Backgrounds</w:t>
      </w:r>
      <w:r>
        <w:rPr>
          <w:rFonts w:ascii="Times New Roman" w:hAnsi="Times New Roman"/>
          <w:i w:val="1"/>
          <w:iCs w:val="1"/>
          <w:sz w:val="24"/>
          <w:szCs w:val="24"/>
          <w:shd w:val="clear" w:color="auto" w:fill="fefefe"/>
          <w:rtl w:val="0"/>
          <w:lang w:val="en-US"/>
          <w14:textOutline w14:w="0" w14:cap="flat">
            <w14:solidFill>
              <w14:srgbClr w14:val="000000"/>
            </w14:solidFill>
            <w14:prstDash w14:val="solid"/>
            <w14:miter w14:lim="400000"/>
          </w14:textOutline>
        </w:rPr>
        <w:t>.</w:t>
      </w:r>
      <w:r>
        <w:rPr>
          <w:rFonts w:ascii="Times New Roman" w:hAnsi="Times New Roman"/>
          <w:sz w:val="24"/>
          <w:szCs w:val="24"/>
          <w:shd w:val="clear" w:color="auto" w:fill="fefefe"/>
          <w:rtl w:val="0"/>
          <w:lang w:val="en-US"/>
          <w14:textOutline w14:w="0" w14:cap="flat">
            <w14:solidFill>
              <w14:srgbClr w14:val="000000"/>
            </w14:solidFill>
            <w14:prstDash w14:val="solid"/>
            <w14:miter w14:lim="400000"/>
          </w14:textOutline>
        </w:rPr>
        <w:t xml:space="preserve"> National Audit Office</w:t>
      </w:r>
      <w:r>
        <w:rPr>
          <w:rFonts w:ascii="Times New Roman" w:hAnsi="Times New Roman"/>
          <w:sz w:val="24"/>
          <w:szCs w:val="24"/>
          <w:shd w:val="clear" w:color="auto" w:fill="fefefe"/>
          <w:rtl w:val="0"/>
          <w:lang w:val="en-US"/>
          <w14:textOutline w14:w="0" w14:cap="flat">
            <w14:solidFill>
              <w14:srgbClr w14:val="000000"/>
            </w14:solidFill>
            <w14:prstDash w14:val="solid"/>
            <w14:miter w14:lim="400000"/>
          </w14:textOutline>
        </w:rPr>
        <w:t>.</w:t>
      </w: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efefe"/>
          <w:rtl w:val="0"/>
          <w14:textOutline w14:w="0" w14:cap="flat">
            <w14:solidFill>
              <w14:srgbClr w14:val="000000"/>
            </w14:solidFill>
            <w14:prstDash w14:val="solid"/>
            <w14:miter w14:lim="400000"/>
          </w14:textOutlin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Moats, L. C (2014)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What teachers don</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t know and why they aren</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t learning it: Addressing the need for content and pedagogy in teacher education</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Australian Journal of Learning Difficulties</w:t>
      </w:r>
      <w:r>
        <w:rPr>
          <w:rFonts w:ascii="Times New Roman" w:hAnsi="Times New Roman"/>
          <w:sz w:val="24"/>
          <w:szCs w:val="24"/>
          <w:shd w:val="clear" w:color="auto" w:fill="fefefe"/>
          <w:rtl w:val="0"/>
          <w:lang w:val="en-US"/>
        </w:rPr>
        <w:t>, 19 (2), pp. 75-91.</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Norling, K., &amp; Lillvist, A. (2016) 'Literacy-related play activities and preschool staff</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s strategies to support children</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s concept development</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World Journal of Education</w:t>
      </w:r>
      <w:r>
        <w:rPr>
          <w:rFonts w:ascii="Times New Roman" w:hAnsi="Times New Roman"/>
          <w:sz w:val="24"/>
          <w:szCs w:val="24"/>
          <w:shd w:val="clear" w:color="auto" w:fill="fefefe"/>
          <w:rtl w:val="0"/>
          <w:lang w:val="en-US"/>
        </w:rPr>
        <w:t>, 6 (5) , pp 49- 63.</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Pearson, S.,</w:t>
      </w:r>
      <w:r>
        <w:rPr>
          <w:rFonts w:ascii="Times New Roman" w:hAnsi="Times New Roman" w:hint="default"/>
          <w:sz w:val="24"/>
          <w:szCs w:val="24"/>
          <w:shd w:val="clear" w:color="auto" w:fill="fefefe"/>
          <w:rtl w:val="0"/>
          <w:lang w:val="en-US"/>
        </w:rPr>
        <w:t> </w:t>
      </w:r>
      <w:r>
        <w:rPr>
          <w:rFonts w:ascii="Times New Roman" w:hAnsi="Times New Roman"/>
          <w:sz w:val="24"/>
          <w:szCs w:val="24"/>
          <w:shd w:val="clear" w:color="auto" w:fill="fefefe"/>
          <w:rtl w:val="0"/>
          <w:lang w:val="en-US"/>
        </w:rPr>
        <w:t>Mitchell, R.</w:t>
      </w:r>
      <w:r>
        <w:rPr>
          <w:rFonts w:ascii="Times New Roman" w:hAnsi="Times New Roman" w:hint="default"/>
          <w:sz w:val="24"/>
          <w:szCs w:val="24"/>
          <w:shd w:val="clear" w:color="auto" w:fill="fefefe"/>
          <w:rtl w:val="0"/>
          <w:lang w:val="en-US"/>
        </w:rPr>
        <w:t> </w:t>
      </w:r>
      <w:r>
        <w:rPr>
          <w:rFonts w:ascii="Times New Roman" w:hAnsi="Times New Roman"/>
          <w:sz w:val="24"/>
          <w:szCs w:val="24"/>
          <w:shd w:val="clear" w:color="auto" w:fill="fefefe"/>
          <w:rtl w:val="0"/>
          <w:lang w:val="en-US"/>
        </w:rPr>
        <w:t>&amp; Rapti, M. (2015)</w:t>
      </w:r>
      <w:r>
        <w:rPr>
          <w:rFonts w:ascii="Times New Roman" w:hAnsi="Times New Roman" w:hint="default"/>
          <w:sz w:val="24"/>
          <w:szCs w:val="24"/>
          <w:shd w:val="clear" w:color="auto" w:fill="fefefe"/>
          <w:rtl w:val="0"/>
          <w:lang w:val="en-US"/>
        </w:rPr>
        <w:t> ‘</w:t>
      </w:r>
      <w:r>
        <w:rPr>
          <w:rFonts w:ascii="Times New Roman" w:hAnsi="Times New Roman"/>
          <w:sz w:val="24"/>
          <w:szCs w:val="24"/>
          <w:shd w:val="clear" w:color="auto" w:fill="fefefe"/>
          <w:rtl w:val="0"/>
          <w:lang w:val="en-US"/>
        </w:rPr>
        <w:t xml:space="preserve">I will be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fighting</w:t>
      </w:r>
      <w:r>
        <w:rPr>
          <w:rFonts w:ascii="Times New Roman" w:hAnsi="Times New Roman" w:hint="default"/>
          <w:sz w:val="24"/>
          <w:szCs w:val="24"/>
          <w:shd w:val="clear" w:color="auto" w:fill="fefefe"/>
          <w:rtl w:val="0"/>
          <w:lang w:val="en-US"/>
        </w:rPr>
        <w:t xml:space="preserve">” </w:t>
      </w:r>
      <w:r>
        <w:rPr>
          <w:rFonts w:ascii="Times New Roman" w:hAnsi="Times New Roman"/>
          <w:sz w:val="24"/>
          <w:szCs w:val="24"/>
          <w:shd w:val="clear" w:color="auto" w:fill="fefefe"/>
          <w:rtl w:val="0"/>
          <w:lang w:val="en-US"/>
        </w:rPr>
        <w:t>even more for pupils with SEN: SENCOs</w:t>
      </w:r>
      <w:r>
        <w:rPr>
          <w:rFonts w:ascii="Times New Roman" w:hAnsi="Times New Roman" w:hint="default"/>
          <w:sz w:val="24"/>
          <w:szCs w:val="24"/>
          <w:shd w:val="clear" w:color="auto" w:fill="fefefe"/>
          <w:rtl w:val="0"/>
          <w:lang w:val="en-US"/>
        </w:rPr>
        <w:t xml:space="preserve">’ </w:t>
      </w:r>
      <w:r>
        <w:rPr>
          <w:rFonts w:ascii="Times New Roman" w:hAnsi="Times New Roman"/>
          <w:sz w:val="24"/>
          <w:szCs w:val="24"/>
          <w:shd w:val="clear" w:color="auto" w:fill="fefefe"/>
          <w:rtl w:val="0"/>
          <w:lang w:val="en-US"/>
        </w:rPr>
        <w:t>role predications in the changing English policy context</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Journal of Research in Special Educational Needs,</w:t>
      </w:r>
      <w:r>
        <w:rPr>
          <w:rFonts w:ascii="Times New Roman" w:hAnsi="Times New Roman" w:hint="default"/>
          <w:sz w:val="24"/>
          <w:szCs w:val="24"/>
          <w:shd w:val="clear" w:color="auto" w:fill="fefefe"/>
          <w:rtl w:val="0"/>
          <w:lang w:val="en-US"/>
        </w:rPr>
        <w:t> </w:t>
      </w:r>
      <w:r>
        <w:rPr>
          <w:rFonts w:ascii="Times New Roman" w:hAnsi="Times New Roman"/>
          <w:sz w:val="24"/>
          <w:szCs w:val="24"/>
          <w:shd w:val="clear" w:color="auto" w:fill="fefefe"/>
          <w:rtl w:val="0"/>
          <w:lang w:val="en-US"/>
        </w:rPr>
        <w:t>15 (1),</w:t>
      </w:r>
      <w:r>
        <w:rPr>
          <w:rFonts w:ascii="Times New Roman" w:hAnsi="Times New Roman" w:hint="default"/>
          <w:sz w:val="24"/>
          <w:szCs w:val="24"/>
          <w:shd w:val="clear" w:color="auto" w:fill="fefefe"/>
          <w:rtl w:val="0"/>
          <w:lang w:val="en-US"/>
        </w:rPr>
        <w:t> </w:t>
      </w:r>
      <w:r>
        <w:rPr>
          <w:rFonts w:ascii="Times New Roman" w:hAnsi="Times New Roman"/>
          <w:sz w:val="24"/>
          <w:szCs w:val="24"/>
          <w:shd w:val="clear" w:color="auto" w:fill="fefefe"/>
          <w:rtl w:val="0"/>
          <w:lang w:val="en-US"/>
        </w:rPr>
        <w:t>pp. 48</w:t>
      </w:r>
      <w:r>
        <w:rPr>
          <w:rFonts w:ascii="Times New Roman" w:hAnsi="Times New Roman" w:hint="default"/>
          <w:sz w:val="24"/>
          <w:szCs w:val="24"/>
          <w:shd w:val="clear" w:color="auto" w:fill="fefefe"/>
          <w:rtl w:val="0"/>
          <w:lang w:val="en-US"/>
        </w:rPr>
        <w:t>– </w:t>
      </w:r>
      <w:r>
        <w:rPr>
          <w:rFonts w:ascii="Times New Roman" w:hAnsi="Times New Roman"/>
          <w:sz w:val="24"/>
          <w:szCs w:val="24"/>
          <w:shd w:val="clear" w:color="auto" w:fill="fefefe"/>
          <w:rtl w:val="0"/>
          <w:lang w:val="en-US"/>
        </w:rPr>
        <w:t>56.</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Pelatti, C. Y., Piasta, S. B., Justice, L. M &amp; O</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Connell, A. (2014).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Language- and literacy-learning opportunities in early childhood classrooms: Children</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s typical experiences and within-classroom variabiity</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Early Childhood Research Quarterly,</w:t>
      </w:r>
      <w:r>
        <w:rPr>
          <w:rFonts w:ascii="Times New Roman" w:hAnsi="Times New Roman"/>
          <w:sz w:val="24"/>
          <w:szCs w:val="24"/>
          <w:shd w:val="clear" w:color="auto" w:fill="fefefe"/>
          <w:rtl w:val="0"/>
          <w:lang w:val="en-US"/>
        </w:rPr>
        <w:t xml:space="preserve"> 29 (4), pp. 445-456.</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Piaget, J (1972) Science of Education and the Psychology of the Child, p 137.</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Pickstone, C, Golbart, J., Marshall, J., Rees. A and Roulstone, S (2009)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A systematic review of environmental interventions to improve child language outcomes for children with or at risk of primary language impairment</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Journal or Research in Special Educational Needs</w:t>
      </w:r>
      <w:r>
        <w:rPr>
          <w:rFonts w:ascii="Times New Roman" w:hAnsi="Times New Roman"/>
          <w:sz w:val="24"/>
          <w:szCs w:val="24"/>
          <w:shd w:val="clear" w:color="auto" w:fill="fefefe"/>
          <w:rtl w:val="0"/>
          <w:lang w:val="en-US"/>
        </w:rPr>
        <w:t>, 9, pp 66-79.</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Roberts, M and Kaiser, A (2011) 'The Effectiveness of Parent-Implemented Language Interventions:A Meta-Analysis</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American Journal of Speech-Language Pathology</w:t>
      </w:r>
      <w:r>
        <w:rPr>
          <w:rFonts w:ascii="Times New Roman" w:hAnsi="Times New Roman"/>
          <w:sz w:val="24"/>
          <w:szCs w:val="24"/>
          <w:shd w:val="clear" w:color="auto" w:fill="fefefe"/>
          <w:rtl w:val="0"/>
          <w:lang w:val="en-US"/>
        </w:rPr>
        <w:t>, 20(3), pp. 180-199.</w:t>
      </w:r>
    </w:p>
    <w:p>
      <w:pPr>
        <w:pStyle w:val="Body"/>
        <w:rPr>
          <w:rFonts w:ascii="Times New Roman" w:cs="Times New Roman" w:hAnsi="Times New Roman" w:eastAsia="Times New Roman"/>
          <w:sz w:val="24"/>
          <w:szCs w:val="24"/>
          <w:shd w:val="clear" w:color="auto" w:fill="fefefe"/>
        </w:rPr>
      </w:pPr>
    </w:p>
    <w:p>
      <w:pPr>
        <w:pStyle w:val="Default"/>
        <w:bidi w:val="0"/>
        <w:spacing w:after="240" w:line="260" w:lineRule="atLeast"/>
        <w:ind w:left="0" w:right="0" w:firstLine="0"/>
        <w:jc w:val="left"/>
        <w:rPr>
          <w:rFonts w:ascii="Times New Roman" w:cs="Times New Roman" w:hAnsi="Times New Roman" w:eastAsia="Times New Roman"/>
          <w:sz w:val="24"/>
          <w:szCs w:val="24"/>
          <w:shd w:val="clear" w:color="auto" w:fill="fefefe"/>
          <w:rtl w:val="0"/>
        </w:rPr>
      </w:pPr>
      <w:r>
        <w:rPr>
          <w:rFonts w:ascii="Times New Roman" w:hAnsi="Times New Roman"/>
          <w:sz w:val="24"/>
          <w:szCs w:val="24"/>
          <w:shd w:val="clear" w:color="auto" w:fill="fefefe"/>
          <w:rtl w:val="0"/>
          <w:lang w:val="en-US"/>
        </w:rPr>
        <w:t xml:space="preserve">Rowe, M. L. (2012).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A longitudinal investigation of the role of quantity and quality of child-directed speech in vocabulary development</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Child Development</w:t>
      </w:r>
      <w:r>
        <w:rPr>
          <w:rFonts w:ascii="Times New Roman" w:hAnsi="Times New Roman"/>
          <w:sz w:val="24"/>
          <w:szCs w:val="24"/>
          <w:shd w:val="clear" w:color="auto" w:fill="fefefe"/>
          <w:rtl w:val="0"/>
          <w:lang w:val="en-US"/>
        </w:rPr>
        <w:t>, 83, pp .1762</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74.</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Saracho, O.N., &amp; Spodek, B (2007)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Oracy: Social facets of language leaning</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E</w:t>
      </w:r>
      <w:r>
        <w:rPr>
          <w:rFonts w:ascii="Times New Roman" w:hAnsi="Times New Roman"/>
          <w:i w:val="1"/>
          <w:iCs w:val="1"/>
          <w:sz w:val="24"/>
          <w:szCs w:val="24"/>
          <w:shd w:val="clear" w:color="auto" w:fill="fefefe"/>
          <w:rtl w:val="0"/>
          <w:lang w:val="en-US"/>
        </w:rPr>
        <w:t>arly Child Development and Care</w:t>
      </w:r>
      <w:r>
        <w:rPr>
          <w:rFonts w:ascii="Times New Roman" w:hAnsi="Times New Roman"/>
          <w:sz w:val="24"/>
          <w:szCs w:val="24"/>
          <w:shd w:val="clear" w:color="auto" w:fill="fefefe"/>
          <w:rtl w:val="0"/>
          <w:lang w:val="en-US"/>
        </w:rPr>
        <w:t>, 177 (6&amp;7), pp. 695-705.</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Seager, E., &amp; Abbot-Smith, K (2017)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Can early years professionals determine which preschoolers have comprehension delays? A comparison of two screening tools', C</w:t>
      </w:r>
      <w:r>
        <w:rPr>
          <w:rFonts w:ascii="Times New Roman" w:hAnsi="Times New Roman"/>
          <w:i w:val="1"/>
          <w:iCs w:val="1"/>
          <w:sz w:val="24"/>
          <w:szCs w:val="24"/>
          <w:shd w:val="clear" w:color="auto" w:fill="fefefe"/>
          <w:rtl w:val="0"/>
          <w:lang w:val="en-US"/>
        </w:rPr>
        <w:t>hild Language Teaching and Therapy</w:t>
      </w:r>
      <w:r>
        <w:rPr>
          <w:rFonts w:ascii="Times New Roman" w:hAnsi="Times New Roman"/>
          <w:sz w:val="24"/>
          <w:szCs w:val="24"/>
          <w:shd w:val="clear" w:color="auto" w:fill="fefefe"/>
          <w:rtl w:val="0"/>
          <w:lang w:val="en-US"/>
        </w:rPr>
        <w:t>, 33(1), pp. 67-79.</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Skar, A. S., Sherr, L., Clucas, C and von Tetschner, S (2014)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Evaluation of follow-up effects of the International child development programme on caregivers in Mozambique</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Infant and Young Children</w:t>
      </w:r>
      <w:r>
        <w:rPr>
          <w:rFonts w:ascii="Times New Roman" w:hAnsi="Times New Roman"/>
          <w:sz w:val="24"/>
          <w:szCs w:val="24"/>
          <w:shd w:val="clear" w:color="auto" w:fill="fefefe"/>
          <w:rtl w:val="0"/>
          <w:lang w:val="en-US"/>
        </w:rPr>
        <w:t>, 27, pp. 120-35.</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Stewart, E.M(2019)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Reducing Ambiguity: Tools to Define and Communicate Paraprofessional Roles and Responsibilities</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Intervention in School &amp; Clinic</w:t>
      </w:r>
      <w:r>
        <w:rPr>
          <w:rFonts w:ascii="Times New Roman" w:hAnsi="Times New Roman"/>
          <w:sz w:val="24"/>
          <w:szCs w:val="24"/>
          <w:shd w:val="clear" w:color="auto" w:fill="fefefe"/>
          <w:rtl w:val="0"/>
          <w:lang w:val="en-US"/>
        </w:rPr>
        <w:t>, 55 (1), pp. 52-57.</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Vygotsky , L.S (1962) Thought and Language. London: Hodder &amp; Stoughton.</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Waldfogel J (2004) </w:t>
      </w:r>
      <w:r>
        <w:rPr>
          <w:rFonts w:ascii="Times New Roman" w:hAnsi="Times New Roman"/>
          <w:i w:val="1"/>
          <w:iCs w:val="1"/>
          <w:sz w:val="24"/>
          <w:szCs w:val="24"/>
          <w:shd w:val="clear" w:color="auto" w:fill="fefefe"/>
          <w:rtl w:val="0"/>
          <w:lang w:val="en-US"/>
        </w:rPr>
        <w:t>Social mobility, life chances, and the early years,</w:t>
      </w:r>
      <w:r>
        <w:rPr>
          <w:rFonts w:ascii="Times New Roman" w:hAnsi="Times New Roman"/>
          <w:sz w:val="24"/>
          <w:szCs w:val="24"/>
          <w:shd w:val="clear" w:color="auto" w:fill="fefefe"/>
          <w:rtl w:val="0"/>
          <w:lang w:val="en-US"/>
        </w:rPr>
        <w:t xml:space="preserve"> CASE Paper 88, London: London School of Economics. Available at:</w:t>
      </w:r>
    </w:p>
    <w:p>
      <w:pPr>
        <w:pStyle w:val="Body"/>
        <w:rPr>
          <w:rFonts w:ascii="Times New Roman" w:cs="Times New Roman" w:hAnsi="Times New Roman" w:eastAsia="Times New Roman"/>
          <w:sz w:val="24"/>
          <w:szCs w:val="24"/>
          <w:shd w:val="clear" w:color="auto" w:fill="fefefe"/>
        </w:rPr>
      </w:pPr>
      <w:r>
        <w:rPr>
          <w:rStyle w:val="Hyperlink.0"/>
          <w:rFonts w:ascii="Times New Roman" w:cs="Times New Roman" w:hAnsi="Times New Roman" w:eastAsia="Times New Roman"/>
          <w:sz w:val="24"/>
          <w:szCs w:val="24"/>
          <w:shd w:val="clear" w:color="auto" w:fill="fefefe"/>
        </w:rPr>
        <w:fldChar w:fldCharType="begin" w:fldLock="0"/>
      </w:r>
      <w:r>
        <w:rPr>
          <w:rStyle w:val="Hyperlink.0"/>
          <w:rFonts w:ascii="Times New Roman" w:cs="Times New Roman" w:hAnsi="Times New Roman" w:eastAsia="Times New Roman"/>
          <w:sz w:val="24"/>
          <w:szCs w:val="24"/>
          <w:shd w:val="clear" w:color="auto" w:fill="fefefe"/>
        </w:rPr>
        <w:instrText xml:space="preserve"> HYPERLINK "http://eprints.lse.ac.uk/6302/1/Social_Mobility%2C_Life_Chances%2C_and_the_Early_Years.pdf"</w:instrText>
      </w:r>
      <w:r>
        <w:rPr>
          <w:rStyle w:val="Hyperlink.0"/>
          <w:rFonts w:ascii="Times New Roman" w:cs="Times New Roman" w:hAnsi="Times New Roman" w:eastAsia="Times New Roman"/>
          <w:sz w:val="24"/>
          <w:szCs w:val="24"/>
          <w:shd w:val="clear" w:color="auto" w:fill="fefefe"/>
        </w:rPr>
        <w:fldChar w:fldCharType="separate" w:fldLock="0"/>
      </w:r>
      <w:r>
        <w:rPr>
          <w:rStyle w:val="Hyperlink.0"/>
          <w:rFonts w:ascii="Times New Roman" w:hAnsi="Times New Roman"/>
          <w:sz w:val="24"/>
          <w:szCs w:val="24"/>
          <w:shd w:val="clear" w:color="auto" w:fill="fefefe"/>
          <w:rtl w:val="0"/>
          <w:lang w:val="en-US"/>
        </w:rPr>
        <w:t>http://eprints.lse.ac.uk/6302/1/Social_Mobility%2C_Life_Chances%2C_and_the_Early_Years.pdf</w:t>
      </w:r>
      <w:r>
        <w:rPr>
          <w:rFonts w:ascii="Times New Roman" w:cs="Times New Roman" w:hAnsi="Times New Roman" w:eastAsia="Times New Roman"/>
          <w:sz w:val="24"/>
          <w:szCs w:val="24"/>
          <w:shd w:val="clear" w:color="auto" w:fill="fefefe"/>
        </w:rPr>
        <w:fldChar w:fldCharType="end" w:fldLock="0"/>
      </w:r>
      <w:r>
        <w:rPr>
          <w:rFonts w:ascii="Times New Roman" w:hAnsi="Times New Roman"/>
          <w:sz w:val="24"/>
          <w:szCs w:val="24"/>
          <w:shd w:val="clear" w:color="auto" w:fill="fefefe"/>
          <w:rtl w:val="0"/>
          <w:lang w:val="en-US"/>
        </w:rPr>
        <w:t xml:space="preserve"> (Accessed: 08th June 2020).</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Ware, J (2019) 'Autonomy, rights and children with special educational needs: the distinctiveness of Wales</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International Journal of Inclusive Education,</w:t>
      </w:r>
      <w:r>
        <w:rPr>
          <w:rFonts w:ascii="Times New Roman" w:hAnsi="Times New Roman"/>
          <w:sz w:val="24"/>
          <w:szCs w:val="24"/>
          <w:shd w:val="clear" w:color="auto" w:fill="fefefe"/>
          <w:rtl w:val="0"/>
          <w:lang w:val="en-US"/>
        </w:rPr>
        <w:t xml:space="preserve"> 23(5), pp. 507-518.</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Washburn, E. K., Joshi, R. M., &amp; Binks-Cantrell, E. S. (2011)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Teacher knowledge of basic concepts and dyslexia</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Dyslexia, 12 (2), pp. 165-183.</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Webster, R. &amp; Blatchford, P. (2013)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The educational experiences of pupils with a statement for special educational needs in mainstream primary schools: results from a systematic observation study</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European Journal of Special Needs Education</w:t>
      </w:r>
      <w:r>
        <w:rPr>
          <w:rFonts w:ascii="Times New Roman" w:hAnsi="Times New Roman"/>
          <w:sz w:val="24"/>
          <w:szCs w:val="24"/>
          <w:shd w:val="clear" w:color="auto" w:fill="fefefe"/>
          <w:rtl w:val="0"/>
          <w:lang w:val="en-US"/>
        </w:rPr>
        <w:t>, 28(4), pp. 463</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479.</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Welsh Government </w:t>
      </w:r>
      <w:r>
        <w:rPr>
          <w:rFonts w:ascii="Times New Roman" w:hAnsi="Times New Roman"/>
          <w:sz w:val="24"/>
          <w:szCs w:val="24"/>
          <w:shd w:val="clear" w:color="auto" w:fill="fefefe"/>
          <w:rtl w:val="0"/>
        </w:rPr>
        <w:t>(2013)</w:t>
      </w:r>
      <w:r>
        <w:rPr>
          <w:rFonts w:ascii="Times New Roman" w:hAnsi="Times New Roman"/>
          <w:sz w:val="24"/>
          <w:szCs w:val="24"/>
          <w:shd w:val="clear" w:color="auto" w:fill="fefefe"/>
          <w:rtl w:val="0"/>
          <w:lang w:val="en-US"/>
        </w:rPr>
        <w:t xml:space="preserve"> Social Research National Evaluation of Flying Start: Impact Report. Available at: </w:t>
      </w:r>
      <w:r>
        <w:rPr>
          <w:rStyle w:val="Hyperlink.1"/>
          <w:rFonts w:ascii="Times New Roman" w:cs="Times New Roman" w:hAnsi="Times New Roman" w:eastAsia="Times New Roman"/>
          <w:sz w:val="24"/>
          <w:szCs w:val="24"/>
          <w:shd w:val="clear" w:color="auto" w:fill="fefefe"/>
        </w:rPr>
        <w:fldChar w:fldCharType="begin" w:fldLock="0"/>
      </w:r>
      <w:r>
        <w:rPr>
          <w:rStyle w:val="Hyperlink.1"/>
          <w:rFonts w:ascii="Times New Roman" w:cs="Times New Roman" w:hAnsi="Times New Roman" w:eastAsia="Times New Roman"/>
          <w:sz w:val="24"/>
          <w:szCs w:val="24"/>
          <w:shd w:val="clear" w:color="auto" w:fill="fefefe"/>
        </w:rPr>
        <w:instrText xml:space="preserve"> HYPERLINK "https://gov.wales/national-evaluation-flying-start-impact-report"</w:instrText>
      </w:r>
      <w:r>
        <w:rPr>
          <w:rStyle w:val="Hyperlink.1"/>
          <w:rFonts w:ascii="Times New Roman" w:cs="Times New Roman" w:hAnsi="Times New Roman" w:eastAsia="Times New Roman"/>
          <w:sz w:val="24"/>
          <w:szCs w:val="24"/>
          <w:shd w:val="clear" w:color="auto" w:fill="fefefe"/>
        </w:rPr>
        <w:fldChar w:fldCharType="separate" w:fldLock="0"/>
      </w:r>
      <w:r>
        <w:rPr>
          <w:rStyle w:val="Hyperlink.1"/>
          <w:rFonts w:ascii="Times New Roman" w:hAnsi="Times New Roman"/>
          <w:sz w:val="24"/>
          <w:szCs w:val="24"/>
          <w:shd w:val="clear" w:color="auto" w:fill="fefefe"/>
          <w:rtl w:val="0"/>
          <w:lang w:val="en-US"/>
        </w:rPr>
        <w:t>https://gov.wales/national-evaluation-flying-start-impact-report</w:t>
      </w:r>
      <w:r>
        <w:rPr>
          <w:rFonts w:ascii="Times New Roman" w:cs="Times New Roman" w:hAnsi="Times New Roman" w:eastAsia="Times New Roman"/>
          <w:sz w:val="24"/>
          <w:szCs w:val="24"/>
          <w:shd w:val="clear" w:color="auto" w:fill="fefefe"/>
        </w:rPr>
        <w:fldChar w:fldCharType="end" w:fldLock="0"/>
      </w:r>
      <w:r>
        <w:rPr>
          <w:rFonts w:ascii="Times New Roman" w:hAnsi="Times New Roman"/>
          <w:sz w:val="24"/>
          <w:szCs w:val="24"/>
          <w:shd w:val="clear" w:color="auto" w:fill="fefefe"/>
          <w:rtl w:val="0"/>
          <w:lang w:val="en-US"/>
        </w:rPr>
        <w:t xml:space="preserve"> </w:t>
      </w:r>
      <w:r>
        <w:rPr>
          <w:rFonts w:ascii="Times New Roman" w:hAnsi="Times New Roman"/>
          <w:sz w:val="24"/>
          <w:szCs w:val="24"/>
          <w:shd w:val="clear" w:color="auto" w:fill="fefefe"/>
          <w:rtl w:val="0"/>
          <w:lang w:val="en-US"/>
        </w:rPr>
        <w:t>(Accessed: 08th June 2020)</w:t>
      </w:r>
      <w:r>
        <w:rPr>
          <w:rFonts w:ascii="Times New Roman" w:hAnsi="Times New Roman"/>
          <w:sz w:val="24"/>
          <w:szCs w:val="24"/>
          <w:shd w:val="clear" w:color="auto" w:fill="fefefe"/>
          <w:rtl w:val="0"/>
          <w:lang w:val="en-US"/>
        </w:rPr>
        <w:t>.</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Welsh Government</w:t>
      </w:r>
      <w:r>
        <w:rPr>
          <w:rFonts w:ascii="Times New Roman" w:hAnsi="Times New Roman"/>
          <w:sz w:val="24"/>
          <w:szCs w:val="24"/>
          <w:shd w:val="clear" w:color="auto" w:fill="fefefe"/>
          <w:rtl w:val="0"/>
          <w:lang w:val="en-US"/>
        </w:rPr>
        <w:t xml:space="preserve"> (2014) Flying Start- Annex Quality Childcare Guidance. </w:t>
      </w:r>
      <w:r>
        <w:rPr>
          <w:rFonts w:ascii="Times New Roman" w:hAnsi="Times New Roman"/>
          <w:sz w:val="24"/>
          <w:szCs w:val="24"/>
          <w:shd w:val="clear" w:color="auto" w:fill="fefefe"/>
          <w:rtl w:val="0"/>
          <w:lang w:val="en-US"/>
        </w:rPr>
        <w:t>Available at:</w:t>
      </w:r>
    </w:p>
    <w:p>
      <w:pPr>
        <w:pStyle w:val="Body"/>
        <w:rPr>
          <w:rFonts w:ascii="Times New Roman" w:cs="Times New Roman" w:hAnsi="Times New Roman" w:eastAsia="Times New Roman"/>
          <w:sz w:val="24"/>
          <w:szCs w:val="24"/>
          <w:shd w:val="clear" w:color="auto" w:fill="fefefe"/>
        </w:rPr>
      </w:pPr>
      <w:r>
        <w:rPr>
          <w:rStyle w:val="Hyperlink.1"/>
          <w:rFonts w:ascii="Times New Roman" w:cs="Times New Roman" w:hAnsi="Times New Roman" w:eastAsia="Times New Roman"/>
          <w:sz w:val="24"/>
          <w:szCs w:val="24"/>
          <w:shd w:val="clear" w:color="auto" w:fill="fefefe"/>
        </w:rPr>
        <w:fldChar w:fldCharType="begin" w:fldLock="0"/>
      </w:r>
      <w:r>
        <w:rPr>
          <w:rStyle w:val="Hyperlink.1"/>
          <w:rFonts w:ascii="Times New Roman" w:cs="Times New Roman" w:hAnsi="Times New Roman" w:eastAsia="Times New Roman"/>
          <w:sz w:val="24"/>
          <w:szCs w:val="24"/>
          <w:shd w:val="clear" w:color="auto" w:fill="fefefe"/>
        </w:rPr>
        <w:instrText xml:space="preserve"> HYPERLINK "https://gov.wales/sites/default/files/publications/2019-07/flying-start-childcare-guidance.pdf"</w:instrText>
      </w:r>
      <w:r>
        <w:rPr>
          <w:rStyle w:val="Hyperlink.1"/>
          <w:rFonts w:ascii="Times New Roman" w:cs="Times New Roman" w:hAnsi="Times New Roman" w:eastAsia="Times New Roman"/>
          <w:sz w:val="24"/>
          <w:szCs w:val="24"/>
          <w:shd w:val="clear" w:color="auto" w:fill="fefefe"/>
        </w:rPr>
        <w:fldChar w:fldCharType="separate" w:fldLock="0"/>
      </w:r>
      <w:r>
        <w:rPr>
          <w:rStyle w:val="Hyperlink.1"/>
          <w:rFonts w:ascii="Times New Roman" w:hAnsi="Times New Roman"/>
          <w:sz w:val="24"/>
          <w:szCs w:val="24"/>
          <w:shd w:val="clear" w:color="auto" w:fill="fefefe"/>
          <w:rtl w:val="0"/>
          <w:lang w:val="en-US"/>
        </w:rPr>
        <w:t>https://gov.wales/sites/default/files/publications/2019-07/flying-start-childcare-guidance.pdf</w:t>
      </w:r>
      <w:r>
        <w:rPr>
          <w:rFonts w:ascii="Times New Roman" w:cs="Times New Roman" w:hAnsi="Times New Roman" w:eastAsia="Times New Roman"/>
          <w:sz w:val="24"/>
          <w:szCs w:val="24"/>
          <w:shd w:val="clear" w:color="auto" w:fill="fefefe"/>
        </w:rPr>
        <w:fldChar w:fldCharType="end" w:fldLock="0"/>
      </w:r>
      <w:r>
        <w:rPr>
          <w:rFonts w:ascii="Times New Roman" w:hAnsi="Times New Roman"/>
          <w:sz w:val="24"/>
          <w:szCs w:val="24"/>
          <w:shd w:val="clear" w:color="auto" w:fill="fefefe"/>
          <w:rtl w:val="0"/>
          <w:lang w:val="en-US"/>
        </w:rPr>
        <w:t xml:space="preserve"> (Accessed: 08th June 2020).</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Welsh Government (2014a)  A review of research evidence on the effectiveness of different approaches to promoting early speech and language development Number 61/2014.Available at:</w:t>
      </w:r>
    </w:p>
    <w:p>
      <w:pPr>
        <w:pStyle w:val="Body"/>
        <w:rPr>
          <w:rFonts w:ascii="Times New Roman" w:cs="Times New Roman" w:hAnsi="Times New Roman" w:eastAsia="Times New Roman"/>
          <w:sz w:val="24"/>
          <w:szCs w:val="24"/>
          <w:shd w:val="clear" w:color="auto" w:fill="fefefe"/>
        </w:rPr>
      </w:pPr>
      <w:r>
        <w:rPr>
          <w:rStyle w:val="Hyperlink.0"/>
          <w:rFonts w:ascii="Times New Roman" w:cs="Times New Roman" w:hAnsi="Times New Roman" w:eastAsia="Times New Roman"/>
          <w:sz w:val="24"/>
          <w:szCs w:val="24"/>
          <w:shd w:val="clear" w:color="auto" w:fill="fefefe"/>
        </w:rPr>
        <w:fldChar w:fldCharType="begin" w:fldLock="0"/>
      </w:r>
      <w:r>
        <w:rPr>
          <w:rStyle w:val="Hyperlink.0"/>
          <w:rFonts w:ascii="Times New Roman" w:cs="Times New Roman" w:hAnsi="Times New Roman" w:eastAsia="Times New Roman"/>
          <w:sz w:val="24"/>
          <w:szCs w:val="24"/>
          <w:shd w:val="clear" w:color="auto" w:fill="fefefe"/>
        </w:rPr>
        <w:instrText xml:space="preserve"> HYPERLINK "https://gov.wales/sites/default/files/statistics-and-research/2019-07/140528-evidence-effectiveness-different-approaches-promoting-early-speech-language-development-en.pdf"</w:instrText>
      </w:r>
      <w:r>
        <w:rPr>
          <w:rStyle w:val="Hyperlink.0"/>
          <w:rFonts w:ascii="Times New Roman" w:cs="Times New Roman" w:hAnsi="Times New Roman" w:eastAsia="Times New Roman"/>
          <w:sz w:val="24"/>
          <w:szCs w:val="24"/>
          <w:shd w:val="clear" w:color="auto" w:fill="fefefe"/>
        </w:rPr>
        <w:fldChar w:fldCharType="separate" w:fldLock="0"/>
      </w:r>
      <w:r>
        <w:rPr>
          <w:rStyle w:val="Hyperlink.0"/>
          <w:rFonts w:ascii="Times New Roman" w:hAnsi="Times New Roman"/>
          <w:sz w:val="24"/>
          <w:szCs w:val="24"/>
          <w:shd w:val="clear" w:color="auto" w:fill="fefefe"/>
          <w:rtl w:val="0"/>
          <w:lang w:val="en-US"/>
        </w:rPr>
        <w:t>https://gov.wales/sites/default/files/statistics-and-research/2019-07/140528-evidence-effectiveness-different-approaches-promoting-early-speech-language-development-en.pdf</w:t>
      </w:r>
      <w:r>
        <w:rPr>
          <w:rFonts w:ascii="Times New Roman" w:cs="Times New Roman" w:hAnsi="Times New Roman" w:eastAsia="Times New Roman"/>
          <w:sz w:val="24"/>
          <w:szCs w:val="24"/>
          <w:shd w:val="clear" w:color="auto" w:fill="fefefe"/>
        </w:rPr>
        <w:fldChar w:fldCharType="end" w:fldLock="0"/>
      </w:r>
      <w:r>
        <w:rPr>
          <w:rFonts w:ascii="Times New Roman" w:hAnsi="Times New Roman"/>
          <w:sz w:val="24"/>
          <w:szCs w:val="24"/>
          <w:shd w:val="clear" w:color="auto" w:fill="fefefe"/>
          <w:rtl w:val="0"/>
          <w:lang w:val="en-US"/>
        </w:rPr>
        <w:t xml:space="preserve"> (Accessed: 08th June 2020).</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Well-being of Future Generations (Wales) Act 2015 Available at: </w:t>
      </w:r>
      <w:r>
        <w:rPr>
          <w:rStyle w:val="Hyperlink.1"/>
          <w:rFonts w:ascii="Times New Roman" w:cs="Times New Roman" w:hAnsi="Times New Roman" w:eastAsia="Times New Roman"/>
          <w:sz w:val="24"/>
          <w:szCs w:val="24"/>
          <w:shd w:val="clear" w:color="auto" w:fill="fefefe"/>
        </w:rPr>
        <w:fldChar w:fldCharType="begin" w:fldLock="0"/>
      </w:r>
      <w:r>
        <w:rPr>
          <w:rStyle w:val="Hyperlink.1"/>
          <w:rFonts w:ascii="Times New Roman" w:cs="Times New Roman" w:hAnsi="Times New Roman" w:eastAsia="Times New Roman"/>
          <w:sz w:val="24"/>
          <w:szCs w:val="24"/>
          <w:shd w:val="clear" w:color="auto" w:fill="fefefe"/>
        </w:rPr>
        <w:instrText xml:space="preserve"> HYPERLINK "https://futuregenerations.wales/wp-content/uploads/2017/01/WFGAct-English.pdf"</w:instrText>
      </w:r>
      <w:r>
        <w:rPr>
          <w:rStyle w:val="Hyperlink.1"/>
          <w:rFonts w:ascii="Times New Roman" w:cs="Times New Roman" w:hAnsi="Times New Roman" w:eastAsia="Times New Roman"/>
          <w:sz w:val="24"/>
          <w:szCs w:val="24"/>
          <w:shd w:val="clear" w:color="auto" w:fill="fefefe"/>
        </w:rPr>
        <w:fldChar w:fldCharType="separate" w:fldLock="0"/>
      </w:r>
      <w:r>
        <w:rPr>
          <w:rStyle w:val="Hyperlink.1"/>
          <w:rFonts w:ascii="Times New Roman" w:hAnsi="Times New Roman"/>
          <w:sz w:val="24"/>
          <w:szCs w:val="24"/>
          <w:shd w:val="clear" w:color="auto" w:fill="fefefe"/>
          <w:rtl w:val="0"/>
          <w:lang w:val="en-US"/>
        </w:rPr>
        <w:t>https://futuregenerations.wales/wp-content/uploads/2017/01/WFGAct-English.pdf</w:t>
      </w:r>
      <w:r>
        <w:rPr>
          <w:rFonts w:ascii="Times New Roman" w:cs="Times New Roman" w:hAnsi="Times New Roman" w:eastAsia="Times New Roman"/>
          <w:sz w:val="24"/>
          <w:szCs w:val="24"/>
          <w:shd w:val="clear" w:color="auto" w:fill="fefefe"/>
        </w:rPr>
        <w:fldChar w:fldCharType="end" w:fldLock="0"/>
      </w:r>
      <w:r>
        <w:rPr>
          <w:rFonts w:ascii="Times New Roman" w:hAnsi="Times New Roman"/>
          <w:sz w:val="24"/>
          <w:szCs w:val="24"/>
          <w:shd w:val="clear" w:color="auto" w:fill="fefefe"/>
          <w:rtl w:val="0"/>
          <w:lang w:val="en-US"/>
        </w:rPr>
        <w:t xml:space="preserve"> (Accessed: 08th June 2020)</w:t>
      </w:r>
      <w:r>
        <w:rPr>
          <w:rFonts w:ascii="Times New Roman" w:hAnsi="Times New Roman"/>
          <w:sz w:val="24"/>
          <w:szCs w:val="24"/>
          <w:shd w:val="clear" w:color="auto" w:fill="fefefe"/>
          <w:rtl w:val="0"/>
          <w:lang w:val="en-US"/>
        </w:rPr>
        <w:t>.</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Welsh Government (2015) Person-centred practice in education: a guide for early years, schools and colleges in Wales. </w:t>
      </w:r>
      <w:r>
        <w:rPr>
          <w:rFonts w:ascii="Times New Roman" w:hAnsi="Times New Roman"/>
          <w:sz w:val="24"/>
          <w:szCs w:val="24"/>
          <w:shd w:val="clear" w:color="auto" w:fill="fefefe"/>
          <w:rtl w:val="0"/>
          <w:lang w:val="en-US"/>
        </w:rPr>
        <w:t xml:space="preserve">Available at: </w:t>
      </w:r>
      <w:r>
        <w:rPr>
          <w:rStyle w:val="Hyperlink.1"/>
          <w:rFonts w:ascii="Times New Roman" w:cs="Times New Roman" w:hAnsi="Times New Roman" w:eastAsia="Times New Roman"/>
          <w:sz w:val="24"/>
          <w:szCs w:val="24"/>
          <w:shd w:val="clear" w:color="auto" w:fill="fefefe"/>
        </w:rPr>
        <w:fldChar w:fldCharType="begin" w:fldLock="0"/>
      </w:r>
      <w:r>
        <w:rPr>
          <w:rStyle w:val="Hyperlink.1"/>
          <w:rFonts w:ascii="Times New Roman" w:cs="Times New Roman" w:hAnsi="Times New Roman" w:eastAsia="Times New Roman"/>
          <w:sz w:val="24"/>
          <w:szCs w:val="24"/>
          <w:shd w:val="clear" w:color="auto" w:fill="fefefe"/>
        </w:rPr>
        <w:instrText xml:space="preserve"> HYPERLINK "https://gov.wales/sites/default/files/publications/2019-01/person-centred-practice-in-education-a-guide-for-early-years-schools-and-colleges-in-wales.pdf"</w:instrText>
      </w:r>
      <w:r>
        <w:rPr>
          <w:rStyle w:val="Hyperlink.1"/>
          <w:rFonts w:ascii="Times New Roman" w:cs="Times New Roman" w:hAnsi="Times New Roman" w:eastAsia="Times New Roman"/>
          <w:sz w:val="24"/>
          <w:szCs w:val="24"/>
          <w:shd w:val="clear" w:color="auto" w:fill="fefefe"/>
        </w:rPr>
        <w:fldChar w:fldCharType="separate" w:fldLock="0"/>
      </w:r>
      <w:r>
        <w:rPr>
          <w:rStyle w:val="Hyperlink.1"/>
          <w:rFonts w:ascii="Times New Roman" w:hAnsi="Times New Roman"/>
          <w:sz w:val="24"/>
          <w:szCs w:val="24"/>
          <w:shd w:val="clear" w:color="auto" w:fill="fefefe"/>
          <w:rtl w:val="0"/>
          <w:lang w:val="en-US"/>
        </w:rPr>
        <w:t>https://gov.wales/sites/default/files/publications/2019-01/person-centred-practice-in-education-a-guide-for-early-years-schools-and-colleges-in-wales.pdf</w:t>
      </w:r>
      <w:r>
        <w:rPr>
          <w:rFonts w:ascii="Times New Roman" w:cs="Times New Roman" w:hAnsi="Times New Roman" w:eastAsia="Times New Roman"/>
          <w:sz w:val="24"/>
          <w:szCs w:val="24"/>
          <w:shd w:val="clear" w:color="auto" w:fill="fefefe"/>
        </w:rPr>
        <w:fldChar w:fldCharType="end" w:fldLock="0"/>
      </w:r>
      <w:r>
        <w:rPr>
          <w:rFonts w:ascii="Times New Roman" w:hAnsi="Times New Roman"/>
          <w:sz w:val="24"/>
          <w:szCs w:val="24"/>
          <w:shd w:val="clear" w:color="auto" w:fill="fefefe"/>
          <w:rtl w:val="0"/>
          <w:lang w:val="en-US"/>
        </w:rPr>
        <w:t xml:space="preserve"> (Accessed: 08th June 2020)</w:t>
      </w:r>
      <w:r>
        <w:rPr>
          <w:rFonts w:ascii="Times New Roman" w:hAnsi="Times New Roman"/>
          <w:sz w:val="24"/>
          <w:szCs w:val="24"/>
          <w:shd w:val="clear" w:color="auto" w:fill="fefefe"/>
          <w:rtl w:val="0"/>
          <w:lang w:val="en-US"/>
        </w:rPr>
        <w:t>.</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Welsh Government Draft Additional Learning Needs Code for Wales (2018). </w:t>
      </w:r>
      <w:r>
        <w:rPr>
          <w:rFonts w:ascii="Times New Roman" w:hAnsi="Times New Roman"/>
          <w:sz w:val="24"/>
          <w:szCs w:val="24"/>
          <w:shd w:val="clear" w:color="auto" w:fill="fefefe"/>
          <w:rtl w:val="0"/>
          <w:lang w:val="en-US"/>
        </w:rPr>
        <w:t xml:space="preserve">Available at: </w:t>
      </w:r>
      <w:r>
        <w:rPr>
          <w:rStyle w:val="Hyperlink.1"/>
          <w:rFonts w:ascii="Times New Roman" w:cs="Times New Roman" w:hAnsi="Times New Roman" w:eastAsia="Times New Roman"/>
          <w:sz w:val="24"/>
          <w:szCs w:val="24"/>
          <w:shd w:val="clear" w:color="auto" w:fill="fefefe"/>
        </w:rPr>
        <w:fldChar w:fldCharType="begin" w:fldLock="0"/>
      </w:r>
      <w:r>
        <w:rPr>
          <w:rStyle w:val="Hyperlink.1"/>
          <w:rFonts w:ascii="Times New Roman" w:cs="Times New Roman" w:hAnsi="Times New Roman" w:eastAsia="Times New Roman"/>
          <w:sz w:val="24"/>
          <w:szCs w:val="24"/>
          <w:shd w:val="clear" w:color="auto" w:fill="fefefe"/>
        </w:rPr>
        <w:instrText xml:space="preserve"> HYPERLINK "https://gov.wales/sites/default/files/consultations/2018-12/draft-additional-learning-needs-code-for-wales_0.pdf"</w:instrText>
      </w:r>
      <w:r>
        <w:rPr>
          <w:rStyle w:val="Hyperlink.1"/>
          <w:rFonts w:ascii="Times New Roman" w:cs="Times New Roman" w:hAnsi="Times New Roman" w:eastAsia="Times New Roman"/>
          <w:sz w:val="24"/>
          <w:szCs w:val="24"/>
          <w:shd w:val="clear" w:color="auto" w:fill="fefefe"/>
        </w:rPr>
        <w:fldChar w:fldCharType="separate" w:fldLock="0"/>
      </w:r>
      <w:r>
        <w:rPr>
          <w:rStyle w:val="Hyperlink.1"/>
          <w:rFonts w:ascii="Times New Roman" w:hAnsi="Times New Roman"/>
          <w:sz w:val="24"/>
          <w:szCs w:val="24"/>
          <w:shd w:val="clear" w:color="auto" w:fill="fefefe"/>
          <w:rtl w:val="0"/>
          <w:lang w:val="en-US"/>
        </w:rPr>
        <w:t>https://gov.wales/sites/default/files/consultations/2018-12/draft-additional-learning-needs-code-for-wales_0.pdf</w:t>
      </w:r>
      <w:r>
        <w:rPr>
          <w:rFonts w:ascii="Times New Roman" w:cs="Times New Roman" w:hAnsi="Times New Roman" w:eastAsia="Times New Roman"/>
          <w:sz w:val="24"/>
          <w:szCs w:val="24"/>
          <w:shd w:val="clear" w:color="auto" w:fill="fefefe"/>
        </w:rPr>
        <w:fldChar w:fldCharType="end" w:fldLock="0"/>
      </w:r>
      <w:r>
        <w:rPr>
          <w:rFonts w:ascii="Times New Roman" w:hAnsi="Times New Roman"/>
          <w:sz w:val="24"/>
          <w:szCs w:val="24"/>
          <w:shd w:val="clear" w:color="auto" w:fill="fefefe"/>
          <w:rtl w:val="0"/>
          <w:lang w:val="en-US"/>
        </w:rPr>
        <w:t>)(Accessed: 08th June 2020).</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Welsh Government (2020) </w:t>
      </w:r>
      <w:r>
        <w:rPr>
          <w:rFonts w:ascii="Times New Roman" w:hAnsi="Times New Roman"/>
          <w:i w:val="1"/>
          <w:iCs w:val="1"/>
          <w:sz w:val="24"/>
          <w:szCs w:val="24"/>
          <w:shd w:val="clear" w:color="auto" w:fill="fefefe"/>
          <w:rtl w:val="0"/>
          <w:lang w:val="en-US"/>
        </w:rPr>
        <w:t>Talk with me: Speech, Language and Communication (SLC) Delivery plan 2020-21</w:t>
      </w:r>
      <w:r>
        <w:rPr>
          <w:rFonts w:ascii="Times New Roman" w:hAnsi="Times New Roman"/>
          <w:sz w:val="24"/>
          <w:szCs w:val="24"/>
          <w:shd w:val="clear" w:color="auto" w:fill="fefefe"/>
          <w:rtl w:val="0"/>
          <w:lang w:val="en-US"/>
        </w:rPr>
        <w:t>.</w:t>
      </w:r>
      <w:r>
        <w:rPr>
          <w:rFonts w:ascii="Times New Roman" w:hAnsi="Times New Roman"/>
          <w:sz w:val="24"/>
          <w:szCs w:val="24"/>
          <w:shd w:val="clear" w:color="auto" w:fill="fefefe"/>
          <w:rtl w:val="0"/>
          <w:lang w:val="en-US"/>
        </w:rPr>
        <w:t>Available at:</w:t>
      </w:r>
      <w:r>
        <w:rPr>
          <w:rStyle w:val="Hyperlink.0"/>
          <w:rFonts w:ascii="Times New Roman" w:cs="Times New Roman" w:hAnsi="Times New Roman" w:eastAsia="Times New Roman"/>
          <w:sz w:val="24"/>
          <w:szCs w:val="24"/>
          <w:shd w:val="clear" w:color="auto" w:fill="fefefe"/>
        </w:rPr>
        <w:fldChar w:fldCharType="begin" w:fldLock="0"/>
      </w:r>
      <w:r>
        <w:rPr>
          <w:rStyle w:val="Hyperlink.0"/>
          <w:rFonts w:ascii="Times New Roman" w:cs="Times New Roman" w:hAnsi="Times New Roman" w:eastAsia="Times New Roman"/>
          <w:sz w:val="24"/>
          <w:szCs w:val="24"/>
          <w:shd w:val="clear" w:color="auto" w:fill="fefefe"/>
        </w:rPr>
        <w:instrText xml:space="preserve"> HYPERLINK "https://gov.wales/written-statement-talk-me-speech-language-and-communication-slc-delivery-plan-2020-21"</w:instrText>
      </w:r>
      <w:r>
        <w:rPr>
          <w:rStyle w:val="Hyperlink.0"/>
          <w:rFonts w:ascii="Times New Roman" w:cs="Times New Roman" w:hAnsi="Times New Roman" w:eastAsia="Times New Roman"/>
          <w:sz w:val="24"/>
          <w:szCs w:val="24"/>
          <w:shd w:val="clear" w:color="auto" w:fill="fefefe"/>
        </w:rPr>
        <w:fldChar w:fldCharType="separate" w:fldLock="0"/>
      </w:r>
      <w:r>
        <w:rPr>
          <w:rStyle w:val="Hyperlink.0"/>
          <w:rFonts w:ascii="Times New Roman" w:hAnsi="Times New Roman"/>
          <w:sz w:val="24"/>
          <w:szCs w:val="24"/>
          <w:shd w:val="clear" w:color="auto" w:fill="fefefe"/>
          <w:rtl w:val="0"/>
          <w:lang w:val="en-US"/>
        </w:rPr>
        <w:t>https://gov.wales/written-statement-talk-me-speech-language-and-communication-slc-delivery-plan-2020-21</w:t>
      </w:r>
      <w:r>
        <w:rPr>
          <w:rFonts w:ascii="Times New Roman" w:cs="Times New Roman" w:hAnsi="Times New Roman" w:eastAsia="Times New Roman"/>
          <w:sz w:val="24"/>
          <w:szCs w:val="24"/>
          <w:shd w:val="clear" w:color="auto" w:fill="fefefe"/>
        </w:rPr>
        <w:fldChar w:fldCharType="end" w:fldLock="0"/>
      </w:r>
      <w:r>
        <w:rPr>
          <w:rFonts w:ascii="Times New Roman" w:hAnsi="Times New Roman"/>
          <w:sz w:val="24"/>
          <w:szCs w:val="24"/>
          <w:shd w:val="clear" w:color="auto" w:fill="fefefe"/>
          <w:rtl w:val="0"/>
          <w:lang w:val="en-US"/>
        </w:rPr>
        <w:t>(Accessed: 08th June 2020).</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Welsh Government (2020a) Curriculum for Wales guidance. Available at: </w:t>
      </w:r>
      <w:r>
        <w:rPr>
          <w:rStyle w:val="Hyperlink.1"/>
          <w:rFonts w:ascii="Times New Roman" w:cs="Times New Roman" w:hAnsi="Times New Roman" w:eastAsia="Times New Roman"/>
          <w:sz w:val="24"/>
          <w:szCs w:val="24"/>
          <w:shd w:val="clear" w:color="auto" w:fill="fefefe"/>
        </w:rPr>
        <w:fldChar w:fldCharType="begin" w:fldLock="0"/>
      </w:r>
      <w:r>
        <w:rPr>
          <w:rStyle w:val="Hyperlink.1"/>
          <w:rFonts w:ascii="Times New Roman" w:cs="Times New Roman" w:hAnsi="Times New Roman" w:eastAsia="Times New Roman"/>
          <w:sz w:val="24"/>
          <w:szCs w:val="24"/>
          <w:shd w:val="clear" w:color="auto" w:fill="fefefe"/>
        </w:rPr>
        <w:instrText xml:space="preserve"> HYPERLINK "https://hwb.gov.wales/curriculum-for-wales/"</w:instrText>
      </w:r>
      <w:r>
        <w:rPr>
          <w:rStyle w:val="Hyperlink.1"/>
          <w:rFonts w:ascii="Times New Roman" w:cs="Times New Roman" w:hAnsi="Times New Roman" w:eastAsia="Times New Roman"/>
          <w:sz w:val="24"/>
          <w:szCs w:val="24"/>
          <w:shd w:val="clear" w:color="auto" w:fill="fefefe"/>
        </w:rPr>
        <w:fldChar w:fldCharType="separate" w:fldLock="0"/>
      </w:r>
      <w:r>
        <w:rPr>
          <w:rStyle w:val="Hyperlink.1"/>
          <w:rFonts w:ascii="Times New Roman" w:hAnsi="Times New Roman"/>
          <w:sz w:val="24"/>
          <w:szCs w:val="24"/>
          <w:shd w:val="clear" w:color="auto" w:fill="fefefe"/>
          <w:rtl w:val="0"/>
          <w:lang w:val="en-US"/>
        </w:rPr>
        <w:t>https://hwb.gov.wales/curriculum-for-wales/</w:t>
      </w:r>
      <w:r>
        <w:rPr>
          <w:rFonts w:ascii="Times New Roman" w:cs="Times New Roman" w:hAnsi="Times New Roman" w:eastAsia="Times New Roman"/>
          <w:sz w:val="24"/>
          <w:szCs w:val="24"/>
          <w:shd w:val="clear" w:color="auto" w:fill="fefefe"/>
        </w:rPr>
        <w:fldChar w:fldCharType="end" w:fldLock="0"/>
      </w:r>
      <w:r>
        <w:rPr>
          <w:rFonts w:ascii="Times New Roman" w:hAnsi="Times New Roman"/>
          <w:sz w:val="24"/>
          <w:szCs w:val="24"/>
          <w:shd w:val="clear" w:color="auto" w:fill="fefefe"/>
          <w:rtl w:val="0"/>
          <w:lang w:val="en-US"/>
        </w:rPr>
        <w:t>.</w:t>
      </w:r>
      <w:r>
        <w:rPr>
          <w:rFonts w:ascii="Times New Roman" w:hAnsi="Times New Roman"/>
          <w:sz w:val="24"/>
          <w:szCs w:val="24"/>
          <w:shd w:val="clear" w:color="auto" w:fill="fefefe"/>
          <w:rtl w:val="0"/>
          <w:lang w:val="en-US"/>
        </w:rPr>
        <w:t>(Accessed: 08th June 2020).</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r>
        <w:rPr>
          <w:rFonts w:ascii="Times New Roman" w:hAnsi="Times New Roman"/>
          <w:sz w:val="24"/>
          <w:szCs w:val="24"/>
          <w:shd w:val="clear" w:color="auto" w:fill="fefefe"/>
          <w:rtl w:val="0"/>
          <w:lang w:val="en-US"/>
        </w:rPr>
        <w:t xml:space="preserve">Wilson, L., McNeill, B and Gillon, G. T (2016) </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A comparison of inter-professional educational programs in preparing prospective teachers and speech and language pathologists for collaborative language-literacy instruction</w:t>
      </w:r>
      <w:r>
        <w:rPr>
          <w:rFonts w:ascii="Times New Roman" w:hAnsi="Times New Roman" w:hint="default"/>
          <w:sz w:val="24"/>
          <w:szCs w:val="24"/>
          <w:shd w:val="clear" w:color="auto" w:fill="fefefe"/>
          <w:rtl w:val="0"/>
          <w:lang w:val="en-US"/>
        </w:rPr>
        <w:t>’</w:t>
      </w:r>
      <w:r>
        <w:rPr>
          <w:rFonts w:ascii="Times New Roman" w:hAnsi="Times New Roman"/>
          <w:sz w:val="24"/>
          <w:szCs w:val="24"/>
          <w:shd w:val="clear" w:color="auto" w:fill="fefefe"/>
          <w:rtl w:val="0"/>
          <w:lang w:val="en-US"/>
        </w:rPr>
        <w:t xml:space="preserve">, </w:t>
      </w:r>
      <w:r>
        <w:rPr>
          <w:rFonts w:ascii="Times New Roman" w:hAnsi="Times New Roman"/>
          <w:i w:val="1"/>
          <w:iCs w:val="1"/>
          <w:sz w:val="24"/>
          <w:szCs w:val="24"/>
          <w:shd w:val="clear" w:color="auto" w:fill="fefefe"/>
          <w:rtl w:val="0"/>
          <w:lang w:val="en-US"/>
        </w:rPr>
        <w:t>Reading and Writing; An Interdisciplinary Journal</w:t>
      </w:r>
      <w:r>
        <w:rPr>
          <w:rFonts w:ascii="Times New Roman" w:hAnsi="Times New Roman"/>
          <w:sz w:val="24"/>
          <w:szCs w:val="24"/>
          <w:shd w:val="clear" w:color="auto" w:fill="fefefe"/>
          <w:rtl w:val="0"/>
          <w:lang w:val="en-US"/>
        </w:rPr>
        <w:t>, 29(6), pp1179-1201.</w:t>
      </w: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p>
    <w:p>
      <w:pPr>
        <w:pStyle w:val="Body"/>
        <w:rPr>
          <w:rFonts w:ascii="Times New Roman" w:cs="Times New Roman" w:hAnsi="Times New Roman" w:eastAsia="Times New Roman"/>
          <w:sz w:val="24"/>
          <w:szCs w:val="24"/>
          <w:shd w:val="clear" w:color="auto" w:fill="fefefe"/>
        </w:rPr>
      </w:pPr>
    </w:p>
    <w:p>
      <w:pPr>
        <w:pStyle w:val="Default"/>
        <w:bidi w:val="0"/>
        <w:spacing w:line="360" w:lineRule="auto"/>
        <w:ind w:left="0" w:right="0" w:firstLine="0"/>
        <w:jc w:val="left"/>
        <w:rPr>
          <w:rFonts w:ascii="Times New Roman" w:cs="Times New Roman" w:hAnsi="Times New Roman" w:eastAsia="Times New Roman"/>
          <w:b w:val="1"/>
          <w:bCs w:val="1"/>
          <w:sz w:val="24"/>
          <w:szCs w:val="24"/>
          <w:u w:color="000000"/>
          <w:rtl w:val="0"/>
          <w:lang w:val="en-US"/>
          <w14:textOutline w14:w="12700" w14:cap="flat">
            <w14:noFill/>
            <w14:miter w14:lim="400000"/>
          </w14:textOutline>
        </w:rPr>
      </w:pPr>
    </w:p>
    <w:p>
      <w:pPr>
        <w:pStyle w:val="Default"/>
        <w:bidi w:val="0"/>
        <w:spacing w:line="360" w:lineRule="auto"/>
        <w:ind w:left="0" w:right="0" w:firstLine="0"/>
        <w:jc w:val="left"/>
        <w:rPr>
          <w:rtl w:val="0"/>
        </w:rPr>
      </w:pPr>
      <w:r>
        <w:rPr>
          <w:rFonts w:ascii="Times New Roman" w:cs="Times New Roman" w:hAnsi="Times New Roman" w:eastAsia="Times New Roman"/>
          <w:b w:val="1"/>
          <w:bCs w:val="1"/>
          <w:sz w:val="24"/>
          <w:szCs w:val="24"/>
          <w:u w:color="000000"/>
          <w:rtl w:val="0"/>
          <w:lang w:val="en-US"/>
          <w14:textOutline w14:w="12700" w14:cap="flat">
            <w14:noFill/>
            <w14:miter w14:lim="400000"/>
          </w14:textOutline>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tab/>
    </w:r>
    <w:r>
      <w:rPr/>
      <w:fldChar w:fldCharType="begin" w:fldLock="0"/>
    </w:r>
    <w:r>
      <w:instrText xml:space="preserve"> PAGE </w:instrText>
    </w:r>
    <w:r>
      <w:rPr/>
      <w:fldChar w:fldCharType="separate" w:fldLock="0"/>
    </w:r>
    <w:r>
      <w:t>1</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14:textOutline>
        <w14:noFill/>
      </w14:textOutline>
      <w14:textFill>
        <w14:solidFill>
          <w14:srgbClr w14:val="000000"/>
        </w14:solidFill>
      </w14:textFill>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vertAlign w:val="baseline"/>
      <w:lang w:val="en-US"/>
      <w14:textOutline>
        <w14:noFill/>
      </w14:textOutline>
      <w14:textFill>
        <w14:solidFill>
          <w14:srgbClr w14:val="000000"/>
        </w14:solidFill>
      </w14:textFill>
    </w:rPr>
  </w:style>
  <w:style w:type="character" w:styleId="Hyperlink.0">
    <w:name w:val="Hyperlink.0"/>
    <w:basedOn w:val="Hyperlink"/>
    <w:next w:val="Hyperlink.0"/>
    <w:rPr>
      <w:u w:val="single"/>
    </w:rPr>
  </w:style>
  <w:style w:type="character" w:styleId="Hyperlink.1">
    <w:name w:val="Hyperlink.1"/>
    <w:basedOn w:val="Hyperlink.0"/>
    <w:next w:val="Hyperlink.1"/>
    <w:rPr>
      <w:u w:val="non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