
<file path=[Content_Types].xml><?xml version="1.0" encoding="utf-8"?>
<Types xmlns="http://schemas.openxmlformats.org/package/2006/content-types">
  <Default Extension="xml" ContentType="application/xml"/>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63" w:beforeLines="50" w:after="326" w:afterLines="100" w:line="360" w:lineRule="auto"/>
        <w:jc w:val="both"/>
        <w:rPr>
          <w:rFonts w:ascii="Times New Roman" w:hAnsi="Times New Roman" w:cs="Times New Roman"/>
          <w:b/>
          <w:bCs/>
          <w:sz w:val="48"/>
          <w:szCs w:val="48"/>
        </w:rPr>
      </w:pPr>
    </w:p>
    <w:p>
      <w:pPr>
        <w:spacing w:before="163" w:beforeLines="50" w:after="326" w:afterLines="100" w:line="360" w:lineRule="auto"/>
        <w:jc w:val="center"/>
        <w:rPr>
          <w:rFonts w:ascii="Times New Roman" w:hAnsi="Times New Roman" w:cs="Times New Roman"/>
          <w:b/>
          <w:bCs/>
          <w:sz w:val="48"/>
          <w:szCs w:val="48"/>
        </w:rPr>
      </w:pPr>
    </w:p>
    <w:p>
      <w:pPr>
        <w:spacing w:before="163" w:beforeLines="50" w:after="326" w:afterLines="100" w:line="360" w:lineRule="auto"/>
        <w:jc w:val="center"/>
        <w:rPr>
          <w:rFonts w:ascii="Times New Roman" w:hAnsi="Times New Roman" w:cs="Times New Roman"/>
          <w:b/>
          <w:bCs/>
          <w:sz w:val="48"/>
          <w:szCs w:val="48"/>
        </w:rPr>
      </w:pPr>
      <w:r>
        <w:rPr>
          <w:rFonts w:ascii="Times New Roman" w:hAnsi="Times New Roman" w:cs="Times New Roman"/>
          <w:b/>
          <w:bCs/>
          <w:sz w:val="48"/>
          <w:szCs w:val="48"/>
        </w:rPr>
        <w:t>BMMB7025</w:t>
      </w:r>
    </w:p>
    <w:p>
      <w:pPr>
        <w:spacing w:before="163" w:beforeLines="50" w:after="326" w:afterLines="100" w:line="360" w:lineRule="auto"/>
        <w:jc w:val="center"/>
        <w:rPr>
          <w:rFonts w:ascii="Times New Roman" w:hAnsi="Times New Roman" w:cs="Times New Roman"/>
          <w:b/>
          <w:bCs/>
          <w:sz w:val="48"/>
          <w:szCs w:val="48"/>
        </w:rPr>
      </w:pPr>
    </w:p>
    <w:p>
      <w:pPr>
        <w:spacing w:before="163" w:beforeLines="50" w:after="326" w:afterLines="100" w:line="360" w:lineRule="auto"/>
        <w:jc w:val="center"/>
        <w:rPr>
          <w:rFonts w:ascii="Times New Roman" w:hAnsi="Times New Roman" w:cs="Times New Roman"/>
          <w:b/>
          <w:bCs/>
          <w:sz w:val="48"/>
          <w:szCs w:val="48"/>
        </w:rPr>
      </w:pPr>
      <w:r>
        <w:rPr>
          <w:rFonts w:ascii="Times New Roman" w:hAnsi="Times New Roman" w:cs="Times New Roman"/>
          <w:b/>
          <w:bCs/>
          <w:sz w:val="48"/>
          <w:szCs w:val="48"/>
        </w:rPr>
        <w:t>Managing People In Organisations</w:t>
      </w:r>
    </w:p>
    <w:p>
      <w:pPr>
        <w:spacing w:before="163" w:beforeLines="50" w:after="326" w:afterLines="100" w:line="360" w:lineRule="auto"/>
        <w:jc w:val="both"/>
        <w:rPr>
          <w:rFonts w:ascii="Times New Roman" w:hAnsi="Times New Roman" w:cs="Times New Roman"/>
          <w:b/>
          <w:bCs/>
          <w:sz w:val="48"/>
          <w:szCs w:val="48"/>
        </w:rPr>
      </w:pPr>
    </w:p>
    <w:p>
      <w:pPr>
        <w:spacing w:before="163" w:beforeLines="50" w:after="326" w:afterLines="100" w:line="360" w:lineRule="auto"/>
        <w:jc w:val="center"/>
        <w:rPr>
          <w:rFonts w:ascii="Times New Roman" w:hAnsi="Times New Roman" w:cs="Times New Roman"/>
          <w:b/>
          <w:bCs/>
          <w:sz w:val="40"/>
          <w:szCs w:val="40"/>
        </w:rPr>
      </w:pPr>
      <w:r>
        <w:rPr>
          <w:rFonts w:ascii="Times New Roman" w:hAnsi="Times New Roman" w:cs="Times New Roman"/>
          <w:b/>
          <w:bCs/>
          <w:sz w:val="40"/>
          <w:szCs w:val="40"/>
        </w:rPr>
        <w:t>Assignment title: Improvement of an HR Priority Area</w:t>
      </w:r>
    </w:p>
    <w:p>
      <w:pPr>
        <w:spacing w:before="156" w:beforeLines="50" w:after="312" w:afterLines="100" w:line="360" w:lineRule="auto"/>
        <w:jc w:val="center"/>
        <w:rPr>
          <w:rFonts w:ascii="Times New Roman" w:hAnsi="Times New Roman" w:cs="Times New Roman"/>
          <w:b/>
          <w:bCs/>
          <w:sz w:val="40"/>
          <w:szCs w:val="40"/>
        </w:rPr>
      </w:pPr>
      <w:r>
        <w:rPr>
          <w:rFonts w:ascii="Times New Roman" w:hAnsi="Times New Roman" w:cs="Times New Roman"/>
          <w:b/>
          <w:bCs/>
          <w:sz w:val="40"/>
          <w:szCs w:val="40"/>
        </w:rPr>
        <w:t>February-April 2024</w:t>
      </w:r>
    </w:p>
    <w:p>
      <w:pPr>
        <w:spacing w:before="156" w:beforeLines="50" w:after="312" w:afterLines="100" w:line="360" w:lineRule="auto"/>
        <w:jc w:val="both"/>
        <w:rPr>
          <w:rFonts w:ascii="Times New Roman" w:hAnsi="Times New Roman" w:cs="Times New Roman"/>
          <w:b/>
          <w:bCs/>
          <w:sz w:val="40"/>
          <w:szCs w:val="40"/>
        </w:rPr>
      </w:pPr>
    </w:p>
    <w:p>
      <w:pPr>
        <w:spacing w:before="156" w:beforeLines="50" w:after="312" w:afterLines="100" w:line="360" w:lineRule="auto"/>
        <w:jc w:val="center"/>
        <w:rPr>
          <w:rFonts w:ascii="Times New Roman" w:hAnsi="Times New Roman" w:cs="Times New Roman"/>
          <w:b/>
          <w:bCs/>
          <w:sz w:val="40"/>
          <w:szCs w:val="40"/>
        </w:rPr>
      </w:pPr>
    </w:p>
    <w:p>
      <w:pPr>
        <w:spacing w:before="156" w:beforeLines="50" w:after="312" w:afterLines="100" w:line="360" w:lineRule="auto"/>
        <w:jc w:val="center"/>
        <w:rPr>
          <w:rFonts w:hint="default" w:ascii="Times New Roman" w:hAnsi="Times New Roman" w:cs="Times New Roman"/>
          <w:sz w:val="32"/>
          <w:szCs w:val="32"/>
          <w:lang w:val="en-US" w:eastAsia="zh-CN"/>
        </w:rPr>
      </w:pPr>
      <w:r>
        <w:rPr>
          <w:rFonts w:ascii="Times New Roman" w:hAnsi="Times New Roman" w:cs="Times New Roman"/>
          <w:b/>
          <w:bCs/>
          <w:sz w:val="32"/>
          <w:szCs w:val="32"/>
          <w:lang w:val="en-US" w:eastAsia="zh-CN"/>
        </w:rPr>
        <w:t>Student Name:</w:t>
      </w:r>
      <w:r>
        <w:rPr>
          <w:rFonts w:hint="eastAsia" w:ascii="Times New Roman" w:hAnsi="Times New Roman" w:cs="Times New Roman"/>
          <w:sz w:val="32"/>
          <w:szCs w:val="32"/>
          <w:lang w:val="en-US" w:eastAsia="zh-CN"/>
        </w:rPr>
        <w:t>Huiwen Qi</w:t>
      </w:r>
    </w:p>
    <w:p>
      <w:pPr>
        <w:spacing w:before="163" w:beforeLines="50" w:after="326" w:afterLines="100" w:line="360" w:lineRule="auto"/>
        <w:jc w:val="center"/>
        <w:rPr>
          <w:rFonts w:ascii="Times New Roman" w:hAnsi="Times New Roman" w:cs="Times New Roman"/>
          <w:b/>
          <w:bCs/>
          <w:sz w:val="44"/>
          <w:szCs w:val="44"/>
        </w:rPr>
      </w:pPr>
      <w:r>
        <w:rPr>
          <w:rFonts w:ascii="Times New Roman" w:hAnsi="Times New Roman" w:cs="Times New Roman"/>
          <w:b/>
          <w:bCs/>
          <w:sz w:val="32"/>
          <w:szCs w:val="32"/>
        </w:rPr>
        <w:t>Student ID</w:t>
      </w:r>
      <w:r>
        <w:rPr>
          <w:rFonts w:hint="eastAsia" w:ascii="Times New Roman" w:hAnsi="Times New Roman" w:cs="Times New Roman"/>
          <w:b/>
          <w:bCs/>
          <w:sz w:val="32"/>
          <w:szCs w:val="32"/>
          <w:lang w:val="en-US" w:eastAsia="zh-CN"/>
        </w:rPr>
        <w:t>:</w:t>
      </w:r>
      <w:r>
        <w:rPr>
          <w:rFonts w:hint="eastAsia" w:ascii="Times New Roman" w:hAnsi="Times New Roman" w:cs="Times New Roman"/>
          <w:sz w:val="32"/>
          <w:szCs w:val="32"/>
          <w:lang w:val="en-US" w:eastAsia="zh-CN"/>
        </w:rPr>
        <w:t>2200154</w:t>
      </w:r>
    </w:p>
    <w:p>
      <w:pPr>
        <w:spacing w:before="163" w:beforeLines="50" w:after="326" w:afterLines="100" w:line="360" w:lineRule="auto"/>
        <w:rPr>
          <w:rFonts w:ascii="Times New Roman" w:hAnsi="Times New Roman" w:cs="Times New Roman"/>
          <w:b/>
          <w:bCs/>
          <w:sz w:val="40"/>
          <w:szCs w:val="40"/>
        </w:rPr>
      </w:pPr>
      <w:r>
        <w:rPr>
          <w:rFonts w:ascii="Times New Roman" w:hAnsi="Times New Roman" w:cs="Times New Roman"/>
          <w:b/>
          <w:bCs/>
          <w:sz w:val="40"/>
          <w:szCs w:val="40"/>
        </w:rPr>
        <w:br w:type="page"/>
      </w:r>
    </w:p>
    <w:p>
      <w:pPr>
        <w:pStyle w:val="2"/>
        <w:spacing w:before="163" w:beforeLines="50" w:after="326" w:afterLines="100" w:line="360" w:lineRule="auto"/>
        <w:rPr>
          <w:rFonts w:ascii="Times New Roman" w:hAnsi="Times New Roman" w:cs="Times New Roman"/>
        </w:rPr>
      </w:pPr>
      <w:r>
        <w:rPr>
          <w:rFonts w:ascii="Times New Roman" w:hAnsi="Times New Roman" w:cs="Times New Roman"/>
        </w:rPr>
        <w:t>Executive summary</w:t>
      </w:r>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The present report conducts a comparative analysis of people management strategies adopted by Huawei and Microsoft, examining how different managerial environments, and organizational features shape their respective approaches.</w:t>
      </w:r>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 xml:space="preserve">Huawei’s approach is influenced by its Chinese origins, exhibiting a centralized process and a hierarchical structure. The recent geopolitical tensions and competitive landscape have prompted Huawei to focus on training and development to foster self-reliance and resilience. Despite its success, the company has faced challenges with a high-pressure working environment brought by its wolf culture, and the high turnover of its employees. Microsoft’s approach is featured with flexibility and decentralization, indicative of its persistent commitment towards cultural integration and diversity in the global operation. Its approach is criticized for issues related to workplace discrimination. The innovation has been prioritized due to the high-tech nature of both businesses, though detailed practices vary. Also, both companies proactively integrated technological advancements, such as AI, in their people management routines to promote effectiveness. Based on the analysis, the report proposes recommendations that enhance or improve their respective HRM effectiveness, with comprehensive consideration of the feasibility, risks, and ethics. </w:t>
      </w:r>
      <w:r>
        <w:rPr>
          <w:rFonts w:ascii="Times New Roman" w:hAnsi="Times New Roman" w:cs="Times New Roman"/>
          <w:sz w:val="40"/>
          <w:szCs w:val="40"/>
        </w:rPr>
        <w:br w:type="page"/>
      </w:r>
    </w:p>
    <w:sdt>
      <w:sdtPr>
        <w:rPr>
          <w:rFonts w:ascii="Times New Roman" w:hAnsi="Times New Roman" w:cs="Times New Roman"/>
          <w:lang w:val="zh-CN"/>
        </w:rPr>
        <w:id w:val="-3750114"/>
        <w:docPartObj>
          <w:docPartGallery w:val="Table of Contents"/>
          <w:docPartUnique/>
        </w:docPartObj>
      </w:sdtPr>
      <w:sdtEndPr>
        <w:rPr>
          <w:rFonts w:ascii="Times New Roman" w:hAnsi="Times New Roman" w:cs="Times New Roman" w:eastAsiaTheme="minorEastAsia"/>
          <w:b/>
          <w:bCs/>
          <w:color w:val="auto"/>
          <w:sz w:val="24"/>
          <w:szCs w:val="24"/>
          <w:lang w:val="zh-CN"/>
        </w:rPr>
      </w:sdtEndPr>
      <w:sdtContent>
        <w:p>
          <w:pPr>
            <w:pStyle w:val="47"/>
            <w:spacing w:before="163" w:beforeLines="50" w:after="326" w:afterLines="100" w:line="360" w:lineRule="auto"/>
            <w:rPr>
              <w:rFonts w:ascii="Times New Roman" w:hAnsi="Times New Roman" w:cs="Times New Roman"/>
            </w:rPr>
          </w:pPr>
          <w:r>
            <w:rPr>
              <w:rFonts w:ascii="Times New Roman" w:hAnsi="Times New Roman" w:cs="Times New Roman"/>
            </w:rPr>
            <w:t>Table of contents</w:t>
          </w:r>
        </w:p>
        <w:p>
          <w:pPr>
            <w:pStyle w:val="14"/>
            <w:tabs>
              <w:tab w:val="left" w:pos="630"/>
              <w:tab w:val="right" w:leader="dot" w:pos="10456"/>
            </w:tabs>
            <w:spacing w:before="163" w:beforeLines="50" w:after="326" w:afterLines="100" w:line="360" w:lineRule="auto"/>
            <w:rPr>
              <w:rFonts w:ascii="Times New Roman" w:hAnsi="Times New Roman" w:cs="Times New Roman"/>
              <w:kern w:val="2"/>
              <w:sz w:val="21"/>
              <w:szCs w:val="22"/>
              <w:lang w:val="en-US"/>
              <w14:ligatures w14:val="standardContextual"/>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r>
            <w:fldChar w:fldCharType="begin"/>
          </w:r>
          <w:r>
            <w:instrText xml:space="preserve"> HYPERLINK \l "_Toc164618403" </w:instrText>
          </w:r>
          <w:r>
            <w:fldChar w:fldCharType="separate"/>
          </w:r>
          <w:r>
            <w:rPr>
              <w:rStyle w:val="23"/>
              <w:rFonts w:ascii="Times New Roman" w:hAnsi="Times New Roman" w:cs="Times New Roman"/>
            </w:rPr>
            <w:t>1.0 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_Toc164618403 \h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r>
            <w:rPr>
              <w:rFonts w:ascii="Times New Roman" w:hAnsi="Times New Roman" w:cs="Times New Roman"/>
            </w:rPr>
            <w:fldChar w:fldCharType="end"/>
          </w:r>
        </w:p>
        <w:p>
          <w:pPr>
            <w:pStyle w:val="14"/>
            <w:tabs>
              <w:tab w:val="right" w:leader="dot" w:pos="10456"/>
            </w:tabs>
            <w:spacing w:before="163" w:beforeLines="50" w:after="326" w:afterLines="100" w:line="360" w:lineRule="auto"/>
            <w:rPr>
              <w:rFonts w:ascii="Times New Roman" w:hAnsi="Times New Roman" w:cs="Times New Roman"/>
              <w:kern w:val="2"/>
              <w:sz w:val="21"/>
              <w:szCs w:val="22"/>
              <w:lang w:val="en-US"/>
              <w14:ligatures w14:val="standardContextual"/>
            </w:rPr>
          </w:pPr>
          <w:r>
            <w:fldChar w:fldCharType="begin"/>
          </w:r>
          <w:r>
            <w:instrText xml:space="preserve"> HYPERLINK \l "_Toc164618404" </w:instrText>
          </w:r>
          <w:r>
            <w:fldChar w:fldCharType="separate"/>
          </w:r>
          <w:r>
            <w:rPr>
              <w:rStyle w:val="23"/>
              <w:rFonts w:ascii="Times New Roman" w:hAnsi="Times New Roman" w:cs="Times New Roman"/>
            </w:rPr>
            <w:t>2.0 Organization Overview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_Toc164618404 \h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r>
            <w:rPr>
              <w:rFonts w:ascii="Times New Roman" w:hAnsi="Times New Roman" w:cs="Times New Roman"/>
            </w:rPr>
            <w:fldChar w:fldCharType="end"/>
          </w:r>
        </w:p>
        <w:p>
          <w:pPr>
            <w:pStyle w:val="14"/>
            <w:tabs>
              <w:tab w:val="right" w:leader="dot" w:pos="10456"/>
            </w:tabs>
            <w:spacing w:before="163" w:beforeLines="50" w:after="326" w:afterLines="100" w:line="360" w:lineRule="auto"/>
            <w:rPr>
              <w:rFonts w:ascii="Times New Roman" w:hAnsi="Times New Roman" w:cs="Times New Roman"/>
              <w:kern w:val="2"/>
              <w:sz w:val="21"/>
              <w:szCs w:val="22"/>
              <w:lang w:val="en-US"/>
              <w14:ligatures w14:val="standardContextual"/>
            </w:rPr>
          </w:pPr>
          <w:r>
            <w:fldChar w:fldCharType="begin"/>
          </w:r>
          <w:r>
            <w:instrText xml:space="preserve"> HYPERLINK \l "_Toc164618405" </w:instrText>
          </w:r>
          <w:r>
            <w:fldChar w:fldCharType="separate"/>
          </w:r>
          <w:r>
            <w:rPr>
              <w:rStyle w:val="23"/>
              <w:rFonts w:ascii="Times New Roman" w:hAnsi="Times New Roman" w:cs="Times New Roman"/>
            </w:rPr>
            <w:t>3.0 Main Discussion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_Toc164618405 \h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r>
            <w:rPr>
              <w:rFonts w:ascii="Times New Roman" w:hAnsi="Times New Roman" w:cs="Times New Roman"/>
            </w:rPr>
            <w:fldChar w:fldCharType="end"/>
          </w:r>
        </w:p>
        <w:p>
          <w:pPr>
            <w:pStyle w:val="16"/>
            <w:tabs>
              <w:tab w:val="right" w:leader="dot" w:pos="10456"/>
            </w:tabs>
            <w:spacing w:before="163" w:beforeLines="50" w:after="326" w:afterLines="100" w:line="360" w:lineRule="auto"/>
            <w:ind w:left="480"/>
            <w:rPr>
              <w:rFonts w:ascii="Times New Roman" w:hAnsi="Times New Roman" w:cs="Times New Roman"/>
              <w:kern w:val="2"/>
              <w:sz w:val="21"/>
              <w:szCs w:val="22"/>
              <w:lang w:val="en-US"/>
              <w14:ligatures w14:val="standardContextual"/>
            </w:rPr>
          </w:pPr>
          <w:r>
            <w:fldChar w:fldCharType="begin"/>
          </w:r>
          <w:r>
            <w:instrText xml:space="preserve"> HYPERLINK \l "_Toc164618406" </w:instrText>
          </w:r>
          <w:r>
            <w:fldChar w:fldCharType="separate"/>
          </w:r>
          <w:r>
            <w:rPr>
              <w:rStyle w:val="23"/>
              <w:rFonts w:ascii="Times New Roman" w:hAnsi="Times New Roman" w:cs="Times New Roman"/>
            </w:rPr>
            <w:t>3.1 The impacts of the internal and external environment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_Toc164618406 \h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r>
            <w:rPr>
              <w:rFonts w:ascii="Times New Roman" w:hAnsi="Times New Roman" w:cs="Times New Roman"/>
            </w:rPr>
            <w:fldChar w:fldCharType="end"/>
          </w:r>
        </w:p>
        <w:p>
          <w:pPr>
            <w:pStyle w:val="16"/>
            <w:tabs>
              <w:tab w:val="right" w:leader="dot" w:pos="10456"/>
            </w:tabs>
            <w:spacing w:before="163" w:beforeLines="50" w:after="326" w:afterLines="100" w:line="360" w:lineRule="auto"/>
            <w:ind w:left="480"/>
            <w:rPr>
              <w:rFonts w:ascii="Times New Roman" w:hAnsi="Times New Roman" w:cs="Times New Roman"/>
              <w:kern w:val="2"/>
              <w:sz w:val="21"/>
              <w:szCs w:val="22"/>
              <w:lang w:val="en-US"/>
              <w14:ligatures w14:val="standardContextual"/>
            </w:rPr>
          </w:pPr>
          <w:r>
            <w:fldChar w:fldCharType="begin"/>
          </w:r>
          <w:r>
            <w:instrText xml:space="preserve"> HYPERLINK \l "_Toc164618407" </w:instrText>
          </w:r>
          <w:r>
            <w:fldChar w:fldCharType="separate"/>
          </w:r>
          <w:r>
            <w:rPr>
              <w:rStyle w:val="23"/>
              <w:rFonts w:ascii="Times New Roman" w:hAnsi="Times New Roman" w:cs="Times New Roman"/>
            </w:rPr>
            <w:t>3.2 The impacts of size, reach, and sector</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_Toc164618407 \h </w:instrText>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r>
            <w:rPr>
              <w:rFonts w:ascii="Times New Roman" w:hAnsi="Times New Roman" w:cs="Times New Roman"/>
            </w:rPr>
            <w:fldChar w:fldCharType="end"/>
          </w:r>
        </w:p>
        <w:p>
          <w:pPr>
            <w:pStyle w:val="16"/>
            <w:tabs>
              <w:tab w:val="right" w:leader="dot" w:pos="10456"/>
            </w:tabs>
            <w:spacing w:before="163" w:beforeLines="50" w:after="326" w:afterLines="100" w:line="360" w:lineRule="auto"/>
            <w:ind w:left="480"/>
            <w:rPr>
              <w:rFonts w:ascii="Times New Roman" w:hAnsi="Times New Roman" w:cs="Times New Roman"/>
              <w:kern w:val="2"/>
              <w:sz w:val="21"/>
              <w:szCs w:val="22"/>
              <w:lang w:val="en-US"/>
              <w14:ligatures w14:val="standardContextual"/>
            </w:rPr>
          </w:pPr>
          <w:r>
            <w:fldChar w:fldCharType="begin"/>
          </w:r>
          <w:r>
            <w:instrText xml:space="preserve"> HYPERLINK \l "_Toc164618408" </w:instrText>
          </w:r>
          <w:r>
            <w:fldChar w:fldCharType="separate"/>
          </w:r>
          <w:r>
            <w:rPr>
              <w:rStyle w:val="23"/>
              <w:rFonts w:ascii="Times New Roman" w:hAnsi="Times New Roman" w:cs="Times New Roman"/>
            </w:rPr>
            <w:t>3.3 The primary concerns of the two organizations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_Toc164618408 \h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r>
            <w:rPr>
              <w:rFonts w:ascii="Times New Roman" w:hAnsi="Times New Roman" w:cs="Times New Roman"/>
            </w:rPr>
            <w:fldChar w:fldCharType="end"/>
          </w:r>
        </w:p>
        <w:p>
          <w:pPr>
            <w:pStyle w:val="16"/>
            <w:tabs>
              <w:tab w:val="right" w:leader="dot" w:pos="10456"/>
            </w:tabs>
            <w:spacing w:before="163" w:beforeLines="50" w:after="326" w:afterLines="100" w:line="360" w:lineRule="auto"/>
            <w:ind w:left="480"/>
            <w:rPr>
              <w:rFonts w:ascii="Times New Roman" w:hAnsi="Times New Roman" w:cs="Times New Roman"/>
              <w:kern w:val="2"/>
              <w:sz w:val="21"/>
              <w:szCs w:val="22"/>
              <w:lang w:val="en-US"/>
              <w14:ligatures w14:val="standardContextual"/>
            </w:rPr>
          </w:pPr>
          <w:r>
            <w:fldChar w:fldCharType="begin"/>
          </w:r>
          <w:r>
            <w:instrText xml:space="preserve"> HYPERLINK \l "_Toc164618409" </w:instrText>
          </w:r>
          <w:r>
            <w:fldChar w:fldCharType="separate"/>
          </w:r>
          <w:r>
            <w:rPr>
              <w:rStyle w:val="23"/>
              <w:rFonts w:ascii="Times New Roman" w:hAnsi="Times New Roman" w:cs="Times New Roman"/>
            </w:rPr>
            <w:t>3.4 The impacts of technologies on people management: the case of AI</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_Toc164618409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pPr>
            <w:pStyle w:val="14"/>
            <w:tabs>
              <w:tab w:val="right" w:leader="dot" w:pos="10456"/>
            </w:tabs>
            <w:spacing w:before="163" w:beforeLines="50" w:after="326" w:afterLines="100" w:line="360" w:lineRule="auto"/>
            <w:rPr>
              <w:rFonts w:ascii="Times New Roman" w:hAnsi="Times New Roman" w:cs="Times New Roman"/>
              <w:kern w:val="2"/>
              <w:sz w:val="21"/>
              <w:szCs w:val="22"/>
              <w:lang w:val="en-US"/>
              <w14:ligatures w14:val="standardContextual"/>
            </w:rPr>
          </w:pPr>
          <w:r>
            <w:fldChar w:fldCharType="begin"/>
          </w:r>
          <w:r>
            <w:instrText xml:space="preserve"> HYPERLINK \l "_Toc164618410" </w:instrText>
          </w:r>
          <w:r>
            <w:fldChar w:fldCharType="separate"/>
          </w:r>
          <w:r>
            <w:rPr>
              <w:rStyle w:val="23"/>
              <w:rFonts w:ascii="Times New Roman" w:hAnsi="Times New Roman" w:cs="Times New Roman"/>
            </w:rPr>
            <w:t>4.0 Conclusions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_Toc164618410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r>
            <w:rPr>
              <w:rFonts w:ascii="Times New Roman" w:hAnsi="Times New Roman" w:cs="Times New Roman"/>
            </w:rPr>
            <w:fldChar w:fldCharType="end"/>
          </w:r>
        </w:p>
        <w:p>
          <w:pPr>
            <w:pStyle w:val="14"/>
            <w:tabs>
              <w:tab w:val="right" w:leader="dot" w:pos="10456"/>
            </w:tabs>
            <w:spacing w:before="163" w:beforeLines="50" w:after="326" w:afterLines="100" w:line="360" w:lineRule="auto"/>
            <w:rPr>
              <w:rFonts w:ascii="Times New Roman" w:hAnsi="Times New Roman" w:cs="Times New Roman"/>
              <w:kern w:val="2"/>
              <w:sz w:val="21"/>
              <w:szCs w:val="22"/>
              <w:lang w:val="en-US"/>
              <w14:ligatures w14:val="standardContextual"/>
            </w:rPr>
          </w:pPr>
          <w:r>
            <w:fldChar w:fldCharType="begin"/>
          </w:r>
          <w:r>
            <w:instrText xml:space="preserve"> HYPERLINK \l "_Toc164618411" </w:instrText>
          </w:r>
          <w:r>
            <w:fldChar w:fldCharType="separate"/>
          </w:r>
          <w:r>
            <w:rPr>
              <w:rStyle w:val="23"/>
              <w:rFonts w:ascii="Times New Roman" w:hAnsi="Times New Roman" w:cs="Times New Roman"/>
            </w:rPr>
            <w:t>5.0 Recommendations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_Toc164618411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pPr>
            <w:pStyle w:val="14"/>
            <w:tabs>
              <w:tab w:val="right" w:leader="dot" w:pos="10456"/>
            </w:tabs>
            <w:spacing w:before="163" w:beforeLines="50" w:after="326" w:afterLines="100" w:line="360" w:lineRule="auto"/>
            <w:rPr>
              <w:rFonts w:ascii="Times New Roman" w:hAnsi="Times New Roman" w:cs="Times New Roman"/>
              <w:kern w:val="2"/>
              <w:sz w:val="21"/>
              <w:szCs w:val="22"/>
              <w:lang w:val="en-US"/>
              <w14:ligatures w14:val="standardContextual"/>
            </w:rPr>
          </w:pPr>
          <w:r>
            <w:fldChar w:fldCharType="begin"/>
          </w:r>
          <w:r>
            <w:instrText xml:space="preserve"> HYPERLINK \l "_Toc164618412" </w:instrText>
          </w:r>
          <w:r>
            <w:fldChar w:fldCharType="separate"/>
          </w:r>
          <w:r>
            <w:rPr>
              <w:rStyle w:val="23"/>
              <w:rFonts w:ascii="Times New Roman" w:hAnsi="Times New Roman" w:cs="Times New Roman"/>
            </w:rPr>
            <w:t>6.0 Reference List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_Toc164618412 \h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fldChar w:fldCharType="end"/>
          </w:r>
        </w:p>
        <w:p>
          <w:pPr>
            <w:spacing w:before="163" w:beforeLines="50" w:after="326" w:afterLines="100" w:line="360" w:lineRule="auto"/>
            <w:rPr>
              <w:rFonts w:ascii="Times New Roman" w:hAnsi="Times New Roman" w:cs="Times New Roman"/>
            </w:rPr>
          </w:pPr>
          <w:r>
            <w:rPr>
              <w:rFonts w:ascii="Times New Roman" w:hAnsi="Times New Roman" w:cs="Times New Roman"/>
              <w:b/>
              <w:bCs/>
              <w:lang w:val="zh-CN"/>
            </w:rPr>
            <w:fldChar w:fldCharType="end"/>
          </w:r>
        </w:p>
      </w:sdtContent>
    </w:sdt>
    <w:p>
      <w:pPr>
        <w:spacing w:before="163" w:beforeLines="50" w:after="326" w:afterLines="100" w:line="360" w:lineRule="auto"/>
        <w:rPr>
          <w:rFonts w:ascii="Times New Roman" w:hAnsi="Times New Roman" w:cs="Times New Roman"/>
          <w:b/>
          <w:bCs/>
          <w:sz w:val="40"/>
          <w:szCs w:val="40"/>
        </w:rPr>
      </w:pPr>
      <w:r>
        <w:rPr>
          <w:rFonts w:ascii="Times New Roman" w:hAnsi="Times New Roman" w:cs="Times New Roman"/>
          <w:b/>
          <w:bCs/>
          <w:sz w:val="40"/>
          <w:szCs w:val="40"/>
        </w:rPr>
        <w:br w:type="page"/>
      </w:r>
    </w:p>
    <w:p>
      <w:pPr>
        <w:pStyle w:val="2"/>
        <w:numPr>
          <w:ilvl w:val="0"/>
          <w:numId w:val="1"/>
        </w:numPr>
        <w:spacing w:before="163" w:beforeLines="50" w:after="326" w:afterLines="100" w:line="360" w:lineRule="auto"/>
        <w:rPr>
          <w:rFonts w:ascii="Times New Roman" w:hAnsi="Times New Roman" w:cs="Times New Roman"/>
        </w:rPr>
        <w:sectPr>
          <w:pgSz w:w="11906" w:h="16838"/>
          <w:pgMar w:top="1440" w:right="1080" w:bottom="1440" w:left="1080" w:header="851" w:footer="992" w:gutter="0"/>
          <w:pgNumType w:start="1"/>
          <w:cols w:space="425" w:num="1"/>
          <w:docGrid w:type="lines" w:linePitch="326" w:charSpace="0"/>
        </w:sectPr>
      </w:pPr>
      <w:bookmarkStart w:id="0" w:name="_Toc164618403"/>
    </w:p>
    <w:p>
      <w:pPr>
        <w:pStyle w:val="2"/>
        <w:numPr>
          <w:ilvl w:val="0"/>
          <w:numId w:val="1"/>
        </w:numPr>
        <w:spacing w:before="163" w:beforeLines="50" w:after="326" w:afterLines="100" w:line="360" w:lineRule="auto"/>
        <w:rPr>
          <w:rFonts w:ascii="Times New Roman" w:hAnsi="Times New Roman" w:cs="Times New Roman"/>
        </w:rPr>
      </w:pPr>
      <w:r>
        <w:rPr>
          <w:rFonts w:ascii="Times New Roman" w:hAnsi="Times New Roman" w:cs="Times New Roman"/>
        </w:rPr>
        <w:t>Introduction</w:t>
      </w:r>
      <w:bookmarkEnd w:id="0"/>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 xml:space="preserve">Human Resource Management (HRM) refers to the management activities of an enterprise to rationally utilize and develop human resources through a series of strategies, policies, and practices to achieve organizational goals </w:t>
      </w:r>
      <w:r>
        <w:rPr>
          <w:rFonts w:ascii="Times New Roman" w:hAnsi="Times New Roman" w:cs="Times New Roman"/>
        </w:rPr>
        <w:fldChar w:fldCharType="begin"/>
      </w:r>
      <w:r>
        <w:rPr>
          <w:rFonts w:ascii="Times New Roman" w:hAnsi="Times New Roman" w:cs="Times New Roman"/>
        </w:rPr>
        <w:instrText xml:space="preserve"> ADDIN ZOTERO_ITEM CSL_CITATION {"citationID":"SmwJ7Wt2","properties":{"formattedCitation":"(Ivancevich and Konopaske, 2013)","plainCitation":"(Ivancevich and Konopaske, 2013)","noteIndex":0},"citationItems":[{"id":4123,"uris":["http://zotero.org/users/10703570/items/UJGYN6LG"],"itemData":{"id":4123,"type":"book","ISBN":"0-07-802912-0","publisher":"McGraw-Hill","title":"Human resource management","author":[{"family":"Ivancevich","given":"John M"},{"family":"Konopaske","given":"Robert"}],"issued":{"date-parts":[["2013"]]}}}],"schema":"https://github.com/citation-style-language/schema/raw/master/csl-citation.json"}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(Ivancevich and Konopaske, 2013)</w:t>
      </w:r>
      <w:r>
        <w:rPr>
          <w:rFonts w:ascii="Times New Roman" w:hAnsi="Times New Roman" w:cs="Times New Roman"/>
        </w:rPr>
        <w:fldChar w:fldCharType="end"/>
      </w:r>
      <w:r>
        <w:rPr>
          <w:rFonts w:ascii="Times New Roman" w:hAnsi="Times New Roman" w:cs="Times New Roman"/>
        </w:rPr>
        <w:t xml:space="preserve">. It involves recruitment and selection, training and development, performance management, compensation, welfare, etc., aiming at improving employees' job satisfaction and organizational performance </w:t>
      </w:r>
      <w:r>
        <w:rPr>
          <w:rFonts w:ascii="Times New Roman" w:hAnsi="Times New Roman" w:cs="Times New Roman"/>
        </w:rPr>
        <w:fldChar w:fldCharType="begin"/>
      </w:r>
      <w:r>
        <w:rPr>
          <w:rFonts w:ascii="Times New Roman" w:hAnsi="Times New Roman" w:cs="Times New Roman"/>
        </w:rPr>
        <w:instrText xml:space="preserve"> ADDIN ZOTERO_ITEM CSL_CITATION {"citationID":"t1BV7OAg","properties":{"formattedCitation":"(Stewart and Brown, 2019)","plainCitation":"(Stewart and Brown, 2019)","noteIndex":0},"citationItems":[{"id":4124,"uris":["http://zotero.org/users/10703570/items/FIXQRXXA"],"itemData":{"id":4124,"type":"book","ISBN":"1-119-49298-X","publisher":"John Wiley &amp; Sons","title":"Human resource management","author":[{"family":"Stewart","given":"Greg L"},{"family":"Brown","given":"Kenneth G"}],"issued":{"date-parts":[["2019"]]}}}],"schema":"https://github.com/citation-style-language/schema/raw/master/csl-citation.json"}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(Stewart and Brown, 2019)</w:t>
      </w:r>
      <w:r>
        <w:rPr>
          <w:rFonts w:ascii="Times New Roman" w:hAnsi="Times New Roman" w:cs="Times New Roman"/>
        </w:rPr>
        <w:fldChar w:fldCharType="end"/>
      </w:r>
      <w:r>
        <w:rPr>
          <w:rFonts w:ascii="Times New Roman" w:hAnsi="Times New Roman" w:cs="Times New Roman"/>
        </w:rPr>
        <w:t xml:space="preserve">. HRM emphasizes the strategic and integrated nature of human resources, which is not just the work of one department or function but needs to be closely integrated with the organization's strategy and other functions to form a whole and to jointly promote the organization's development </w:t>
      </w:r>
      <w:r>
        <w:rPr>
          <w:rFonts w:ascii="Times New Roman" w:hAnsi="Times New Roman" w:cs="Times New Roman"/>
        </w:rPr>
        <w:fldChar w:fldCharType="begin"/>
      </w:r>
      <w:r>
        <w:rPr>
          <w:rFonts w:ascii="Times New Roman" w:hAnsi="Times New Roman" w:cs="Times New Roman"/>
        </w:rPr>
        <w:instrText xml:space="preserve"> ADDIN ZOTERO_ITEM CSL_CITATION {"citationID":"U2jcu9Af","properties":{"formattedCitation":"(Boon {\\i{}et al.}, 2018)","plainCitation":"(Boon et al., 2018)","noteIndex":0},"citationItems":[{"id":4125,"uris":["http://zotero.org/users/10703570/items/DYLNGSLI"],"itemData":{"id":4125,"type":"article-journal","container-title":"The International Journal of Human Resource Management","ISSN":"0958-5192","issue":"1","journalAbbreviation":"The International Journal of Human Resource Management","note":"publisher: Taylor &amp; Francis","page":"34-67","title":"Integrating strategic human capital and strategic human resource management","volume":"29","author":[{"family":"Boon","given":"Corine"},{"family":"Eckardt","given":"Rory"},{"family":"Lepak","given":"David P"},{"family":"Boselie","given":"Paul"}],"issued":{"date-parts":[["2018"]]}}}],"schema":"https://github.com/citation-style-language/schema/raw/master/csl-citation.json"}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 xml:space="preserve">(Boon </w:t>
      </w:r>
      <w:r>
        <w:rPr>
          <w:rFonts w:ascii="Times New Roman" w:hAnsi="Times New Roman" w:cs="Times New Roman"/>
          <w:i/>
          <w:iCs/>
        </w:rPr>
        <w:t>et al.</w:t>
      </w:r>
      <w:r>
        <w:rPr>
          <w:rFonts w:ascii="Times New Roman" w:hAnsi="Times New Roman" w:cs="Times New Roman"/>
        </w:rPr>
        <w:t>, 2018)</w:t>
      </w:r>
      <w:r>
        <w:rPr>
          <w:rFonts w:ascii="Times New Roman" w:hAnsi="Times New Roman" w:cs="Times New Roman"/>
        </w:rPr>
        <w:fldChar w:fldCharType="end"/>
      </w:r>
      <w:r>
        <w:rPr>
          <w:rFonts w:ascii="Times New Roman" w:hAnsi="Times New Roman" w:cs="Times New Roman"/>
        </w:rPr>
        <w:t xml:space="preserve">. </w:t>
      </w:r>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 xml:space="preserve">The present report delves into the role of HRM in two specific organizations of different types by contrasting different people management strategies employed by the chosen organizations, emphasizing how different working environments and cultures shape their approach. Specific perspectives discussed in the present study include the impacts of the internal and external working environment, the impacts from the organizational features (size, reach, and sector), the primary HRM concerns, and the impacts derived from HRM-related technological advancements. Through the comparison,  the present report can identify people management areas for further improvement. </w:t>
      </w:r>
    </w:p>
    <w:p>
      <w:pPr>
        <w:spacing w:before="163" w:beforeLines="50" w:after="326" w:afterLines="100" w:line="360" w:lineRule="auto"/>
        <w:jc w:val="both"/>
        <w:rPr>
          <w:rFonts w:ascii="Times New Roman" w:hAnsi="Times New Roman" w:cs="Times New Roman"/>
        </w:rPr>
      </w:pPr>
    </w:p>
    <w:p>
      <w:pPr>
        <w:spacing w:before="163" w:beforeLines="50" w:after="326" w:afterLines="100" w:line="360" w:lineRule="auto"/>
        <w:jc w:val="both"/>
        <w:rPr>
          <w:rFonts w:hint="eastAsia" w:ascii="Times New Roman" w:hAnsi="Times New Roman" w:cs="Times New Roman"/>
        </w:rPr>
      </w:pPr>
    </w:p>
    <w:p>
      <w:pPr>
        <w:pStyle w:val="2"/>
        <w:spacing w:before="163" w:beforeLines="50" w:after="326" w:afterLines="100" w:line="360" w:lineRule="auto"/>
        <w:rPr>
          <w:rFonts w:ascii="Times New Roman" w:hAnsi="Times New Roman" w:cs="Times New Roman"/>
        </w:rPr>
      </w:pPr>
      <w:bookmarkStart w:id="1" w:name="_Toc164618404"/>
      <w:r>
        <w:rPr>
          <w:rFonts w:ascii="Times New Roman" w:hAnsi="Times New Roman" w:cs="Times New Roman"/>
        </w:rPr>
        <w:t>2.0 Organization Overview</w:t>
      </w:r>
      <w:bookmarkEnd w:id="1"/>
      <w:r>
        <w:rPr>
          <w:rFonts w:ascii="Times New Roman" w:hAnsi="Times New Roman" w:cs="Times New Roman"/>
        </w:rPr>
        <w:t xml:space="preserve"> </w:t>
      </w:r>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The two chosen organizations to compare in the present essay are Huawei and Microsoft. The table follows provides a detailed profile of both companies, including their sizes, geographical locations, workforce demographics, etc. Both organizations rely on their HR department to deploy all different kinds of people management practices. However, HRM in Huawei supports mainly administrative functions through a centralized people management approach due to the company’s centralized and hierarchical culture; HRM in Microsoft is positioned as the strategic partner of Microsoft, by actively and proactively facilitating the realization of strategic goals through mobilizing human talents in a more decentralized and empowered manner, representing by the fact that HR professions are embedded in various Micro</w:t>
      </w:r>
      <w:bookmarkStart w:id="10" w:name="_GoBack"/>
      <w:bookmarkEnd w:id="10"/>
      <w:r>
        <w:rPr>
          <w:rFonts w:ascii="Times New Roman" w:hAnsi="Times New Roman" w:cs="Times New Roman"/>
        </w:rPr>
        <w:t xml:space="preserve">soft’s offices, allowing for optimal management flexibility. </w:t>
      </w:r>
    </w:p>
    <w:p>
      <w:pPr>
        <w:spacing w:after="0" w:line="240" w:lineRule="auto"/>
        <w:rPr>
          <w:rFonts w:ascii="Times New Roman" w:hAnsi="Times New Roman" w:cs="Times New Roman"/>
          <w:sz w:val="20"/>
          <w:szCs w:val="20"/>
        </w:rPr>
      </w:pPr>
      <w:r>
        <w:rPr>
          <w:rFonts w:ascii="Times New Roman" w:hAnsi="Times New Roman" w:cs="Times New Roman"/>
          <w:sz w:val="20"/>
          <w:szCs w:val="20"/>
        </w:rPr>
        <w:t xml:space="preserve">Table 1. Organization Overview </w:t>
      </w:r>
    </w:p>
    <w:p>
      <w:pPr>
        <w:spacing w:after="0" w:line="240" w:lineRule="auto"/>
        <w:rPr>
          <w:rFonts w:ascii="Times New Roman" w:hAnsi="Times New Roman" w:cs="Times New Roman"/>
          <w:sz w:val="20"/>
          <w:szCs w:val="20"/>
        </w:rPr>
      </w:pPr>
      <w:r>
        <w:rPr>
          <w:rFonts w:ascii="Times New Roman" w:hAnsi="Times New Roman" w:cs="Times New Roman"/>
          <w:sz w:val="20"/>
          <w:szCs w:val="20"/>
        </w:rPr>
        <w:t xml:space="preserve">Source: own summary based on information collected from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{"citationID":"u0yxizPx","properties":{"formattedCitation":"(Microsoft, 2023b; Huawei, 2024)","plainCitation":"(Microsoft, 2023b; Huawei, 2024)","noteIndex":0},"citationItems":[{"id":4128,"uris":["http://zotero.org/users/10703570/items/RKFZI4IN"],"itemData":{"id":4128,"type":"report","title":"Microsoft 2023 Annual Report","URL":"https://www.microsoft.com/investor/reports/ar23/index.html","author":[{"family":"Microsoft","given":""}],"accessed":{"date-parts":[["2024",4,21]]},"issued":{"date-parts":[["2023"]]}}},{"id":4126,"uris":["http://zotero.org/users/10703570/items/L9XV27YV"],"itemData":{"id":4126,"type":"report","abstract":"This page presents Huawei's latest annual report and financial histories in the past years.","language":"en","title":"Huawei Annual Report 2023","URL":"https://www.huawei.com/en/annual-report","author":[{"family":"Huawei","given":""}],"accessed":{"date-parts":[["2024",4,21]]},"issued":{"date-parts":[["2024"]]}}}],"schema":"https://github.com/citation-style-language/schema/raw/master/csl-citation.json"} </w:instrText>
      </w:r>
      <w:r>
        <w:rPr>
          <w:rFonts w:ascii="Times New Roman" w:hAnsi="Times New Roman" w:cs="Times New Roman"/>
          <w:sz w:val="20"/>
          <w:szCs w:val="20"/>
        </w:rPr>
        <w:fldChar w:fldCharType="separate"/>
      </w:r>
      <w:r>
        <w:rPr>
          <w:rFonts w:ascii="Times New Roman" w:hAnsi="Times New Roman" w:cs="Times New Roman"/>
          <w:sz w:val="20"/>
          <w:szCs w:val="20"/>
        </w:rPr>
        <w:t>(Microsoft, 2023b; Huawei, 2024)</w:t>
      </w:r>
      <w:r>
        <w:rPr>
          <w:rFonts w:ascii="Times New Roman" w:hAnsi="Times New Roman" w:cs="Times New Roman"/>
          <w:sz w:val="20"/>
          <w:szCs w:val="20"/>
        </w:rPr>
        <w:fldChar w:fldCharType="end"/>
      </w:r>
    </w:p>
    <w:tbl>
      <w:tblPr>
        <w:tblStyle w:val="51"/>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3314"/>
        <w:gridCol w:w="3347"/>
        <w:gridCol w:w="3301"/>
      </w:tblGrid>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3485" w:type="dxa"/>
            <w:tcBorders>
              <w:top w:val="single" w:color="72A7BB" w:sz="4" w:space="0"/>
              <w:left w:val="single" w:color="72A7BB" w:sz="4" w:space="0"/>
              <w:bottom w:val="single" w:color="72A7BB" w:sz="12" w:space="0"/>
              <w:right w:val="single" w:color="72A7BB" w:sz="4" w:space="0"/>
              <w:insideH w:val="single" w:sz="12" w:space="0"/>
            </w:tcBorders>
            <w:shd w:val="clear" w:color="auto" w:fill="CEE1E8"/>
          </w:tcPr>
          <w:p>
            <w:pPr>
              <w:spacing w:after="0" w:line="240" w:lineRule="auto"/>
              <w:rPr>
                <w:rFonts w:ascii="Times New Roman" w:hAnsi="Times New Roman" w:cs="Times New Roman"/>
                <w:b/>
                <w:bCs/>
                <w:color w:val="000000"/>
                <w:sz w:val="20"/>
                <w:szCs w:val="20"/>
              </w:rPr>
            </w:pPr>
          </w:p>
        </w:tc>
        <w:tc>
          <w:tcPr>
            <w:tcW w:w="3485" w:type="dxa"/>
            <w:tcBorders>
              <w:top w:val="single" w:color="72A7BB" w:sz="4" w:space="0"/>
              <w:left w:val="single" w:color="72A7BB" w:sz="4" w:space="0"/>
              <w:bottom w:val="single" w:color="72A7BB" w:sz="12" w:space="0"/>
              <w:right w:val="single" w:color="72A7BB" w:sz="4" w:space="0"/>
              <w:insideH w:val="single" w:sz="12" w:space="0"/>
            </w:tcBorders>
            <w:shd w:val="clear" w:color="auto" w:fill="CEE1E8"/>
          </w:tcPr>
          <w:p>
            <w:pPr>
              <w:spacing w:after="0" w:line="240" w:lineRule="auto"/>
              <w:rPr>
                <w:rFonts w:ascii="Times New Roman" w:hAnsi="Times New Roman" w:cs="Times New Roman"/>
                <w:b/>
                <w:bCs/>
                <w:color w:val="000000"/>
                <w:sz w:val="20"/>
                <w:szCs w:val="20"/>
              </w:rPr>
            </w:pPr>
            <w:r>
              <w:rPr>
                <w:rFonts w:ascii="Times New Roman" w:hAnsi="Times New Roman" w:cs="Times New Roman"/>
                <w:b/>
                <w:bCs/>
                <w:color w:val="000000"/>
                <w:sz w:val="20"/>
                <w:szCs w:val="20"/>
              </w:rPr>
              <w:t xml:space="preserve">Huawei </w:t>
            </w:r>
          </w:p>
        </w:tc>
        <w:tc>
          <w:tcPr>
            <w:tcW w:w="3486" w:type="dxa"/>
            <w:tcBorders>
              <w:top w:val="single" w:color="72A7BB" w:sz="4" w:space="0"/>
              <w:left w:val="single" w:color="72A7BB" w:sz="4" w:space="0"/>
              <w:bottom w:val="single" w:color="72A7BB" w:sz="12" w:space="0"/>
              <w:right w:val="single" w:color="72A7BB" w:sz="4" w:space="0"/>
              <w:insideH w:val="single" w:sz="12" w:space="0"/>
            </w:tcBorders>
            <w:shd w:val="clear" w:color="auto" w:fill="CEE1E8"/>
          </w:tcPr>
          <w:p>
            <w:pPr>
              <w:spacing w:after="0" w:line="240" w:lineRule="auto"/>
              <w:rPr>
                <w:rFonts w:ascii="Times New Roman" w:hAnsi="Times New Roman" w:cs="Times New Roman"/>
                <w:b/>
                <w:bCs/>
                <w:color w:val="000000"/>
                <w:sz w:val="20"/>
                <w:szCs w:val="20"/>
              </w:rPr>
            </w:pPr>
            <w:r>
              <w:rPr>
                <w:rFonts w:ascii="Times New Roman" w:hAnsi="Times New Roman" w:cs="Times New Roman"/>
                <w:b/>
                <w:bCs/>
                <w:color w:val="000000"/>
                <w:sz w:val="20"/>
                <w:szCs w:val="20"/>
              </w:rPr>
              <w:t xml:space="preserve">Microsoft </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3485"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b/>
                <w:bCs/>
                <w:color w:val="000000"/>
                <w:sz w:val="20"/>
                <w:szCs w:val="20"/>
              </w:rPr>
            </w:pPr>
            <w:r>
              <w:rPr>
                <w:rFonts w:ascii="Times New Roman" w:hAnsi="Times New Roman" w:cs="Times New Roman"/>
                <w:b/>
                <w:bCs/>
                <w:color w:val="000000"/>
                <w:sz w:val="20"/>
                <w:szCs w:val="20"/>
              </w:rPr>
              <w:t xml:space="preserve">Year of establishment </w:t>
            </w:r>
          </w:p>
        </w:tc>
        <w:tc>
          <w:tcPr>
            <w:tcW w:w="3485" w:type="dxa"/>
            <w:tcBorders>
              <w:top w:val="single" w:color="72A7BB" w:sz="4" w:space="0"/>
              <w:left w:val="single" w:color="72A7BB" w:sz="4" w:space="0"/>
              <w:bottom w:val="single" w:color="72A7BB" w:sz="4" w:space="0"/>
              <w:right w:val="single" w:color="72A7BB" w:sz="4" w:space="0"/>
            </w:tcBorders>
            <w:shd w:val="clear" w:color="auto" w:fill="F0F0F0"/>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1987</w:t>
            </w:r>
          </w:p>
        </w:tc>
        <w:tc>
          <w:tcPr>
            <w:tcW w:w="3486"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1975</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3485"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b/>
                <w:bCs/>
                <w:color w:val="000000"/>
                <w:sz w:val="20"/>
                <w:szCs w:val="20"/>
              </w:rPr>
            </w:pPr>
            <w:r>
              <w:rPr>
                <w:rFonts w:ascii="Times New Roman" w:hAnsi="Times New Roman" w:cs="Times New Roman"/>
                <w:b/>
                <w:bCs/>
                <w:color w:val="000000"/>
                <w:sz w:val="20"/>
                <w:szCs w:val="20"/>
              </w:rPr>
              <w:t>Company Type</w:t>
            </w:r>
          </w:p>
        </w:tc>
        <w:tc>
          <w:tcPr>
            <w:tcW w:w="3485" w:type="dxa"/>
            <w:tcBorders>
              <w:top w:val="single" w:color="72A7BB" w:sz="4" w:space="0"/>
              <w:left w:val="single" w:color="72A7BB" w:sz="4" w:space="0"/>
              <w:bottom w:val="single" w:color="72A7BB" w:sz="4" w:space="0"/>
              <w:right w:val="single" w:color="72A7BB" w:sz="4" w:space="0"/>
            </w:tcBorders>
            <w:shd w:val="clear" w:color="auto" w:fill="F0F0F0"/>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Private</w:t>
            </w:r>
          </w:p>
        </w:tc>
        <w:tc>
          <w:tcPr>
            <w:tcW w:w="3486"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Public (traded as Nasdaq MSFT)</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3485"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b/>
                <w:bCs/>
                <w:color w:val="000000"/>
                <w:sz w:val="20"/>
                <w:szCs w:val="20"/>
              </w:rPr>
            </w:pPr>
            <w:r>
              <w:rPr>
                <w:rFonts w:ascii="Times New Roman" w:hAnsi="Times New Roman" w:cs="Times New Roman"/>
                <w:b/>
                <w:bCs/>
                <w:color w:val="000000"/>
                <w:sz w:val="20"/>
                <w:szCs w:val="20"/>
              </w:rPr>
              <w:t xml:space="preserve">Headquarter </w:t>
            </w:r>
          </w:p>
        </w:tc>
        <w:tc>
          <w:tcPr>
            <w:tcW w:w="3485" w:type="dxa"/>
            <w:tcBorders>
              <w:top w:val="single" w:color="72A7BB" w:sz="4" w:space="0"/>
              <w:left w:val="single" w:color="72A7BB" w:sz="4" w:space="0"/>
              <w:bottom w:val="single" w:color="72A7BB" w:sz="4" w:space="0"/>
              <w:right w:val="single" w:color="72A7BB" w:sz="4" w:space="0"/>
            </w:tcBorders>
            <w:shd w:val="clear" w:color="auto" w:fill="F0F0F0"/>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Shenzhen, China</w:t>
            </w:r>
          </w:p>
        </w:tc>
        <w:tc>
          <w:tcPr>
            <w:tcW w:w="3486"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Washington, US</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3485"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b/>
                <w:bCs/>
                <w:color w:val="000000"/>
                <w:sz w:val="20"/>
                <w:szCs w:val="20"/>
              </w:rPr>
            </w:pPr>
            <w:r>
              <w:rPr>
                <w:rFonts w:ascii="Times New Roman" w:hAnsi="Times New Roman" w:cs="Times New Roman"/>
                <w:b/>
                <w:bCs/>
                <w:color w:val="000000"/>
                <w:sz w:val="20"/>
                <w:szCs w:val="20"/>
              </w:rPr>
              <w:t xml:space="preserve">Industry </w:t>
            </w:r>
          </w:p>
        </w:tc>
        <w:tc>
          <w:tcPr>
            <w:tcW w:w="3485" w:type="dxa"/>
            <w:tcBorders>
              <w:top w:val="single" w:color="72A7BB" w:sz="4" w:space="0"/>
              <w:left w:val="single" w:color="72A7BB" w:sz="4" w:space="0"/>
              <w:bottom w:val="single" w:color="72A7BB" w:sz="4" w:space="0"/>
              <w:right w:val="single" w:color="72A7BB" w:sz="4" w:space="0"/>
            </w:tcBorders>
            <w:shd w:val="clear" w:color="auto" w:fill="F0F0F0"/>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Consumer electronics</w:t>
            </w:r>
          </w:p>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 xml:space="preserve">Telecommunication and Networking equipment </w:t>
            </w:r>
          </w:p>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 xml:space="preserve">Etc. </w:t>
            </w:r>
          </w:p>
        </w:tc>
        <w:tc>
          <w:tcPr>
            <w:tcW w:w="3486"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Software development</w:t>
            </w:r>
          </w:p>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 xml:space="preserve">Computer hardware </w:t>
            </w:r>
          </w:p>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Gaming</w:t>
            </w:r>
          </w:p>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 xml:space="preserve">Etc.  </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3485"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b/>
                <w:bCs/>
                <w:color w:val="000000"/>
                <w:sz w:val="20"/>
                <w:szCs w:val="20"/>
              </w:rPr>
            </w:pPr>
            <w:r>
              <w:rPr>
                <w:rFonts w:ascii="Times New Roman" w:hAnsi="Times New Roman" w:cs="Times New Roman"/>
                <w:b/>
                <w:bCs/>
                <w:color w:val="000000"/>
                <w:sz w:val="20"/>
                <w:szCs w:val="20"/>
              </w:rPr>
              <w:t>Size (in terms of market capitalization in 2023)</w:t>
            </w:r>
          </w:p>
        </w:tc>
        <w:tc>
          <w:tcPr>
            <w:tcW w:w="3485" w:type="dxa"/>
            <w:tcBorders>
              <w:top w:val="single" w:color="72A7BB" w:sz="4" w:space="0"/>
              <w:left w:val="single" w:color="72A7BB" w:sz="4" w:space="0"/>
              <w:bottom w:val="single" w:color="72A7BB" w:sz="4" w:space="0"/>
              <w:right w:val="single" w:color="72A7BB" w:sz="4" w:space="0"/>
            </w:tcBorders>
            <w:shd w:val="clear" w:color="auto" w:fill="F0F0F0"/>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US$99 billion</w:t>
            </w:r>
          </w:p>
        </w:tc>
        <w:tc>
          <w:tcPr>
            <w:tcW w:w="3486"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US$211.9 billion</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3485"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b/>
                <w:bCs/>
                <w:color w:val="000000"/>
                <w:sz w:val="20"/>
                <w:szCs w:val="20"/>
              </w:rPr>
            </w:pPr>
            <w:r>
              <w:rPr>
                <w:rFonts w:ascii="Times New Roman" w:hAnsi="Times New Roman" w:cs="Times New Roman"/>
                <w:b/>
                <w:bCs/>
                <w:color w:val="000000"/>
                <w:sz w:val="20"/>
                <w:szCs w:val="20"/>
              </w:rPr>
              <w:t xml:space="preserve">Geographical locations </w:t>
            </w:r>
          </w:p>
        </w:tc>
        <w:tc>
          <w:tcPr>
            <w:tcW w:w="3485" w:type="dxa"/>
            <w:tcBorders>
              <w:top w:val="single" w:color="72A7BB" w:sz="4" w:space="0"/>
              <w:left w:val="single" w:color="72A7BB" w:sz="4" w:space="0"/>
              <w:bottom w:val="single" w:color="72A7BB" w:sz="4" w:space="0"/>
              <w:right w:val="single" w:color="72A7BB" w:sz="4" w:space="0"/>
            </w:tcBorders>
            <w:shd w:val="clear" w:color="auto" w:fill="F0F0F0"/>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 xml:space="preserve">Worldwide </w:t>
            </w:r>
          </w:p>
        </w:tc>
        <w:tc>
          <w:tcPr>
            <w:tcW w:w="3486"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 xml:space="preserve">Worldwide </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3485"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b/>
                <w:bCs/>
                <w:color w:val="000000"/>
                <w:sz w:val="20"/>
                <w:szCs w:val="20"/>
              </w:rPr>
            </w:pPr>
            <w:r>
              <w:rPr>
                <w:rFonts w:ascii="Times New Roman" w:hAnsi="Times New Roman" w:cs="Times New Roman"/>
                <w:b/>
                <w:bCs/>
                <w:color w:val="000000"/>
                <w:sz w:val="20"/>
                <w:szCs w:val="20"/>
              </w:rPr>
              <w:t>Number of employees (2023)</w:t>
            </w:r>
          </w:p>
        </w:tc>
        <w:tc>
          <w:tcPr>
            <w:tcW w:w="3485" w:type="dxa"/>
            <w:tcBorders>
              <w:top w:val="single" w:color="72A7BB" w:sz="4" w:space="0"/>
              <w:left w:val="single" w:color="72A7BB" w:sz="4" w:space="0"/>
              <w:bottom w:val="single" w:color="72A7BB" w:sz="4" w:space="0"/>
              <w:right w:val="single" w:color="72A7BB" w:sz="4" w:space="0"/>
            </w:tcBorders>
            <w:shd w:val="clear" w:color="auto" w:fill="F0F0F0"/>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207,272</w:t>
            </w:r>
          </w:p>
        </w:tc>
        <w:tc>
          <w:tcPr>
            <w:tcW w:w="3486"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221,000</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3485"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b/>
                <w:bCs/>
                <w:color w:val="000000"/>
                <w:sz w:val="20"/>
                <w:szCs w:val="20"/>
              </w:rPr>
            </w:pPr>
            <w:r>
              <w:rPr>
                <w:rFonts w:ascii="Times New Roman" w:hAnsi="Times New Roman" w:cs="Times New Roman"/>
                <w:b/>
                <w:bCs/>
                <w:color w:val="000000"/>
                <w:sz w:val="20"/>
                <w:szCs w:val="20"/>
              </w:rPr>
              <w:t xml:space="preserve">Workforce demographics </w:t>
            </w:r>
          </w:p>
        </w:tc>
        <w:tc>
          <w:tcPr>
            <w:tcW w:w="3485" w:type="dxa"/>
            <w:tcBorders>
              <w:top w:val="single" w:color="72A7BB" w:sz="4" w:space="0"/>
              <w:left w:val="single" w:color="72A7BB" w:sz="4" w:space="0"/>
              <w:bottom w:val="single" w:color="72A7BB" w:sz="4" w:space="0"/>
              <w:right w:val="single" w:color="72A7BB" w:sz="4" w:space="0"/>
            </w:tcBorders>
            <w:shd w:val="clear" w:color="auto" w:fill="F0F0F0"/>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 xml:space="preserve">Majority of Chinese, and some international employees in overseas offices </w:t>
            </w:r>
          </w:p>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Male-dominated as most tech companies</w:t>
            </w:r>
          </w:p>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 xml:space="preserve">Young workforce which aligns with Huawei’s focus on innovation and aggressive expansion  </w:t>
            </w:r>
          </w:p>
        </w:tc>
        <w:tc>
          <w:tcPr>
            <w:tcW w:w="3486" w:type="dxa"/>
            <w:tcBorders>
              <w:top w:val="single" w:color="72A7BB" w:sz="4" w:space="0"/>
              <w:left w:val="single" w:color="72A7BB" w:sz="4" w:space="0"/>
              <w:bottom w:val="single" w:color="72A7BB" w:sz="4" w:space="0"/>
              <w:right w:val="single" w:color="72A7BB" w:sz="4" w:space="0"/>
            </w:tcBorders>
            <w:shd w:val="clear" w:color="auto" w:fill="FEFEFE"/>
          </w:tcPr>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 xml:space="preserve">The highly international workforce across offices </w:t>
            </w:r>
          </w:p>
          <w:p>
            <w:pPr>
              <w:spacing w:after="0" w:line="240" w:lineRule="auto"/>
              <w:rPr>
                <w:rFonts w:ascii="Times New Roman" w:hAnsi="Times New Roman" w:cs="Times New Roman"/>
                <w:color w:val="000000"/>
                <w:sz w:val="20"/>
                <w:szCs w:val="20"/>
              </w:rPr>
            </w:pPr>
            <w:r>
              <w:rPr>
                <w:rFonts w:ascii="Times New Roman" w:hAnsi="Times New Roman" w:cs="Times New Roman"/>
                <w:color w:val="000000"/>
                <w:sz w:val="20"/>
                <w:szCs w:val="20"/>
              </w:rPr>
              <w:t xml:space="preserve">Relatively diversified gender and, ethics age distribution </w:t>
            </w:r>
          </w:p>
        </w:tc>
      </w:tr>
    </w:tbl>
    <w:p>
      <w:pPr>
        <w:spacing w:before="163" w:beforeLines="50" w:after="326" w:afterLines="100" w:line="360" w:lineRule="auto"/>
        <w:rPr>
          <w:rFonts w:ascii="Times New Roman" w:hAnsi="Times New Roman" w:cs="Times New Roman"/>
        </w:rPr>
      </w:pPr>
    </w:p>
    <w:p>
      <w:pPr>
        <w:pStyle w:val="2"/>
        <w:spacing w:before="163" w:beforeLines="50" w:after="326" w:afterLines="100" w:line="360" w:lineRule="auto"/>
        <w:rPr>
          <w:rFonts w:ascii="Times New Roman" w:hAnsi="Times New Roman" w:cs="Times New Roman"/>
        </w:rPr>
      </w:pPr>
      <w:bookmarkStart w:id="2" w:name="_Toc164618405"/>
      <w:r>
        <w:rPr>
          <w:rFonts w:ascii="Times New Roman" w:hAnsi="Times New Roman" w:cs="Times New Roman"/>
        </w:rPr>
        <w:t>3.0 Main discussion</w:t>
      </w:r>
      <w:bookmarkEnd w:id="2"/>
      <w:r>
        <w:rPr>
          <w:rFonts w:ascii="Times New Roman" w:hAnsi="Times New Roman" w:cs="Times New Roman"/>
        </w:rPr>
        <w:t xml:space="preserve"> </w:t>
      </w:r>
    </w:p>
    <w:p>
      <w:pPr>
        <w:pStyle w:val="3"/>
        <w:spacing w:before="163" w:beforeLines="50" w:after="326" w:afterLines="100" w:line="360" w:lineRule="auto"/>
        <w:rPr>
          <w:rFonts w:ascii="Times New Roman" w:hAnsi="Times New Roman" w:cs="Times New Roman"/>
        </w:rPr>
      </w:pPr>
      <w:bookmarkStart w:id="3" w:name="_Toc164618406"/>
      <w:r>
        <w:rPr>
          <w:rFonts w:ascii="Times New Roman" w:hAnsi="Times New Roman" w:cs="Times New Roman"/>
        </w:rPr>
        <w:t>3.1 The impacts of the internal and external environment</w:t>
      </w:r>
      <w:bookmarkEnd w:id="3"/>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 xml:space="preserve">In terms of Huawei, born as a Chinese multinational, Huawei’s internal environment has been shaped by its distinct Chinese culture, such as greater power distance and bureaucracies, greater management centralization, etc. </w:t>
      </w:r>
      <w:r>
        <w:rPr>
          <w:rFonts w:ascii="Times New Roman" w:hAnsi="Times New Roman" w:cs="Times New Roman"/>
        </w:rPr>
        <w:fldChar w:fldCharType="begin"/>
      </w:r>
      <w:r>
        <w:rPr>
          <w:rFonts w:ascii="Times New Roman" w:hAnsi="Times New Roman" w:cs="Times New Roman"/>
        </w:rPr>
        <w:instrText xml:space="preserve"> ADDIN ZOTERO_ITEM CSL_CITATION {"citationID":"VIAQiVdS","properties":{"formattedCitation":"(Cooke, 2014)","plainCitation":"(Cooke, 2014)","noteIndex":0},"citationItems":[{"id":4130,"uris":["http://zotero.org/users/10703570/items/NM8ULZN4"],"itemData":{"id":4130,"type":"chapter","container-title":"The Changing Face of Management in China","page":"28-51","publisher":"Routledge","title":"The changing face of human resource management in China","author":[{"family":"Cooke","given":"Fang Lee"}],"issued":{"date-parts":[["2014"]]}}}],"schema":"https://github.com/citation-style-language/schema/raw/master/csl-citation.json"}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(Cooke, 2014)</w:t>
      </w:r>
      <w:r>
        <w:rPr>
          <w:rFonts w:ascii="Times New Roman" w:hAnsi="Times New Roman" w:cs="Times New Roman"/>
        </w:rPr>
        <w:fldChar w:fldCharType="end"/>
      </w:r>
      <w:r>
        <w:rPr>
          <w:rFonts w:ascii="Times New Roman" w:hAnsi="Times New Roman" w:cs="Times New Roman"/>
        </w:rPr>
        <w:t xml:space="preserve"> These cultural facets significantly impact how Huawei manages its people. For instance, the organizational structure of Huawei is hierarchical, reflecting the traditional values of respecting seniority and authority. The hierarchical structure is reflected in the top-to-down decision-making and headquarter-to-subsidiary decision-making in terms of people management. At the same time, the highly masculine corporate culture has led to a people management strategy where Huawei advocates widening the gap in pay incentives according to the contribution of employees to the company, breaking the pay balance, and rewarding outstanding employees </w:t>
      </w:r>
      <w:r>
        <w:rPr>
          <w:rFonts w:ascii="Times New Roman" w:hAnsi="Times New Roman" w:cs="Times New Roman"/>
        </w:rPr>
        <w:fldChar w:fldCharType="begin"/>
      </w:r>
      <w:r>
        <w:rPr>
          <w:rFonts w:ascii="Times New Roman" w:hAnsi="Times New Roman" w:cs="Times New Roman"/>
        </w:rPr>
        <w:instrText xml:space="preserve"> ADDIN ZOTERO_ITEM CSL_CITATION {"citationID":"w1HBr8kE","properties":{"formattedCitation":"(Wu {\\i{}et al.}, 2020)","plainCitation":"(Wu et al., 2020)","noteIndex":0},"citationItems":[{"id":4132,"uris":["http://zotero.org/users/10703570/items/M2YE6IV5"],"itemData":{"id":4132,"type":"book","ISBN":"1-108-42643-3","publisher":"Cambridge University Press","title":"The transformation of Huawei: From humble beginnings to global leadership","author":[{"family":"Wu","given":"Xiaobo"},{"family":"Murmann","given":"Johann Peter"},{"family":"Huang","given":"Can"},{"family":"Guo","given":"Bin"}],"issued":{"date-parts":[["2020"]]}}}],"schema":"https://github.com/citation-style-language/schema/raw/master/csl-citation.json"}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 xml:space="preserve">(Wu </w:t>
      </w:r>
      <w:r>
        <w:rPr>
          <w:rFonts w:ascii="Times New Roman" w:hAnsi="Times New Roman" w:cs="Times New Roman"/>
          <w:i/>
          <w:iCs/>
        </w:rPr>
        <w:t>et al.</w:t>
      </w:r>
      <w:r>
        <w:rPr>
          <w:rFonts w:ascii="Times New Roman" w:hAnsi="Times New Roman" w:cs="Times New Roman"/>
        </w:rPr>
        <w:t>, 2020)</w:t>
      </w:r>
      <w:r>
        <w:rPr>
          <w:rFonts w:ascii="Times New Roman" w:hAnsi="Times New Roman" w:cs="Times New Roman"/>
        </w:rPr>
        <w:fldChar w:fldCharType="end"/>
      </w:r>
      <w:r>
        <w:rPr>
          <w:rFonts w:ascii="Times New Roman" w:hAnsi="Times New Roman" w:cs="Times New Roman"/>
        </w:rPr>
        <w:t xml:space="preserve">. Organizational resources are prioritized towards more valuable business areas and outstanding talents. Create a developmental potential difference in the talent team and form a tense organizational atmosphere. In recent years, being involved in the swirl of the trade war between the Sino-US trade wars, and being the target of sanctions of many countries, Huawei has adapted its people management strategies. For instance, the recruitment strategies have been focused on the reliance and adaptability ability to seek individuals who can navigate a rapidly changing technological and political landscape, resulting in more international employees with qualified competencies being recruited to form increasingly diversified workforces </w:t>
      </w:r>
      <w:r>
        <w:rPr>
          <w:rFonts w:ascii="Times New Roman" w:hAnsi="Times New Roman" w:cs="Times New Roman"/>
        </w:rPr>
        <w:fldChar w:fldCharType="begin"/>
      </w:r>
      <w:r>
        <w:rPr>
          <w:rFonts w:ascii="Times New Roman" w:hAnsi="Times New Roman" w:cs="Times New Roman"/>
        </w:rPr>
        <w:instrText xml:space="preserve"> ADDIN ZOTERO_ITEM CSL_CITATION {"citationID":"a0lF0j8D","properties":{"formattedCitation":"(Schaefer, 2020)","plainCitation":"(Schaefer, 2020)","noteIndex":0},"citationItems":[{"id":4131,"uris":["http://zotero.org/users/10703570/items/MA5AV8R4"],"itemData":{"id":4131,"type":"article-journal","container-title":"Journal of International Business Studies","ISSN":"0047-2506","journalAbbreviation":"Journal of International Business Studies","note":"publisher: Springer","page":"1500-1515","title":"Catching up by hiring: The case of Huawei","volume":"51","author":[{"family":"Schaefer","given":"Kerstin J"}],"issued":{"date-parts":[["2020"]]}}}],"schema":"https://github.com/citation-style-language/schema/raw/master/csl-citation.json"}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(Schaefer, 2020)</w:t>
      </w:r>
      <w:r>
        <w:rPr>
          <w:rFonts w:ascii="Times New Roman" w:hAnsi="Times New Roman" w:cs="Times New Roman"/>
        </w:rPr>
        <w:fldChar w:fldCharType="end"/>
      </w:r>
      <w:r>
        <w:rPr>
          <w:rFonts w:ascii="Times New Roman" w:hAnsi="Times New Roman" w:cs="Times New Roman"/>
        </w:rPr>
        <w:t xml:space="preserve">. Also, to improve its self-reliance on innovation and develop comparable technologies, a greater share of time and capital in people management is invested in training and developing talents to update their knowledge bases and skillsets for continuous learning and innovation </w:t>
      </w:r>
      <w:r>
        <w:rPr>
          <w:rFonts w:ascii="Times New Roman" w:hAnsi="Times New Roman" w:cs="Times New Roman"/>
        </w:rPr>
        <w:fldChar w:fldCharType="begin"/>
      </w:r>
      <w:r>
        <w:rPr>
          <w:rFonts w:ascii="Times New Roman" w:hAnsi="Times New Roman" w:cs="Times New Roman"/>
        </w:rPr>
        <w:instrText xml:space="preserve"> ADDIN ZOTERO_ITEM CSL_CITATION {"citationID":"s4P3ymFs","properties":{"formattedCitation":"(Li {\\i{}et al.}, 2020; \\uc0\\u352{}kudien\\uc0\\u279{}, Li-Ying and Bernhard, 2020)","plainCitation":"(Li et al., 2020; Škudienė, Li-Ying and Bernhard, 2020)","noteIndex":0},"citationItems":[{"id":4134,"uris":["http://zotero.org/users/10703570/items/RNRMEV8W"],"itemData":{"id":4134,"type":"article-journal","container-title":"Chinese Management Studies","ISSN":"1750-614X","issue":"2","journalAbbreviation":"Chinese Management Studies","note":"publisher: Emerald Group Publishing Ltd.","page":"325-333","title":"Guest editorial: Innovation with Chinese characteristics: theory and practice","volume":"14","author":[{"family":"Li","given":"Zheng"},{"family":"Li","given":"Jun"},{"family":"Chen","given":"Jin"},{"family":"Vinig","given":"Tsvi"}],"issued":{"date-parts":[["2020"]]}}},{"id":4133,"uris":["http://zotero.org/users/10703570/items/RAH6D73U"],"itemData":{"id":4133,"type":"chapter","container-title":"Innovation Management","ISBN":"1-78990-981-3","page":"2-14","publisher":"Edward Elgar Publishing","title":"Innovation management: perspectives from strategy, product, process and human resource research","author":[{"family":"Škudienė","given":"Vida"},{"family":"Li-Ying","given":"Jason"},{"family":"Bernhard","given":"Fabian"}],"issued":{"date-parts":[["2020"]]}}}],"schema":"https://github.com/citation-style-language/schema/raw/master/csl-citation.json"}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 xml:space="preserve">(Li </w:t>
      </w:r>
      <w:r>
        <w:rPr>
          <w:rFonts w:ascii="Times New Roman" w:hAnsi="Times New Roman" w:cs="Times New Roman"/>
          <w:i/>
          <w:iCs/>
        </w:rPr>
        <w:t>et al.</w:t>
      </w:r>
      <w:r>
        <w:rPr>
          <w:rFonts w:ascii="Times New Roman" w:hAnsi="Times New Roman" w:cs="Times New Roman"/>
        </w:rPr>
        <w:t>, 2020; Škudienė, Li-Ying and Bernhard, 2020)</w:t>
      </w:r>
      <w:r>
        <w:rPr>
          <w:rFonts w:ascii="Times New Roman" w:hAnsi="Times New Roman" w:cs="Times New Roman"/>
        </w:rPr>
        <w:fldChar w:fldCharType="end"/>
      </w:r>
      <w:r>
        <w:rPr>
          <w:rFonts w:ascii="Times New Roman" w:hAnsi="Times New Roman" w:cs="Times New Roman"/>
        </w:rPr>
        <w:t xml:space="preserve">. </w:t>
      </w:r>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 xml:space="preserve">In terms of Microsoft, impacted by its internal environment that prioritizes organizational growth and business diversification, Microsoft has been focusing on recruiting and supporting talents with a broader range of skills and capabilities from cloud computing professionals to game development professionals, increasingly diversified the global workforce of Microsoft </w:t>
      </w:r>
      <w:r>
        <w:rPr>
          <w:rFonts w:ascii="Times New Roman" w:hAnsi="Times New Roman" w:cs="Times New Roman"/>
        </w:rPr>
        <w:fldChar w:fldCharType="begin"/>
      </w:r>
      <w:r>
        <w:rPr>
          <w:rFonts w:ascii="Times New Roman" w:hAnsi="Times New Roman" w:cs="Times New Roman"/>
        </w:rPr>
        <w:instrText xml:space="preserve"> ADDIN ZOTERO_ITEM CSL_CITATION {"citationID":"kv5ujZdQ","properties":{"formattedCitation":"(Microsoft, 2023b)","plainCitation":"(Microsoft, 2023b)","noteIndex":0},"citationItems":[{"id":4128,"uris":["http://zotero.org/users/10703570/items/RKFZI4IN"],"itemData":{"id":4128,"type":"report","title":"Microsoft 2023 Annual Report","URL":"https://www.microsoft.com/investor/reports/ar23/index.html","author":[{"family":"Microsoft","given":""}],"accessed":{"date-parts":[["2024",4,21]]},"issued":{"date-parts":[["2023"]]}}}],"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(Microsoft, 2023b)</w:t>
      </w:r>
      <w:r>
        <w:rPr>
          <w:rFonts w:ascii="Times New Roman" w:hAnsi="Times New Roman" w:cs="Times New Roman"/>
        </w:rPr>
        <w:fldChar w:fldCharType="end"/>
      </w:r>
      <w:r>
        <w:rPr>
          <w:rFonts w:ascii="Times New Roman" w:hAnsi="Times New Roman" w:cs="Times New Roman"/>
        </w:rPr>
        <w:t xml:space="preserve">. Also, the internal drive to harmonize and integrate acquisitions of other companies from all over the world ( such as the acquisition of LinkedIn and GitHub) requires balanced and adaptable people management strategies their different cultures can be merged into one cohesive belief and value to lead Microsfot’s global operation. Similarly to Huawei, the external environment of Microsoft is featured by rapid technological advancements and intense geopolitical conflicts, whereas Microsoft demonstrates greater resilience, flexibility, and agility in people management to facilitate its global operation in an increasingly volatile and unpredictable environment </w:t>
      </w:r>
      <w:r>
        <w:rPr>
          <w:rFonts w:ascii="Times New Roman" w:hAnsi="Times New Roman" w:cs="Times New Roman"/>
        </w:rPr>
        <w:fldChar w:fldCharType="begin"/>
      </w:r>
      <w:r>
        <w:rPr>
          <w:rFonts w:ascii="Times New Roman" w:hAnsi="Times New Roman" w:cs="Times New Roman"/>
        </w:rPr>
        <w:instrText xml:space="preserve"> ADDIN ZOTERO_ITEM CSL_CITATION {"citationID":"8jXv0GMV","properties":{"formattedCitation":"(Flores, Joseph and Flores, 2020)","plainCitation":"(Flores, Joseph and Flores, 2020)","noteIndex":0},"citationItems":[{"id":4136,"uris":["http://zotero.org/users/10703570/items/2GSHMRAN"],"itemData":{"id":4136,"type":"book","abstract":"Human Resource Management Practice in Microsoft Corporation","note":"DOI: 10.13140/RG.2.2.36246.70729","source":"ResearchGate","title":"Human Resource Management Practice in Microsoft Corporation","author":[{"family":"Flores","given":"Joever"},{"literal":"Joseph"},{"family":"Flores","given":"JoJo"}],"issued":{"date-parts":[["2020",2,17]]}}}],"schema":"https://github.com/citation-style-language/schema/raw/master/csl-citation.json"}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(Flores, Joseph and Flores, 2020)</w:t>
      </w:r>
      <w:r>
        <w:rPr>
          <w:rFonts w:ascii="Times New Roman" w:hAnsi="Times New Roman" w:cs="Times New Roman"/>
        </w:rPr>
        <w:fldChar w:fldCharType="end"/>
      </w:r>
      <w:r>
        <w:rPr>
          <w:rFonts w:ascii="Times New Roman" w:hAnsi="Times New Roman" w:cs="Times New Roman"/>
        </w:rPr>
        <w:t xml:space="preserve">. Detailed practices used by Microsoft include a decentralized approach toward people management by setting up local HR teams, and an agile method focusing on cross-functional collaboration and communication.  </w:t>
      </w:r>
    </w:p>
    <w:p>
      <w:pPr>
        <w:pStyle w:val="3"/>
        <w:spacing w:before="163" w:beforeLines="50" w:after="326" w:afterLines="100" w:line="360" w:lineRule="auto"/>
        <w:rPr>
          <w:rFonts w:ascii="Times New Roman" w:hAnsi="Times New Roman" w:cs="Times New Roman"/>
        </w:rPr>
      </w:pPr>
      <w:bookmarkStart w:id="4" w:name="_Toc164618407"/>
      <w:r>
        <w:rPr>
          <w:rFonts w:ascii="Times New Roman" w:hAnsi="Times New Roman" w:cs="Times New Roman"/>
        </w:rPr>
        <w:t>3.2 The impacts of size, reach, and sector</w:t>
      </w:r>
      <w:bookmarkEnd w:id="4"/>
      <w:r>
        <w:rPr>
          <w:rFonts w:ascii="Times New Roman" w:hAnsi="Times New Roman" w:cs="Times New Roman"/>
        </w:rPr>
        <w:t xml:space="preserve"> </w:t>
      </w:r>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 xml:space="preserve">Knowledge capitalization refers to treating knowledge as (and being able to transform it into) capital that can create value for the company </w:t>
      </w:r>
      <w:r>
        <w:rPr>
          <w:rFonts w:ascii="Times New Roman" w:hAnsi="Times New Roman" w:cs="Times New Roman"/>
        </w:rPr>
        <w:fldChar w:fldCharType="begin"/>
      </w:r>
      <w:r>
        <w:rPr>
          <w:rFonts w:ascii="Times New Roman" w:hAnsi="Times New Roman" w:cs="Times New Roman"/>
        </w:rPr>
        <w:instrText xml:space="preserve"> ADDIN ZOTERO_ITEM CSL_CITATION {"citationID":"97PUO5BK","properties":{"formattedCitation":"(V\\uc0\\u259{}t\\uc0\\u259{}m\\uc0\\u259{}nescu {\\i{}et al.}, 2023)","plainCitation":"(Vătămănescu et al., 2023)","noteIndex":0},"citationItems":[{"id":4135,"uris":["http://zotero.org/users/10703570/items/KCAIJBI3"],"itemData":{"id":4135,"type":"article-journal","container-title":"Journal of Knowledge Management","ISSN":"1367-3270","issue":"5","journalAbbreviation":"Journal of Knowledge Management","note":"publisher: Emerald Publishing Limited","page":"1366-1389","title":"Capitalizing online knowledge networks: from individual knowledge acquisition towards organizational achievements","volume":"27","author":[{"family":"Vătămănescu","given":"Elena-Mădălina"},{"family":"Bratianu","given":"Constantin"},{"family":"Dabija","given":"Dan-Cristian"},{"family":"Popa","given":"Simona"}],"issued":{"date-parts":[["2023"]]}}}],"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 xml:space="preserve">(Vătămănescu </w:t>
      </w:r>
      <w:r>
        <w:rPr>
          <w:rFonts w:ascii="Times New Roman" w:hAnsi="Times New Roman" w:cs="Times New Roman"/>
          <w:i/>
          <w:iCs/>
        </w:rPr>
        <w:t>et al.</w:t>
      </w:r>
      <w:r>
        <w:rPr>
          <w:rFonts w:ascii="Times New Roman" w:hAnsi="Times New Roman" w:cs="Times New Roman"/>
        </w:rPr>
        <w:t>, 2023)</w:t>
      </w:r>
      <w:r>
        <w:rPr>
          <w:rFonts w:ascii="Times New Roman" w:hAnsi="Times New Roman" w:cs="Times New Roman"/>
        </w:rPr>
        <w:fldChar w:fldCharType="end"/>
      </w:r>
      <w:r>
        <w:rPr>
          <w:rFonts w:ascii="Times New Roman" w:hAnsi="Times New Roman" w:cs="Times New Roman"/>
        </w:rPr>
        <w:t xml:space="preserve">. This is a special feature of Huawei's HRM and a concept that has been advocated since the early days of Huawei, with the Huawei Basic Law listing "knowledge" as one of the core elements of the company's value creation </w:t>
      </w:r>
      <w:r>
        <w:rPr>
          <w:rFonts w:ascii="Times New Roman" w:hAnsi="Times New Roman" w:cs="Times New Roman"/>
        </w:rPr>
        <w:fldChar w:fldCharType="begin"/>
      </w:r>
      <w:r>
        <w:rPr>
          <w:rFonts w:ascii="Times New Roman" w:hAnsi="Times New Roman" w:cs="Times New Roman"/>
        </w:rPr>
        <w:instrText xml:space="preserve"> ADDIN ZOTERO_ITEM CSL_CITATION {"citationID":"7P2DMvy0","properties":{"formattedCitation":"(Li {\\i{}et al.}, 2023)","plainCitation":"(Li et al., 2023)","noteIndex":0},"citationItems":[{"id":4138,"uris":["http://zotero.org/users/10703570/items/N9H9GBJB"],"itemData":{"id":4138,"type":"article-journal","container-title":"Technological and Economic Development of Economy","ISSN":"2029-4921","issue":"1","journalAbbreviation":"Technological and Economic Development of Economy","page":"278-306","title":"Open innovation: a research framework and case study of Huawei","volume":"29","author":[{"family":"Li","given":"Bo"},{"family":"Xu","given":"Zeshui"},{"family":"Wu","given":"Hangyao"},{"family":"Hong","given":"Nan"},{"family":"Skare","given":"Marinko"}],"issued":{"date-parts":[["2023"]]}}}],"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 xml:space="preserve">(Li </w:t>
      </w:r>
      <w:r>
        <w:rPr>
          <w:rFonts w:ascii="Times New Roman" w:hAnsi="Times New Roman" w:cs="Times New Roman"/>
          <w:i/>
          <w:iCs/>
        </w:rPr>
        <w:t>et al.</w:t>
      </w:r>
      <w:r>
        <w:rPr>
          <w:rFonts w:ascii="Times New Roman" w:hAnsi="Times New Roman" w:cs="Times New Roman"/>
        </w:rPr>
        <w:t>, 2023)</w:t>
      </w:r>
      <w:r>
        <w:rPr>
          <w:rFonts w:ascii="Times New Roman" w:hAnsi="Times New Roman" w:cs="Times New Roman"/>
        </w:rPr>
        <w:fldChar w:fldCharType="end"/>
      </w:r>
      <w:r>
        <w:rPr>
          <w:rFonts w:ascii="Times New Roman" w:hAnsi="Times New Roman" w:cs="Times New Roman"/>
        </w:rPr>
        <w:t xml:space="preserve">. Unlike other companies, Huawei is a typical high-tech company with global reach, where intellectuals not only make up the majority of the workforce but are also typically the quality of the people who are crucial to the company's future development. For this reason, Huawei recognizes and attaches great importance to the value of intellectual capital, acknowledges and recognizes the role of intellectuals, and establishes a systematic mechanism of co-creation and sharing with them </w:t>
      </w:r>
      <w:r>
        <w:rPr>
          <w:rFonts w:ascii="Times New Roman" w:hAnsi="Times New Roman" w:cs="Times New Roman"/>
        </w:rPr>
        <w:fldChar w:fldCharType="begin"/>
      </w:r>
      <w:r>
        <w:rPr>
          <w:rFonts w:ascii="Times New Roman" w:hAnsi="Times New Roman" w:cs="Times New Roman"/>
        </w:rPr>
        <w:instrText xml:space="preserve"> ADDIN ZOTERO_ITEM CSL_CITATION {"citationID":"ymyhpAOX","properties":{"formattedCitation":"(Schaefer, 2020)","plainCitation":"(Schaefer, 2020)","noteIndex":0},"citationItems":[{"id":4131,"uris":["http://zotero.org/users/10703570/items/MA5AV8R4"],"itemData":{"id":4131,"type":"article-journal","container-title":"Journal of International Business Studies","ISSN":"0047-2506","journalAbbreviation":"Journal of International Business Studies","note":"publisher: Springer","page":"1500-1515","title":"Catching up by hiring: The case of Huawei","volume":"51","author":[{"family":"Schaefer","given":"Kerstin J"}],"issued":{"date-parts":[["2020"]]}}}],"schema":"https://github.com/citation-style-language/schema/raw/master/csl-citation.json"}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(Schaefer, 2020)</w:t>
      </w:r>
      <w:r>
        <w:rPr>
          <w:rFonts w:ascii="Times New Roman" w:hAnsi="Times New Roman" w:cs="Times New Roman"/>
        </w:rPr>
        <w:fldChar w:fldCharType="end"/>
      </w:r>
      <w:r>
        <w:rPr>
          <w:rFonts w:ascii="Times New Roman" w:hAnsi="Times New Roman" w:cs="Times New Roman"/>
        </w:rPr>
        <w:t xml:space="preserve">. The capitalization of knowledge is mainly manifested in the following two aspects: first, the right to claim residual value. Ren Zhengfei (Huawei’s CEO) knew the value of knowledge as early as the start-up stage of Huawei and recognized the utility of intellectuals. It is Huawei's tradition to respect and cherish talents, and in 1997 when drafting Huawei's Basic Law, he explicitly proposed "knowledge capitalism" and "knowledge is also a source of corporate value creation" </w:t>
      </w:r>
      <w:r>
        <w:rPr>
          <w:rFonts w:ascii="Times New Roman" w:hAnsi="Times New Roman" w:cs="Times New Roman"/>
        </w:rPr>
        <w:fldChar w:fldCharType="begin"/>
      </w:r>
      <w:r>
        <w:rPr>
          <w:rFonts w:ascii="Times New Roman" w:hAnsi="Times New Roman" w:cs="Times New Roman"/>
        </w:rPr>
        <w:instrText xml:space="preserve"> ADDIN ZOTERO_ITEM CSL_CITATION {"citationID":"kPJsfWM1","properties":{"formattedCitation":"(Wu {\\i{}et al.}, 2020)","plainCitation":"(Wu et al., 2020)","noteIndex":0},"citationItems":[{"id":4132,"uris":["http://zotero.org/users/10703570/items/M2YE6IV5"],"itemData":{"id":4132,"type":"book","ISBN":"1-108-42643-3","publisher":"Cambridge University Press","title":"The transformation of Huawei: From humble beginnings to global leadership","author":[{"family":"Wu","given":"Xiaobo"},{"family":"Murmann","given":"Johann Peter"},{"family":"Huang","given":"Can"},{"family":"Guo","given":"Bin"}],"issued":{"date-parts":[["2020"]]}}}],"schema":"https://github.com/citation-style-language/schema/raw/master/csl-citation.json"}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 xml:space="preserve">(Wu </w:t>
      </w:r>
      <w:r>
        <w:rPr>
          <w:rFonts w:ascii="Times New Roman" w:hAnsi="Times New Roman" w:cs="Times New Roman"/>
          <w:i/>
          <w:iCs/>
        </w:rPr>
        <w:t>et al.</w:t>
      </w:r>
      <w:r>
        <w:rPr>
          <w:rFonts w:ascii="Times New Roman" w:hAnsi="Times New Roman" w:cs="Times New Roman"/>
        </w:rPr>
        <w:t>, 2020)</w:t>
      </w:r>
      <w:r>
        <w:rPr>
          <w:rFonts w:ascii="Times New Roman" w:hAnsi="Times New Roman" w:cs="Times New Roman"/>
        </w:rPr>
        <w:fldChar w:fldCharType="end"/>
      </w:r>
      <w:r>
        <w:rPr>
          <w:rFonts w:ascii="Times New Roman" w:hAnsi="Times New Roman" w:cs="Times New Roman"/>
        </w:rPr>
        <w:t xml:space="preserve">. The core of Huawei's HRM is to solve the problem of the distribution of corporate benefits and the intrinsic sense of achievement of intellectuals. Huawei recognizes the important role of knowledge and intellectuals in the development of the enterprise and fills up the train of talents with the oil of benefits so that they can enjoy the value-added brought about by the development of the enterprise </w:t>
      </w:r>
      <w:r>
        <w:rPr>
          <w:rFonts w:ascii="Times New Roman" w:hAnsi="Times New Roman" w:cs="Times New Roman"/>
        </w:rPr>
        <w:fldChar w:fldCharType="begin"/>
      </w:r>
      <w:r>
        <w:rPr>
          <w:rFonts w:ascii="Times New Roman" w:hAnsi="Times New Roman" w:cs="Times New Roman"/>
        </w:rPr>
        <w:instrText xml:space="preserve"> ADDIN ZOTERO_ITEM CSL_CITATION {"citationID":"wLxzhQiK","properties":{"formattedCitation":"(Wu {\\i{}et al.}, 2020)","plainCitation":"(Wu et al., 2020)","noteIndex":0},"citationItems":[{"id":4132,"uris":["http://zotero.org/users/10703570/items/M2YE6IV5"],"itemData":{"id":4132,"type":"book","ISBN":"1-108-42643-3","publisher":"Cambridge University Press","title":"The transformation of Huawei: From humble beginnings to global leadership","author":[{"family":"Wu","given":"Xiaobo"},{"family":"Murmann","given":"Johann Peter"},{"family":"Huang","given":"Can"},{"family":"Guo","given":"Bin"}],"issued":{"date-parts":[["2020"]]}}}],"schema":"https://github.com/citation-style-language/schema/raw/master/csl-citation.json"}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 xml:space="preserve">(Wu </w:t>
      </w:r>
      <w:r>
        <w:rPr>
          <w:rFonts w:ascii="Times New Roman" w:hAnsi="Times New Roman" w:cs="Times New Roman"/>
          <w:i/>
          <w:iCs/>
        </w:rPr>
        <w:t>et al.</w:t>
      </w:r>
      <w:r>
        <w:rPr>
          <w:rFonts w:ascii="Times New Roman" w:hAnsi="Times New Roman" w:cs="Times New Roman"/>
        </w:rPr>
        <w:t>, 2020)</w:t>
      </w:r>
      <w:r>
        <w:rPr>
          <w:rFonts w:ascii="Times New Roman" w:hAnsi="Times New Roman" w:cs="Times New Roman"/>
        </w:rPr>
        <w:fldChar w:fldCharType="end"/>
      </w:r>
      <w:r>
        <w:rPr>
          <w:rFonts w:ascii="Times New Roman" w:hAnsi="Times New Roman" w:cs="Times New Roman"/>
        </w:rPr>
        <w:t xml:space="preserve">. Huawei shares corporate profits with its employees mainly through the TUP program, virtual shareholding, and benefit-sharing systems </w:t>
      </w:r>
      <w:r>
        <w:rPr>
          <w:rFonts w:ascii="Times New Roman" w:hAnsi="Times New Roman" w:cs="Times New Roman"/>
        </w:rPr>
        <w:fldChar w:fldCharType="begin"/>
      </w:r>
      <w:r>
        <w:rPr>
          <w:rFonts w:ascii="Times New Roman" w:hAnsi="Times New Roman" w:cs="Times New Roman"/>
        </w:rPr>
        <w:instrText xml:space="preserve"> ADDIN ZOTERO_ITEM CSL_CITATION {"citationID":"Ns33NAAh","properties":{"formattedCitation":"(Wang, Sun and Chen, 2022)","plainCitation":"(Wang, Sun and Chen, 2022)","noteIndex":0},"citationItems":[{"id":4140,"uris":["http://zotero.org/users/10703570/items/8UEV5XKN"],"itemData":{"id":4140,"type":"article-journal","container-title":"Frontiers in Economics and Management","ISSN":"2692-7608","issue":"4","journalAbbreviation":"Frontiers in Economics and Management","note":"publisher: Boya Century Publishing Limited","page":"293-299","title":"Research on HUAWEI's Employee Incentive Mechanism","volume":"3","author":[{"family":"Wang","given":"Ying"},{"family":"Sun","given":"Qin"},{"family":"Chen","given":"Ni"}],"issued":{"date-parts":[["2022"]]}}}],"schema":"https://github.com/citation-style-language/schema/raw/master/csl-citation.json"}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(Wang, Sun and Chen, 2022)</w:t>
      </w:r>
      <w:r>
        <w:rPr>
          <w:rFonts w:ascii="Times New Roman" w:hAnsi="Times New Roman" w:cs="Times New Roman"/>
        </w:rPr>
        <w:fldChar w:fldCharType="end"/>
      </w:r>
      <w:r>
        <w:rPr>
          <w:rFonts w:ascii="Times New Roman" w:hAnsi="Times New Roman" w:cs="Times New Roman"/>
        </w:rPr>
        <w:t xml:space="preserve">. Huawei's total employee shareholding started around 1990 and later referred to foreign companies to implement virtual equity schemes </w:t>
      </w:r>
      <w:r>
        <w:rPr>
          <w:rFonts w:ascii="Times New Roman" w:hAnsi="Times New Roman" w:cs="Times New Roman"/>
        </w:rPr>
        <w:fldChar w:fldCharType="begin"/>
      </w:r>
      <w:r>
        <w:rPr>
          <w:rFonts w:ascii="Times New Roman" w:hAnsi="Times New Roman" w:cs="Times New Roman"/>
        </w:rPr>
        <w:instrText xml:space="preserve"> ADDIN ZOTERO_ITEM CSL_CITATION {"citationID":"UcMN6Mrn","properties":{"formattedCitation":"(Wang, 2023)","plainCitation":"(Wang, 2023)","noteIndex":0},"citationItems":[{"id":4141,"uris":["http://zotero.org/users/10703570/items/RZ8QY69J"],"itemData":{"id":4141,"type":"paper-conference","event-title":"SHS Web of Conferences","ISBN":"2261-2424","page":"02020","publisher":"EDP Sciences","title":"The Impact of Equity Incentives on Enterprise Business Performance","volume":"154","author":[{"family":"Wang","given":"Shuo"}],"issued":{"date-parts":[["2023"]]}}}],"schema":"https://github.com/citation-style-language/schema/raw/master/csl-citation.json"}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(Wang, 2023)</w:t>
      </w:r>
      <w:r>
        <w:rPr>
          <w:rFonts w:ascii="Times New Roman" w:hAnsi="Times New Roman" w:cs="Times New Roman"/>
        </w:rPr>
        <w:fldChar w:fldCharType="end"/>
      </w:r>
      <w:r>
        <w:rPr>
          <w:rFonts w:ascii="Times New Roman" w:hAnsi="Times New Roman" w:cs="Times New Roman"/>
        </w:rPr>
        <w:t xml:space="preserve">. In this way, Huawei broke the traditional employment relationship between enterprises and talents, thus establishing a partnership relationship based on a new type of contract between them, even if Ren Zhengfei, the founder of Huawei, only owns 0.65% of the shares of Huawei, and the business decision-making of the enterprise is handed over to the management team (i.e., EMT: Executive Management Team) </w:t>
      </w:r>
      <w:r>
        <w:rPr>
          <w:rFonts w:ascii="Times New Roman" w:hAnsi="Times New Roman" w:cs="Times New Roman"/>
        </w:rPr>
        <w:fldChar w:fldCharType="begin"/>
      </w:r>
      <w:r>
        <w:rPr>
          <w:rFonts w:ascii="Times New Roman" w:hAnsi="Times New Roman" w:cs="Times New Roman"/>
        </w:rPr>
        <w:instrText xml:space="preserve"> ADDIN ZOTERO_ITEM CSL_CITATION {"citationID":"doaBjsC5","properties":{"formattedCitation":"(Ji, 2024)","plainCitation":"(Ji, 2024)","noteIndex":0},"citationItems":[{"id":4142,"uris":["http://zotero.org/users/10703570/items/XTZURQBF"],"itemData":{"id":4142,"type":"article-journal","container-title":"Highlights in Business, Economics and Management","ISSN":"2957-952X","journalAbbreviation":"Highlights in Business, Economics and Management","page":"129-135","title":"Talent Strategy and Future Development of High-tech Enterprises: Taking Huawei as an Example","volume":"24","author":[{"family":"Ji","given":"Chenyu"}],"issued":{"date-parts":[["2024"]]}}}],"schema":"https://github.com/citation-style-language/schema/raw/master/csl-citation.json"}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(Ji, 2024)</w:t>
      </w:r>
      <w:r>
        <w:rPr>
          <w:rFonts w:ascii="Times New Roman" w:hAnsi="Times New Roman" w:cs="Times New Roman"/>
        </w:rPr>
        <w:fldChar w:fldCharType="end"/>
      </w:r>
      <w:r>
        <w:rPr>
          <w:rFonts w:ascii="Times New Roman" w:hAnsi="Times New Roman" w:cs="Times New Roman"/>
        </w:rPr>
        <w:t xml:space="preserve">. </w:t>
      </w:r>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 xml:space="preserve">Also competing in the high-tech sector with a global presence, Microsoft perceives innovation as the fundamental momentum for sustainable growth. Nonetheless, the approach through which Microsoft manages people to develop innovation is different from What has been developed by Huawei. Microsoft has established a human source business intelligence(B!HR) to develop a more accurate and comprehensive understanding of its workforce from a wide range of different aspects, e.g. education, working experiences, and personal career arrangement </w:t>
      </w:r>
      <w:r>
        <w:rPr>
          <w:rFonts w:ascii="Times New Roman" w:hAnsi="Times New Roman" w:cs="Times New Roman"/>
        </w:rPr>
        <w:fldChar w:fldCharType="begin"/>
      </w:r>
      <w:r>
        <w:rPr>
          <w:rFonts w:ascii="Times New Roman" w:hAnsi="Times New Roman" w:cs="Times New Roman"/>
        </w:rPr>
        <w:instrText xml:space="preserve"> ADDIN ZOTERO_ITEM CSL_CITATION {"citationID":"38f69SCe","properties":{"formattedCitation":"(Microsoft, 2022)","plainCitation":"(Microsoft, 2022)","noteIndex":0},"citationItems":[{"id":4143,"uris":["http://zotero.org/users/10703570/items/FUT47PWR"],"itemData":{"id":4143,"type":"webpage","abstract":"B!HR – Human Resources Business Intelligence Solution","container-title":"B!HR - Business Intelligence for Human Resources","language":"en-us","title":"B!HR - Business Intelligence for Human Resources","URL":"https://appsource.microsoft.com/en-us/product/web-apps/arquiconsultsa.arq_bi_2018_0001?tab=overview","author":[{"family":"Microsoft","given":""}],"accessed":{"date-parts":[["2024",4,21]]},"issued":{"date-parts":[["2022"]]}}}],"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(Microsoft, 2022)</w:t>
      </w:r>
      <w:r>
        <w:rPr>
          <w:rFonts w:ascii="Times New Roman" w:hAnsi="Times New Roman" w:cs="Times New Roman"/>
        </w:rPr>
        <w:fldChar w:fldCharType="end"/>
      </w:r>
      <w:r>
        <w:rPr>
          <w:rFonts w:ascii="Times New Roman" w:hAnsi="Times New Roman" w:cs="Times New Roman"/>
        </w:rPr>
        <w:t xml:space="preserve">. The HRBI team is made up of experts from different fields with cross-disciplinary knowledge of people management, and they periodically survey or consult with Microsoft’s employees, based on which they could propose corresponding talent development measures. Aligning with the decentralized organizational culture, Microsoft gives them full autonomy to nurture employee trust and empower employees when they have any innovative ideas. Moreover, Microsoft has proposed an amateur project program to motivate employees to innovate, allowing them to set aside a certain amount of work time and energy to engage in innovative activities that will help the company's development </w:t>
      </w:r>
      <w:r>
        <w:rPr>
          <w:rFonts w:ascii="Times New Roman" w:hAnsi="Times New Roman" w:cs="Times New Roman"/>
        </w:rPr>
        <w:fldChar w:fldCharType="begin"/>
      </w:r>
      <w:r>
        <w:rPr>
          <w:rFonts w:ascii="Times New Roman" w:hAnsi="Times New Roman" w:cs="Times New Roman"/>
        </w:rPr>
        <w:instrText xml:space="preserve"> ADDIN ZOTERO_ITEM CSL_CITATION {"citationID":"ZclQkOoX","properties":{"formattedCitation":"(Microsoft, 2023a)","plainCitation":"(Microsoft, 2023a)","noteIndex":0},"citationItems":[{"id":4145,"uris":["http://zotero.org/users/10703570/items/KEVJL8C8"],"itemData":{"id":4145,"type":"webpage","abstract":"Successful companies constantly look for competitive advantages and organizational learning has become an essential strategy to get ahead. This is primarily because building an organizational learning culture creates an environment that’s more receptive to change.   What is organizational learning? Organizational learning is the process of creating, retaining, and transferring knowledge within an organization and […]","language":"en-us","title":"Driving Innovation through Organizational Learning Strategies","URL":"https://www.microsoft.com/en-us/microsoft-365/business-insights-ideas/resources/organizational-learning-strategies","author":[{"family":"Microsoft","given":""}],"accessed":{"date-parts":[["2024",4,21]]},"issued":{"date-parts":[["2023"]]}}}],"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(Microsoft, 2023a)</w:t>
      </w:r>
      <w:r>
        <w:rPr>
          <w:rFonts w:ascii="Times New Roman" w:hAnsi="Times New Roman" w:cs="Times New Roman"/>
        </w:rPr>
        <w:fldChar w:fldCharType="end"/>
      </w:r>
      <w:r>
        <w:rPr>
          <w:rFonts w:ascii="Times New Roman" w:hAnsi="Times New Roman" w:cs="Times New Roman"/>
        </w:rPr>
        <w:t xml:space="preserve">. Meanwhile, Microsoft proposes career planning for different employees according to their career development needs, which is conducive to helping employees identify the knowledge and skills they need to learn, and then formulate learning plans </w:t>
      </w:r>
      <w:r>
        <w:rPr>
          <w:rFonts w:ascii="Times New Roman" w:hAnsi="Times New Roman" w:cs="Times New Roman"/>
        </w:rPr>
        <w:fldChar w:fldCharType="begin"/>
      </w:r>
      <w:r>
        <w:rPr>
          <w:rFonts w:ascii="Times New Roman" w:hAnsi="Times New Roman" w:cs="Times New Roman"/>
        </w:rPr>
        <w:instrText xml:space="preserve"> ADDIN ZOTERO_ITEM CSL_CITATION {"citationID":"5Pxtdqtj","properties":{"formattedCitation":"(Microsoft, 2024)","plainCitation":"(Microsoft, 2024)","noteIndex":0},"citationItems":[{"id":4147,"uris":["http://zotero.org/users/10703570/items/G982TGJB"],"itemData":{"id":4147,"type":"webpage","abstract":"In HR at Microsoft, our mission is to empower the people who are empowering every person and every organization on the planet to achieve more.","container-title":"Microsoft","language":"en-us","title":"Career, learning &amp; development","URL":"https://www.microsoft.com/en-us/human-resources/career-learning-development","author":[{"family":"Microsoft","given":""}],"accessed":{"date-parts":[["2024",4,21]]},"issued":{"date-parts":[["2024"]]}}}],"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(Microsoft, 2024)</w:t>
      </w:r>
      <w:r>
        <w:rPr>
          <w:rFonts w:ascii="Times New Roman" w:hAnsi="Times New Roman" w:cs="Times New Roman"/>
        </w:rPr>
        <w:fldChar w:fldCharType="end"/>
      </w:r>
      <w:r>
        <w:rPr>
          <w:rFonts w:ascii="Times New Roman" w:hAnsi="Times New Roman" w:cs="Times New Roman"/>
        </w:rPr>
        <w:t>. To a certain extent, this indicates the kind of knowledge that employees should acquire and lays the foundation for the application and creation of knowledge in the future.</w:t>
      </w:r>
    </w:p>
    <w:p>
      <w:pPr>
        <w:pStyle w:val="3"/>
        <w:spacing w:before="163" w:beforeLines="50" w:after="326" w:afterLines="100" w:line="360" w:lineRule="auto"/>
        <w:rPr>
          <w:rFonts w:ascii="Times New Roman" w:hAnsi="Times New Roman" w:cs="Times New Roman"/>
        </w:rPr>
      </w:pPr>
      <w:bookmarkStart w:id="5" w:name="_Toc164618408"/>
      <w:r>
        <w:rPr>
          <w:rFonts w:ascii="Times New Roman" w:hAnsi="Times New Roman" w:cs="Times New Roman"/>
        </w:rPr>
        <w:t>3.3 The primary concerns of the two organizations</w:t>
      </w:r>
      <w:bookmarkEnd w:id="5"/>
      <w:r>
        <w:rPr>
          <w:rFonts w:ascii="Times New Roman" w:hAnsi="Times New Roman" w:cs="Times New Roman"/>
        </w:rPr>
        <w:t xml:space="preserve"> </w:t>
      </w:r>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 xml:space="preserve">Huawei's corporate culture features include the wolf culture, Huawei requires employees to have the character of a wolf, to learn to survive in the law of the jungle, so Huawei adopted the "survival of the fittest" system of survival of the fittest. In many of the relevant discussions, the culture is understood and manifested as obedience, collectivism, masculinity, and daring to sacrifice all competitive thinking. Therefore, Huawei adopts the "survival of the fittest" system and conducts strict assessments of employee performance, which means that every employee in Huawei has a huge pressure and goals to strive for </w:t>
      </w:r>
      <w:r>
        <w:rPr>
          <w:rFonts w:ascii="Times New Roman" w:hAnsi="Times New Roman" w:cs="Times New Roman"/>
        </w:rPr>
        <w:fldChar w:fldCharType="begin"/>
      </w:r>
      <w:r>
        <w:rPr>
          <w:rFonts w:ascii="Times New Roman" w:hAnsi="Times New Roman" w:cs="Times New Roman"/>
        </w:rPr>
        <w:instrText xml:space="preserve"> ADDIN ZOTERO_ITEM CSL_CITATION {"citationID":"tlPMgaCg","properties":{"formattedCitation":"(Hong and Snell, 2021)","plainCitation":"(Hong and Snell, 2021)","noteIndex":0},"citationItems":[{"id":4150,"uris":["http://zotero.org/users/10703570/items/VSYTSVPU"],"itemData":{"id":4150,"type":"article-journal","container-title":"Management and Organization Review","ISSN":"1740-8776","issue":"5","journalAbbreviation":"Management and Organization Review","note":"publisher: Cambridge University Press","page":"1043-1086","title":"Headquarters control and its legitimation in a Chinese multinational corporation: The case of Huawei","volume":"17","author":[{"family":"Hong","given":"Jacky FL"},{"family":"Snell","given":"Robin Stanley"}],"issued":{"date-parts":[["2021"]]}}}],"schema":"https://github.com/citation-style-language/schema/raw/master/csl-citation.json"}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(Hong and Snell, 2021)</w:t>
      </w:r>
      <w:r>
        <w:rPr>
          <w:rFonts w:ascii="Times New Roman" w:hAnsi="Times New Roman" w:cs="Times New Roman"/>
        </w:rPr>
        <w:fldChar w:fldCharType="end"/>
      </w:r>
      <w:r>
        <w:rPr>
          <w:rFonts w:ascii="Times New Roman" w:hAnsi="Times New Roman" w:cs="Times New Roman"/>
        </w:rPr>
        <w:t xml:space="preserve">. Huawei's promotion of the wolf culture has led to a high-pressure work environment and widespread psychological problems among employees </w:t>
      </w:r>
      <w:r>
        <w:rPr>
          <w:rFonts w:ascii="Times New Roman" w:hAnsi="Times New Roman" w:cs="Times New Roman"/>
        </w:rPr>
        <w:fldChar w:fldCharType="begin"/>
      </w:r>
      <w:r>
        <w:rPr>
          <w:rFonts w:ascii="Times New Roman" w:hAnsi="Times New Roman" w:cs="Times New Roman"/>
        </w:rPr>
        <w:instrText xml:space="preserve"> ADDIN ZOTERO_ITEM CSL_CITATION {"citationID":"3LGVHpUm","properties":{"formattedCitation":"(Lu and Sun, 2022)","plainCitation":"(Lu and Sun, 2022)","noteIndex":0},"citationItems":[{"id":4149,"uris":["http://zotero.org/users/10703570/items/9MQ28RMH"],"itemData":{"id":4149,"type":"paper-conference","event-title":"2022 6th International Seminar on Education, Management and Social Sciences (ISEMSS 2022)","ISBN":"2-494-06931-9","page":"1923-1931","publisher":"Atlantis Press","title":"Fault Tolerance and Respect: Corporate Culture that Can Improve Employees’ Execution","author":[{"family":"Lu","given":"Likun"},{"family":"Sun","given":"Yiwen"}],"issued":{"date-parts":[["2022"]]}}}],"schema":"https://github.com/citation-style-language/schema/raw/master/csl-citation.json"}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(Lu and Sun, 2022)</w:t>
      </w:r>
      <w:r>
        <w:rPr>
          <w:rFonts w:ascii="Times New Roman" w:hAnsi="Times New Roman" w:cs="Times New Roman"/>
        </w:rPr>
        <w:fldChar w:fldCharType="end"/>
      </w:r>
      <w:r>
        <w:rPr>
          <w:rFonts w:ascii="Times New Roman" w:hAnsi="Times New Roman" w:cs="Times New Roman"/>
        </w:rPr>
        <w:t xml:space="preserve">. Another concern for Huawei is its high turnover rate. The cumulative average departure rate of 21.8% for the PhD employees in the last five years, the longer the cumulative departure rate the longer the entry time is higher, </w:t>
      </w:r>
      <w:r>
        <w:rPr>
          <w:rFonts w:ascii="Times New Roman" w:hAnsi="Times New Roman" w:cs="Times New Roman"/>
        </w:rPr>
        <w:fldChar w:fldCharType="begin"/>
      </w:r>
      <w:r>
        <w:rPr>
          <w:rFonts w:ascii="Times New Roman" w:hAnsi="Times New Roman" w:cs="Times New Roman"/>
        </w:rPr>
        <w:instrText xml:space="preserve"> ADDIN ZOTERO_ITEM CSL_CITATION {"citationID":"Np2a7y0D","properties":{"formattedCitation":"(Pandaily, 2019)","plainCitation":"(Pandaily, 2019)","noteIndex":0},"citationItems":[{"id":4151,"uris":["http://zotero.org/users/10703570/items/AG9MMNVI"],"itemData":{"id":4151,"type":"webpage","title":"Huawei Faces Average 21.8 Percent Resignation Rate From PhD Employees Leaving - Pandaily","URL":"https://pandaily.com/huawei-faces-average-21-8-percent-resignation-rate-from-phd-employees-leaving/","author":[{"family":"Pandaily","given":""}],"accessed":{"date-parts":[["2024",4,21]]},"issued":{"date-parts":[["2019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(Pandaily, 2019)</w:t>
      </w:r>
      <w:r>
        <w:rPr>
          <w:rFonts w:ascii="Times New Roman" w:hAnsi="Times New Roman" w:cs="Times New Roman"/>
        </w:rPr>
        <w:fldChar w:fldCharType="end"/>
      </w:r>
      <w:r>
        <w:rPr>
          <w:rFonts w:ascii="Times New Roman" w:hAnsi="Times New Roman" w:cs="Times New Roman"/>
        </w:rPr>
        <w:t xml:space="preserve">. The email disclosed that among the 82 departing doctoral employees who were willing to be interviewed, 56 of them reflected that the main reasons for their departure were still the mismatch between the position and their skills, the weakness of the supervisor's technical skills which led to the restriction of their performance, and the inability to give full play to their unique strengths, and so on </w:t>
      </w:r>
      <w:r>
        <w:rPr>
          <w:rFonts w:ascii="Times New Roman" w:hAnsi="Times New Roman" w:cs="Times New Roman"/>
        </w:rPr>
        <w:fldChar w:fldCharType="begin"/>
      </w:r>
      <w:r>
        <w:rPr>
          <w:rFonts w:ascii="Times New Roman" w:hAnsi="Times New Roman" w:cs="Times New Roman"/>
        </w:rPr>
        <w:instrText xml:space="preserve"> ADDIN ZOTERO_ITEM CSL_CITATION {"citationID":"BdmEv6Sk","properties":{"formattedCitation":"(Sina News, 2019)","plainCitation":"(Sina News, 2019)","noteIndex":0},"citationItems":[{"id":4154,"uris":["http://zotero.org/users/10703570/items/ZWQGBW87"],"itemData":{"id":4154,"type":"webpage","title":"Huawei's doctoral staff turnover rate of 21.8% Ren Zhengfei reflects on the loss of highly educated talent","URL":"https://tech.sina.com.cn/it/2019-02-16/doc-ihqfskcp5662503.shtml","author":[{"family":"Sina News","given":""}],"accessed":{"date-parts":[["2024",4,21]]},"issued":{"date-parts":[["2019"]]}}}],"schema":"https://github.com/citation-style-language/schema/raw/master/csl-citation.json"}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(Sina News, 2019)</w:t>
      </w:r>
      <w:r>
        <w:rPr>
          <w:rFonts w:ascii="Times New Roman" w:hAnsi="Times New Roman" w:cs="Times New Roman"/>
        </w:rPr>
        <w:fldChar w:fldCharType="end"/>
      </w:r>
      <w:r>
        <w:rPr>
          <w:rFonts w:ascii="Times New Roman" w:hAnsi="Times New Roman" w:cs="Times New Roman"/>
        </w:rPr>
        <w:t>. The high turnover among talents indicates the problem of career development inadequacy in Huawei.</w:t>
      </w:r>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 xml:space="preserve">The primary concern of Microsoft is the relatively less inclusive working environment for a highly global workforce. Between 2010 and 2016, females working in technical positions at Microsoft filed 108 complaints of sexual harassment and another 119 complaints of gender discrimination and indicating that Microsoft systematically denied promotions and raises to female employees and had an "exclusive boys' club atmosphere" that was "rife with sexual harassment" </w:t>
      </w:r>
      <w:r>
        <w:rPr>
          <w:rFonts w:ascii="Times New Roman" w:hAnsi="Times New Roman" w:cs="Times New Roman"/>
        </w:rPr>
        <w:fldChar w:fldCharType="begin"/>
      </w:r>
      <w:r>
        <w:rPr>
          <w:rFonts w:ascii="Times New Roman" w:hAnsi="Times New Roman" w:cs="Times New Roman"/>
        </w:rPr>
        <w:instrText xml:space="preserve"> ADDIN ZOTERO_ITEM CSL_CITATION {"citationID":"AmrM9zVZ","properties":{"formattedCitation":"(CNN, 2018; Solon, 2018; Gross, 2019)","plainCitation":"(CNN, 2018; Solon, 2018; Gross, 2019)","noteIndex":0},"citationItems":[{"id":4158,"uris":["http://zotero.org/users/10703570/items/ASGGISYX"],"itemData":{"id":4158,"type":"webpage","title":"Microsoft received 238 gender discrimination and harassment complaints","URL":"https://money.cnn.com/2018/03/13/technology/microsoft-gender-discrimination-lawsuit/index.html","author":[{"family":"CNN","given":""}],"accessed":{"date-parts":[["2024",4,21]]},"issued":{"date-parts":[["2018"]]}}},{"id":4160,"uris":["http://zotero.org/users/10703570/items/ZTW4EAA6"],"itemData":{"id":4160,"type":"article-newspaper","abstract":"Suit claims world’s largest software firm failed to properly redress 238 internal complaints, including harassment, discrimination and rape","container-title":"The Guardian","ISSN":"0261-3077","language":"en-GB","section":"Technology","source":"The Guardian","title":"Lawsuit claims sexual harassment rife in Microsoft's 'boys' club atmosphere'","URL":"https://www.theguardian.com/technology/2018/mar/13/microsoft-sexual-harassment-lawsuit-lacklustre-response","author":[{"family":"Solon","given":"Olivia"}],"accessed":{"date-parts":[["2024",4,21]]},"issued":{"date-parts":[["2018",3,13]]}}},{"id":4162,"uris":["http://zotero.org/users/10703570/items/WAPBZGSV"],"itemData":{"id":4162,"type":"webpage","abstract":"Microsoft employees met with CEO Satya Nadella on Thursday to discuss concerns of discrimination against women in career advancement as well as claims of sexual harassment, according to Wired. This isn’t the first time Microsoft has faced allegations of gender discrimination or sexual harassment.","container-title":"Forbes","language":"en","note":"section: ForbesWomen","title":"Microsoft Employees Meet With CEO Nadella To Protest Treatment Of Women","URL":"https://www.forbes.com/sites/elanagross/2019/04/05/microsoft-treatment-of-women/","author":[{"family":"Gross","given":"Elana Lyn"}],"accessed":{"date-parts":[["2024",4,21]]},"issued":{"date-parts":[["2019"]]}}}],"schema":"https://github.com/citation-style-language/schema/raw/master/csl-citation.json"}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(CNN, 2018; Solon, 2018; Gross, 2019)</w:t>
      </w:r>
      <w:r>
        <w:rPr>
          <w:rFonts w:ascii="Times New Roman" w:hAnsi="Times New Roman" w:cs="Times New Roman"/>
        </w:rPr>
        <w:fldChar w:fldCharType="end"/>
      </w:r>
      <w:r>
        <w:rPr>
          <w:rFonts w:ascii="Times New Roman" w:hAnsi="Times New Roman" w:cs="Times New Roman"/>
        </w:rPr>
        <w:t xml:space="preserve">. What is even more disappointing is the slow response of the Microsoft team to investigate the discrimination and harassment issues raised by these complaints </w:t>
      </w:r>
      <w:r>
        <w:rPr>
          <w:rFonts w:ascii="Times New Roman" w:hAnsi="Times New Roman" w:cs="Times New Roman"/>
        </w:rPr>
        <w:fldChar w:fldCharType="begin"/>
      </w:r>
      <w:r>
        <w:rPr>
          <w:rFonts w:ascii="Times New Roman" w:hAnsi="Times New Roman" w:cs="Times New Roman"/>
        </w:rPr>
        <w:instrText xml:space="preserve"> ADDIN ZOTERO_ITEM CSL_CITATION {"citationID":"Kd0R4Fqf","properties":{"formattedCitation":"(Novet, 2022)","plainCitation":"(Novet, 2022)","noteIndex":0},"citationItems":[{"id":4156,"uris":["http://zotero.org/users/10703570/items/T5J6JJ4P"],"itemData":{"id":4156,"type":"webpage","abstract":"Some people who filed harassment or discrimination complaints indicated they could be hurting their career prospects, an issue Microsoft is working to address.","container-title":"CNBC","language":"en","title":"Microsoft will update harassment policy after report shows pitfalls in handling of complaints","URL":"https://www.cnbc.com/2022/11/15/microsoft-will-update-sexual-harassment-policy-after-arentfox-report.html","author":[{"family":"Novet","given":"Jordan"}],"accessed":{"date-parts":[["2024",4,21]]},"issued":{"date-parts":[["2022",11,15]]}}}],"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(Novet, 2022)</w:t>
      </w:r>
      <w:r>
        <w:rPr>
          <w:rFonts w:ascii="Times New Roman" w:hAnsi="Times New Roman" w:cs="Times New Roman"/>
        </w:rPr>
        <w:fldChar w:fldCharType="end"/>
      </w:r>
      <w:r>
        <w:rPr>
          <w:rFonts w:ascii="Times New Roman" w:hAnsi="Times New Roman" w:cs="Times New Roman"/>
        </w:rPr>
        <w:t xml:space="preserve">. If these issues are not managed properly, they will not only incur legal and financial repercussions, but also result in damaging the company's reputation, stifling employee morale and productivity, and making it harder for Microsoft to attract and retain talents.  </w:t>
      </w:r>
    </w:p>
    <w:p>
      <w:pPr>
        <w:pStyle w:val="3"/>
        <w:spacing w:before="163" w:beforeLines="50" w:after="326" w:afterLines="100" w:line="360" w:lineRule="auto"/>
        <w:rPr>
          <w:rFonts w:ascii="Times New Roman" w:hAnsi="Times New Roman" w:cs="Times New Roman"/>
        </w:rPr>
      </w:pPr>
      <w:bookmarkStart w:id="6" w:name="_Toc164618409"/>
      <w:r>
        <w:rPr>
          <w:rFonts w:ascii="Times New Roman" w:hAnsi="Times New Roman" w:cs="Times New Roman"/>
        </w:rPr>
        <w:t>3.4 The impacts of technologies on people management: the case of AI</w:t>
      </w:r>
      <w:bookmarkEnd w:id="6"/>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 xml:space="preserve">The emergence of artificial intelligence has profoundly changed the original organizational structure and labor relations of enterprises, innovated management methods and management concepts, and promoted the transformation of enterprise management to intelligence. More than half of enterprises have implemented or are implementing HR digitalization projects to achieve the transformation from traditional HR management to intelligent HR management models </w:t>
      </w:r>
      <w:r>
        <w:rPr>
          <w:rFonts w:ascii="Times New Roman" w:hAnsi="Times New Roman" w:cs="Times New Roman"/>
        </w:rPr>
        <w:fldChar w:fldCharType="begin"/>
      </w:r>
      <w:r>
        <w:rPr>
          <w:rFonts w:ascii="Times New Roman" w:hAnsi="Times New Roman" w:cs="Times New Roman"/>
        </w:rPr>
        <w:instrText xml:space="preserve"> ADDIN ZOTERO_ITEM CSL_CITATION {"citationID":"RsUk03uc","properties":{"formattedCitation":"(Ulatowska, Wainio and Pierzcha\\uc0\\u322{}a, 2023)","plainCitation":"(Ulatowska, Wainio and Pierzchała, 2023)","noteIndex":0},"citationItems":[{"id":4164,"uris":["http://zotero.org/users/10703570/items/UPIRE694"],"itemData":{"id":4164,"type":"article-journal","abstract":"Purpose The purpose of this article is to analyze the digital innovations which are being introduced in the HRM field in organizations in the modern business services sector in Finland and Poland. It is also intended to identify the most important factors/trends that influence digital innovations and to identify the challenges they generate for HRM departments. The practical objective is to develop recommendations for organizations executives, policy makers and researchers. Design/methodology/approach The research was mainly based on a quantitative research approach and a questionnaire survey. Additionally, the authors conducted a semi-structured interview was with the representatives of the HRM departments in the surveyed organizations. The qualitative research of the obtained results allowed to deepen the obtained quantitative data. The purpose of the data triangulation used was to increase the reliability of the data. Findings Nearly 90% of HRM employees declared that the companies they work for have implemented digital innovations. Among the introduced digital innovations, chatbots, dashboards, application software systems, a virtual HRM assistant and digital tools were indicated. The COVID-19 pandemic and the progress of robotization and automation have accelerated the implementation of digital technologies in HR departments in both Poland and Finland. There are however differences between the two countries – it is evident that in Finland digital innovations were already introduced by modern businesses organizations before the pandemic period, while in Poland the innovations were mostly implemented during and after the pandemic period. It is worth emphasizing the differences regarding the two countries in terms of the level of technology advancement. Research limitations/implications Similar to most studies conducted, this study has its limitations and the authors are aware of them. First, future research using the tool which was used in this study should focus on confirming its reliability. Secondly, its scope and scale were limited as it was not possible to obtain an industry-wide sample. It should be noted that the obtained results cannot be generalized to a broader context, although they provide valuable conclusions and recommendations and may be an inspiration for further research. For the future research, it is recommended that the researchers should pay more attention to the challenges and difficulties that accompany digital innovations in HRM departments. One of the aspects is the need to pay attention to the cultural and psychological aspects of the presence of technology in organizational areas, which have only been signaled in this article. A more in-depth study could address the issue of negative attitudes toward the introduction and use of digital technologies. The future research could focus on creating the necessary conditions at each stage of introducing digital innovations and using the potential of these tools – starting with needs analyses, awareness of goals, benefits, dealing with concerns and risks, communication and evaluation and assessment of the technology in question. For future research, it is recommended that researchers pay more attention to the challenges and difficulties that accompany digital innovations in HRM departments. One of the aspects is the need to be aware of the cultural and psychological aspects of the presence of technology in organizational areas, which has only been signaled in this article. A more in-depth study could address the issue of negative attitudes toward the introduction and use of digital technologies. The future research could focus on creating the necessary conditions at each stage of introducing digital innovations and using the potential of these tools – starting with needs analyses, awareness of goals, benefits, dealing with concerns and risks, communication and evaluation and assessment of the technology in question. Practical implications The study provides suggestions for practice, providing companies in Finland and Poland with the insight into the impact of the trends on the development of digital innovations in HRM departments and the challenges they generate. The contributions of this study are also the recommendations and guidelines for organizations to effectively implement digital technologies. This will allow not only to better adapt to the present situation, but also to more accurately predict future trends. Social implications The research results can be useful for the development of HRM practices, as traditional practices are increasingly being replaced by new digital modes of leading and managing capital resources in organizations. This development is followed by the need for new competencies in HRM (Mazurchenko, Maršíková, 2019), a new understanding of leadership, thus digital tools may prove particularly supportive in this context (Salojärvi, 2018). Digital innovation research conducted in the modern business services industry can be particularly valuable in the context of the flow of technological innovations, including know-how, implementation of modern organizational solutions; which transfers to other industries (MORR, 2017). Digital innovations can contribute to reducing the complexity of HRM functions, which will accelerate management and personnel decisions. It will improve the quality of analytical data, as well as increase access to employees and opportunities in planning their personal development. As a result, the introduction of digital innovations will contribute to reducing costs and increasing the efficiency of HRM processes. Originality/value This study provides a new and timely perspective by examining applied digital innovations and related challenges affecting the implementation of digital innovations by HRM departments in the modern business services sector. This survey provides comprehensive information on how and what can enhance the capacity for digital innovation in Finnish and Polish organizations. This article theoretically analyzes the importance of technological development for HRM departments and reviews the previous research on digital technologies in HRM departments and the factors and challenges of introducing digital innovations. It also characterizes the modern business services sector, which is very active in introducing digital innovations.","container-title":"Journal of Organizational Change Management","DOI":"10.1108/JOCM-11-2022-0339","ISSN":"0953-4814","issue":"7","note":"publisher: Emerald Publishing Limited","page":"1180-1192","source":"Emerald Insight","title":"Digital transformation in HRM of the modern business service sector in Finland and Poland","volume":"36","author":[{"family":"Ulatowska","given":"Roksana"},{"family":"Wainio","given":"Elina"},{"family":"Pierzchała","given":"Marcin"}],"issued":{"date-parts":[["2023",1,1]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(Ulatowska, Wainio and Pierzchała, 2023)</w:t>
      </w:r>
      <w:r>
        <w:rPr>
          <w:rFonts w:ascii="Times New Roman" w:hAnsi="Times New Roman" w:cs="Times New Roman"/>
        </w:rPr>
        <w:fldChar w:fldCharType="end"/>
      </w:r>
      <w:r>
        <w:rPr>
          <w:rFonts w:ascii="Times New Roman" w:hAnsi="Times New Roman" w:cs="Times New Roman"/>
        </w:rPr>
        <w:t xml:space="preserve">. For instance, Microsoft has relied on AI and big data analytics for recruitment and selection. Especially, Microsoft's AI recruiting platform transforms resumes into numerical feature vectors by extracting key information such as education, work experience, and skills. machine learning algorithms are then used to train models to match the similarity between candidates and job requirements </w:t>
      </w:r>
      <w:r>
        <w:rPr>
          <w:rFonts w:ascii="Times New Roman" w:hAnsi="Times New Roman" w:cs="Times New Roman"/>
        </w:rPr>
        <w:fldChar w:fldCharType="begin"/>
      </w:r>
      <w:r>
        <w:rPr>
          <w:rFonts w:ascii="Times New Roman" w:hAnsi="Times New Roman" w:cs="Times New Roman"/>
        </w:rPr>
        <w:instrText xml:space="preserve"> ADDIN ZOTERO_ITEM CSL_CITATION {"citationID":"m81xL0cW","properties":{"formattedCitation":"(Microsoft, 2023c)","plainCitation":"(Microsoft, 2023c)","noteIndex":0},"citationItems":[{"id":4166,"uris":["http://zotero.org/users/10703570/items/Q6MVCNZY"],"itemData":{"id":4166,"type":"webpage","title":"Transforming Recruitment Processes with AI and Power Platform","URL":"https://techcommunity.microsoft.com/t5/educator-developer-blog/transforming-recruitment-processes-with-ai-and-power-platform/ba-p/3840828","author":[{"family":"Microsoft","given":""}],"accessed":{"date-parts":[["2024",4,21]]},"issued":{"date-parts":[["2023"]]}}}],"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(Microsoft, 2023c)</w:t>
      </w:r>
      <w:r>
        <w:rPr>
          <w:rFonts w:ascii="Times New Roman" w:hAnsi="Times New Roman" w:cs="Times New Roman"/>
        </w:rPr>
        <w:fldChar w:fldCharType="end"/>
      </w:r>
      <w:r>
        <w:rPr>
          <w:rFonts w:ascii="Times New Roman" w:hAnsi="Times New Roman" w:cs="Times New Roman"/>
        </w:rPr>
        <w:t xml:space="preserve">. Based on Microsoft's preset conditions and target requirements for each position, AI can screen candidates to improve recruitment efficiency and accuracy. In this way, AI can quickly and accurately process a large amount of resume information, thus improving recruitment efficiency and helping companies find the most suitable candidates </w:t>
      </w:r>
      <w:r>
        <w:rPr>
          <w:rFonts w:ascii="Times New Roman" w:hAnsi="Times New Roman" w:cs="Times New Roman"/>
        </w:rPr>
        <w:fldChar w:fldCharType="begin"/>
      </w:r>
      <w:r>
        <w:rPr>
          <w:rFonts w:ascii="Times New Roman" w:hAnsi="Times New Roman" w:cs="Times New Roman"/>
        </w:rPr>
        <w:instrText xml:space="preserve"> ADDIN ZOTERO_ITEM CSL_CITATION {"citationID":"tIZLMI7W","properties":{"formattedCitation":"(Curry, 2023)","plainCitation":"(Curry, 2023)","noteIndex":0},"citationItems":[{"id":4168,"uris":["http://zotero.org/users/10703570/items/LGHVBSNA"],"itemData":{"id":4168,"type":"webpage","abstract":"Microsoft and Amazon are among the companies that helped to develop new policies to cover AI use in hiring, an area where employers must tread carefully.","container-title":"CNBC","language":"en","title":"Microsoft, Amazon among the companies shaping AI-enabled hiring policy","URL":"https://www.cnbc.com/2023/10/11/microsoft-amazon-among-the-companies-shaping-ai-enabled-hiring-policy.html","author":[{"family":"Curry","given":"Rachel"}],"accessed":{"date-parts":[["2024",4,21]]},"issued":{"date-parts":[["2023",10,11]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(Curry, 2023)</w:t>
      </w:r>
      <w:r>
        <w:rPr>
          <w:rFonts w:ascii="Times New Roman" w:hAnsi="Times New Roman" w:cs="Times New Roman"/>
        </w:rPr>
        <w:fldChar w:fldCharType="end"/>
      </w:r>
      <w:r>
        <w:rPr>
          <w:rFonts w:ascii="Times New Roman" w:hAnsi="Times New Roman" w:cs="Times New Roman"/>
        </w:rPr>
        <w:t xml:space="preserve">. </w:t>
      </w:r>
    </w:p>
    <w:p>
      <w:pPr>
        <w:spacing w:before="163" w:beforeLines="50" w:after="326" w:afterLines="100" w:line="360" w:lineRule="auto"/>
        <w:jc w:val="both"/>
        <w:rPr>
          <w:rFonts w:ascii="Times New Roman" w:hAnsi="Times New Roman" w:cs="Times New Roman"/>
        </w:rPr>
      </w:pPr>
      <w:r>
        <w:rPr>
          <w:rFonts w:ascii="Times New Roman" w:hAnsi="Times New Roman" w:cs="Times New Roman"/>
        </w:rPr>
        <w:t xml:space="preserve">The development of artificial intelligence technology provides strong support for the development of adaptive learning. With the development of AI technology, several adaptive teaching systems have appeared on the market. Huawei's cloud learning platform helps employees' competency identification and accurate learning planning through three modules: learning records, competency models, and deep learning </w:t>
      </w:r>
      <w:r>
        <w:rPr>
          <w:rFonts w:ascii="Times New Roman" w:hAnsi="Times New Roman" w:cs="Times New Roman"/>
        </w:rPr>
        <w:fldChar w:fldCharType="begin"/>
      </w:r>
      <w:r>
        <w:rPr>
          <w:rFonts w:ascii="Times New Roman" w:hAnsi="Times New Roman" w:cs="Times New Roman"/>
        </w:rPr>
        <w:instrText xml:space="preserve"> ADDIN ZOTERO_ITEM CSL_CITATION {"citationID":"QbXPPyVl","properties":{"formattedCitation":"(Huawei, 2016)","plainCitation":"(Huawei, 2016)","noteIndex":0},"citationItems":[{"id":4170,"uris":["http://zotero.org/users/10703570/items/STHGHBUA"],"itemData":{"id":4170,"type":"webpage","abstract":"Educated AI is an area of artificial intelligence that is application-specific, human-centric, user-educated, self-learning, and personalized.","container-title":"huawei","language":"en","title":"Using AI for the betterment of humanity: Keeping it real with Educated AI - Huawei Publications","title-short":"Using AI for the betterment of humanity","URL":"https://www.huawei.com/en/huaweitech/publication/winwin/ai/using-ai-for-betterment-of-humanity","author":[{"family":"Huawei","given":""}],"accessed":{"date-parts":[["2024",4,21]]},"issued":{"date-parts":[["2016"]]}}}],"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(Huawei, 2016)</w:t>
      </w:r>
      <w:r>
        <w:rPr>
          <w:rFonts w:ascii="Times New Roman" w:hAnsi="Times New Roman" w:cs="Times New Roman"/>
        </w:rPr>
        <w:fldChar w:fldCharType="end"/>
      </w:r>
      <w:r>
        <w:rPr>
          <w:rFonts w:ascii="Times New Roman" w:hAnsi="Times New Roman" w:cs="Times New Roman"/>
        </w:rPr>
        <w:t xml:space="preserve">. The platform mines all employee learning data, such as employee profiles (including, but not limited to, employee profession, rank position, work experience, etc.), recent learning courses, online learning behaviors, learning progress, learning preferences, online assessment results, etc., and carries out data usability analysis and correction; The platform will also build a competency model library and knowledge mapping for common positions based on historical training data; Based on historical training data, the platform will build a competency model library and knowledge mapping for common positions; combining employee learning data and competency models, the platform can effectively identify skill gaps and make personalized and dynamically adjustable learning program planning for employees based on learning preferences </w:t>
      </w:r>
      <w:r>
        <w:rPr>
          <w:rFonts w:ascii="Times New Roman" w:hAnsi="Times New Roman" w:cs="Times New Roman"/>
        </w:rPr>
        <w:fldChar w:fldCharType="begin"/>
      </w:r>
      <w:r>
        <w:rPr>
          <w:rFonts w:ascii="Times New Roman" w:hAnsi="Times New Roman" w:cs="Times New Roman"/>
        </w:rPr>
        <w:instrText xml:space="preserve"> ADDIN ZOTERO_ITEM CSL_CITATION {"citationID":"J3QySMrR","properties":{"formattedCitation":"(Huawei, 2023)","plainCitation":"(Huawei, 2023)","noteIndex":0},"citationItems":[{"id":4172,"uris":["http://zotero.org/users/10703570/items/I336JVRH"],"itemData":{"id":4172,"type":"report","title":"Digital technology accelerates talent transformation","URL":"https://www-file.huawei.com/-/media/corporate/pdf/white%20paper/digital-technology-accelerates-talent-transformation-cn-v4.pdf","author":[{"family":"Huawei","given":""}],"issued":{"date-parts":[["2023"]]}}}],"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(Huawei, 2023)</w:t>
      </w:r>
      <w:r>
        <w:rPr>
          <w:rFonts w:ascii="Times New Roman" w:hAnsi="Times New Roman" w:cs="Times New Roman"/>
        </w:rPr>
        <w:fldChar w:fldCharType="end"/>
      </w:r>
      <w:r>
        <w:rPr>
          <w:rFonts w:ascii="Times New Roman" w:hAnsi="Times New Roman" w:cs="Times New Roman"/>
        </w:rPr>
        <w:t>.</w:t>
      </w:r>
    </w:p>
    <w:p>
      <w:pPr>
        <w:spacing w:before="163" w:beforeLines="50" w:after="326" w:afterLines="100" w:line="360" w:lineRule="auto"/>
        <w:jc w:val="both"/>
        <w:rPr>
          <w:rFonts w:ascii="Times New Roman" w:hAnsi="Times New Roman" w:cs="Times New Roman"/>
        </w:rPr>
      </w:pPr>
    </w:p>
    <w:p>
      <w:pPr>
        <w:spacing w:before="163" w:beforeLines="50" w:after="326" w:afterLines="100" w:line="360" w:lineRule="auto"/>
        <w:jc w:val="both"/>
        <w:rPr>
          <w:rFonts w:hint="eastAsia" w:ascii="Times New Roman" w:hAnsi="Times New Roman" w:cs="Times New Roman"/>
        </w:rPr>
      </w:pPr>
    </w:p>
    <w:p>
      <w:pPr>
        <w:pStyle w:val="2"/>
        <w:spacing w:before="163" w:beforeLines="50" w:after="326" w:afterLines="100" w:line="360" w:lineRule="auto"/>
        <w:rPr>
          <w:rFonts w:ascii="Times New Roman" w:hAnsi="Times New Roman" w:cs="Times New Roman"/>
        </w:rPr>
      </w:pPr>
      <w:bookmarkStart w:id="7" w:name="_Toc164618410"/>
      <w:r>
        <w:rPr>
          <w:rFonts w:ascii="Times New Roman" w:hAnsi="Times New Roman" w:cs="Times New Roman"/>
        </w:rPr>
        <w:t>4.0 Conclusions</w:t>
      </w:r>
      <w:bookmarkEnd w:id="7"/>
      <w:r>
        <w:rPr>
          <w:rFonts w:ascii="Times New Roman" w:hAnsi="Times New Roman" w:cs="Times New Roman"/>
        </w:rPr>
        <w:t xml:space="preserve"> </w:t>
      </w:r>
    </w:p>
    <w:p>
      <w:pPr>
        <w:spacing w:before="163" w:beforeLines="50" w:after="326" w:afterLines="100" w:line="360" w:lineRule="auto"/>
        <w:jc w:val="both"/>
        <w:rPr>
          <w:rFonts w:hint="eastAsia" w:ascii="Times New Roman" w:hAnsi="Times New Roman" w:cs="Times New Roman"/>
        </w:rPr>
      </w:pPr>
      <w:r>
        <w:rPr>
          <w:rFonts w:ascii="Times New Roman" w:hAnsi="Times New Roman" w:cs="Times New Roman"/>
        </w:rPr>
        <w:t xml:space="preserve">The present report compares the people management approach of Huawei with Microsoft from different perspectives. It argues that while remaining in the typical Chinese culture of greater centralization and hierarchies, and pursuit of competition, Huawei has been operating in a highly volatile international environment that directly impacts its people management, resulting in its focus on self-reliance through innovation in its HRM. The primary concerns resulting from its wolf management philosophy are the high-pressure working environment and higher talent turnover. In contrast, Microsft has focused on the development of more adaptable and resilient strategies to facilitate cultural integration along with global expansion. While its workforce is getting increasingly diversified, its current HRM system has been widely criticized for inadequacy in creating an inclusive working environment. Both companies' people management are sharped by their global reach and the industrial section they operate, reflected by their different approaches by the shared focus on stimulating employee innovation. AI has been adopted by both companies not only to automate administrative HRM functions but also to deliver more effective people management in terms of employee engagement management in remote team collaboration and adaptive and personalized learning experiences. </w:t>
      </w:r>
    </w:p>
    <w:p>
      <w:pPr>
        <w:pStyle w:val="2"/>
        <w:spacing w:before="163" w:beforeLines="50" w:after="326" w:afterLines="100" w:line="360" w:lineRule="auto"/>
        <w:rPr>
          <w:rFonts w:ascii="Times New Roman" w:hAnsi="Times New Roman" w:cs="Times New Roman"/>
        </w:rPr>
      </w:pPr>
      <w:bookmarkStart w:id="8" w:name="_Toc164618411"/>
      <w:r>
        <w:rPr>
          <w:rFonts w:ascii="Times New Roman" w:hAnsi="Times New Roman" w:cs="Times New Roman"/>
        </w:rPr>
        <w:t>5.0 Recommendations</w:t>
      </w:r>
      <w:bookmarkEnd w:id="8"/>
      <w:r>
        <w:rPr>
          <w:rFonts w:ascii="Times New Roman" w:hAnsi="Times New Roman" w:cs="Times New Roman"/>
        </w:rPr>
        <w:t xml:space="preserve"> </w:t>
      </w:r>
    </w:p>
    <w:p>
      <w:pPr>
        <w:spacing w:before="163" w:beforeLines="50" w:after="326" w:afterLines="100" w:line="360" w:lineRule="auto"/>
        <w:rPr>
          <w:rFonts w:ascii="Times New Roman" w:hAnsi="Times New Roman" w:cs="Times New Roman"/>
        </w:rPr>
      </w:pPr>
      <w:r>
        <w:rPr>
          <w:rFonts w:ascii="Times New Roman" w:hAnsi="Times New Roman" w:cs="Times New Roman"/>
        </w:rPr>
        <w:t xml:space="preserve">Based on the above analysis, some innovative recommendations are proposed for both organizations, aiming to strengthen or maintain their people management strategies, especially in the face of new challenges or opportunities discussed above. </w:t>
      </w:r>
    </w:p>
    <w:p>
      <w:pPr>
        <w:spacing w:before="163" w:beforeLines="50" w:after="326" w:afterLines="100" w:line="360" w:lineRule="auto"/>
        <w:jc w:val="center"/>
        <w:rPr>
          <w:rFonts w:ascii="Times New Roman" w:hAnsi="Times New Roman" w:cs="Times New Roman"/>
          <w:sz w:val="20"/>
          <w:szCs w:val="20"/>
        </w:rPr>
      </w:pPr>
      <w:r>
        <w:rPr>
          <w:rFonts w:ascii="Times New Roman" w:hAnsi="Times New Roman" w:cs="Times New Roman"/>
          <w:sz w:val="20"/>
          <w:szCs w:val="20"/>
        </w:rPr>
        <w:t>Table 2: Recommendations proposed for Huawei and Microsoft</w:t>
      </w:r>
    </w:p>
    <w:p>
      <w:pPr>
        <w:spacing w:before="163" w:beforeLines="50" w:after="326" w:afterLines="100" w:line="360" w:lineRule="auto"/>
        <w:jc w:val="center"/>
        <w:rPr>
          <w:rFonts w:ascii="Times New Roman" w:hAnsi="Times New Roman" w:cs="Times New Roman"/>
          <w:sz w:val="20"/>
          <w:szCs w:val="20"/>
        </w:rPr>
      </w:pPr>
      <w:r>
        <w:rPr>
          <w:rFonts w:ascii="Times New Roman" w:hAnsi="Times New Roman" w:cs="Times New Roman"/>
          <w:sz w:val="20"/>
          <w:szCs w:val="20"/>
        </w:rPr>
        <w:t xml:space="preserve">Source: own summary </w:t>
      </w:r>
      <w:r>
        <w:drawing>
          <wp:inline distT="0" distB="0" distL="0" distR="0">
            <wp:extent cx="6360160" cy="6114415"/>
            <wp:effectExtent l="0" t="0" r="2540" b="4445"/>
            <wp:docPr id="1548348269"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348269" name="图片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6364577" cy="6118289"/>
                    </a:xfrm>
                    <a:prstGeom prst="rect">
                      <a:avLst/>
                    </a:prstGeom>
                    <a:noFill/>
                    <a:ln>
                      <a:noFill/>
                    </a:ln>
                  </pic:spPr>
                </pic:pic>
              </a:graphicData>
            </a:graphic>
          </wp:inline>
        </w:drawing>
      </w:r>
    </w:p>
    <w:p>
      <w:pPr>
        <w:spacing w:before="163" w:beforeLines="50" w:after="326" w:afterLines="100" w:line="360" w:lineRule="auto"/>
        <w:rPr>
          <w:rFonts w:ascii="Times New Roman" w:hAnsi="Times New Roman" w:cs="Times New Roman"/>
        </w:rPr>
      </w:pPr>
    </w:p>
    <w:p>
      <w:pPr>
        <w:spacing w:before="163" w:beforeLines="50" w:after="326" w:afterLines="100" w:line="360" w:lineRule="auto"/>
        <w:rPr>
          <w:rFonts w:ascii="Times New Roman" w:hAnsi="Times New Roman" w:cs="Times New Roman"/>
        </w:rPr>
      </w:pPr>
      <w:r>
        <w:rPr>
          <w:rFonts w:ascii="Times New Roman" w:hAnsi="Times New Roman" w:cs="Times New Roman"/>
        </w:rPr>
        <w:br w:type="page"/>
      </w:r>
    </w:p>
    <w:p>
      <w:pPr>
        <w:pStyle w:val="2"/>
        <w:spacing w:before="163" w:beforeLines="50" w:after="326" w:afterLines="100" w:line="360" w:lineRule="auto"/>
        <w:rPr>
          <w:rFonts w:ascii="Times New Roman" w:hAnsi="Times New Roman" w:cs="Times New Roman"/>
        </w:rPr>
      </w:pPr>
      <w:bookmarkStart w:id="9" w:name="_Toc164618412"/>
      <w:r>
        <w:rPr>
          <w:rFonts w:ascii="Times New Roman" w:hAnsi="Times New Roman" w:cs="Times New Roman"/>
        </w:rPr>
        <w:t>6.0 Reference List</w:t>
      </w:r>
      <w:bookmarkEnd w:id="9"/>
      <w:r>
        <w:rPr>
          <w:rFonts w:ascii="Times New Roman" w:hAnsi="Times New Roman" w:cs="Times New Roman"/>
        </w:rPr>
        <w:t xml:space="preserve"> </w:t>
      </w:r>
    </w:p>
    <w:p>
      <w:pPr>
        <w:pStyle w:val="52"/>
        <w:spacing w:before="163" w:beforeLines="50" w:after="326" w:afterLines="100" w:line="360" w:lineRule="auto"/>
        <w:rPr>
          <w:rFonts w:ascii="Times New Roman" w:hAnsi="Times New Roman" w:eastAsia="等线" w:cs="Times New Roman"/>
        </w:rPr>
      </w:pPr>
      <w:r>
        <w:rPr>
          <w:rFonts w:ascii="Times New Roman" w:hAnsi="Times New Roman" w:cs="Times New Roman"/>
        </w:rPr>
        <w:fldChar w:fldCharType="begin"/>
      </w:r>
      <w:r>
        <w:rPr>
          <w:rFonts w:ascii="Times New Roman" w:hAnsi="Times New Roman" w:cs="Times New Roman"/>
        </w:rPr>
        <w:instrText xml:space="preserve"> ADDIN ZOTERO_BIBL {"uncited":[],"omitted":[],"custom":[]} CSL_BIBLIOGRAPHY </w:instrText>
      </w:r>
      <w:r>
        <w:rPr>
          <w:rFonts w:ascii="Times New Roman" w:hAnsi="Times New Roman" w:cs="Times New Roman"/>
        </w:rPr>
        <w:fldChar w:fldCharType="separate"/>
      </w:r>
      <w:r>
        <w:rPr>
          <w:rFonts w:ascii="Times New Roman" w:hAnsi="Times New Roman" w:eastAsia="等线" w:cs="Times New Roman"/>
        </w:rPr>
        <w:t xml:space="preserve">Boon, C. </w:t>
      </w:r>
      <w:r>
        <w:rPr>
          <w:rFonts w:ascii="Times New Roman" w:hAnsi="Times New Roman" w:eastAsia="等线" w:cs="Times New Roman"/>
          <w:i/>
          <w:iCs/>
        </w:rPr>
        <w:t>et al.</w:t>
      </w:r>
      <w:r>
        <w:rPr>
          <w:rFonts w:ascii="Times New Roman" w:hAnsi="Times New Roman" w:eastAsia="等线" w:cs="Times New Roman"/>
        </w:rPr>
        <w:t xml:space="preserve"> (2018) ‘Integrating strategic human capital and strategic human resource management’, </w:t>
      </w:r>
      <w:r>
        <w:rPr>
          <w:rFonts w:ascii="Times New Roman" w:hAnsi="Times New Roman" w:eastAsia="等线" w:cs="Times New Roman"/>
          <w:i/>
          <w:iCs/>
        </w:rPr>
        <w:t>The International Journal of Human Resource Management</w:t>
      </w:r>
      <w:r>
        <w:rPr>
          <w:rFonts w:ascii="Times New Roman" w:hAnsi="Times New Roman" w:eastAsia="等线" w:cs="Times New Roman"/>
        </w:rPr>
        <w:t>, 29(1), pp. 34–67.</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CNN (2018) </w:t>
      </w:r>
      <w:r>
        <w:rPr>
          <w:rFonts w:ascii="Times New Roman" w:hAnsi="Times New Roman" w:eastAsia="等线" w:cs="Times New Roman"/>
          <w:i/>
          <w:iCs/>
        </w:rPr>
        <w:t>Microsoft received 238 gender discrimination and harassment complaints</w:t>
      </w:r>
      <w:r>
        <w:rPr>
          <w:rFonts w:ascii="Times New Roman" w:hAnsi="Times New Roman" w:eastAsia="等线" w:cs="Times New Roman"/>
        </w:rPr>
        <w:t>. Available at: https://money.cnn.com/2018/03/13/technology/microsoft-gender-discrimination-lawsuit/index.html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Cooke, F.L. (2014) ‘The changing face of human resource management in China’, in </w:t>
      </w:r>
      <w:r>
        <w:rPr>
          <w:rFonts w:ascii="Times New Roman" w:hAnsi="Times New Roman" w:eastAsia="等线" w:cs="Times New Roman"/>
          <w:i/>
          <w:iCs/>
        </w:rPr>
        <w:t>The Changing Face of Management in China</w:t>
      </w:r>
      <w:r>
        <w:rPr>
          <w:rFonts w:ascii="Times New Roman" w:hAnsi="Times New Roman" w:eastAsia="等线" w:cs="Times New Roman"/>
        </w:rPr>
        <w:t>. Routledge, pp. 28–51.</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Curry, R. (2023) </w:t>
      </w:r>
      <w:r>
        <w:rPr>
          <w:rFonts w:ascii="Times New Roman" w:hAnsi="Times New Roman" w:eastAsia="等线" w:cs="Times New Roman"/>
          <w:i/>
          <w:iCs/>
        </w:rPr>
        <w:t>Microsoft, Amazon among the companies shaping AI-enabled hiring policy</w:t>
      </w:r>
      <w:r>
        <w:rPr>
          <w:rFonts w:ascii="Times New Roman" w:hAnsi="Times New Roman" w:eastAsia="等线" w:cs="Times New Roman"/>
        </w:rPr>
        <w:t xml:space="preserve">, </w:t>
      </w:r>
      <w:r>
        <w:rPr>
          <w:rFonts w:ascii="Times New Roman" w:hAnsi="Times New Roman" w:eastAsia="等线" w:cs="Times New Roman"/>
          <w:i/>
          <w:iCs/>
        </w:rPr>
        <w:t>CNBC</w:t>
      </w:r>
      <w:r>
        <w:rPr>
          <w:rFonts w:ascii="Times New Roman" w:hAnsi="Times New Roman" w:eastAsia="等线" w:cs="Times New Roman"/>
        </w:rPr>
        <w:t>. Available at: https://www.cnbc.com/2023/10/11/microsoft-amazon-among-the-companies-shaping-ai-enabled-hiring-policy.html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Flores, Joever, Joseph and Flores, JoJo (2020) </w:t>
      </w:r>
      <w:r>
        <w:rPr>
          <w:rFonts w:ascii="Times New Roman" w:hAnsi="Times New Roman" w:eastAsia="等线" w:cs="Times New Roman"/>
          <w:i/>
          <w:iCs/>
        </w:rPr>
        <w:t>Human Resource Management Practice in Microsoft Corporation</w:t>
      </w:r>
      <w:r>
        <w:rPr>
          <w:rFonts w:ascii="Times New Roman" w:hAnsi="Times New Roman" w:eastAsia="等线" w:cs="Times New Roman"/>
        </w:rPr>
        <w:t>. Available at: https://doi.org/10.13140/RG.2.2.36246.70729.</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Gross, E.L. (2019) </w:t>
      </w:r>
      <w:r>
        <w:rPr>
          <w:rFonts w:ascii="Times New Roman" w:hAnsi="Times New Roman" w:eastAsia="等线" w:cs="Times New Roman"/>
          <w:i/>
          <w:iCs/>
        </w:rPr>
        <w:t>Microsoft Employees Meet With CEO Nadella To Protest Treatment Of Women</w:t>
      </w:r>
      <w:r>
        <w:rPr>
          <w:rFonts w:ascii="Times New Roman" w:hAnsi="Times New Roman" w:eastAsia="等线" w:cs="Times New Roman"/>
        </w:rPr>
        <w:t xml:space="preserve">, </w:t>
      </w:r>
      <w:r>
        <w:rPr>
          <w:rFonts w:ascii="Times New Roman" w:hAnsi="Times New Roman" w:eastAsia="等线" w:cs="Times New Roman"/>
          <w:i/>
          <w:iCs/>
        </w:rPr>
        <w:t>Forbes</w:t>
      </w:r>
      <w:r>
        <w:rPr>
          <w:rFonts w:ascii="Times New Roman" w:hAnsi="Times New Roman" w:eastAsia="等线" w:cs="Times New Roman"/>
        </w:rPr>
        <w:t>. Available at: https://www.forbes.com/sites/elanagross/2019/04/05/microsoft-treatment-of-women/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Hong, J.F. and Snell, R.S. (2021) ‘Headquarters control and its legitimation in a Chinese multinational corporation: The case of Huawei’, </w:t>
      </w:r>
      <w:r>
        <w:rPr>
          <w:rFonts w:ascii="Times New Roman" w:hAnsi="Times New Roman" w:eastAsia="等线" w:cs="Times New Roman"/>
          <w:i/>
          <w:iCs/>
        </w:rPr>
        <w:t>Management and Organization Review</w:t>
      </w:r>
      <w:r>
        <w:rPr>
          <w:rFonts w:ascii="Times New Roman" w:hAnsi="Times New Roman" w:eastAsia="等线" w:cs="Times New Roman"/>
        </w:rPr>
        <w:t>, 17(5), pp. 1043–1086.</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Huawei (2016) </w:t>
      </w:r>
      <w:r>
        <w:rPr>
          <w:rFonts w:ascii="Times New Roman" w:hAnsi="Times New Roman" w:eastAsia="等线" w:cs="Times New Roman"/>
          <w:i/>
          <w:iCs/>
        </w:rPr>
        <w:t>Using AI for the betterment of humanity: Keeping it real with Educated AI - Huawei Publications</w:t>
      </w:r>
      <w:r>
        <w:rPr>
          <w:rFonts w:ascii="Times New Roman" w:hAnsi="Times New Roman" w:eastAsia="等线" w:cs="Times New Roman"/>
        </w:rPr>
        <w:t xml:space="preserve">, </w:t>
      </w:r>
      <w:r>
        <w:rPr>
          <w:rFonts w:ascii="Times New Roman" w:hAnsi="Times New Roman" w:eastAsia="等线" w:cs="Times New Roman"/>
          <w:i/>
          <w:iCs/>
        </w:rPr>
        <w:t>Huawei</w:t>
      </w:r>
      <w:r>
        <w:rPr>
          <w:rFonts w:ascii="Times New Roman" w:hAnsi="Times New Roman" w:eastAsia="等线" w:cs="Times New Roman"/>
        </w:rPr>
        <w:t>. Available at: https://www.huawei.com/en/huaweitech/publication/winwin/ai/using-ai-for-betterment-of-humanity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Huawei (2023) </w:t>
      </w:r>
      <w:r>
        <w:rPr>
          <w:rFonts w:ascii="Times New Roman" w:hAnsi="Times New Roman" w:eastAsia="等线" w:cs="Times New Roman"/>
          <w:i/>
          <w:iCs/>
        </w:rPr>
        <w:t>Digital technology accelerates talent transformation</w:t>
      </w:r>
      <w:r>
        <w:rPr>
          <w:rFonts w:ascii="Times New Roman" w:hAnsi="Times New Roman" w:eastAsia="等线" w:cs="Times New Roman"/>
        </w:rPr>
        <w:t>. Available at: https://www-file.huawei.com/-/media/corporate/pdf/white%20paper/digital-technology-accelerates-talent-transformation-cn-v4.pdf.</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Huawei (2024) </w:t>
      </w:r>
      <w:r>
        <w:rPr>
          <w:rFonts w:ascii="Times New Roman" w:hAnsi="Times New Roman" w:eastAsia="等线" w:cs="Times New Roman"/>
          <w:i/>
          <w:iCs/>
        </w:rPr>
        <w:t>Huawei Annual Report 2023</w:t>
      </w:r>
      <w:r>
        <w:rPr>
          <w:rFonts w:ascii="Times New Roman" w:hAnsi="Times New Roman" w:eastAsia="等线" w:cs="Times New Roman"/>
        </w:rPr>
        <w:t>. Available at: https://www.huawei.com/en/annual-report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Ivancevich, J.M. and Konopaske, R. (2013) </w:t>
      </w:r>
      <w:r>
        <w:rPr>
          <w:rFonts w:ascii="Times New Roman" w:hAnsi="Times New Roman" w:eastAsia="等线" w:cs="Times New Roman"/>
          <w:i/>
          <w:iCs/>
        </w:rPr>
        <w:t>Human resource management</w:t>
      </w:r>
      <w:r>
        <w:rPr>
          <w:rFonts w:ascii="Times New Roman" w:hAnsi="Times New Roman" w:eastAsia="等线" w:cs="Times New Roman"/>
        </w:rPr>
        <w:t>. McGraw-Hill.</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Ji, C. (2024) ‘Talent Strategy and Future Development of High-tech Enterprises: Taking Huawei as an Example’, </w:t>
      </w:r>
      <w:r>
        <w:rPr>
          <w:rFonts w:ascii="Times New Roman" w:hAnsi="Times New Roman" w:eastAsia="等线" w:cs="Times New Roman"/>
          <w:i/>
          <w:iCs/>
        </w:rPr>
        <w:t>Highlights in Business, Economics, and Management</w:t>
      </w:r>
      <w:r>
        <w:rPr>
          <w:rFonts w:ascii="Times New Roman" w:hAnsi="Times New Roman" w:eastAsia="等线" w:cs="Times New Roman"/>
        </w:rPr>
        <w:t>, 24, pp. 129–135.</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Li, B. </w:t>
      </w:r>
      <w:r>
        <w:rPr>
          <w:rFonts w:ascii="Times New Roman" w:hAnsi="Times New Roman" w:eastAsia="等线" w:cs="Times New Roman"/>
          <w:i/>
          <w:iCs/>
        </w:rPr>
        <w:t>et al.</w:t>
      </w:r>
      <w:r>
        <w:rPr>
          <w:rFonts w:ascii="Times New Roman" w:hAnsi="Times New Roman" w:eastAsia="等线" w:cs="Times New Roman"/>
        </w:rPr>
        <w:t xml:space="preserve"> (2023) ‘Open innovation: a research framework and case study of Huawei’, </w:t>
      </w:r>
      <w:r>
        <w:rPr>
          <w:rFonts w:ascii="Times New Roman" w:hAnsi="Times New Roman" w:eastAsia="等线" w:cs="Times New Roman"/>
          <w:i/>
          <w:iCs/>
        </w:rPr>
        <w:t>Technological and Economic Development of Economy</w:t>
      </w:r>
      <w:r>
        <w:rPr>
          <w:rFonts w:ascii="Times New Roman" w:hAnsi="Times New Roman" w:eastAsia="等线" w:cs="Times New Roman"/>
        </w:rPr>
        <w:t>, 29(1), pp. 278–306.</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Li, Z. </w:t>
      </w:r>
      <w:r>
        <w:rPr>
          <w:rFonts w:ascii="Times New Roman" w:hAnsi="Times New Roman" w:eastAsia="等线" w:cs="Times New Roman"/>
          <w:i/>
          <w:iCs/>
        </w:rPr>
        <w:t>et al.</w:t>
      </w:r>
      <w:r>
        <w:rPr>
          <w:rFonts w:ascii="Times New Roman" w:hAnsi="Times New Roman" w:eastAsia="等线" w:cs="Times New Roman"/>
        </w:rPr>
        <w:t xml:space="preserve"> (2020) ‘Guest editorial: Innovation with Chinese characteristics: theory and practice’, </w:t>
      </w:r>
      <w:r>
        <w:rPr>
          <w:rFonts w:ascii="Times New Roman" w:hAnsi="Times New Roman" w:eastAsia="等线" w:cs="Times New Roman"/>
          <w:i/>
          <w:iCs/>
        </w:rPr>
        <w:t>Chinese Management Studies</w:t>
      </w:r>
      <w:r>
        <w:rPr>
          <w:rFonts w:ascii="Times New Roman" w:hAnsi="Times New Roman" w:eastAsia="等线" w:cs="Times New Roman"/>
        </w:rPr>
        <w:t>, 14(2), pp. 325–333.</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Lu, L. and Sun, Y. (2022) ‘Fault Tolerance and Respect: Corporate Culture that Can Improve Employees’ Execution’, in. </w:t>
      </w:r>
      <w:r>
        <w:rPr>
          <w:rFonts w:ascii="Times New Roman" w:hAnsi="Times New Roman" w:eastAsia="等线" w:cs="Times New Roman"/>
          <w:i/>
          <w:iCs/>
        </w:rPr>
        <w:t>2022 6th International Seminar on Education, Management and Social Sciences (ISEMSS 2022)</w:t>
      </w:r>
      <w:r>
        <w:rPr>
          <w:rFonts w:ascii="Times New Roman" w:hAnsi="Times New Roman" w:eastAsia="等线" w:cs="Times New Roman"/>
        </w:rPr>
        <w:t>, Atlantis Press, pp. 1923–1931.</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Microsoft (2022) </w:t>
      </w:r>
      <w:r>
        <w:rPr>
          <w:rFonts w:ascii="Times New Roman" w:hAnsi="Times New Roman" w:eastAsia="等线" w:cs="Times New Roman"/>
          <w:i/>
          <w:iCs/>
        </w:rPr>
        <w:t>B! HR - Business Intelligence for Human Resources</w:t>
      </w:r>
      <w:r>
        <w:rPr>
          <w:rFonts w:ascii="Times New Roman" w:hAnsi="Times New Roman" w:eastAsia="等线" w:cs="Times New Roman"/>
        </w:rPr>
        <w:t xml:space="preserve">, </w:t>
      </w:r>
      <w:r>
        <w:rPr>
          <w:rFonts w:ascii="Times New Roman" w:hAnsi="Times New Roman" w:eastAsia="等线" w:cs="Times New Roman"/>
          <w:i/>
          <w:iCs/>
        </w:rPr>
        <w:t>B!HR - Business Intelligence for Human Resources</w:t>
      </w:r>
      <w:r>
        <w:rPr>
          <w:rFonts w:ascii="Times New Roman" w:hAnsi="Times New Roman" w:eastAsia="等线" w:cs="Times New Roman"/>
        </w:rPr>
        <w:t>. Available at: https://appsource.microsoft.com/en-us/product/web-apps/arquiconsultsa.arq_bi_2018_0001?tab=overview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Microsoft (2023a) </w:t>
      </w:r>
      <w:r>
        <w:rPr>
          <w:rFonts w:ascii="Times New Roman" w:hAnsi="Times New Roman" w:eastAsia="等线" w:cs="Times New Roman"/>
          <w:i/>
          <w:iCs/>
        </w:rPr>
        <w:t>Driving Innovation through Organizational Learning Strategies</w:t>
      </w:r>
      <w:r>
        <w:rPr>
          <w:rFonts w:ascii="Times New Roman" w:hAnsi="Times New Roman" w:eastAsia="等线" w:cs="Times New Roman"/>
        </w:rPr>
        <w:t>. Available at: https://www.microsoft.com/en-us/microsoft-365/business-insights-ideas/resources/organizational-learning-strategies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Microsoft (2023b) </w:t>
      </w:r>
      <w:r>
        <w:rPr>
          <w:rFonts w:ascii="Times New Roman" w:hAnsi="Times New Roman" w:eastAsia="等线" w:cs="Times New Roman"/>
          <w:i/>
          <w:iCs/>
        </w:rPr>
        <w:t>Microsoft 2023 Annual Report</w:t>
      </w:r>
      <w:r>
        <w:rPr>
          <w:rFonts w:ascii="Times New Roman" w:hAnsi="Times New Roman" w:eastAsia="等线" w:cs="Times New Roman"/>
        </w:rPr>
        <w:t>. Available at: https://www.microsoft.com/investor/reports/ar23/index.html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Microsoft (2023c) </w:t>
      </w:r>
      <w:r>
        <w:rPr>
          <w:rFonts w:ascii="Times New Roman" w:hAnsi="Times New Roman" w:eastAsia="等线" w:cs="Times New Roman"/>
          <w:i/>
          <w:iCs/>
        </w:rPr>
        <w:t>Transforming Recruitment Processes with AI and Power Platform</w:t>
      </w:r>
      <w:r>
        <w:rPr>
          <w:rFonts w:ascii="Times New Roman" w:hAnsi="Times New Roman" w:eastAsia="等线" w:cs="Times New Roman"/>
        </w:rPr>
        <w:t>. Available at: https://techcommunity.microsoft.com/t5/educator-developer-blog/transforming-recruitment-processes-with-ai-and-power-platform/ba-p/3840828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Microsoft (2024) </w:t>
      </w:r>
      <w:r>
        <w:rPr>
          <w:rFonts w:ascii="Times New Roman" w:hAnsi="Times New Roman" w:eastAsia="等线" w:cs="Times New Roman"/>
          <w:i/>
          <w:iCs/>
        </w:rPr>
        <w:t>Career, learning &amp; development</w:t>
      </w:r>
      <w:r>
        <w:rPr>
          <w:rFonts w:ascii="Times New Roman" w:hAnsi="Times New Roman" w:eastAsia="等线" w:cs="Times New Roman"/>
        </w:rPr>
        <w:t xml:space="preserve">, </w:t>
      </w:r>
      <w:r>
        <w:rPr>
          <w:rFonts w:ascii="Times New Roman" w:hAnsi="Times New Roman" w:eastAsia="等线" w:cs="Times New Roman"/>
          <w:i/>
          <w:iCs/>
        </w:rPr>
        <w:t>Microsoft</w:t>
      </w:r>
      <w:r>
        <w:rPr>
          <w:rFonts w:ascii="Times New Roman" w:hAnsi="Times New Roman" w:eastAsia="等线" w:cs="Times New Roman"/>
        </w:rPr>
        <w:t>. Available at: https://www.microsoft.com/en-us/human-resources/career-learning-development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Novet, J. (2022) </w:t>
      </w:r>
      <w:r>
        <w:rPr>
          <w:rFonts w:ascii="Times New Roman" w:hAnsi="Times New Roman" w:eastAsia="等线" w:cs="Times New Roman"/>
          <w:i/>
          <w:iCs/>
        </w:rPr>
        <w:t>Microsoft will update harassment policy after report shows pitfalls in handling of complaints</w:t>
      </w:r>
      <w:r>
        <w:rPr>
          <w:rFonts w:ascii="Times New Roman" w:hAnsi="Times New Roman" w:eastAsia="等线" w:cs="Times New Roman"/>
        </w:rPr>
        <w:t xml:space="preserve">, </w:t>
      </w:r>
      <w:r>
        <w:rPr>
          <w:rFonts w:ascii="Times New Roman" w:hAnsi="Times New Roman" w:eastAsia="等线" w:cs="Times New Roman"/>
          <w:i/>
          <w:iCs/>
        </w:rPr>
        <w:t>CNBC</w:t>
      </w:r>
      <w:r>
        <w:rPr>
          <w:rFonts w:ascii="Times New Roman" w:hAnsi="Times New Roman" w:eastAsia="等线" w:cs="Times New Roman"/>
        </w:rPr>
        <w:t>. Available at: https://www.cnbc.com/2022/11/15/microsoft-will-update-sexual-harassment-policy-after-arentfox-report.html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Pandaily (2019) </w:t>
      </w:r>
      <w:r>
        <w:rPr>
          <w:rFonts w:ascii="Times New Roman" w:hAnsi="Times New Roman" w:eastAsia="等线" w:cs="Times New Roman"/>
          <w:i/>
          <w:iCs/>
        </w:rPr>
        <w:t>Huawei Faces Average 21.8 Percent Resignation Rate From PhD Employees Leaving - Pandaily</w:t>
      </w:r>
      <w:r>
        <w:rPr>
          <w:rFonts w:ascii="Times New Roman" w:hAnsi="Times New Roman" w:eastAsia="等线" w:cs="Times New Roman"/>
        </w:rPr>
        <w:t>. Available at: https://pandaily.com/huawei-faces-average-21-8-percent-resignation-rate-from-phd-employees-leaving/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Schaefer, K.J. (2020) ‘Catching up by hiring: The case of Huawei’, </w:t>
      </w:r>
      <w:r>
        <w:rPr>
          <w:rFonts w:ascii="Times New Roman" w:hAnsi="Times New Roman" w:eastAsia="等线" w:cs="Times New Roman"/>
          <w:i/>
          <w:iCs/>
        </w:rPr>
        <w:t>Journal of International Business Studies</w:t>
      </w:r>
      <w:r>
        <w:rPr>
          <w:rFonts w:ascii="Times New Roman" w:hAnsi="Times New Roman" w:eastAsia="等线" w:cs="Times New Roman"/>
        </w:rPr>
        <w:t>, 51, pp. 1500–1515.</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Sina News (2019) </w:t>
      </w:r>
      <w:r>
        <w:rPr>
          <w:rFonts w:ascii="Times New Roman" w:hAnsi="Times New Roman" w:eastAsia="等线" w:cs="Times New Roman"/>
          <w:i/>
          <w:iCs/>
        </w:rPr>
        <w:t>Huawei’s doctoral staff turnover rate of 21.8% Ren Zhengfei reflects on the loss of highly educated talent</w:t>
      </w:r>
      <w:r>
        <w:rPr>
          <w:rFonts w:ascii="Times New Roman" w:hAnsi="Times New Roman" w:eastAsia="等线" w:cs="Times New Roman"/>
        </w:rPr>
        <w:t>. Available at: https://tech.sina.com.cn/it/2019-02-16/doc-ihqfskcp5662503.shtml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Škudienė, V., Li-Ying, J. and Bernhard, F. (2020) ‘Innovation management: perspectives from strategy, product, process and human resource research’, in </w:t>
      </w:r>
      <w:r>
        <w:rPr>
          <w:rFonts w:ascii="Times New Roman" w:hAnsi="Times New Roman" w:eastAsia="等线" w:cs="Times New Roman"/>
          <w:i/>
          <w:iCs/>
        </w:rPr>
        <w:t>Innovation Management</w:t>
      </w:r>
      <w:r>
        <w:rPr>
          <w:rFonts w:ascii="Times New Roman" w:hAnsi="Times New Roman" w:eastAsia="等线" w:cs="Times New Roman"/>
        </w:rPr>
        <w:t>. Edward Elgar Publishing, pp. 2–14.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Solon, O. (2018) ‘Lawsuit claims sexual harassment rife in Microsoft’s “boys” club atmosphere’’, </w:t>
      </w:r>
      <w:r>
        <w:rPr>
          <w:rFonts w:ascii="Times New Roman" w:hAnsi="Times New Roman" w:eastAsia="等线" w:cs="Times New Roman"/>
          <w:i/>
          <w:iCs/>
        </w:rPr>
        <w:t>The Guardian</w:t>
      </w:r>
      <w:r>
        <w:rPr>
          <w:rFonts w:ascii="Times New Roman" w:hAnsi="Times New Roman" w:eastAsia="等线" w:cs="Times New Roman"/>
        </w:rPr>
        <w:t>, 13 March. Available at: https://www.theguardian.com/technology/2018/mar/13/microsoft-sexual-harassment-lawsuit-lacklustre-response (Accessed: 21 April 2024).</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Stewart, G.L. and Brown, K.G. (2019) </w:t>
      </w:r>
      <w:r>
        <w:rPr>
          <w:rFonts w:ascii="Times New Roman" w:hAnsi="Times New Roman" w:eastAsia="等线" w:cs="Times New Roman"/>
          <w:i/>
          <w:iCs/>
        </w:rPr>
        <w:t>Human resource management</w:t>
      </w:r>
      <w:r>
        <w:rPr>
          <w:rFonts w:ascii="Times New Roman" w:hAnsi="Times New Roman" w:eastAsia="等线" w:cs="Times New Roman"/>
        </w:rPr>
        <w:t>. John Wiley &amp; Sons.</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Ulatowska, R., Wainio, E. and Pierzchała, M. (2023) ‘Digital transformation in HRM of the modern business service sector in Finland and Poland’, </w:t>
      </w:r>
      <w:r>
        <w:rPr>
          <w:rFonts w:ascii="Times New Roman" w:hAnsi="Times New Roman" w:eastAsia="等线" w:cs="Times New Roman"/>
          <w:i/>
          <w:iCs/>
        </w:rPr>
        <w:t>Journal of Organizational Change Management</w:t>
      </w:r>
      <w:r>
        <w:rPr>
          <w:rFonts w:ascii="Times New Roman" w:hAnsi="Times New Roman" w:eastAsia="等线" w:cs="Times New Roman"/>
        </w:rPr>
        <w:t>, 36(7), pp. 1180–1192. Available at: https://doi.org/10.1108/JOCM-11-2022-0339.</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Vătămănescu, E.-M. </w:t>
      </w:r>
      <w:r>
        <w:rPr>
          <w:rFonts w:ascii="Times New Roman" w:hAnsi="Times New Roman" w:eastAsia="等线" w:cs="Times New Roman"/>
          <w:i/>
          <w:iCs/>
        </w:rPr>
        <w:t>et al.</w:t>
      </w:r>
      <w:r>
        <w:rPr>
          <w:rFonts w:ascii="Times New Roman" w:hAnsi="Times New Roman" w:eastAsia="等线" w:cs="Times New Roman"/>
        </w:rPr>
        <w:t xml:space="preserve"> (2023) ‘Capitalizing online knowledge networks: from individual knowledge acquisition towards organizational achievements’, </w:t>
      </w:r>
      <w:r>
        <w:rPr>
          <w:rFonts w:ascii="Times New Roman" w:hAnsi="Times New Roman" w:eastAsia="等线" w:cs="Times New Roman"/>
          <w:i/>
          <w:iCs/>
        </w:rPr>
        <w:t>Journal of Knowledge Management</w:t>
      </w:r>
      <w:r>
        <w:rPr>
          <w:rFonts w:ascii="Times New Roman" w:hAnsi="Times New Roman" w:eastAsia="等线" w:cs="Times New Roman"/>
        </w:rPr>
        <w:t>, 27(5), pp. 1366–1389.</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Wang, S. (2023) ‘The Impact of Equity Incentives on Enterprise Business Performance’, in. </w:t>
      </w:r>
      <w:r>
        <w:rPr>
          <w:rFonts w:ascii="Times New Roman" w:hAnsi="Times New Roman" w:eastAsia="等线" w:cs="Times New Roman"/>
          <w:i/>
          <w:iCs/>
        </w:rPr>
        <w:t>SHS Web of Conferences</w:t>
      </w:r>
      <w:r>
        <w:rPr>
          <w:rFonts w:ascii="Times New Roman" w:hAnsi="Times New Roman" w:eastAsia="等线" w:cs="Times New Roman"/>
        </w:rPr>
        <w:t>, EDP Sciences, p. 02020.</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Wang, Y., Sun, Q. and Chen, N. (2022) ‘Research on HUAWEI’s Employee Incentive Mechanism’, </w:t>
      </w:r>
      <w:r>
        <w:rPr>
          <w:rFonts w:ascii="Times New Roman" w:hAnsi="Times New Roman" w:eastAsia="等线" w:cs="Times New Roman"/>
          <w:i/>
          <w:iCs/>
        </w:rPr>
        <w:t>Frontiers in Economics and Management</w:t>
      </w:r>
      <w:r>
        <w:rPr>
          <w:rFonts w:ascii="Times New Roman" w:hAnsi="Times New Roman" w:eastAsia="等线" w:cs="Times New Roman"/>
        </w:rPr>
        <w:t>, 3(4), pp. 293–299.</w:t>
      </w:r>
    </w:p>
    <w:p>
      <w:pPr>
        <w:pStyle w:val="52"/>
        <w:spacing w:before="163" w:beforeLines="50" w:after="326" w:afterLines="100" w:line="360" w:lineRule="auto"/>
        <w:rPr>
          <w:rFonts w:ascii="Times New Roman" w:hAnsi="Times New Roman" w:eastAsia="等线" w:cs="Times New Roman"/>
        </w:rPr>
      </w:pPr>
      <w:r>
        <w:rPr>
          <w:rFonts w:ascii="Times New Roman" w:hAnsi="Times New Roman" w:eastAsia="等线" w:cs="Times New Roman"/>
        </w:rPr>
        <w:t xml:space="preserve">Wu, X. </w:t>
      </w:r>
      <w:r>
        <w:rPr>
          <w:rFonts w:ascii="Times New Roman" w:hAnsi="Times New Roman" w:eastAsia="等线" w:cs="Times New Roman"/>
          <w:i/>
          <w:iCs/>
        </w:rPr>
        <w:t>et al.</w:t>
      </w:r>
      <w:r>
        <w:rPr>
          <w:rFonts w:ascii="Times New Roman" w:hAnsi="Times New Roman" w:eastAsia="等线" w:cs="Times New Roman"/>
        </w:rPr>
        <w:t xml:space="preserve"> (2020) </w:t>
      </w:r>
      <w:r>
        <w:rPr>
          <w:rFonts w:ascii="Times New Roman" w:hAnsi="Times New Roman" w:eastAsia="等线" w:cs="Times New Roman"/>
          <w:i/>
          <w:iCs/>
        </w:rPr>
        <w:t>The transformation of Huawei: From humble beginnings to global leadership</w:t>
      </w:r>
      <w:r>
        <w:rPr>
          <w:rFonts w:ascii="Times New Roman" w:hAnsi="Times New Roman" w:eastAsia="等线" w:cs="Times New Roman"/>
        </w:rPr>
        <w:t>. Cambridge University Press.</w:t>
      </w:r>
    </w:p>
    <w:p>
      <w:pPr>
        <w:spacing w:before="163" w:beforeLines="50" w:after="326" w:afterLines="100" w:line="360" w:lineRule="auto"/>
        <w:rPr>
          <w:rFonts w:ascii="Times New Roman" w:hAnsi="Times New Roman" w:cs="Times New Roman"/>
        </w:rPr>
      </w:pPr>
      <w:r>
        <w:rPr>
          <w:rFonts w:ascii="Times New Roman" w:hAnsi="Times New Roman" w:cs="Times New Roman"/>
        </w:rPr>
        <w:fldChar w:fldCharType="end"/>
      </w:r>
    </w:p>
    <w:sectPr>
      <w:footerReference r:id="rId5" w:type="default"/>
      <w:pgSz w:w="11906" w:h="16838"/>
      <w:pgMar w:top="1440" w:right="1080" w:bottom="1440" w:left="1080" w:header="851" w:footer="992" w:gutter="0"/>
      <w:pgNumType w:start="1"/>
      <w:cols w:space="425" w:num="1"/>
      <w:docGrid w:type="lines"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55706940"/>
      <w:docPartObj>
        <w:docPartGallery w:val="AutoText"/>
      </w:docPartObj>
    </w:sdtPr>
    <w:sdtContent>
      <w:p>
        <w:pPr>
          <w:pStyle w:val="12"/>
          <w:jc w:val="right"/>
        </w:pPr>
        <w:r>
          <w:fldChar w:fldCharType="begin"/>
        </w:r>
        <w:r>
          <w:instrText xml:space="preserve">PAGE   \* MERGEFORMAT</w:instrText>
        </w:r>
        <w:r>
          <w:fldChar w:fldCharType="separate"/>
        </w:r>
        <w:r>
          <w:rPr>
            <w:lang w:val="zh-CN"/>
          </w:rPr>
          <w:t>2</w:t>
        </w:r>
        <w:r>
          <w:fldChar w:fldCharType="end"/>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3293249"/>
    <w:multiLevelType w:val="multilevel"/>
    <w:tmpl w:val="43293249"/>
    <w:lvl w:ilvl="0" w:tentative="0">
      <w:start w:val="1"/>
      <w:numFmt w:val="decimal"/>
      <w:lvlText w:val="%1.0"/>
      <w:lvlJc w:val="left"/>
      <w:pPr>
        <w:ind w:left="720" w:hanging="720"/>
      </w:pPr>
      <w:rPr>
        <w:rFonts w:hint="default"/>
      </w:rPr>
    </w:lvl>
    <w:lvl w:ilvl="1" w:tentative="0">
      <w:start w:val="1"/>
      <w:numFmt w:val="decimal"/>
      <w:lvlText w:val="%1.%2"/>
      <w:lvlJc w:val="left"/>
      <w:pPr>
        <w:ind w:left="1140" w:hanging="720"/>
      </w:pPr>
      <w:rPr>
        <w:rFonts w:hint="default"/>
      </w:rPr>
    </w:lvl>
    <w:lvl w:ilvl="2" w:tentative="0">
      <w:start w:val="1"/>
      <w:numFmt w:val="decimal"/>
      <w:lvlText w:val="%1.%2.%3"/>
      <w:lvlJc w:val="left"/>
      <w:pPr>
        <w:ind w:left="1920" w:hanging="1080"/>
      </w:pPr>
      <w:rPr>
        <w:rFonts w:hint="default"/>
      </w:rPr>
    </w:lvl>
    <w:lvl w:ilvl="3" w:tentative="0">
      <w:start w:val="1"/>
      <w:numFmt w:val="decimal"/>
      <w:lvlText w:val="%1.%2.%3.%4"/>
      <w:lvlJc w:val="left"/>
      <w:pPr>
        <w:ind w:left="2700" w:hanging="1440"/>
      </w:pPr>
      <w:rPr>
        <w:rFonts w:hint="default"/>
      </w:rPr>
    </w:lvl>
    <w:lvl w:ilvl="4" w:tentative="0">
      <w:start w:val="1"/>
      <w:numFmt w:val="decimal"/>
      <w:lvlText w:val="%1.%2.%3.%4.%5"/>
      <w:lvlJc w:val="left"/>
      <w:pPr>
        <w:ind w:left="3480" w:hanging="1800"/>
      </w:pPr>
      <w:rPr>
        <w:rFonts w:hint="default"/>
      </w:rPr>
    </w:lvl>
    <w:lvl w:ilvl="5" w:tentative="0">
      <w:start w:val="1"/>
      <w:numFmt w:val="decimal"/>
      <w:lvlText w:val="%1.%2.%3.%4.%5.%6"/>
      <w:lvlJc w:val="left"/>
      <w:pPr>
        <w:ind w:left="4260" w:hanging="2160"/>
      </w:pPr>
      <w:rPr>
        <w:rFonts w:hint="default"/>
      </w:rPr>
    </w:lvl>
    <w:lvl w:ilvl="6" w:tentative="0">
      <w:start w:val="1"/>
      <w:numFmt w:val="decimal"/>
      <w:lvlText w:val="%1.%2.%3.%4.%5.%6.%7"/>
      <w:lvlJc w:val="left"/>
      <w:pPr>
        <w:ind w:left="5040" w:hanging="2520"/>
      </w:pPr>
      <w:rPr>
        <w:rFonts w:hint="default"/>
      </w:rPr>
    </w:lvl>
    <w:lvl w:ilvl="7" w:tentative="0">
      <w:start w:val="1"/>
      <w:numFmt w:val="decimal"/>
      <w:lvlText w:val="%1.%2.%3.%4.%5.%6.%7.%8"/>
      <w:lvlJc w:val="left"/>
      <w:pPr>
        <w:ind w:left="5820" w:hanging="2880"/>
      </w:pPr>
      <w:rPr>
        <w:rFonts w:hint="default"/>
      </w:rPr>
    </w:lvl>
    <w:lvl w:ilvl="8" w:tentative="0">
      <w:start w:val="1"/>
      <w:numFmt w:val="decimal"/>
      <w:lvlText w:val="%1.%2.%3.%4.%5.%6.%7.%8.%9"/>
      <w:lvlJc w:val="left"/>
      <w:pPr>
        <w:ind w:left="6600" w:hanging="32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hideSpellingErrors/>
  <w:hideGrammaticalErrors/>
  <w:documentProtection w:enforcement="0"/>
  <w:defaultTabStop w:val="420"/>
  <w:drawingGridHorizontalSpacing w:val="120"/>
  <w:drawingGridVerticalSpacing w:val="163"/>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TU0ZDdmMmJlM2U3NTA0ODY0ZmM0NzM5ZmJjNGUyNDMifQ=="/>
  </w:docVars>
  <w:rsids>
    <w:rsidRoot w:val="00D35E3C"/>
    <w:rsid w:val="00016B32"/>
    <w:rsid w:val="00097EBE"/>
    <w:rsid w:val="000B719D"/>
    <w:rsid w:val="000F6412"/>
    <w:rsid w:val="00194E12"/>
    <w:rsid w:val="001C1080"/>
    <w:rsid w:val="001D3822"/>
    <w:rsid w:val="001E128C"/>
    <w:rsid w:val="00207F8A"/>
    <w:rsid w:val="00222043"/>
    <w:rsid w:val="00222E4D"/>
    <w:rsid w:val="002504CE"/>
    <w:rsid w:val="00271A2F"/>
    <w:rsid w:val="002B3AB3"/>
    <w:rsid w:val="002C2469"/>
    <w:rsid w:val="002F48C9"/>
    <w:rsid w:val="00330279"/>
    <w:rsid w:val="00340716"/>
    <w:rsid w:val="00340815"/>
    <w:rsid w:val="00356044"/>
    <w:rsid w:val="003D252F"/>
    <w:rsid w:val="004011C0"/>
    <w:rsid w:val="00454617"/>
    <w:rsid w:val="00463A24"/>
    <w:rsid w:val="00466B2D"/>
    <w:rsid w:val="004A53E0"/>
    <w:rsid w:val="004D40F7"/>
    <w:rsid w:val="004F2587"/>
    <w:rsid w:val="004F2FF8"/>
    <w:rsid w:val="004F6ED3"/>
    <w:rsid w:val="00575151"/>
    <w:rsid w:val="005D27E6"/>
    <w:rsid w:val="005E3958"/>
    <w:rsid w:val="005F4705"/>
    <w:rsid w:val="0066684C"/>
    <w:rsid w:val="00685CDF"/>
    <w:rsid w:val="00694936"/>
    <w:rsid w:val="006A6F3F"/>
    <w:rsid w:val="006B3A78"/>
    <w:rsid w:val="006E08CB"/>
    <w:rsid w:val="00721A54"/>
    <w:rsid w:val="007471D0"/>
    <w:rsid w:val="00767199"/>
    <w:rsid w:val="00777B2B"/>
    <w:rsid w:val="00783F61"/>
    <w:rsid w:val="007E1DCD"/>
    <w:rsid w:val="007E2F91"/>
    <w:rsid w:val="00807CE9"/>
    <w:rsid w:val="008472E0"/>
    <w:rsid w:val="00851979"/>
    <w:rsid w:val="008606BE"/>
    <w:rsid w:val="0086157B"/>
    <w:rsid w:val="008A30F0"/>
    <w:rsid w:val="008C2302"/>
    <w:rsid w:val="008D0BA7"/>
    <w:rsid w:val="008E4139"/>
    <w:rsid w:val="008E6A6B"/>
    <w:rsid w:val="009F2CED"/>
    <w:rsid w:val="00A61D54"/>
    <w:rsid w:val="00A82A8C"/>
    <w:rsid w:val="00A84F86"/>
    <w:rsid w:val="00AA21E2"/>
    <w:rsid w:val="00B12D30"/>
    <w:rsid w:val="00B246DB"/>
    <w:rsid w:val="00B55354"/>
    <w:rsid w:val="00BE671F"/>
    <w:rsid w:val="00BF110A"/>
    <w:rsid w:val="00C05FA5"/>
    <w:rsid w:val="00C3431A"/>
    <w:rsid w:val="00C46EB1"/>
    <w:rsid w:val="00C66369"/>
    <w:rsid w:val="00C70A2D"/>
    <w:rsid w:val="00C7257E"/>
    <w:rsid w:val="00C90C49"/>
    <w:rsid w:val="00CA105C"/>
    <w:rsid w:val="00CA5D15"/>
    <w:rsid w:val="00D01FAD"/>
    <w:rsid w:val="00D04283"/>
    <w:rsid w:val="00D35E3C"/>
    <w:rsid w:val="00D40C97"/>
    <w:rsid w:val="00D5387E"/>
    <w:rsid w:val="00D62FE4"/>
    <w:rsid w:val="00D8559F"/>
    <w:rsid w:val="00DB2F05"/>
    <w:rsid w:val="00DD5636"/>
    <w:rsid w:val="00EA44EE"/>
    <w:rsid w:val="00F07B44"/>
    <w:rsid w:val="00F16A9F"/>
    <w:rsid w:val="00F26669"/>
    <w:rsid w:val="00F43206"/>
    <w:rsid w:val="00FA3C34"/>
    <w:rsid w:val="00FF4ECC"/>
    <w:rsid w:val="1F200061"/>
    <w:rsid w:val="242B48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78" w:lineRule="auto"/>
    </w:pPr>
    <w:rPr>
      <w:rFonts w:asciiTheme="minorHAnsi" w:hAnsiTheme="minorHAnsi" w:eastAsiaTheme="minorEastAsia" w:cstheme="minorBidi"/>
      <w:sz w:val="24"/>
      <w:szCs w:val="24"/>
      <w:lang w:val="en-GB" w:eastAsia="zh-CN" w:bidi="ar-SA"/>
    </w:rPr>
  </w:style>
  <w:style w:type="paragraph" w:styleId="2">
    <w:name w:val="heading 1"/>
    <w:basedOn w:val="1"/>
    <w:next w:val="1"/>
    <w:link w:val="26"/>
    <w:qFormat/>
    <w:uiPriority w:val="9"/>
    <w:pPr>
      <w:keepNext/>
      <w:keepLines/>
      <w:spacing w:before="360" w:after="80"/>
      <w:outlineLvl w:val="0"/>
    </w:pPr>
    <w:rPr>
      <w:rFonts w:asciiTheme="majorHAnsi" w:hAnsiTheme="majorHAnsi" w:eastAsiaTheme="majorEastAsia" w:cstheme="majorBidi"/>
      <w:color w:val="2F5597" w:themeColor="accent1" w:themeShade="BF"/>
      <w:sz w:val="40"/>
      <w:szCs w:val="40"/>
    </w:rPr>
  </w:style>
  <w:style w:type="paragraph" w:styleId="3">
    <w:name w:val="heading 2"/>
    <w:basedOn w:val="1"/>
    <w:next w:val="1"/>
    <w:link w:val="27"/>
    <w:unhideWhenUsed/>
    <w:qFormat/>
    <w:uiPriority w:val="9"/>
    <w:pPr>
      <w:keepNext/>
      <w:keepLines/>
      <w:spacing w:before="160" w:after="80"/>
      <w:outlineLvl w:val="1"/>
    </w:pPr>
    <w:rPr>
      <w:rFonts w:asciiTheme="majorHAnsi" w:hAnsiTheme="majorHAnsi" w:eastAsiaTheme="majorEastAsia" w:cstheme="majorBidi"/>
      <w:color w:val="2F5597" w:themeColor="accent1" w:themeShade="BF"/>
      <w:sz w:val="32"/>
      <w:szCs w:val="32"/>
    </w:rPr>
  </w:style>
  <w:style w:type="paragraph" w:styleId="4">
    <w:name w:val="heading 3"/>
    <w:basedOn w:val="1"/>
    <w:next w:val="1"/>
    <w:link w:val="28"/>
    <w:autoRedefine/>
    <w:semiHidden/>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9"/>
    <w:autoRedefine/>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30"/>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31"/>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2"/>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3"/>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4"/>
    <w:autoRedefine/>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20">
    <w:name w:val="Default Paragraph Font"/>
    <w:unhideWhenUsed/>
    <w:uiPriority w:val="1"/>
  </w:style>
  <w:style w:type="table" w:default="1" w:styleId="18">
    <w:name w:val="Normal Table"/>
    <w:semiHidden/>
    <w:unhideWhenUsed/>
    <w:uiPriority w:val="99"/>
    <w:tblPr>
      <w:tblCellMar>
        <w:top w:w="0" w:type="dxa"/>
        <w:left w:w="108" w:type="dxa"/>
        <w:bottom w:w="0" w:type="dxa"/>
        <w:right w:w="108" w:type="dxa"/>
      </w:tblCellMar>
    </w:tblPr>
  </w:style>
  <w:style w:type="paragraph" w:styleId="11">
    <w:name w:val="caption"/>
    <w:basedOn w:val="1"/>
    <w:next w:val="1"/>
    <w:semiHidden/>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12">
    <w:name w:val="footer"/>
    <w:basedOn w:val="1"/>
    <w:link w:val="25"/>
    <w:autoRedefine/>
    <w:unhideWhenUsed/>
    <w:qFormat/>
    <w:uiPriority w:val="99"/>
    <w:pPr>
      <w:tabs>
        <w:tab w:val="center" w:pos="4153"/>
        <w:tab w:val="right" w:pos="8306"/>
      </w:tabs>
      <w:snapToGrid w:val="0"/>
    </w:pPr>
    <w:rPr>
      <w:sz w:val="18"/>
      <w:szCs w:val="18"/>
    </w:rPr>
  </w:style>
  <w:style w:type="paragraph" w:styleId="13">
    <w:name w:val="header"/>
    <w:basedOn w:val="1"/>
    <w:link w:val="24"/>
    <w:unhideWhenUsed/>
    <w:uiPriority w:val="99"/>
    <w:pPr>
      <w:tabs>
        <w:tab w:val="center" w:pos="4153"/>
        <w:tab w:val="right" w:pos="8306"/>
      </w:tabs>
      <w:snapToGrid w:val="0"/>
      <w:jc w:val="center"/>
    </w:pPr>
    <w:rPr>
      <w:sz w:val="18"/>
      <w:szCs w:val="18"/>
    </w:rPr>
  </w:style>
  <w:style w:type="paragraph" w:styleId="14">
    <w:name w:val="toc 1"/>
    <w:basedOn w:val="1"/>
    <w:next w:val="1"/>
    <w:autoRedefine/>
    <w:unhideWhenUsed/>
    <w:uiPriority w:val="39"/>
  </w:style>
  <w:style w:type="paragraph" w:styleId="15">
    <w:name w:val="Subtitle"/>
    <w:basedOn w:val="1"/>
    <w:next w:val="1"/>
    <w:link w:val="3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6">
    <w:name w:val="toc 2"/>
    <w:basedOn w:val="1"/>
    <w:next w:val="1"/>
    <w:autoRedefine/>
    <w:unhideWhenUsed/>
    <w:uiPriority w:val="39"/>
    <w:pPr>
      <w:ind w:left="420" w:leftChars="200"/>
    </w:pPr>
  </w:style>
  <w:style w:type="paragraph" w:styleId="17">
    <w:name w:val="Title"/>
    <w:basedOn w:val="1"/>
    <w:next w:val="1"/>
    <w:link w:val="35"/>
    <w:qFormat/>
    <w:uiPriority w:val="10"/>
    <w:pPr>
      <w:spacing w:after="80" w:line="240" w:lineRule="auto"/>
      <w:contextualSpacing/>
    </w:pPr>
    <w:rPr>
      <w:rFonts w:asciiTheme="majorHAnsi" w:hAnsiTheme="majorHAnsi" w:eastAsiaTheme="majorEastAsia" w:cstheme="majorBidi"/>
      <w:spacing w:val="-10"/>
      <w:kern w:val="28"/>
      <w:sz w:val="56"/>
      <w:szCs w:val="56"/>
    </w:rPr>
  </w:style>
  <w:style w:type="table" w:styleId="19">
    <w:name w:val="Table Grid"/>
    <w:basedOn w:val="18"/>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1">
    <w:name w:val="Strong"/>
    <w:basedOn w:val="20"/>
    <w:qFormat/>
    <w:uiPriority w:val="22"/>
    <w:rPr>
      <w:b/>
      <w:bCs/>
    </w:rPr>
  </w:style>
  <w:style w:type="character" w:styleId="22">
    <w:name w:val="Emphasis"/>
    <w:basedOn w:val="20"/>
    <w:qFormat/>
    <w:uiPriority w:val="20"/>
    <w:rPr>
      <w:i/>
      <w:iCs/>
    </w:rPr>
  </w:style>
  <w:style w:type="character" w:styleId="23">
    <w:name w:val="Hyperlink"/>
    <w:basedOn w:val="20"/>
    <w:unhideWhenUsed/>
    <w:uiPriority w:val="99"/>
    <w:rPr>
      <w:color w:val="0563C1" w:themeColor="hyperlink"/>
      <w:u w:val="single"/>
      <w14:textFill>
        <w14:solidFill>
          <w14:schemeClr w14:val="hlink"/>
        </w14:solidFill>
      </w14:textFill>
    </w:rPr>
  </w:style>
  <w:style w:type="character" w:customStyle="1" w:styleId="24">
    <w:name w:val="页眉 字符"/>
    <w:basedOn w:val="20"/>
    <w:link w:val="13"/>
    <w:uiPriority w:val="99"/>
    <w:rPr>
      <w:sz w:val="18"/>
      <w:szCs w:val="18"/>
      <w:lang w:val="en-GB"/>
    </w:rPr>
  </w:style>
  <w:style w:type="character" w:customStyle="1" w:styleId="25">
    <w:name w:val="页脚 字符"/>
    <w:basedOn w:val="20"/>
    <w:link w:val="12"/>
    <w:uiPriority w:val="99"/>
    <w:rPr>
      <w:sz w:val="18"/>
      <w:szCs w:val="18"/>
      <w:lang w:val="en-GB"/>
    </w:rPr>
  </w:style>
  <w:style w:type="character" w:customStyle="1" w:styleId="26">
    <w:name w:val="标题 1 字符"/>
    <w:basedOn w:val="20"/>
    <w:link w:val="2"/>
    <w:uiPriority w:val="9"/>
    <w:rPr>
      <w:rFonts w:asciiTheme="majorHAnsi" w:hAnsiTheme="majorHAnsi" w:eastAsiaTheme="majorEastAsia" w:cstheme="majorBidi"/>
      <w:color w:val="2F5597" w:themeColor="accent1" w:themeShade="BF"/>
      <w:sz w:val="40"/>
      <w:szCs w:val="40"/>
    </w:rPr>
  </w:style>
  <w:style w:type="character" w:customStyle="1" w:styleId="27">
    <w:name w:val="标题 2 字符"/>
    <w:basedOn w:val="20"/>
    <w:link w:val="3"/>
    <w:uiPriority w:val="9"/>
    <w:rPr>
      <w:rFonts w:asciiTheme="majorHAnsi" w:hAnsiTheme="majorHAnsi" w:eastAsiaTheme="majorEastAsia" w:cstheme="majorBidi"/>
      <w:color w:val="2F5597" w:themeColor="accent1" w:themeShade="BF"/>
      <w:sz w:val="32"/>
      <w:szCs w:val="32"/>
    </w:rPr>
  </w:style>
  <w:style w:type="character" w:customStyle="1" w:styleId="28">
    <w:name w:val="标题 3 字符"/>
    <w:basedOn w:val="20"/>
    <w:link w:val="4"/>
    <w:semiHidden/>
    <w:uiPriority w:val="9"/>
    <w:rPr>
      <w:rFonts w:eastAsiaTheme="majorEastAsia" w:cstheme="majorBidi"/>
      <w:color w:val="2F5597" w:themeColor="accent1" w:themeShade="BF"/>
      <w:sz w:val="28"/>
      <w:szCs w:val="28"/>
    </w:rPr>
  </w:style>
  <w:style w:type="character" w:customStyle="1" w:styleId="29">
    <w:name w:val="标题 4 字符"/>
    <w:basedOn w:val="20"/>
    <w:link w:val="5"/>
    <w:semiHidden/>
    <w:uiPriority w:val="9"/>
    <w:rPr>
      <w:rFonts w:eastAsiaTheme="majorEastAsia" w:cstheme="majorBidi"/>
      <w:i/>
      <w:iCs/>
      <w:color w:val="2F5597" w:themeColor="accent1" w:themeShade="BF"/>
    </w:rPr>
  </w:style>
  <w:style w:type="character" w:customStyle="1" w:styleId="30">
    <w:name w:val="标题 5 字符"/>
    <w:basedOn w:val="20"/>
    <w:link w:val="6"/>
    <w:semiHidden/>
    <w:uiPriority w:val="9"/>
    <w:rPr>
      <w:rFonts w:eastAsiaTheme="majorEastAsia" w:cstheme="majorBidi"/>
      <w:color w:val="2F5597" w:themeColor="accent1" w:themeShade="BF"/>
    </w:rPr>
  </w:style>
  <w:style w:type="character" w:customStyle="1" w:styleId="31">
    <w:name w:val="标题 6 字符"/>
    <w:basedOn w:val="20"/>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2">
    <w:name w:val="标题 7 字符"/>
    <w:basedOn w:val="20"/>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3">
    <w:name w:val="标题 8 字符"/>
    <w:basedOn w:val="20"/>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4">
    <w:name w:val="标题 9 字符"/>
    <w:basedOn w:val="20"/>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5">
    <w:name w:val="标题 字符"/>
    <w:basedOn w:val="20"/>
    <w:link w:val="17"/>
    <w:uiPriority w:val="10"/>
    <w:rPr>
      <w:rFonts w:asciiTheme="majorHAnsi" w:hAnsiTheme="majorHAnsi" w:eastAsiaTheme="majorEastAsia" w:cstheme="majorBidi"/>
      <w:spacing w:val="-10"/>
      <w:kern w:val="28"/>
      <w:sz w:val="56"/>
      <w:szCs w:val="56"/>
    </w:rPr>
  </w:style>
  <w:style w:type="character" w:customStyle="1" w:styleId="36">
    <w:name w:val="副标题 字符"/>
    <w:basedOn w:val="20"/>
    <w:link w:val="15"/>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7">
    <w:name w:val="No Spacing"/>
    <w:qFormat/>
    <w:uiPriority w:val="1"/>
    <w:pPr>
      <w:spacing w:after="0" w:line="240" w:lineRule="auto"/>
    </w:pPr>
    <w:rPr>
      <w:rFonts w:asciiTheme="minorHAnsi" w:hAnsiTheme="minorHAnsi" w:eastAsiaTheme="minorEastAsia" w:cstheme="minorBidi"/>
      <w:sz w:val="24"/>
      <w:szCs w:val="24"/>
      <w:lang w:val="en-US" w:eastAsia="zh-CN" w:bidi="ar-SA"/>
    </w:rPr>
  </w:style>
  <w:style w:type="paragraph" w:styleId="38">
    <w:name w:val="Quote"/>
    <w:basedOn w:val="1"/>
    <w:next w:val="1"/>
    <w:link w:val="39"/>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9">
    <w:name w:val="引用 字符"/>
    <w:basedOn w:val="20"/>
    <w:link w:val="38"/>
    <w:uiPriority w:val="29"/>
    <w:rPr>
      <w:i/>
      <w:iCs/>
      <w:color w:val="404040" w:themeColor="text1" w:themeTint="BF"/>
      <w14:textFill>
        <w14:solidFill>
          <w14:schemeClr w14:val="tx1">
            <w14:lumMod w14:val="75000"/>
            <w14:lumOff w14:val="25000"/>
          </w14:schemeClr>
        </w14:solidFill>
      </w14:textFill>
    </w:rPr>
  </w:style>
  <w:style w:type="paragraph" w:styleId="40">
    <w:name w:val="Intense Quote"/>
    <w:basedOn w:val="1"/>
    <w:next w:val="1"/>
    <w:link w:val="41"/>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1">
    <w:name w:val="明显引用 字符"/>
    <w:basedOn w:val="20"/>
    <w:link w:val="40"/>
    <w:uiPriority w:val="30"/>
    <w:rPr>
      <w:i/>
      <w:iCs/>
      <w:color w:val="2F5597" w:themeColor="accent1" w:themeShade="BF"/>
    </w:rPr>
  </w:style>
  <w:style w:type="character" w:customStyle="1" w:styleId="42">
    <w:name w:val="Subtle Emphasis"/>
    <w:basedOn w:val="20"/>
    <w:qFormat/>
    <w:uiPriority w:val="19"/>
    <w:rPr>
      <w:i/>
      <w:iCs/>
      <w:color w:val="404040" w:themeColor="text1" w:themeTint="BF"/>
      <w14:textFill>
        <w14:solidFill>
          <w14:schemeClr w14:val="tx1">
            <w14:lumMod w14:val="75000"/>
            <w14:lumOff w14:val="25000"/>
          </w14:schemeClr>
        </w14:solidFill>
      </w14:textFill>
    </w:rPr>
  </w:style>
  <w:style w:type="character" w:customStyle="1" w:styleId="43">
    <w:name w:val="Intense Emphasis"/>
    <w:basedOn w:val="20"/>
    <w:qFormat/>
    <w:uiPriority w:val="21"/>
    <w:rPr>
      <w:i/>
      <w:iCs/>
      <w:color w:val="2F5597" w:themeColor="accent1" w:themeShade="BF"/>
    </w:rPr>
  </w:style>
  <w:style w:type="character" w:customStyle="1" w:styleId="44">
    <w:name w:val="Subtle Reference"/>
    <w:basedOn w:val="20"/>
    <w:qFormat/>
    <w:uiPriority w:val="31"/>
    <w:rPr>
      <w:smallCaps/>
      <w:color w:val="595959" w:themeColor="text1" w:themeTint="A6"/>
      <w14:textFill>
        <w14:solidFill>
          <w14:schemeClr w14:val="tx1">
            <w14:lumMod w14:val="65000"/>
            <w14:lumOff w14:val="35000"/>
          </w14:schemeClr>
        </w14:solidFill>
      </w14:textFill>
    </w:rPr>
  </w:style>
  <w:style w:type="character" w:customStyle="1" w:styleId="45">
    <w:name w:val="Intense Reference"/>
    <w:basedOn w:val="20"/>
    <w:qFormat/>
    <w:uiPriority w:val="32"/>
    <w:rPr>
      <w:b/>
      <w:bCs/>
      <w:smallCaps/>
      <w:color w:val="2F5597" w:themeColor="accent1" w:themeShade="BF"/>
      <w:spacing w:val="5"/>
    </w:rPr>
  </w:style>
  <w:style w:type="character" w:customStyle="1" w:styleId="46">
    <w:name w:val="Book Title"/>
    <w:basedOn w:val="20"/>
    <w:qFormat/>
    <w:uiPriority w:val="33"/>
    <w:rPr>
      <w:b/>
      <w:bCs/>
      <w:i/>
      <w:iCs/>
      <w:spacing w:val="5"/>
    </w:rPr>
  </w:style>
  <w:style w:type="paragraph" w:customStyle="1" w:styleId="47">
    <w:name w:val="TOC Heading"/>
    <w:basedOn w:val="2"/>
    <w:next w:val="1"/>
    <w:unhideWhenUsed/>
    <w:qFormat/>
    <w:uiPriority w:val="39"/>
    <w:pPr>
      <w:spacing w:before="240" w:after="0"/>
      <w:outlineLvl w:val="9"/>
    </w:pPr>
    <w:rPr>
      <w:sz w:val="32"/>
      <w:szCs w:val="32"/>
    </w:rPr>
  </w:style>
  <w:style w:type="paragraph" w:styleId="48">
    <w:name w:val="List Paragraph"/>
    <w:basedOn w:val="1"/>
    <w:qFormat/>
    <w:uiPriority w:val="34"/>
    <w:pPr>
      <w:ind w:firstLine="420" w:firstLineChars="200"/>
    </w:pPr>
  </w:style>
  <w:style w:type="table" w:customStyle="1" w:styleId="49">
    <w:name w:val="Plain Table 2"/>
    <w:basedOn w:val="18"/>
    <w:uiPriority w:val="42"/>
    <w:pPr>
      <w:spacing w:after="0" w:line="240" w:lineRule="auto"/>
    </w:pPr>
    <w:tblPr>
      <w:tblBorders>
        <w:top w:val="single" w:color="7E7E7E" w:themeColor="text1" w:themeTint="80" w:sz="4" w:space="0"/>
        <w:bottom w:val="single" w:color="7E7E7E" w:themeColor="text1" w:themeTint="80" w:sz="4" w:space="0"/>
      </w:tblBorders>
    </w:tblPr>
    <w:tblStylePr w:type="firstRow">
      <w:rPr>
        <w:b/>
        <w:bCs/>
      </w:rPr>
      <w:tcPr>
        <w:tcBorders>
          <w:bottom w:val="single" w:color="7E7E7E" w:themeColor="text1" w:themeTint="80" w:sz="4" w:space="0"/>
        </w:tcBorders>
      </w:tcPr>
    </w:tblStylePr>
    <w:tblStylePr w:type="lastRow">
      <w:rPr>
        <w:b/>
        <w:bCs/>
      </w:rPr>
      <w:tcPr>
        <w:tcBorders>
          <w:top w:val="single" w:color="7E7E7E" w:themeColor="text1" w:themeTint="80" w:sz="4" w:space="0"/>
        </w:tcBorders>
      </w:tcPr>
    </w:tblStylePr>
    <w:tblStylePr w:type="firstCol">
      <w:rPr>
        <w:b/>
        <w:bCs/>
      </w:rPr>
    </w:tblStylePr>
    <w:tblStylePr w:type="lastCol">
      <w:rPr>
        <w:b/>
        <w:bCs/>
      </w:rPr>
    </w:tblStylePr>
    <w:tblStylePr w:type="band1Vert">
      <w:tcPr>
        <w:tcBorders>
          <w:left w:val="single" w:color="7E7E7E" w:themeColor="text1" w:themeTint="80" w:sz="4" w:space="0"/>
          <w:right w:val="single" w:color="7E7E7E" w:themeColor="text1" w:themeTint="80" w:sz="4" w:space="0"/>
        </w:tcBorders>
      </w:tcPr>
    </w:tblStylePr>
    <w:tblStylePr w:type="band2Vert">
      <w:tcPr>
        <w:tcBorders>
          <w:left w:val="single" w:color="7E7E7E" w:themeColor="text1" w:themeTint="80" w:sz="4" w:space="0"/>
          <w:right w:val="single" w:color="7E7E7E" w:themeColor="text1" w:themeTint="80" w:sz="4" w:space="0"/>
        </w:tcBorders>
      </w:tcPr>
    </w:tblStylePr>
    <w:tblStylePr w:type="band1Horz">
      <w:tcPr>
        <w:tcBorders>
          <w:top w:val="single" w:color="7E7E7E" w:themeColor="text1" w:themeTint="80" w:sz="4" w:space="0"/>
          <w:bottom w:val="single" w:color="7E7E7E" w:themeColor="text1" w:themeTint="80" w:sz="4" w:space="0"/>
        </w:tcBorders>
      </w:tcPr>
    </w:tblStylePr>
  </w:style>
  <w:style w:type="table" w:customStyle="1" w:styleId="50">
    <w:name w:val="Grid Table 3 Accent 3"/>
    <w:basedOn w:val="18"/>
    <w:uiPriority w:val="48"/>
    <w:pPr>
      <w:spacing w:after="0" w:line="240" w:lineRule="auto"/>
    </w:pPr>
    <w:tblPr>
      <w:tblBorders>
        <w:top w:val="single" w:color="C8C8C8" w:themeColor="accent3" w:themeTint="99" w:sz="4" w:space="0"/>
        <w:left w:val="single" w:color="C8C8C8" w:themeColor="accent3" w:themeTint="99" w:sz="4" w:space="0"/>
        <w:bottom w:val="single" w:color="C8C8C8" w:themeColor="accent3" w:themeTint="99" w:sz="4" w:space="0"/>
        <w:right w:val="single" w:color="C8C8C8" w:themeColor="accent3" w:themeTint="99" w:sz="4" w:space="0"/>
        <w:insideH w:val="single" w:color="C8C8C8" w:themeColor="accent3" w:themeTint="99" w:sz="4" w:space="0"/>
        <w:insideV w:val="single" w:color="C8C8C8" w:themeColor="accent3"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ECECEC" w:themeFill="accent3" w:themeFillTint="33"/>
      </w:tcPr>
    </w:tblStylePr>
    <w:tblStylePr w:type="band1Horz">
      <w:tcPr>
        <w:shd w:val="clear" w:color="auto" w:fill="ECECEC" w:themeFill="accent3" w:themeFillTint="33"/>
      </w:tcPr>
    </w:tblStylePr>
    <w:tblStylePr w:type="neCell">
      <w:tcPr>
        <w:tcBorders>
          <w:bottom w:val="single" w:color="C8C8C8" w:themeColor="accent3" w:themeTint="99" w:sz="4" w:space="0"/>
        </w:tcBorders>
      </w:tcPr>
    </w:tblStylePr>
    <w:tblStylePr w:type="nwCell">
      <w:tcPr>
        <w:tcBorders>
          <w:bottom w:val="single" w:color="C8C8C8" w:themeColor="accent3" w:themeTint="99" w:sz="4" w:space="0"/>
        </w:tcBorders>
      </w:tcPr>
    </w:tblStylePr>
    <w:tblStylePr w:type="seCell">
      <w:tcPr>
        <w:tcBorders>
          <w:top w:val="single" w:color="C8C8C8" w:themeColor="accent3" w:themeTint="99" w:sz="4" w:space="0"/>
        </w:tcBorders>
      </w:tcPr>
    </w:tblStylePr>
    <w:tblStylePr w:type="swCell">
      <w:tcPr>
        <w:tcBorders>
          <w:top w:val="single" w:color="C8C8C8" w:themeColor="accent3" w:themeTint="99" w:sz="4" w:space="0"/>
        </w:tcBorders>
      </w:tcPr>
    </w:tblStylePr>
  </w:style>
  <w:style w:type="table" w:customStyle="1" w:styleId="51">
    <w:name w:val="Grid Table 1 Light"/>
    <w:basedOn w:val="18"/>
    <w:uiPriority w:val="46"/>
    <w:pPr>
      <w:spacing w:after="0" w:line="240" w:lineRule="auto"/>
    </w:pPr>
    <w:tblP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2" w:space="0"/>
        </w:tcBorders>
      </w:tcPr>
    </w:tblStylePr>
    <w:tblStylePr w:type="firstCol">
      <w:rPr>
        <w:b/>
        <w:bCs/>
      </w:rPr>
    </w:tblStylePr>
    <w:tblStylePr w:type="lastCol">
      <w:rPr>
        <w:b/>
        <w:bCs/>
      </w:rPr>
    </w:tblStylePr>
  </w:style>
  <w:style w:type="paragraph" w:customStyle="1" w:styleId="52">
    <w:name w:val="Bibliography"/>
    <w:basedOn w:val="1"/>
    <w:next w:val="1"/>
    <w:unhideWhenUsed/>
    <w:uiPriority w:val="37"/>
    <w:pPr>
      <w:spacing w:after="240" w:line="240" w:lineRule="auto"/>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emf"/><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536C9E-64F2-4F0F-86DE-05E7E2AB5945}">
  <ds:schemaRefs/>
</ds:datastoreItem>
</file>

<file path=docProps/app.xml><?xml version="1.0" encoding="utf-8"?>
<Properties xmlns="http://schemas.openxmlformats.org/officeDocument/2006/extended-properties" xmlns:vt="http://schemas.openxmlformats.org/officeDocument/2006/docPropsVTypes">
  <Template>Normal</Template>
  <Pages>16</Pages>
  <Words>8179</Words>
  <Characters>52675</Characters>
  <Lines>849</Lines>
  <Paragraphs>298</Paragraphs>
  <TotalTime>5</TotalTime>
  <ScaleCrop>false</ScaleCrop>
  <LinksUpToDate>false</LinksUpToDate>
  <CharactersWithSpaces>60556</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2024-04-21T12:17:00Z</dcterms:created>
  <dc:creator>Wei Shanshan</dc:creator>
  <cp:lastModifiedBy>@</cp:lastModifiedBy>
  <dcterms:modified xsi:type="dcterms:W3CDTF">2024-04-21T18:03:13Z</dcterms:modified>
  <cp:revision>23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593f717a00239d44b6739126d3805f768318b66f59a6b12304ddeb02da6bfb02</vt:lpwstr>
  </property>
  <property fmtid="{D5CDD505-2E9C-101B-9397-08002B2CF9AE}" pid="3" name="ZOTERO_PREF_1">
    <vt:lpwstr>&lt;data data-version="3" zotero-version="6.0.36"&gt;&lt;session id="x1rBHfek"/&gt;&lt;style id="http://www.zotero.org/styles/harvard-cite-them-right" hasBibliography="1" bibliographyStyleHasBeenSet="1"/&gt;&lt;prefs&gt;&lt;pref name="fieldType" value="Field"/&gt;&lt;/prefs&gt;&lt;/data&gt;</vt:lpwstr>
  </property>
  <property fmtid="{D5CDD505-2E9C-101B-9397-08002B2CF9AE}" pid="4" name="KSOProductBuildVer">
    <vt:lpwstr>2052-12.1.0.16729</vt:lpwstr>
  </property>
  <property fmtid="{D5CDD505-2E9C-101B-9397-08002B2CF9AE}" pid="5" name="ICV">
    <vt:lpwstr>E27D797D507A48D5AB3BD348EDA044E1_13</vt:lpwstr>
  </property>
</Properties>
</file>