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B63314" w14:textId="77777777" w:rsidR="001F636E" w:rsidRDefault="001F636E">
      <w:pPr>
        <w:pBdr>
          <w:top w:val="nil"/>
          <w:left w:val="nil"/>
          <w:bottom w:val="nil"/>
          <w:right w:val="nil"/>
          <w:between w:val="nil"/>
        </w:pBdr>
        <w:rPr>
          <w:b/>
          <w:color w:val="000000"/>
        </w:rPr>
      </w:pPr>
    </w:p>
    <w:p w14:paraId="07D24EF3" w14:textId="77777777" w:rsidR="001F636E" w:rsidRDefault="001F636E">
      <w:pPr>
        <w:pBdr>
          <w:top w:val="nil"/>
          <w:left w:val="nil"/>
          <w:bottom w:val="nil"/>
          <w:right w:val="nil"/>
          <w:between w:val="nil"/>
        </w:pBdr>
        <w:rPr>
          <w:b/>
          <w:color w:val="000000"/>
        </w:rPr>
      </w:pPr>
    </w:p>
    <w:p w14:paraId="2A2B7B19" w14:textId="77777777" w:rsidR="001F636E" w:rsidRDefault="001F636E">
      <w:pPr>
        <w:pBdr>
          <w:top w:val="nil"/>
          <w:left w:val="nil"/>
          <w:bottom w:val="nil"/>
          <w:right w:val="nil"/>
          <w:between w:val="nil"/>
        </w:pBdr>
        <w:rPr>
          <w:b/>
          <w:color w:val="000000"/>
        </w:rPr>
      </w:pPr>
    </w:p>
    <w:p w14:paraId="611E381C" w14:textId="77777777" w:rsidR="001F636E" w:rsidRDefault="001F636E">
      <w:pPr>
        <w:pBdr>
          <w:top w:val="nil"/>
          <w:left w:val="nil"/>
          <w:bottom w:val="nil"/>
          <w:right w:val="nil"/>
          <w:between w:val="nil"/>
        </w:pBdr>
        <w:rPr>
          <w:b/>
          <w:color w:val="000000"/>
        </w:rPr>
      </w:pPr>
    </w:p>
    <w:p w14:paraId="5F5B75B1" w14:textId="77777777" w:rsidR="001F636E" w:rsidRDefault="001F636E">
      <w:pPr>
        <w:pBdr>
          <w:top w:val="nil"/>
          <w:left w:val="nil"/>
          <w:bottom w:val="nil"/>
          <w:right w:val="nil"/>
          <w:between w:val="nil"/>
        </w:pBdr>
        <w:rPr>
          <w:b/>
          <w:color w:val="000000"/>
        </w:rPr>
      </w:pPr>
    </w:p>
    <w:p w14:paraId="52BEFA3D" w14:textId="77777777" w:rsidR="001F636E" w:rsidRDefault="001F636E">
      <w:pPr>
        <w:pBdr>
          <w:top w:val="nil"/>
          <w:left w:val="nil"/>
          <w:bottom w:val="nil"/>
          <w:right w:val="nil"/>
          <w:between w:val="nil"/>
        </w:pBdr>
        <w:rPr>
          <w:b/>
          <w:color w:val="000000"/>
        </w:rPr>
      </w:pPr>
    </w:p>
    <w:p w14:paraId="0392E86E" w14:textId="77777777" w:rsidR="001F636E" w:rsidRDefault="001F636E">
      <w:pPr>
        <w:pBdr>
          <w:top w:val="nil"/>
          <w:left w:val="nil"/>
          <w:bottom w:val="nil"/>
          <w:right w:val="nil"/>
          <w:between w:val="nil"/>
        </w:pBdr>
        <w:rPr>
          <w:b/>
          <w:color w:val="000000"/>
        </w:rPr>
      </w:pPr>
    </w:p>
    <w:p w14:paraId="35EB7783" w14:textId="77777777" w:rsidR="001F636E" w:rsidRDefault="001F636E">
      <w:pPr>
        <w:pBdr>
          <w:top w:val="nil"/>
          <w:left w:val="nil"/>
          <w:bottom w:val="nil"/>
          <w:right w:val="nil"/>
          <w:between w:val="nil"/>
        </w:pBdr>
        <w:rPr>
          <w:b/>
          <w:color w:val="000000"/>
        </w:rPr>
      </w:pPr>
    </w:p>
    <w:p w14:paraId="2554B53B" w14:textId="77777777" w:rsidR="001F636E" w:rsidRDefault="001F636E">
      <w:pPr>
        <w:pBdr>
          <w:top w:val="nil"/>
          <w:left w:val="nil"/>
          <w:bottom w:val="nil"/>
          <w:right w:val="nil"/>
          <w:between w:val="nil"/>
        </w:pBdr>
        <w:rPr>
          <w:b/>
          <w:color w:val="000000"/>
        </w:rPr>
      </w:pPr>
    </w:p>
    <w:p w14:paraId="3DB96DB4" w14:textId="77777777" w:rsidR="001F636E" w:rsidRDefault="00000000">
      <w:pPr>
        <w:pBdr>
          <w:top w:val="nil"/>
          <w:left w:val="nil"/>
          <w:bottom w:val="nil"/>
          <w:right w:val="nil"/>
          <w:between w:val="nil"/>
        </w:pBdr>
        <w:jc w:val="center"/>
        <w:rPr>
          <w:b/>
          <w:color w:val="000000"/>
        </w:rPr>
      </w:pPr>
      <w:r>
        <w:rPr>
          <w:b/>
          <w:noProof/>
          <w:color w:val="000000"/>
        </w:rPr>
        <w:drawing>
          <wp:inline distT="114300" distB="114300" distL="114300" distR="114300" wp14:anchorId="10034D7A" wp14:editId="69BFFBD6">
            <wp:extent cx="3467100" cy="1552575"/>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3467100" cy="1552575"/>
                    </a:xfrm>
                    <a:prstGeom prst="rect">
                      <a:avLst/>
                    </a:prstGeom>
                    <a:ln w="12700">
                      <a:solidFill>
                        <a:srgbClr val="000000"/>
                      </a:solidFill>
                      <a:prstDash val="solid"/>
                    </a:ln>
                  </pic:spPr>
                </pic:pic>
              </a:graphicData>
            </a:graphic>
          </wp:inline>
        </w:drawing>
      </w:r>
    </w:p>
    <w:p w14:paraId="0DB260FE" w14:textId="77777777" w:rsidR="001F636E" w:rsidRDefault="00000000">
      <w:pPr>
        <w:pBdr>
          <w:top w:val="nil"/>
          <w:left w:val="nil"/>
          <w:bottom w:val="nil"/>
          <w:right w:val="nil"/>
          <w:between w:val="nil"/>
        </w:pBdr>
        <w:jc w:val="center"/>
        <w:rPr>
          <w:b/>
          <w:color w:val="000000"/>
          <w:sz w:val="40"/>
          <w:szCs w:val="40"/>
        </w:rPr>
      </w:pPr>
      <w:r>
        <w:rPr>
          <w:b/>
          <w:color w:val="000000"/>
          <w:sz w:val="40"/>
          <w:szCs w:val="40"/>
        </w:rPr>
        <w:t>BMIH5007</w:t>
      </w:r>
    </w:p>
    <w:p w14:paraId="2D5A6B4F" w14:textId="2DF61E60" w:rsidR="00766CEE" w:rsidRDefault="00766CEE">
      <w:pPr>
        <w:pBdr>
          <w:top w:val="nil"/>
          <w:left w:val="nil"/>
          <w:bottom w:val="nil"/>
          <w:right w:val="nil"/>
          <w:between w:val="nil"/>
        </w:pBdr>
        <w:jc w:val="center"/>
        <w:rPr>
          <w:b/>
          <w:color w:val="000000"/>
          <w:sz w:val="40"/>
          <w:szCs w:val="40"/>
        </w:rPr>
      </w:pPr>
      <w:r>
        <w:rPr>
          <w:b/>
          <w:color w:val="000000"/>
          <w:sz w:val="40"/>
          <w:szCs w:val="40"/>
        </w:rPr>
        <w:t>Assessment 2</w:t>
      </w:r>
    </w:p>
    <w:p w14:paraId="29E5C8D6" w14:textId="2933C094" w:rsidR="00766CEE" w:rsidRDefault="00000000" w:rsidP="00766CEE">
      <w:pPr>
        <w:pBdr>
          <w:top w:val="nil"/>
          <w:left w:val="nil"/>
          <w:bottom w:val="nil"/>
          <w:right w:val="nil"/>
          <w:between w:val="nil"/>
        </w:pBdr>
        <w:jc w:val="center"/>
        <w:rPr>
          <w:b/>
          <w:color w:val="000000"/>
          <w:sz w:val="40"/>
          <w:szCs w:val="40"/>
        </w:rPr>
      </w:pPr>
      <w:r>
        <w:rPr>
          <w:b/>
          <w:color w:val="000000"/>
          <w:sz w:val="40"/>
          <w:szCs w:val="40"/>
        </w:rPr>
        <w:t>Financial Management for the Hotel</w:t>
      </w:r>
      <w:r w:rsidR="00766CEE">
        <w:rPr>
          <w:b/>
          <w:color w:val="000000"/>
          <w:sz w:val="40"/>
          <w:szCs w:val="40"/>
        </w:rPr>
        <w:t xml:space="preserve"> Industry</w:t>
      </w:r>
    </w:p>
    <w:p w14:paraId="1A960A9A" w14:textId="6D930B89" w:rsidR="001F636E" w:rsidRDefault="00000000" w:rsidP="00766CEE">
      <w:pPr>
        <w:pBdr>
          <w:top w:val="nil"/>
          <w:left w:val="nil"/>
          <w:bottom w:val="nil"/>
          <w:right w:val="nil"/>
          <w:between w:val="nil"/>
        </w:pBdr>
        <w:jc w:val="center"/>
        <w:rPr>
          <w:b/>
          <w:color w:val="000000"/>
        </w:rPr>
      </w:pPr>
      <w:r>
        <w:rPr>
          <w:b/>
          <w:color w:val="000000"/>
        </w:rPr>
        <w:t>Student Name:</w:t>
      </w:r>
      <w:r w:rsidR="00766CEE">
        <w:rPr>
          <w:b/>
          <w:color w:val="000000"/>
        </w:rPr>
        <w:t xml:space="preserve"> Elena </w:t>
      </w:r>
      <w:proofErr w:type="spellStart"/>
      <w:r w:rsidR="00766CEE">
        <w:rPr>
          <w:b/>
          <w:color w:val="000000"/>
        </w:rPr>
        <w:t>Caragicu</w:t>
      </w:r>
      <w:proofErr w:type="spellEnd"/>
    </w:p>
    <w:p w14:paraId="195FBD05" w14:textId="77777777" w:rsidR="00766CEE" w:rsidRDefault="00000000">
      <w:pPr>
        <w:pBdr>
          <w:top w:val="nil"/>
          <w:left w:val="nil"/>
          <w:bottom w:val="nil"/>
          <w:right w:val="nil"/>
          <w:between w:val="nil"/>
        </w:pBdr>
        <w:jc w:val="center"/>
        <w:rPr>
          <w:b/>
          <w:sz w:val="28"/>
          <w:szCs w:val="28"/>
        </w:rPr>
      </w:pPr>
      <w:r>
        <w:rPr>
          <w:b/>
          <w:color w:val="000000"/>
        </w:rPr>
        <w:t>Student ID:</w:t>
      </w:r>
      <w:r w:rsidR="00766CEE">
        <w:rPr>
          <w:b/>
          <w:color w:val="000000"/>
        </w:rPr>
        <w:t xml:space="preserve"> 2244881</w:t>
      </w:r>
      <w:r w:rsidR="00766CEE" w:rsidRPr="00766CEE">
        <w:rPr>
          <w:b/>
          <w:sz w:val="28"/>
          <w:szCs w:val="28"/>
        </w:rPr>
        <w:t xml:space="preserve"> </w:t>
      </w:r>
    </w:p>
    <w:p w14:paraId="0BCF9A46" w14:textId="77777777" w:rsidR="00766CEE" w:rsidRDefault="00766CEE">
      <w:pPr>
        <w:pBdr>
          <w:top w:val="nil"/>
          <w:left w:val="nil"/>
          <w:bottom w:val="nil"/>
          <w:right w:val="nil"/>
          <w:between w:val="nil"/>
        </w:pBdr>
        <w:jc w:val="center"/>
        <w:rPr>
          <w:b/>
          <w:sz w:val="28"/>
          <w:szCs w:val="28"/>
        </w:rPr>
      </w:pPr>
    </w:p>
    <w:p w14:paraId="09217257" w14:textId="5DAB8D7C" w:rsidR="001F636E" w:rsidRDefault="00766CEE">
      <w:pPr>
        <w:pBdr>
          <w:top w:val="nil"/>
          <w:left w:val="nil"/>
          <w:bottom w:val="nil"/>
          <w:right w:val="nil"/>
          <w:between w:val="nil"/>
        </w:pBdr>
        <w:jc w:val="center"/>
        <w:rPr>
          <w:b/>
          <w:color w:val="000000"/>
        </w:rPr>
      </w:pPr>
      <w:r>
        <w:rPr>
          <w:b/>
          <w:sz w:val="28"/>
          <w:szCs w:val="28"/>
        </w:rPr>
        <w:t>I confirm that I have not used any AI tools in the research and the creation of this assignment. I confirm that I have not presented any AI generated materials as my own work. I confirm that I have copies of my drafts, notes, and other resources I used, which I may be asked to provide in evidence.</w:t>
      </w:r>
    </w:p>
    <w:p w14:paraId="583B9022" w14:textId="77777777" w:rsidR="00766CEE" w:rsidRDefault="00766CEE">
      <w:pPr>
        <w:pBdr>
          <w:top w:val="nil"/>
          <w:left w:val="nil"/>
          <w:bottom w:val="nil"/>
          <w:right w:val="nil"/>
          <w:between w:val="nil"/>
        </w:pBdr>
        <w:jc w:val="center"/>
        <w:rPr>
          <w:b/>
          <w:color w:val="000000"/>
        </w:rPr>
      </w:pPr>
    </w:p>
    <w:p w14:paraId="4B0C1E4D" w14:textId="77777777" w:rsidR="00766CEE" w:rsidRDefault="00766CEE">
      <w:pPr>
        <w:pBdr>
          <w:top w:val="nil"/>
          <w:left w:val="nil"/>
          <w:bottom w:val="nil"/>
          <w:right w:val="nil"/>
          <w:between w:val="nil"/>
        </w:pBdr>
        <w:jc w:val="center"/>
        <w:rPr>
          <w:b/>
          <w:color w:val="000000"/>
        </w:rPr>
      </w:pPr>
    </w:p>
    <w:p w14:paraId="632C3684" w14:textId="77777777" w:rsidR="001F636E" w:rsidRDefault="001F636E">
      <w:pPr>
        <w:pBdr>
          <w:top w:val="nil"/>
          <w:left w:val="nil"/>
          <w:bottom w:val="nil"/>
          <w:right w:val="nil"/>
          <w:between w:val="nil"/>
        </w:pBdr>
        <w:rPr>
          <w:b/>
          <w:color w:val="000000"/>
        </w:rPr>
      </w:pPr>
    </w:p>
    <w:p w14:paraId="1AADF2D7" w14:textId="1A24C9C7" w:rsidR="001F636E" w:rsidRDefault="00000000" w:rsidP="00766CEE">
      <w:pPr>
        <w:pBdr>
          <w:top w:val="nil"/>
          <w:left w:val="nil"/>
          <w:bottom w:val="nil"/>
          <w:right w:val="nil"/>
          <w:between w:val="nil"/>
        </w:pBdr>
        <w:jc w:val="center"/>
        <w:rPr>
          <w:b/>
          <w:color w:val="000000"/>
        </w:rPr>
      </w:pPr>
      <w:r>
        <w:br w:type="page"/>
      </w:r>
      <w:r>
        <w:rPr>
          <w:b/>
          <w:color w:val="000000"/>
        </w:rPr>
        <w:lastRenderedPageBreak/>
        <w:t>Table of Content</w:t>
      </w:r>
    </w:p>
    <w:p w14:paraId="1E49F0C8" w14:textId="77777777" w:rsidR="001F636E" w:rsidRDefault="001F636E">
      <w:pPr>
        <w:pStyle w:val="Heading1"/>
      </w:pPr>
      <w:bookmarkStart w:id="0" w:name="_gjdgxs" w:colFirst="0" w:colLast="0"/>
      <w:bookmarkEnd w:id="0"/>
    </w:p>
    <w:sdt>
      <w:sdtPr>
        <w:id w:val="-1739158546"/>
        <w:docPartObj>
          <w:docPartGallery w:val="Table of Contents"/>
          <w:docPartUnique/>
        </w:docPartObj>
      </w:sdtPr>
      <w:sdtContent>
        <w:p w14:paraId="15A6F7DC" w14:textId="77777777" w:rsidR="001F636E" w:rsidRDefault="00000000">
          <w:pPr>
            <w:widowControl w:val="0"/>
            <w:pBdr>
              <w:top w:val="nil"/>
              <w:left w:val="nil"/>
              <w:bottom w:val="nil"/>
              <w:right w:val="nil"/>
              <w:between w:val="nil"/>
            </w:pBdr>
            <w:tabs>
              <w:tab w:val="right" w:pos="12000"/>
            </w:tabs>
            <w:spacing w:before="60"/>
            <w:rPr>
              <w:color w:val="000000"/>
            </w:rPr>
          </w:pPr>
          <w:r>
            <w:fldChar w:fldCharType="begin"/>
          </w:r>
          <w:r>
            <w:instrText xml:space="preserve"> TOC \h \u \z \t "Heading 1,1,Heading 2,2,Heading 3,3,Heading 4,4,Heading 5,5,Heading 6,6,"</w:instrText>
          </w:r>
          <w:r>
            <w:fldChar w:fldCharType="separate"/>
          </w:r>
          <w:hyperlink w:anchor="_1fob9te">
            <w:r>
              <w:rPr>
                <w:color w:val="000000"/>
              </w:rPr>
              <w:t>Introduction</w:t>
            </w:r>
            <w:r>
              <w:rPr>
                <w:color w:val="000000"/>
              </w:rPr>
              <w:tab/>
              <w:t>3</w:t>
            </w:r>
          </w:hyperlink>
        </w:p>
        <w:p w14:paraId="417F662C" w14:textId="77777777" w:rsidR="001F636E" w:rsidRDefault="00000000">
          <w:pPr>
            <w:widowControl w:val="0"/>
            <w:pBdr>
              <w:top w:val="nil"/>
              <w:left w:val="nil"/>
              <w:bottom w:val="nil"/>
              <w:right w:val="nil"/>
              <w:between w:val="nil"/>
            </w:pBdr>
            <w:tabs>
              <w:tab w:val="right" w:pos="12000"/>
            </w:tabs>
            <w:spacing w:before="60"/>
            <w:rPr>
              <w:color w:val="000000"/>
            </w:rPr>
          </w:pPr>
          <w:hyperlink w:anchor="_3znysh7">
            <w:r>
              <w:rPr>
                <w:color w:val="000000"/>
              </w:rPr>
              <w:t>Trends and patterns of financial performance</w:t>
            </w:r>
            <w:r>
              <w:rPr>
                <w:color w:val="000000"/>
              </w:rPr>
              <w:tab/>
              <w:t>3</w:t>
            </w:r>
          </w:hyperlink>
        </w:p>
        <w:p w14:paraId="4F7F891D" w14:textId="77777777" w:rsidR="001F636E" w:rsidRDefault="00000000">
          <w:pPr>
            <w:widowControl w:val="0"/>
            <w:pBdr>
              <w:top w:val="nil"/>
              <w:left w:val="nil"/>
              <w:bottom w:val="nil"/>
              <w:right w:val="nil"/>
              <w:between w:val="nil"/>
            </w:pBdr>
            <w:tabs>
              <w:tab w:val="right" w:pos="12000"/>
            </w:tabs>
            <w:spacing w:before="60"/>
            <w:ind w:left="360"/>
            <w:rPr>
              <w:color w:val="000000"/>
            </w:rPr>
          </w:pPr>
          <w:hyperlink w:anchor="_2et92p0">
            <w:r>
              <w:rPr>
                <w:color w:val="000000"/>
              </w:rPr>
              <w:t>Revenue structure</w:t>
            </w:r>
            <w:r>
              <w:rPr>
                <w:color w:val="000000"/>
              </w:rPr>
              <w:tab/>
              <w:t>3</w:t>
            </w:r>
          </w:hyperlink>
        </w:p>
        <w:p w14:paraId="6ABC0349" w14:textId="77777777" w:rsidR="001F636E" w:rsidRDefault="00000000">
          <w:pPr>
            <w:widowControl w:val="0"/>
            <w:pBdr>
              <w:top w:val="nil"/>
              <w:left w:val="nil"/>
              <w:bottom w:val="nil"/>
              <w:right w:val="nil"/>
              <w:between w:val="nil"/>
            </w:pBdr>
            <w:tabs>
              <w:tab w:val="right" w:pos="12000"/>
            </w:tabs>
            <w:spacing w:before="60"/>
            <w:ind w:left="360"/>
            <w:rPr>
              <w:color w:val="000000"/>
            </w:rPr>
          </w:pPr>
          <w:hyperlink w:anchor="_tyjcwt">
            <w:r>
              <w:rPr>
                <w:color w:val="000000"/>
              </w:rPr>
              <w:t>Expenses structure</w:t>
            </w:r>
            <w:r>
              <w:rPr>
                <w:color w:val="000000"/>
              </w:rPr>
              <w:tab/>
              <w:t>4</w:t>
            </w:r>
          </w:hyperlink>
        </w:p>
        <w:p w14:paraId="49D6FAFC" w14:textId="77777777" w:rsidR="001F636E" w:rsidRDefault="00000000">
          <w:pPr>
            <w:widowControl w:val="0"/>
            <w:pBdr>
              <w:top w:val="nil"/>
              <w:left w:val="nil"/>
              <w:bottom w:val="nil"/>
              <w:right w:val="nil"/>
              <w:between w:val="nil"/>
            </w:pBdr>
            <w:tabs>
              <w:tab w:val="right" w:pos="12000"/>
            </w:tabs>
            <w:spacing w:before="60"/>
            <w:ind w:left="360"/>
            <w:rPr>
              <w:color w:val="000000"/>
            </w:rPr>
          </w:pPr>
          <w:hyperlink w:anchor="_3dy6vkm">
            <w:r>
              <w:rPr>
                <w:color w:val="000000"/>
              </w:rPr>
              <w:t>Profitability structure</w:t>
            </w:r>
            <w:r>
              <w:rPr>
                <w:color w:val="000000"/>
              </w:rPr>
              <w:tab/>
              <w:t>4</w:t>
            </w:r>
          </w:hyperlink>
        </w:p>
        <w:p w14:paraId="57676BDD" w14:textId="77777777" w:rsidR="001F636E" w:rsidRDefault="00000000">
          <w:pPr>
            <w:widowControl w:val="0"/>
            <w:pBdr>
              <w:top w:val="nil"/>
              <w:left w:val="nil"/>
              <w:bottom w:val="nil"/>
              <w:right w:val="nil"/>
              <w:between w:val="nil"/>
            </w:pBdr>
            <w:tabs>
              <w:tab w:val="right" w:pos="12000"/>
            </w:tabs>
            <w:spacing w:before="60"/>
            <w:ind w:left="360"/>
            <w:rPr>
              <w:color w:val="000000"/>
            </w:rPr>
          </w:pPr>
          <w:hyperlink w:anchor="_1t3h5sf">
            <w:r>
              <w:rPr>
                <w:color w:val="000000"/>
              </w:rPr>
              <w:t>Liquidity structure</w:t>
            </w:r>
            <w:r>
              <w:rPr>
                <w:color w:val="000000"/>
              </w:rPr>
              <w:tab/>
              <w:t>5</w:t>
            </w:r>
          </w:hyperlink>
        </w:p>
        <w:p w14:paraId="35A1E0B7" w14:textId="77777777" w:rsidR="001F636E" w:rsidRDefault="00000000">
          <w:pPr>
            <w:widowControl w:val="0"/>
            <w:pBdr>
              <w:top w:val="nil"/>
              <w:left w:val="nil"/>
              <w:bottom w:val="nil"/>
              <w:right w:val="nil"/>
              <w:between w:val="nil"/>
            </w:pBdr>
            <w:tabs>
              <w:tab w:val="right" w:pos="12000"/>
            </w:tabs>
            <w:spacing w:before="60"/>
            <w:ind w:left="360"/>
            <w:rPr>
              <w:color w:val="000000"/>
            </w:rPr>
          </w:pPr>
          <w:hyperlink w:anchor="_4d34og8">
            <w:r>
              <w:rPr>
                <w:color w:val="000000"/>
              </w:rPr>
              <w:t>Solvency structure</w:t>
            </w:r>
            <w:r>
              <w:rPr>
                <w:color w:val="000000"/>
              </w:rPr>
              <w:tab/>
              <w:t>6</w:t>
            </w:r>
          </w:hyperlink>
        </w:p>
        <w:p w14:paraId="1E36A7BF" w14:textId="77777777" w:rsidR="001F636E" w:rsidRDefault="00000000">
          <w:pPr>
            <w:widowControl w:val="0"/>
            <w:pBdr>
              <w:top w:val="nil"/>
              <w:left w:val="nil"/>
              <w:bottom w:val="nil"/>
              <w:right w:val="nil"/>
              <w:between w:val="nil"/>
            </w:pBdr>
            <w:tabs>
              <w:tab w:val="right" w:pos="12000"/>
            </w:tabs>
            <w:spacing w:before="60"/>
            <w:rPr>
              <w:color w:val="000000"/>
            </w:rPr>
          </w:pPr>
          <w:r>
            <w:rPr>
              <w:color w:val="000000"/>
            </w:rPr>
            <w:t>The key</w:t>
          </w:r>
          <w:hyperlink w:anchor="_2s8eyo1">
            <w:r>
              <w:rPr>
                <w:color w:val="000000"/>
              </w:rPr>
              <w:t xml:space="preserve"> reason behind the decline in profitability</w:t>
            </w:r>
            <w:r>
              <w:rPr>
                <w:color w:val="000000"/>
              </w:rPr>
              <w:tab/>
              <w:t>7</w:t>
            </w:r>
          </w:hyperlink>
        </w:p>
        <w:p w14:paraId="31CE0701" w14:textId="77777777" w:rsidR="001F636E" w:rsidRDefault="00000000">
          <w:pPr>
            <w:widowControl w:val="0"/>
            <w:pBdr>
              <w:top w:val="nil"/>
              <w:left w:val="nil"/>
              <w:bottom w:val="nil"/>
              <w:right w:val="nil"/>
              <w:between w:val="nil"/>
            </w:pBdr>
            <w:tabs>
              <w:tab w:val="right" w:pos="12000"/>
            </w:tabs>
            <w:spacing w:before="60"/>
            <w:rPr>
              <w:color w:val="000000"/>
            </w:rPr>
          </w:pPr>
          <w:hyperlink w:anchor="_17dp8vu">
            <w:r>
              <w:rPr>
                <w:color w:val="000000"/>
              </w:rPr>
              <w:t>Comprehensive Turnover Strategy</w:t>
            </w:r>
            <w:r>
              <w:rPr>
                <w:color w:val="000000"/>
              </w:rPr>
              <w:tab/>
              <w:t>9</w:t>
            </w:r>
          </w:hyperlink>
        </w:p>
        <w:p w14:paraId="47EF892E" w14:textId="77777777" w:rsidR="001F636E" w:rsidRDefault="00000000">
          <w:pPr>
            <w:widowControl w:val="0"/>
            <w:pBdr>
              <w:top w:val="nil"/>
              <w:left w:val="nil"/>
              <w:bottom w:val="nil"/>
              <w:right w:val="nil"/>
              <w:between w:val="nil"/>
            </w:pBdr>
            <w:tabs>
              <w:tab w:val="right" w:pos="12000"/>
            </w:tabs>
            <w:spacing w:before="60"/>
            <w:rPr>
              <w:color w:val="000000"/>
            </w:rPr>
          </w:pPr>
          <w:hyperlink w:anchor="_3rdcrjn">
            <w:r>
              <w:rPr>
                <w:color w:val="000000"/>
              </w:rPr>
              <w:t>Conclusion</w:t>
            </w:r>
            <w:r>
              <w:rPr>
                <w:color w:val="000000"/>
              </w:rPr>
              <w:tab/>
              <w:t>10</w:t>
            </w:r>
          </w:hyperlink>
        </w:p>
        <w:p w14:paraId="4B6E7F0E" w14:textId="77777777" w:rsidR="001F636E" w:rsidRDefault="00000000">
          <w:pPr>
            <w:widowControl w:val="0"/>
            <w:pBdr>
              <w:top w:val="nil"/>
              <w:left w:val="nil"/>
              <w:bottom w:val="nil"/>
              <w:right w:val="nil"/>
              <w:between w:val="nil"/>
            </w:pBdr>
            <w:tabs>
              <w:tab w:val="right" w:pos="12000"/>
            </w:tabs>
            <w:spacing w:before="60"/>
            <w:rPr>
              <w:color w:val="000000"/>
            </w:rPr>
          </w:pPr>
          <w:hyperlink w:anchor="_26in1rg">
            <w:r>
              <w:rPr>
                <w:color w:val="000000"/>
              </w:rPr>
              <w:t>References</w:t>
            </w:r>
            <w:r>
              <w:rPr>
                <w:color w:val="000000"/>
              </w:rPr>
              <w:tab/>
              <w:t>11</w:t>
            </w:r>
          </w:hyperlink>
          <w:r>
            <w:fldChar w:fldCharType="end"/>
          </w:r>
        </w:p>
      </w:sdtContent>
    </w:sdt>
    <w:p w14:paraId="690D11A7" w14:textId="77777777" w:rsidR="001F636E" w:rsidRDefault="00000000">
      <w:pPr>
        <w:pStyle w:val="Heading1"/>
      </w:pPr>
      <w:bookmarkStart w:id="1" w:name="_30j0zll" w:colFirst="0" w:colLast="0"/>
      <w:bookmarkEnd w:id="1"/>
      <w:r>
        <w:br w:type="page"/>
      </w:r>
    </w:p>
    <w:p w14:paraId="356B1E24" w14:textId="77777777" w:rsidR="001F636E" w:rsidRDefault="00000000">
      <w:pPr>
        <w:pStyle w:val="Heading1"/>
      </w:pPr>
      <w:bookmarkStart w:id="2" w:name="_1fob9te" w:colFirst="0" w:colLast="0"/>
      <w:bookmarkEnd w:id="2"/>
      <w:r>
        <w:lastRenderedPageBreak/>
        <w:t xml:space="preserve">Introduction </w:t>
      </w:r>
    </w:p>
    <w:p w14:paraId="69702930" w14:textId="77777777" w:rsidR="001F636E" w:rsidRDefault="00000000">
      <w:pPr>
        <w:pBdr>
          <w:top w:val="nil"/>
          <w:left w:val="nil"/>
          <w:bottom w:val="nil"/>
          <w:right w:val="nil"/>
          <w:between w:val="nil"/>
        </w:pBdr>
        <w:rPr>
          <w:color w:val="000000"/>
        </w:rPr>
      </w:pPr>
      <w:r>
        <w:rPr>
          <w:color w:val="000000"/>
        </w:rPr>
        <w:t xml:space="preserve">The primary purpose of this report is to discuss the financial performance of The City Hotel. To evaluate the financial performance of The City Hotel, this report will provide patterns of revenue and expenditures within the periods of 2021, 2022, and 2023 </w:t>
      </w:r>
      <w:proofErr w:type="gramStart"/>
      <w:r>
        <w:rPr>
          <w:color w:val="000000"/>
        </w:rPr>
        <w:t>on the basis of</w:t>
      </w:r>
      <w:proofErr w:type="gramEnd"/>
      <w:r>
        <w:rPr>
          <w:color w:val="000000"/>
        </w:rPr>
        <w:t xml:space="preserve"> their financial statements. This report will additionally describe the profitability, liquidity, and solvency structure of the company. To describe the financial and profitable downfall of the company, this report will serve its simple considerations for key real-life economic reasons. Lastly, this report will serve as a comprehensive turnover strategy to build a better and more profitable structure for the City Hotel.</w:t>
      </w:r>
    </w:p>
    <w:p w14:paraId="0EE8F5AD" w14:textId="77777777" w:rsidR="001F636E" w:rsidRDefault="00000000">
      <w:pPr>
        <w:pStyle w:val="Heading1"/>
      </w:pPr>
      <w:bookmarkStart w:id="3" w:name="_3znysh7" w:colFirst="0" w:colLast="0"/>
      <w:bookmarkEnd w:id="3"/>
      <w:r>
        <w:t>Trends and patterns of financial performance</w:t>
      </w:r>
    </w:p>
    <w:p w14:paraId="1A259C28" w14:textId="77777777" w:rsidR="001F636E" w:rsidRDefault="00000000">
      <w:pPr>
        <w:pStyle w:val="Heading2"/>
      </w:pPr>
      <w:bookmarkStart w:id="4" w:name="_2et92p0" w:colFirst="0" w:colLast="0"/>
      <w:bookmarkEnd w:id="4"/>
      <w:r>
        <w:t>Revenue structure</w:t>
      </w:r>
    </w:p>
    <w:p w14:paraId="2FE467C0" w14:textId="77777777" w:rsidR="001F636E" w:rsidRDefault="00000000">
      <w:pPr>
        <w:pBdr>
          <w:top w:val="nil"/>
          <w:left w:val="nil"/>
          <w:bottom w:val="nil"/>
          <w:right w:val="nil"/>
          <w:between w:val="nil"/>
        </w:pBdr>
        <w:jc w:val="center"/>
        <w:rPr>
          <w:b/>
          <w:color w:val="000000"/>
        </w:rPr>
      </w:pPr>
      <w:r>
        <w:rPr>
          <w:b/>
          <w:noProof/>
          <w:color w:val="000000"/>
        </w:rPr>
        <w:drawing>
          <wp:inline distT="114300" distB="114300" distL="114300" distR="114300" wp14:anchorId="052D3BA1" wp14:editId="33553EC5">
            <wp:extent cx="5943600" cy="37084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943600" cy="3708400"/>
                    </a:xfrm>
                    <a:prstGeom prst="rect">
                      <a:avLst/>
                    </a:prstGeom>
                    <a:ln/>
                  </pic:spPr>
                </pic:pic>
              </a:graphicData>
            </a:graphic>
          </wp:inline>
        </w:drawing>
      </w:r>
    </w:p>
    <w:p w14:paraId="686CF395" w14:textId="77777777" w:rsidR="001F636E" w:rsidRDefault="00000000">
      <w:pPr>
        <w:pBdr>
          <w:top w:val="nil"/>
          <w:left w:val="nil"/>
          <w:bottom w:val="nil"/>
          <w:right w:val="nil"/>
          <w:between w:val="nil"/>
        </w:pBdr>
        <w:jc w:val="center"/>
        <w:rPr>
          <w:color w:val="000000"/>
        </w:rPr>
      </w:pPr>
      <w:r>
        <w:rPr>
          <w:b/>
          <w:color w:val="000000"/>
        </w:rPr>
        <w:t>Figure 1: Revenue Structure of City Hotel</w:t>
      </w:r>
    </w:p>
    <w:p w14:paraId="36C99C3B" w14:textId="77777777" w:rsidR="001F636E" w:rsidRDefault="00000000">
      <w:pPr>
        <w:pBdr>
          <w:top w:val="nil"/>
          <w:left w:val="nil"/>
          <w:bottom w:val="nil"/>
          <w:right w:val="nil"/>
          <w:between w:val="nil"/>
        </w:pBdr>
        <w:jc w:val="center"/>
        <w:rPr>
          <w:color w:val="000000"/>
        </w:rPr>
      </w:pPr>
      <w:r>
        <w:rPr>
          <w:color w:val="000000"/>
        </w:rPr>
        <w:t>(Source: Self-Developed)</w:t>
      </w:r>
    </w:p>
    <w:p w14:paraId="6F7B5BFF" w14:textId="77777777" w:rsidR="001F636E" w:rsidRDefault="00000000">
      <w:pPr>
        <w:pBdr>
          <w:top w:val="nil"/>
          <w:left w:val="nil"/>
          <w:bottom w:val="nil"/>
          <w:right w:val="nil"/>
          <w:between w:val="nil"/>
        </w:pBdr>
        <w:rPr>
          <w:color w:val="000000"/>
        </w:rPr>
      </w:pPr>
      <w:r>
        <w:rPr>
          <w:color w:val="000000"/>
        </w:rPr>
        <w:t>Revenue helps to determine the capabilities of business earnings by selling their effective products and services (</w:t>
      </w:r>
      <w:proofErr w:type="spellStart"/>
      <w:r>
        <w:rPr>
          <w:color w:val="000000"/>
        </w:rPr>
        <w:t>Helmold</w:t>
      </w:r>
      <w:proofErr w:type="spellEnd"/>
      <w:r>
        <w:rPr>
          <w:color w:val="000000"/>
        </w:rPr>
        <w:t xml:space="preserve"> and </w:t>
      </w:r>
      <w:proofErr w:type="spellStart"/>
      <w:r>
        <w:rPr>
          <w:color w:val="000000"/>
        </w:rPr>
        <w:t>Helmold</w:t>
      </w:r>
      <w:proofErr w:type="spellEnd"/>
      <w:r>
        <w:rPr>
          <w:color w:val="000000"/>
        </w:rPr>
        <w:t>, 2020). By following the trend line from the above chart, a decline pattern among the revenues from 2021 to 2023 is visible. The City Hotel contained a revenue value of £</w:t>
      </w:r>
      <w:r>
        <w:rPr>
          <w:color w:val="000000"/>
          <w:highlight w:val="white"/>
        </w:rPr>
        <w:t>5307480 in 2022, which became 2325440 in 2023, which reflects their decreasing revenue-generating capabilities.</w:t>
      </w:r>
    </w:p>
    <w:p w14:paraId="6A853A4C" w14:textId="77777777" w:rsidR="001F636E" w:rsidRDefault="00000000">
      <w:pPr>
        <w:pStyle w:val="Heading2"/>
      </w:pPr>
      <w:bookmarkStart w:id="5" w:name="_tyjcwt" w:colFirst="0" w:colLast="0"/>
      <w:bookmarkEnd w:id="5"/>
      <w:r>
        <w:lastRenderedPageBreak/>
        <w:t>Expenses structure</w:t>
      </w:r>
    </w:p>
    <w:p w14:paraId="141A6EC5" w14:textId="77777777" w:rsidR="001F636E" w:rsidRDefault="00000000">
      <w:pPr>
        <w:pBdr>
          <w:top w:val="nil"/>
          <w:left w:val="nil"/>
          <w:bottom w:val="nil"/>
          <w:right w:val="nil"/>
          <w:between w:val="nil"/>
        </w:pBdr>
        <w:jc w:val="center"/>
        <w:rPr>
          <w:b/>
          <w:color w:val="000000"/>
        </w:rPr>
      </w:pPr>
      <w:r>
        <w:rPr>
          <w:b/>
          <w:noProof/>
          <w:color w:val="000000"/>
        </w:rPr>
        <w:drawing>
          <wp:inline distT="114300" distB="114300" distL="114300" distR="114300" wp14:anchorId="6855D6A4" wp14:editId="401851EE">
            <wp:extent cx="5943600" cy="36322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3632200"/>
                    </a:xfrm>
                    <a:prstGeom prst="rect">
                      <a:avLst/>
                    </a:prstGeom>
                    <a:ln w="25400">
                      <a:solidFill>
                        <a:srgbClr val="000000"/>
                      </a:solidFill>
                      <a:prstDash val="solid"/>
                    </a:ln>
                  </pic:spPr>
                </pic:pic>
              </a:graphicData>
            </a:graphic>
          </wp:inline>
        </w:drawing>
      </w:r>
    </w:p>
    <w:p w14:paraId="55184A64" w14:textId="77777777" w:rsidR="001F636E" w:rsidRDefault="00000000">
      <w:pPr>
        <w:pBdr>
          <w:top w:val="nil"/>
          <w:left w:val="nil"/>
          <w:bottom w:val="nil"/>
          <w:right w:val="nil"/>
          <w:between w:val="nil"/>
        </w:pBdr>
        <w:jc w:val="center"/>
        <w:rPr>
          <w:b/>
          <w:color w:val="000000"/>
        </w:rPr>
      </w:pPr>
      <w:r>
        <w:rPr>
          <w:b/>
          <w:color w:val="000000"/>
        </w:rPr>
        <w:t>Figure 2: Expenses Structure of City Hotel</w:t>
      </w:r>
    </w:p>
    <w:p w14:paraId="1FEABB77" w14:textId="77777777" w:rsidR="001F636E" w:rsidRDefault="00000000">
      <w:pPr>
        <w:pBdr>
          <w:top w:val="nil"/>
          <w:left w:val="nil"/>
          <w:bottom w:val="nil"/>
          <w:right w:val="nil"/>
          <w:between w:val="nil"/>
        </w:pBdr>
        <w:jc w:val="center"/>
        <w:rPr>
          <w:color w:val="000000"/>
        </w:rPr>
      </w:pPr>
      <w:r>
        <w:rPr>
          <w:color w:val="000000"/>
        </w:rPr>
        <w:t>(Source: Self-Developed)</w:t>
      </w:r>
    </w:p>
    <w:p w14:paraId="0B26959B" w14:textId="77777777" w:rsidR="001F636E" w:rsidRDefault="00000000">
      <w:pPr>
        <w:pBdr>
          <w:top w:val="nil"/>
          <w:left w:val="nil"/>
          <w:bottom w:val="nil"/>
          <w:right w:val="nil"/>
          <w:between w:val="nil"/>
        </w:pBdr>
        <w:rPr>
          <w:color w:val="000000"/>
        </w:rPr>
      </w:pPr>
      <w:r>
        <w:rPr>
          <w:color w:val="000000"/>
        </w:rPr>
        <w:t xml:space="preserve">Expenses refer to the spent of money to generate the most effective outcomes from the business (Kok, 2021). The City Hotel </w:t>
      </w:r>
      <w:proofErr w:type="gramStart"/>
      <w:r>
        <w:rPr>
          <w:color w:val="000000"/>
        </w:rPr>
        <w:t>is capable of controlling</w:t>
      </w:r>
      <w:proofErr w:type="gramEnd"/>
      <w:r>
        <w:rPr>
          <w:color w:val="000000"/>
        </w:rPr>
        <w:t xml:space="preserve"> some of its expenditures whereas some of its expenditures faced increasing trends. For that, the company controlled their costs of goods sold from £411,600 in 2021 to £176,250 in 2023. In addition, they </w:t>
      </w:r>
      <w:proofErr w:type="gramStart"/>
      <w:r>
        <w:rPr>
          <w:color w:val="000000"/>
        </w:rPr>
        <w:t>are capable of reducing</w:t>
      </w:r>
      <w:proofErr w:type="gramEnd"/>
      <w:r>
        <w:rPr>
          <w:color w:val="000000"/>
        </w:rPr>
        <w:t xml:space="preserve"> their employee's costs and external expenses from £1,724,760 and £1,894,720 to £1,233,160 and £1,071,030 between the period 2021 to 2023. However, the company faced huge growth in its </w:t>
      </w:r>
      <w:r>
        <w:rPr>
          <w:color w:val="000000"/>
          <w:highlight w:val="white"/>
        </w:rPr>
        <w:t xml:space="preserve">Depreciation &amp; </w:t>
      </w:r>
      <w:proofErr w:type="spellStart"/>
      <w:r>
        <w:rPr>
          <w:color w:val="000000"/>
          <w:highlight w:val="white"/>
        </w:rPr>
        <w:t>amortisation</w:t>
      </w:r>
      <w:proofErr w:type="spellEnd"/>
      <w:r>
        <w:rPr>
          <w:color w:val="000000"/>
          <w:highlight w:val="white"/>
        </w:rPr>
        <w:t xml:space="preserve"> and Other operating income and expenses factors, which are £409190 and £34780 in 2021 to -661590 and £216650 in 2023.</w:t>
      </w:r>
    </w:p>
    <w:p w14:paraId="624618D3" w14:textId="77777777" w:rsidR="001F636E" w:rsidRDefault="00000000">
      <w:pPr>
        <w:pStyle w:val="Heading2"/>
      </w:pPr>
      <w:bookmarkStart w:id="6" w:name="_3dy6vkm" w:colFirst="0" w:colLast="0"/>
      <w:bookmarkEnd w:id="6"/>
      <w:r>
        <w:t>Profitability structure</w:t>
      </w:r>
    </w:p>
    <w:p w14:paraId="3633355D" w14:textId="77777777" w:rsidR="001F636E" w:rsidRDefault="00000000">
      <w:pPr>
        <w:pBdr>
          <w:top w:val="nil"/>
          <w:left w:val="nil"/>
          <w:bottom w:val="nil"/>
          <w:right w:val="nil"/>
          <w:between w:val="nil"/>
        </w:pBdr>
        <w:rPr>
          <w:color w:val="000000"/>
        </w:rPr>
      </w:pPr>
      <w:r>
        <w:rPr>
          <w:color w:val="000000"/>
        </w:rPr>
        <w:t xml:space="preserve">Profitability ratios help to determine the profit-earning capacity of a business by analyzing its current structure of profit (Rafid </w:t>
      </w:r>
      <w:r>
        <w:rPr>
          <w:i/>
          <w:color w:val="000000"/>
        </w:rPr>
        <w:t>et al.</w:t>
      </w:r>
      <w:r>
        <w:rPr>
          <w:color w:val="000000"/>
        </w:rPr>
        <w:t xml:space="preserve"> 2024). For that, the net profit ratio from the table below reflects a huge loss in the year 2023 by utilizing their net profit portion as -52.41%. It additionally reflects their decreasing net profit earning capacity from 2021 to 2023. </w:t>
      </w:r>
    </w:p>
    <w:tbl>
      <w:tblPr>
        <w:tblStyle w:val="a"/>
        <w:tblW w:w="8655" w:type="dxa"/>
        <w:jc w:val="center"/>
        <w:tblBorders>
          <w:top w:val="nil"/>
          <w:left w:val="nil"/>
          <w:bottom w:val="nil"/>
          <w:right w:val="nil"/>
          <w:insideH w:val="nil"/>
          <w:insideV w:val="nil"/>
        </w:tblBorders>
        <w:tblLayout w:type="fixed"/>
        <w:tblLook w:val="0600" w:firstRow="0" w:lastRow="0" w:firstColumn="0" w:lastColumn="0" w:noHBand="1" w:noVBand="1"/>
      </w:tblPr>
      <w:tblGrid>
        <w:gridCol w:w="2160"/>
        <w:gridCol w:w="2295"/>
        <w:gridCol w:w="1995"/>
        <w:gridCol w:w="2205"/>
      </w:tblGrid>
      <w:tr w:rsidR="001F636E" w14:paraId="52B588B2" w14:textId="77777777">
        <w:trPr>
          <w:trHeight w:val="345"/>
          <w:jc w:val="center"/>
        </w:trPr>
        <w:tc>
          <w:tcPr>
            <w:tcW w:w="8655" w:type="dxa"/>
            <w:gridSpan w:val="4"/>
            <w:tcBorders>
              <w:top w:val="single" w:sz="6" w:space="0" w:color="000000"/>
              <w:left w:val="single" w:sz="6" w:space="0" w:color="000000"/>
              <w:bottom w:val="single" w:sz="6" w:space="0" w:color="000000"/>
              <w:right w:val="single" w:sz="6" w:space="0" w:color="000000"/>
            </w:tcBorders>
            <w:shd w:val="clear" w:color="auto" w:fill="A2C4C9"/>
            <w:tcMar>
              <w:top w:w="40" w:type="dxa"/>
              <w:left w:w="40" w:type="dxa"/>
              <w:bottom w:w="40" w:type="dxa"/>
              <w:right w:w="40" w:type="dxa"/>
            </w:tcMar>
          </w:tcPr>
          <w:p w14:paraId="6592FB0A" w14:textId="77777777" w:rsidR="001F636E" w:rsidRDefault="00000000">
            <w:pPr>
              <w:widowControl w:val="0"/>
              <w:pBdr>
                <w:top w:val="nil"/>
                <w:left w:val="nil"/>
                <w:bottom w:val="nil"/>
                <w:right w:val="nil"/>
                <w:between w:val="nil"/>
              </w:pBdr>
              <w:jc w:val="center"/>
              <w:rPr>
                <w:color w:val="000000"/>
              </w:rPr>
            </w:pPr>
            <w:r>
              <w:rPr>
                <w:b/>
                <w:color w:val="000000"/>
              </w:rPr>
              <w:lastRenderedPageBreak/>
              <w:t>Calculation for Profitability Ratio</w:t>
            </w:r>
          </w:p>
        </w:tc>
      </w:tr>
      <w:tr w:rsidR="001F636E" w14:paraId="4638468D" w14:textId="77777777">
        <w:trPr>
          <w:trHeight w:val="345"/>
          <w:jc w:val="center"/>
        </w:trPr>
        <w:tc>
          <w:tcPr>
            <w:tcW w:w="8655" w:type="dxa"/>
            <w:gridSpan w:val="4"/>
            <w:tcBorders>
              <w:top w:val="single" w:sz="6" w:space="0" w:color="CCCCCC"/>
              <w:left w:val="single" w:sz="6" w:space="0" w:color="000000"/>
              <w:bottom w:val="single" w:sz="6" w:space="0" w:color="000000"/>
              <w:right w:val="single" w:sz="6" w:space="0" w:color="000000"/>
            </w:tcBorders>
            <w:shd w:val="clear" w:color="auto" w:fill="A2C4C9"/>
            <w:tcMar>
              <w:top w:w="40" w:type="dxa"/>
              <w:left w:w="40" w:type="dxa"/>
              <w:bottom w:w="40" w:type="dxa"/>
              <w:right w:w="40" w:type="dxa"/>
            </w:tcMar>
          </w:tcPr>
          <w:p w14:paraId="1949FB3E" w14:textId="77777777" w:rsidR="001F636E" w:rsidRDefault="00000000">
            <w:pPr>
              <w:widowControl w:val="0"/>
              <w:pBdr>
                <w:top w:val="nil"/>
                <w:left w:val="nil"/>
                <w:bottom w:val="nil"/>
                <w:right w:val="nil"/>
                <w:between w:val="nil"/>
              </w:pBdr>
              <w:jc w:val="center"/>
              <w:rPr>
                <w:color w:val="000000"/>
              </w:rPr>
            </w:pPr>
            <w:r>
              <w:rPr>
                <w:b/>
                <w:color w:val="000000"/>
              </w:rPr>
              <w:t>Net Profit Ratio</w:t>
            </w:r>
          </w:p>
        </w:tc>
      </w:tr>
      <w:tr w:rsidR="001F636E" w14:paraId="26A0BD1A" w14:textId="77777777">
        <w:trPr>
          <w:trHeight w:val="345"/>
          <w:jc w:val="center"/>
        </w:trPr>
        <w:tc>
          <w:tcPr>
            <w:tcW w:w="2160" w:type="dxa"/>
            <w:vMerge w:val="restart"/>
            <w:tcBorders>
              <w:top w:val="single" w:sz="6" w:space="0" w:color="CCCCCC"/>
              <w:left w:val="single" w:sz="6" w:space="0" w:color="000000"/>
              <w:bottom w:val="single" w:sz="6" w:space="0" w:color="000000"/>
              <w:right w:val="single" w:sz="6" w:space="0" w:color="000000"/>
            </w:tcBorders>
            <w:shd w:val="clear" w:color="auto" w:fill="A2C4C9"/>
            <w:tcMar>
              <w:top w:w="40" w:type="dxa"/>
              <w:left w:w="40" w:type="dxa"/>
              <w:bottom w:w="40" w:type="dxa"/>
              <w:right w:w="40" w:type="dxa"/>
            </w:tcMar>
          </w:tcPr>
          <w:p w14:paraId="77F75E92" w14:textId="77777777" w:rsidR="001F636E" w:rsidRDefault="00000000">
            <w:pPr>
              <w:widowControl w:val="0"/>
              <w:pBdr>
                <w:top w:val="nil"/>
                <w:left w:val="nil"/>
                <w:bottom w:val="nil"/>
                <w:right w:val="nil"/>
                <w:between w:val="nil"/>
              </w:pBdr>
              <w:jc w:val="center"/>
              <w:rPr>
                <w:b/>
                <w:color w:val="000000"/>
              </w:rPr>
            </w:pPr>
            <w:r>
              <w:rPr>
                <w:b/>
                <w:color w:val="000000"/>
              </w:rPr>
              <w:t>Particulars</w:t>
            </w:r>
          </w:p>
        </w:tc>
        <w:tc>
          <w:tcPr>
            <w:tcW w:w="2295" w:type="dxa"/>
            <w:tcBorders>
              <w:top w:val="single" w:sz="6" w:space="0" w:color="CCCCCC"/>
              <w:left w:val="single" w:sz="6" w:space="0" w:color="CCCCCC"/>
              <w:bottom w:val="single" w:sz="6" w:space="0" w:color="000000"/>
              <w:right w:val="single" w:sz="6" w:space="0" w:color="000000"/>
            </w:tcBorders>
            <w:shd w:val="clear" w:color="auto" w:fill="A2C4C9"/>
            <w:tcMar>
              <w:top w:w="40" w:type="dxa"/>
              <w:left w:w="40" w:type="dxa"/>
              <w:bottom w:w="40" w:type="dxa"/>
              <w:right w:w="40" w:type="dxa"/>
            </w:tcMar>
          </w:tcPr>
          <w:p w14:paraId="67F3EE96" w14:textId="77777777" w:rsidR="001F636E" w:rsidRDefault="00000000">
            <w:pPr>
              <w:widowControl w:val="0"/>
              <w:pBdr>
                <w:top w:val="nil"/>
                <w:left w:val="nil"/>
                <w:bottom w:val="nil"/>
                <w:right w:val="nil"/>
                <w:between w:val="nil"/>
              </w:pBdr>
              <w:jc w:val="center"/>
              <w:rPr>
                <w:color w:val="000000"/>
              </w:rPr>
            </w:pPr>
            <w:r>
              <w:rPr>
                <w:b/>
                <w:color w:val="000000"/>
              </w:rPr>
              <w:t>2021</w:t>
            </w:r>
          </w:p>
        </w:tc>
        <w:tc>
          <w:tcPr>
            <w:tcW w:w="1995" w:type="dxa"/>
            <w:tcBorders>
              <w:top w:val="single" w:sz="6" w:space="0" w:color="CCCCCC"/>
              <w:left w:val="single" w:sz="6" w:space="0" w:color="CCCCCC"/>
              <w:bottom w:val="single" w:sz="6" w:space="0" w:color="000000"/>
              <w:right w:val="single" w:sz="6" w:space="0" w:color="000000"/>
            </w:tcBorders>
            <w:shd w:val="clear" w:color="auto" w:fill="A2C4C9"/>
            <w:tcMar>
              <w:top w:w="40" w:type="dxa"/>
              <w:left w:w="40" w:type="dxa"/>
              <w:bottom w:w="40" w:type="dxa"/>
              <w:right w:w="40" w:type="dxa"/>
            </w:tcMar>
          </w:tcPr>
          <w:p w14:paraId="1414F1BF" w14:textId="77777777" w:rsidR="001F636E" w:rsidRDefault="00000000">
            <w:pPr>
              <w:widowControl w:val="0"/>
              <w:pBdr>
                <w:top w:val="nil"/>
                <w:left w:val="nil"/>
                <w:bottom w:val="nil"/>
                <w:right w:val="nil"/>
                <w:between w:val="nil"/>
              </w:pBdr>
              <w:jc w:val="center"/>
              <w:rPr>
                <w:color w:val="000000"/>
              </w:rPr>
            </w:pPr>
            <w:r>
              <w:rPr>
                <w:b/>
                <w:color w:val="000000"/>
              </w:rPr>
              <w:t>2022</w:t>
            </w:r>
          </w:p>
        </w:tc>
        <w:tc>
          <w:tcPr>
            <w:tcW w:w="2205" w:type="dxa"/>
            <w:tcBorders>
              <w:top w:val="single" w:sz="6" w:space="0" w:color="CCCCCC"/>
              <w:left w:val="single" w:sz="6" w:space="0" w:color="CCCCCC"/>
              <w:bottom w:val="single" w:sz="6" w:space="0" w:color="000000"/>
              <w:right w:val="single" w:sz="6" w:space="0" w:color="000000"/>
            </w:tcBorders>
            <w:shd w:val="clear" w:color="auto" w:fill="A2C4C9"/>
            <w:tcMar>
              <w:top w:w="40" w:type="dxa"/>
              <w:left w:w="40" w:type="dxa"/>
              <w:bottom w:w="40" w:type="dxa"/>
              <w:right w:w="40" w:type="dxa"/>
            </w:tcMar>
          </w:tcPr>
          <w:p w14:paraId="028AEC88" w14:textId="77777777" w:rsidR="001F636E" w:rsidRDefault="00000000">
            <w:pPr>
              <w:widowControl w:val="0"/>
              <w:pBdr>
                <w:top w:val="nil"/>
                <w:left w:val="nil"/>
                <w:bottom w:val="nil"/>
                <w:right w:val="nil"/>
                <w:between w:val="nil"/>
              </w:pBdr>
              <w:jc w:val="center"/>
              <w:rPr>
                <w:color w:val="000000"/>
              </w:rPr>
            </w:pPr>
            <w:r>
              <w:rPr>
                <w:b/>
                <w:color w:val="000000"/>
              </w:rPr>
              <w:t>2023</w:t>
            </w:r>
          </w:p>
        </w:tc>
      </w:tr>
      <w:tr w:rsidR="001F636E" w14:paraId="60515D0D" w14:textId="77777777">
        <w:trPr>
          <w:trHeight w:val="345"/>
          <w:jc w:val="center"/>
        </w:trPr>
        <w:tc>
          <w:tcPr>
            <w:tcW w:w="2160" w:type="dxa"/>
            <w:vMerge/>
            <w:tcBorders>
              <w:top w:val="single" w:sz="6" w:space="0" w:color="CCCCCC"/>
              <w:left w:val="single" w:sz="6" w:space="0" w:color="000000"/>
              <w:bottom w:val="single" w:sz="6" w:space="0" w:color="000000"/>
              <w:right w:val="single" w:sz="6" w:space="0" w:color="000000"/>
            </w:tcBorders>
            <w:shd w:val="clear" w:color="auto" w:fill="A2C4C9"/>
            <w:tcMar>
              <w:top w:w="40" w:type="dxa"/>
              <w:left w:w="40" w:type="dxa"/>
              <w:bottom w:w="40" w:type="dxa"/>
              <w:right w:w="40" w:type="dxa"/>
            </w:tcMar>
          </w:tcPr>
          <w:p w14:paraId="7F8361EA" w14:textId="77777777" w:rsidR="001F636E" w:rsidRDefault="001F636E">
            <w:pPr>
              <w:widowControl w:val="0"/>
              <w:pBdr>
                <w:top w:val="nil"/>
                <w:left w:val="nil"/>
                <w:bottom w:val="nil"/>
                <w:right w:val="nil"/>
                <w:between w:val="nil"/>
              </w:pBdr>
              <w:spacing w:line="276" w:lineRule="auto"/>
              <w:jc w:val="left"/>
              <w:rPr>
                <w:color w:val="000000"/>
              </w:rPr>
            </w:pPr>
          </w:p>
        </w:tc>
        <w:tc>
          <w:tcPr>
            <w:tcW w:w="2295" w:type="dxa"/>
            <w:tcBorders>
              <w:top w:val="single" w:sz="6" w:space="0" w:color="CCCCCC"/>
              <w:left w:val="single" w:sz="6" w:space="0" w:color="CCCCCC"/>
              <w:bottom w:val="single" w:sz="6" w:space="0" w:color="000000"/>
              <w:right w:val="single" w:sz="6" w:space="0" w:color="000000"/>
            </w:tcBorders>
            <w:shd w:val="clear" w:color="auto" w:fill="A2C4C9"/>
            <w:tcMar>
              <w:top w:w="40" w:type="dxa"/>
              <w:left w:w="40" w:type="dxa"/>
              <w:bottom w:w="40" w:type="dxa"/>
              <w:right w:w="40" w:type="dxa"/>
            </w:tcMar>
          </w:tcPr>
          <w:p w14:paraId="6E504C2F" w14:textId="77777777" w:rsidR="001F636E" w:rsidRDefault="00000000">
            <w:pPr>
              <w:widowControl w:val="0"/>
              <w:pBdr>
                <w:top w:val="nil"/>
                <w:left w:val="nil"/>
                <w:bottom w:val="nil"/>
                <w:right w:val="nil"/>
                <w:between w:val="nil"/>
              </w:pBdr>
              <w:jc w:val="center"/>
              <w:rPr>
                <w:color w:val="000000"/>
              </w:rPr>
            </w:pPr>
            <w:r>
              <w:rPr>
                <w:b/>
                <w:color w:val="000000"/>
              </w:rPr>
              <w:t>Amount</w:t>
            </w:r>
          </w:p>
        </w:tc>
        <w:tc>
          <w:tcPr>
            <w:tcW w:w="1995" w:type="dxa"/>
            <w:tcBorders>
              <w:top w:val="single" w:sz="6" w:space="0" w:color="CCCCCC"/>
              <w:left w:val="single" w:sz="6" w:space="0" w:color="CCCCCC"/>
              <w:bottom w:val="single" w:sz="6" w:space="0" w:color="000000"/>
              <w:right w:val="single" w:sz="6" w:space="0" w:color="000000"/>
            </w:tcBorders>
            <w:shd w:val="clear" w:color="auto" w:fill="A2C4C9"/>
            <w:tcMar>
              <w:top w:w="40" w:type="dxa"/>
              <w:left w:w="40" w:type="dxa"/>
              <w:bottom w:w="40" w:type="dxa"/>
              <w:right w:w="40" w:type="dxa"/>
            </w:tcMar>
          </w:tcPr>
          <w:p w14:paraId="1987A2C9" w14:textId="77777777" w:rsidR="001F636E" w:rsidRDefault="00000000">
            <w:pPr>
              <w:widowControl w:val="0"/>
              <w:pBdr>
                <w:top w:val="nil"/>
                <w:left w:val="nil"/>
                <w:bottom w:val="nil"/>
                <w:right w:val="nil"/>
                <w:between w:val="nil"/>
              </w:pBdr>
              <w:jc w:val="center"/>
              <w:rPr>
                <w:color w:val="000000"/>
              </w:rPr>
            </w:pPr>
            <w:r>
              <w:rPr>
                <w:b/>
                <w:color w:val="000000"/>
              </w:rPr>
              <w:t>Amount</w:t>
            </w:r>
          </w:p>
        </w:tc>
        <w:tc>
          <w:tcPr>
            <w:tcW w:w="2205" w:type="dxa"/>
            <w:tcBorders>
              <w:top w:val="single" w:sz="6" w:space="0" w:color="CCCCCC"/>
              <w:left w:val="single" w:sz="6" w:space="0" w:color="CCCCCC"/>
              <w:bottom w:val="single" w:sz="6" w:space="0" w:color="000000"/>
              <w:right w:val="single" w:sz="6" w:space="0" w:color="000000"/>
            </w:tcBorders>
            <w:shd w:val="clear" w:color="auto" w:fill="A2C4C9"/>
            <w:tcMar>
              <w:top w:w="40" w:type="dxa"/>
              <w:left w:w="40" w:type="dxa"/>
              <w:bottom w:w="40" w:type="dxa"/>
              <w:right w:w="40" w:type="dxa"/>
            </w:tcMar>
          </w:tcPr>
          <w:p w14:paraId="037CA84E" w14:textId="77777777" w:rsidR="001F636E" w:rsidRDefault="00000000">
            <w:pPr>
              <w:widowControl w:val="0"/>
              <w:pBdr>
                <w:top w:val="nil"/>
                <w:left w:val="nil"/>
                <w:bottom w:val="nil"/>
                <w:right w:val="nil"/>
                <w:between w:val="nil"/>
              </w:pBdr>
              <w:jc w:val="center"/>
              <w:rPr>
                <w:color w:val="000000"/>
              </w:rPr>
            </w:pPr>
            <w:r>
              <w:rPr>
                <w:b/>
                <w:color w:val="000000"/>
              </w:rPr>
              <w:t>Amount</w:t>
            </w:r>
          </w:p>
        </w:tc>
      </w:tr>
      <w:tr w:rsidR="001F636E" w14:paraId="34980800" w14:textId="77777777">
        <w:trPr>
          <w:trHeight w:val="345"/>
          <w:jc w:val="center"/>
        </w:trPr>
        <w:tc>
          <w:tcPr>
            <w:tcW w:w="2160" w:type="dxa"/>
            <w:tcBorders>
              <w:top w:val="single" w:sz="6" w:space="0" w:color="CCCCCC"/>
              <w:left w:val="single" w:sz="6" w:space="0" w:color="000000"/>
              <w:bottom w:val="single" w:sz="6" w:space="0" w:color="000000"/>
              <w:right w:val="single" w:sz="6" w:space="0" w:color="000000"/>
            </w:tcBorders>
            <w:shd w:val="clear" w:color="auto" w:fill="FFF2CC"/>
            <w:tcMar>
              <w:top w:w="40" w:type="dxa"/>
              <w:left w:w="40" w:type="dxa"/>
              <w:bottom w:w="40" w:type="dxa"/>
              <w:right w:w="40" w:type="dxa"/>
            </w:tcMar>
          </w:tcPr>
          <w:p w14:paraId="2C6B95B7" w14:textId="77777777" w:rsidR="001F636E" w:rsidRDefault="00000000">
            <w:pPr>
              <w:widowControl w:val="0"/>
              <w:pBdr>
                <w:top w:val="nil"/>
                <w:left w:val="nil"/>
                <w:bottom w:val="nil"/>
                <w:right w:val="nil"/>
                <w:between w:val="nil"/>
              </w:pBdr>
              <w:jc w:val="center"/>
              <w:rPr>
                <w:color w:val="000000"/>
              </w:rPr>
            </w:pPr>
            <w:r>
              <w:rPr>
                <w:color w:val="000000"/>
              </w:rPr>
              <w:t>Total Revenues</w:t>
            </w:r>
          </w:p>
        </w:tc>
        <w:tc>
          <w:tcPr>
            <w:tcW w:w="2295"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365B46BA" w14:textId="77777777" w:rsidR="001F636E" w:rsidRDefault="00000000">
            <w:pPr>
              <w:widowControl w:val="0"/>
              <w:pBdr>
                <w:top w:val="nil"/>
                <w:left w:val="nil"/>
                <w:bottom w:val="nil"/>
                <w:right w:val="nil"/>
                <w:between w:val="nil"/>
              </w:pBdr>
              <w:jc w:val="center"/>
              <w:rPr>
                <w:color w:val="000000"/>
              </w:rPr>
            </w:pPr>
            <w:r>
              <w:rPr>
                <w:color w:val="000000"/>
              </w:rPr>
              <w:t>5,248,290</w:t>
            </w:r>
          </w:p>
        </w:tc>
        <w:tc>
          <w:tcPr>
            <w:tcW w:w="1995"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66B51EB7" w14:textId="77777777" w:rsidR="001F636E" w:rsidRDefault="00000000">
            <w:pPr>
              <w:widowControl w:val="0"/>
              <w:pBdr>
                <w:top w:val="nil"/>
                <w:left w:val="nil"/>
                <w:bottom w:val="nil"/>
                <w:right w:val="nil"/>
                <w:between w:val="nil"/>
              </w:pBdr>
              <w:jc w:val="center"/>
              <w:rPr>
                <w:color w:val="000000"/>
              </w:rPr>
            </w:pPr>
            <w:r>
              <w:rPr>
                <w:color w:val="000000"/>
              </w:rPr>
              <w:t>5,307,480</w:t>
            </w:r>
          </w:p>
        </w:tc>
        <w:tc>
          <w:tcPr>
            <w:tcW w:w="2205"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4D6847D1" w14:textId="77777777" w:rsidR="001F636E" w:rsidRDefault="00000000">
            <w:pPr>
              <w:widowControl w:val="0"/>
              <w:pBdr>
                <w:top w:val="nil"/>
                <w:left w:val="nil"/>
                <w:bottom w:val="nil"/>
                <w:right w:val="nil"/>
                <w:between w:val="nil"/>
              </w:pBdr>
              <w:jc w:val="center"/>
              <w:rPr>
                <w:color w:val="000000"/>
              </w:rPr>
            </w:pPr>
            <w:r>
              <w:rPr>
                <w:color w:val="000000"/>
              </w:rPr>
              <w:t>2,325,440</w:t>
            </w:r>
          </w:p>
        </w:tc>
      </w:tr>
      <w:tr w:rsidR="001F636E" w14:paraId="305B74F1" w14:textId="77777777">
        <w:trPr>
          <w:trHeight w:val="345"/>
          <w:jc w:val="center"/>
        </w:trPr>
        <w:tc>
          <w:tcPr>
            <w:tcW w:w="2160" w:type="dxa"/>
            <w:tcBorders>
              <w:top w:val="single" w:sz="6" w:space="0" w:color="CCCCCC"/>
              <w:left w:val="single" w:sz="6" w:space="0" w:color="000000"/>
              <w:bottom w:val="single" w:sz="6" w:space="0" w:color="000000"/>
              <w:right w:val="single" w:sz="6" w:space="0" w:color="000000"/>
            </w:tcBorders>
            <w:shd w:val="clear" w:color="auto" w:fill="FFF2CC"/>
            <w:tcMar>
              <w:top w:w="40" w:type="dxa"/>
              <w:left w:w="40" w:type="dxa"/>
              <w:bottom w:w="40" w:type="dxa"/>
              <w:right w:w="40" w:type="dxa"/>
            </w:tcMar>
          </w:tcPr>
          <w:p w14:paraId="4777B121" w14:textId="77777777" w:rsidR="001F636E" w:rsidRDefault="00000000">
            <w:pPr>
              <w:widowControl w:val="0"/>
              <w:pBdr>
                <w:top w:val="nil"/>
                <w:left w:val="nil"/>
                <w:bottom w:val="nil"/>
                <w:right w:val="nil"/>
                <w:between w:val="nil"/>
              </w:pBdr>
              <w:jc w:val="center"/>
              <w:rPr>
                <w:color w:val="000000"/>
              </w:rPr>
            </w:pPr>
            <w:r>
              <w:rPr>
                <w:color w:val="000000"/>
              </w:rPr>
              <w:t>Net profit</w:t>
            </w:r>
          </w:p>
        </w:tc>
        <w:tc>
          <w:tcPr>
            <w:tcW w:w="2295"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55D3239E" w14:textId="77777777" w:rsidR="001F636E" w:rsidRDefault="00000000">
            <w:pPr>
              <w:widowControl w:val="0"/>
              <w:pBdr>
                <w:top w:val="nil"/>
                <w:left w:val="nil"/>
                <w:bottom w:val="nil"/>
                <w:right w:val="nil"/>
                <w:between w:val="nil"/>
              </w:pBdr>
              <w:jc w:val="center"/>
              <w:rPr>
                <w:color w:val="000000"/>
              </w:rPr>
            </w:pPr>
            <w:r>
              <w:rPr>
                <w:color w:val="000000"/>
              </w:rPr>
              <w:t>664,160</w:t>
            </w:r>
          </w:p>
        </w:tc>
        <w:tc>
          <w:tcPr>
            <w:tcW w:w="1995"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200A3C11" w14:textId="77777777" w:rsidR="001F636E" w:rsidRDefault="00000000">
            <w:pPr>
              <w:widowControl w:val="0"/>
              <w:pBdr>
                <w:top w:val="nil"/>
                <w:left w:val="nil"/>
                <w:bottom w:val="nil"/>
                <w:right w:val="nil"/>
                <w:between w:val="nil"/>
              </w:pBdr>
              <w:jc w:val="center"/>
              <w:rPr>
                <w:color w:val="000000"/>
              </w:rPr>
            </w:pPr>
            <w:r>
              <w:rPr>
                <w:color w:val="000000"/>
              </w:rPr>
              <w:t>674,730</w:t>
            </w:r>
          </w:p>
        </w:tc>
        <w:tc>
          <w:tcPr>
            <w:tcW w:w="2205"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43AF1F95" w14:textId="77777777" w:rsidR="001F636E" w:rsidRDefault="00000000">
            <w:pPr>
              <w:widowControl w:val="0"/>
              <w:pBdr>
                <w:top w:val="nil"/>
                <w:left w:val="nil"/>
                <w:bottom w:val="nil"/>
                <w:right w:val="nil"/>
                <w:between w:val="nil"/>
              </w:pBdr>
              <w:jc w:val="center"/>
              <w:rPr>
                <w:color w:val="000000"/>
              </w:rPr>
            </w:pPr>
            <w:r>
              <w:rPr>
                <w:color w:val="000000"/>
              </w:rPr>
              <w:t>-1,218,850</w:t>
            </w:r>
          </w:p>
        </w:tc>
      </w:tr>
      <w:tr w:rsidR="001F636E" w14:paraId="06B584A5" w14:textId="77777777">
        <w:trPr>
          <w:trHeight w:val="615"/>
          <w:jc w:val="center"/>
        </w:trPr>
        <w:tc>
          <w:tcPr>
            <w:tcW w:w="2160" w:type="dxa"/>
            <w:tcBorders>
              <w:top w:val="single" w:sz="6" w:space="0" w:color="CCCCCC"/>
              <w:left w:val="single" w:sz="6" w:space="0" w:color="000000"/>
              <w:bottom w:val="single" w:sz="6" w:space="0" w:color="000000"/>
              <w:right w:val="single" w:sz="6" w:space="0" w:color="000000"/>
            </w:tcBorders>
            <w:shd w:val="clear" w:color="auto" w:fill="FFF2CC"/>
            <w:tcMar>
              <w:top w:w="40" w:type="dxa"/>
              <w:left w:w="40" w:type="dxa"/>
              <w:bottom w:w="40" w:type="dxa"/>
              <w:right w:w="40" w:type="dxa"/>
            </w:tcMar>
          </w:tcPr>
          <w:p w14:paraId="3FA204E9" w14:textId="77777777" w:rsidR="001F636E" w:rsidRDefault="00000000">
            <w:pPr>
              <w:widowControl w:val="0"/>
              <w:pBdr>
                <w:top w:val="nil"/>
                <w:left w:val="nil"/>
                <w:bottom w:val="nil"/>
                <w:right w:val="nil"/>
                <w:between w:val="nil"/>
              </w:pBdr>
              <w:jc w:val="center"/>
              <w:rPr>
                <w:color w:val="000000"/>
              </w:rPr>
            </w:pPr>
            <w:r>
              <w:rPr>
                <w:b/>
                <w:color w:val="000000"/>
              </w:rPr>
              <w:t xml:space="preserve">(Revenue /Net </w:t>
            </w:r>
            <w:proofErr w:type="gramStart"/>
            <w:r>
              <w:rPr>
                <w:b/>
                <w:color w:val="000000"/>
              </w:rPr>
              <w:t>profit )</w:t>
            </w:r>
            <w:proofErr w:type="gramEnd"/>
            <w:r>
              <w:rPr>
                <w:b/>
                <w:color w:val="000000"/>
              </w:rPr>
              <w:t>* 100</w:t>
            </w:r>
          </w:p>
        </w:tc>
        <w:tc>
          <w:tcPr>
            <w:tcW w:w="2295"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45A343CC" w14:textId="77777777" w:rsidR="001F636E" w:rsidRDefault="00000000">
            <w:pPr>
              <w:widowControl w:val="0"/>
              <w:pBdr>
                <w:top w:val="nil"/>
                <w:left w:val="nil"/>
                <w:bottom w:val="nil"/>
                <w:right w:val="nil"/>
                <w:between w:val="nil"/>
              </w:pBdr>
              <w:jc w:val="center"/>
              <w:rPr>
                <w:color w:val="000000"/>
              </w:rPr>
            </w:pPr>
            <w:r>
              <w:rPr>
                <w:color w:val="000000"/>
              </w:rPr>
              <w:t>12.65%</w:t>
            </w:r>
          </w:p>
        </w:tc>
        <w:tc>
          <w:tcPr>
            <w:tcW w:w="1995"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236CCB31" w14:textId="77777777" w:rsidR="001F636E" w:rsidRDefault="00000000">
            <w:pPr>
              <w:widowControl w:val="0"/>
              <w:pBdr>
                <w:top w:val="nil"/>
                <w:left w:val="nil"/>
                <w:bottom w:val="nil"/>
                <w:right w:val="nil"/>
                <w:between w:val="nil"/>
              </w:pBdr>
              <w:jc w:val="center"/>
              <w:rPr>
                <w:color w:val="000000"/>
              </w:rPr>
            </w:pPr>
            <w:r>
              <w:rPr>
                <w:color w:val="000000"/>
              </w:rPr>
              <w:t>12.71%</w:t>
            </w:r>
          </w:p>
        </w:tc>
        <w:tc>
          <w:tcPr>
            <w:tcW w:w="2205"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1FBBE7BA" w14:textId="77777777" w:rsidR="001F636E" w:rsidRDefault="00000000">
            <w:pPr>
              <w:widowControl w:val="0"/>
              <w:pBdr>
                <w:top w:val="nil"/>
                <w:left w:val="nil"/>
                <w:bottom w:val="nil"/>
                <w:right w:val="nil"/>
                <w:between w:val="nil"/>
              </w:pBdr>
              <w:jc w:val="center"/>
              <w:rPr>
                <w:color w:val="000000"/>
              </w:rPr>
            </w:pPr>
            <w:r>
              <w:rPr>
                <w:color w:val="000000"/>
              </w:rPr>
              <w:t>-52.41%</w:t>
            </w:r>
          </w:p>
        </w:tc>
      </w:tr>
      <w:tr w:rsidR="001F636E" w14:paraId="478BC6AD" w14:textId="77777777">
        <w:trPr>
          <w:trHeight w:val="345"/>
          <w:jc w:val="center"/>
        </w:trPr>
        <w:tc>
          <w:tcPr>
            <w:tcW w:w="8655" w:type="dxa"/>
            <w:gridSpan w:val="4"/>
            <w:tcBorders>
              <w:top w:val="single" w:sz="6" w:space="0" w:color="CCCCCC"/>
              <w:left w:val="single" w:sz="6" w:space="0" w:color="000000"/>
              <w:bottom w:val="single" w:sz="6" w:space="0" w:color="000000"/>
              <w:right w:val="single" w:sz="6" w:space="0" w:color="000000"/>
            </w:tcBorders>
            <w:shd w:val="clear" w:color="auto" w:fill="A2C4C9"/>
            <w:tcMar>
              <w:top w:w="40" w:type="dxa"/>
              <w:left w:w="40" w:type="dxa"/>
              <w:bottom w:w="40" w:type="dxa"/>
              <w:right w:w="40" w:type="dxa"/>
            </w:tcMar>
          </w:tcPr>
          <w:p w14:paraId="7CAE58A6" w14:textId="77777777" w:rsidR="001F636E" w:rsidRDefault="00000000">
            <w:pPr>
              <w:widowControl w:val="0"/>
              <w:pBdr>
                <w:top w:val="nil"/>
                <w:left w:val="nil"/>
                <w:bottom w:val="nil"/>
                <w:right w:val="nil"/>
                <w:between w:val="nil"/>
              </w:pBdr>
              <w:jc w:val="center"/>
              <w:rPr>
                <w:color w:val="000000"/>
              </w:rPr>
            </w:pPr>
            <w:r>
              <w:rPr>
                <w:b/>
                <w:color w:val="000000"/>
              </w:rPr>
              <w:t>Return on equity</w:t>
            </w:r>
          </w:p>
        </w:tc>
      </w:tr>
      <w:tr w:rsidR="001F636E" w14:paraId="2EBD80FE" w14:textId="77777777">
        <w:trPr>
          <w:trHeight w:val="345"/>
          <w:jc w:val="center"/>
        </w:trPr>
        <w:tc>
          <w:tcPr>
            <w:tcW w:w="2160" w:type="dxa"/>
            <w:vMerge w:val="restart"/>
            <w:tcBorders>
              <w:top w:val="single" w:sz="6" w:space="0" w:color="CCCCCC"/>
              <w:left w:val="single" w:sz="6" w:space="0" w:color="000000"/>
              <w:bottom w:val="single" w:sz="6" w:space="0" w:color="000000"/>
              <w:right w:val="single" w:sz="6" w:space="0" w:color="000000"/>
            </w:tcBorders>
            <w:shd w:val="clear" w:color="auto" w:fill="A2C4C9"/>
            <w:tcMar>
              <w:top w:w="40" w:type="dxa"/>
              <w:left w:w="40" w:type="dxa"/>
              <w:bottom w:w="40" w:type="dxa"/>
              <w:right w:w="40" w:type="dxa"/>
            </w:tcMar>
          </w:tcPr>
          <w:p w14:paraId="5851A3C0" w14:textId="77777777" w:rsidR="001F636E" w:rsidRDefault="00000000">
            <w:pPr>
              <w:widowControl w:val="0"/>
              <w:pBdr>
                <w:top w:val="nil"/>
                <w:left w:val="nil"/>
                <w:bottom w:val="nil"/>
                <w:right w:val="nil"/>
                <w:between w:val="nil"/>
              </w:pBdr>
              <w:jc w:val="center"/>
              <w:rPr>
                <w:b/>
                <w:color w:val="000000"/>
              </w:rPr>
            </w:pPr>
            <w:r>
              <w:rPr>
                <w:b/>
                <w:color w:val="000000"/>
              </w:rPr>
              <w:t>Particulars</w:t>
            </w:r>
          </w:p>
        </w:tc>
        <w:tc>
          <w:tcPr>
            <w:tcW w:w="2295" w:type="dxa"/>
            <w:tcBorders>
              <w:top w:val="single" w:sz="6" w:space="0" w:color="CCCCCC"/>
              <w:left w:val="single" w:sz="6" w:space="0" w:color="CCCCCC"/>
              <w:bottom w:val="single" w:sz="6" w:space="0" w:color="000000"/>
              <w:right w:val="single" w:sz="6" w:space="0" w:color="000000"/>
            </w:tcBorders>
            <w:shd w:val="clear" w:color="auto" w:fill="A2C4C9"/>
            <w:tcMar>
              <w:top w:w="40" w:type="dxa"/>
              <w:left w:w="40" w:type="dxa"/>
              <w:bottom w:w="40" w:type="dxa"/>
              <w:right w:w="40" w:type="dxa"/>
            </w:tcMar>
          </w:tcPr>
          <w:p w14:paraId="4F03F2D6" w14:textId="77777777" w:rsidR="001F636E" w:rsidRDefault="00000000">
            <w:pPr>
              <w:widowControl w:val="0"/>
              <w:pBdr>
                <w:top w:val="nil"/>
                <w:left w:val="nil"/>
                <w:bottom w:val="nil"/>
                <w:right w:val="nil"/>
                <w:between w:val="nil"/>
              </w:pBdr>
              <w:jc w:val="center"/>
              <w:rPr>
                <w:color w:val="000000"/>
              </w:rPr>
            </w:pPr>
            <w:r>
              <w:rPr>
                <w:b/>
                <w:color w:val="000000"/>
              </w:rPr>
              <w:t>2021</w:t>
            </w:r>
          </w:p>
        </w:tc>
        <w:tc>
          <w:tcPr>
            <w:tcW w:w="1995" w:type="dxa"/>
            <w:tcBorders>
              <w:top w:val="single" w:sz="6" w:space="0" w:color="CCCCCC"/>
              <w:left w:val="single" w:sz="6" w:space="0" w:color="CCCCCC"/>
              <w:bottom w:val="single" w:sz="6" w:space="0" w:color="000000"/>
              <w:right w:val="single" w:sz="6" w:space="0" w:color="000000"/>
            </w:tcBorders>
            <w:shd w:val="clear" w:color="auto" w:fill="A2C4C9"/>
            <w:tcMar>
              <w:top w:w="40" w:type="dxa"/>
              <w:left w:w="40" w:type="dxa"/>
              <w:bottom w:w="40" w:type="dxa"/>
              <w:right w:w="40" w:type="dxa"/>
            </w:tcMar>
          </w:tcPr>
          <w:p w14:paraId="6587DFC5" w14:textId="77777777" w:rsidR="001F636E" w:rsidRDefault="00000000">
            <w:pPr>
              <w:widowControl w:val="0"/>
              <w:pBdr>
                <w:top w:val="nil"/>
                <w:left w:val="nil"/>
                <w:bottom w:val="nil"/>
                <w:right w:val="nil"/>
                <w:between w:val="nil"/>
              </w:pBdr>
              <w:jc w:val="center"/>
              <w:rPr>
                <w:color w:val="000000"/>
              </w:rPr>
            </w:pPr>
            <w:r>
              <w:rPr>
                <w:b/>
                <w:color w:val="000000"/>
              </w:rPr>
              <w:t>2022</w:t>
            </w:r>
          </w:p>
        </w:tc>
        <w:tc>
          <w:tcPr>
            <w:tcW w:w="2205" w:type="dxa"/>
            <w:tcBorders>
              <w:top w:val="single" w:sz="6" w:space="0" w:color="CCCCCC"/>
              <w:left w:val="single" w:sz="6" w:space="0" w:color="CCCCCC"/>
              <w:bottom w:val="single" w:sz="6" w:space="0" w:color="000000"/>
              <w:right w:val="single" w:sz="6" w:space="0" w:color="000000"/>
            </w:tcBorders>
            <w:shd w:val="clear" w:color="auto" w:fill="A2C4C9"/>
            <w:tcMar>
              <w:top w:w="40" w:type="dxa"/>
              <w:left w:w="40" w:type="dxa"/>
              <w:bottom w:w="40" w:type="dxa"/>
              <w:right w:w="40" w:type="dxa"/>
            </w:tcMar>
          </w:tcPr>
          <w:p w14:paraId="28A07537" w14:textId="77777777" w:rsidR="001F636E" w:rsidRDefault="00000000">
            <w:pPr>
              <w:widowControl w:val="0"/>
              <w:pBdr>
                <w:top w:val="nil"/>
                <w:left w:val="nil"/>
                <w:bottom w:val="nil"/>
                <w:right w:val="nil"/>
                <w:between w:val="nil"/>
              </w:pBdr>
              <w:jc w:val="center"/>
              <w:rPr>
                <w:color w:val="000000"/>
              </w:rPr>
            </w:pPr>
            <w:r>
              <w:rPr>
                <w:b/>
                <w:color w:val="000000"/>
              </w:rPr>
              <w:t>2023</w:t>
            </w:r>
          </w:p>
        </w:tc>
      </w:tr>
      <w:tr w:rsidR="001F636E" w14:paraId="20D18B2C" w14:textId="77777777">
        <w:trPr>
          <w:trHeight w:val="345"/>
          <w:jc w:val="center"/>
        </w:trPr>
        <w:tc>
          <w:tcPr>
            <w:tcW w:w="2160" w:type="dxa"/>
            <w:vMerge/>
            <w:tcBorders>
              <w:top w:val="single" w:sz="6" w:space="0" w:color="CCCCCC"/>
              <w:left w:val="single" w:sz="6" w:space="0" w:color="000000"/>
              <w:bottom w:val="single" w:sz="6" w:space="0" w:color="000000"/>
              <w:right w:val="single" w:sz="6" w:space="0" w:color="000000"/>
            </w:tcBorders>
            <w:shd w:val="clear" w:color="auto" w:fill="A2C4C9"/>
            <w:tcMar>
              <w:top w:w="40" w:type="dxa"/>
              <w:left w:w="40" w:type="dxa"/>
              <w:bottom w:w="40" w:type="dxa"/>
              <w:right w:w="40" w:type="dxa"/>
            </w:tcMar>
          </w:tcPr>
          <w:p w14:paraId="370A6B16" w14:textId="77777777" w:rsidR="001F636E" w:rsidRDefault="001F636E">
            <w:pPr>
              <w:widowControl w:val="0"/>
              <w:pBdr>
                <w:top w:val="nil"/>
                <w:left w:val="nil"/>
                <w:bottom w:val="nil"/>
                <w:right w:val="nil"/>
                <w:between w:val="nil"/>
              </w:pBdr>
              <w:spacing w:line="276" w:lineRule="auto"/>
              <w:jc w:val="left"/>
              <w:rPr>
                <w:color w:val="000000"/>
              </w:rPr>
            </w:pPr>
          </w:p>
        </w:tc>
        <w:tc>
          <w:tcPr>
            <w:tcW w:w="2295" w:type="dxa"/>
            <w:tcBorders>
              <w:top w:val="single" w:sz="6" w:space="0" w:color="CCCCCC"/>
              <w:left w:val="single" w:sz="6" w:space="0" w:color="CCCCCC"/>
              <w:bottom w:val="single" w:sz="6" w:space="0" w:color="000000"/>
              <w:right w:val="single" w:sz="6" w:space="0" w:color="000000"/>
            </w:tcBorders>
            <w:shd w:val="clear" w:color="auto" w:fill="A2C4C9"/>
            <w:tcMar>
              <w:top w:w="40" w:type="dxa"/>
              <w:left w:w="40" w:type="dxa"/>
              <w:bottom w:w="40" w:type="dxa"/>
              <w:right w:w="40" w:type="dxa"/>
            </w:tcMar>
          </w:tcPr>
          <w:p w14:paraId="25BB0A87" w14:textId="77777777" w:rsidR="001F636E" w:rsidRDefault="00000000">
            <w:pPr>
              <w:widowControl w:val="0"/>
              <w:pBdr>
                <w:top w:val="nil"/>
                <w:left w:val="nil"/>
                <w:bottom w:val="nil"/>
                <w:right w:val="nil"/>
                <w:between w:val="nil"/>
              </w:pBdr>
              <w:jc w:val="center"/>
              <w:rPr>
                <w:color w:val="000000"/>
              </w:rPr>
            </w:pPr>
            <w:r>
              <w:rPr>
                <w:b/>
                <w:color w:val="000000"/>
              </w:rPr>
              <w:t>Amount</w:t>
            </w:r>
          </w:p>
        </w:tc>
        <w:tc>
          <w:tcPr>
            <w:tcW w:w="1995" w:type="dxa"/>
            <w:tcBorders>
              <w:top w:val="single" w:sz="6" w:space="0" w:color="CCCCCC"/>
              <w:left w:val="single" w:sz="6" w:space="0" w:color="CCCCCC"/>
              <w:bottom w:val="single" w:sz="6" w:space="0" w:color="000000"/>
              <w:right w:val="single" w:sz="6" w:space="0" w:color="000000"/>
            </w:tcBorders>
            <w:shd w:val="clear" w:color="auto" w:fill="A2C4C9"/>
            <w:tcMar>
              <w:top w:w="40" w:type="dxa"/>
              <w:left w:w="40" w:type="dxa"/>
              <w:bottom w:w="40" w:type="dxa"/>
              <w:right w:w="40" w:type="dxa"/>
            </w:tcMar>
          </w:tcPr>
          <w:p w14:paraId="138FA73A" w14:textId="77777777" w:rsidR="001F636E" w:rsidRDefault="00000000">
            <w:pPr>
              <w:widowControl w:val="0"/>
              <w:pBdr>
                <w:top w:val="nil"/>
                <w:left w:val="nil"/>
                <w:bottom w:val="nil"/>
                <w:right w:val="nil"/>
                <w:between w:val="nil"/>
              </w:pBdr>
              <w:jc w:val="center"/>
              <w:rPr>
                <w:color w:val="000000"/>
              </w:rPr>
            </w:pPr>
            <w:r>
              <w:rPr>
                <w:b/>
                <w:color w:val="000000"/>
              </w:rPr>
              <w:t>Amount</w:t>
            </w:r>
          </w:p>
        </w:tc>
        <w:tc>
          <w:tcPr>
            <w:tcW w:w="2205" w:type="dxa"/>
            <w:tcBorders>
              <w:top w:val="single" w:sz="6" w:space="0" w:color="CCCCCC"/>
              <w:left w:val="single" w:sz="6" w:space="0" w:color="CCCCCC"/>
              <w:bottom w:val="single" w:sz="6" w:space="0" w:color="000000"/>
              <w:right w:val="single" w:sz="6" w:space="0" w:color="000000"/>
            </w:tcBorders>
            <w:shd w:val="clear" w:color="auto" w:fill="A2C4C9"/>
            <w:tcMar>
              <w:top w:w="40" w:type="dxa"/>
              <w:left w:w="40" w:type="dxa"/>
              <w:bottom w:w="40" w:type="dxa"/>
              <w:right w:w="40" w:type="dxa"/>
            </w:tcMar>
          </w:tcPr>
          <w:p w14:paraId="090F08CE" w14:textId="77777777" w:rsidR="001F636E" w:rsidRDefault="00000000">
            <w:pPr>
              <w:widowControl w:val="0"/>
              <w:pBdr>
                <w:top w:val="nil"/>
                <w:left w:val="nil"/>
                <w:bottom w:val="nil"/>
                <w:right w:val="nil"/>
                <w:between w:val="nil"/>
              </w:pBdr>
              <w:jc w:val="center"/>
              <w:rPr>
                <w:color w:val="000000"/>
              </w:rPr>
            </w:pPr>
            <w:r>
              <w:rPr>
                <w:b/>
                <w:color w:val="000000"/>
              </w:rPr>
              <w:t>Amount</w:t>
            </w:r>
          </w:p>
        </w:tc>
      </w:tr>
      <w:tr w:rsidR="001F636E" w14:paraId="29609EE4" w14:textId="77777777">
        <w:trPr>
          <w:trHeight w:val="345"/>
          <w:jc w:val="center"/>
        </w:trPr>
        <w:tc>
          <w:tcPr>
            <w:tcW w:w="2160" w:type="dxa"/>
            <w:tcBorders>
              <w:top w:val="single" w:sz="6" w:space="0" w:color="CCCCCC"/>
              <w:left w:val="single" w:sz="6" w:space="0" w:color="000000"/>
              <w:bottom w:val="single" w:sz="6" w:space="0" w:color="000000"/>
              <w:right w:val="single" w:sz="6" w:space="0" w:color="000000"/>
            </w:tcBorders>
            <w:shd w:val="clear" w:color="auto" w:fill="FFF2CC"/>
            <w:tcMar>
              <w:top w:w="40" w:type="dxa"/>
              <w:left w:w="40" w:type="dxa"/>
              <w:bottom w:w="40" w:type="dxa"/>
              <w:right w:w="40" w:type="dxa"/>
            </w:tcMar>
          </w:tcPr>
          <w:p w14:paraId="21D4E3A3" w14:textId="77777777" w:rsidR="001F636E" w:rsidRDefault="00000000">
            <w:pPr>
              <w:widowControl w:val="0"/>
              <w:pBdr>
                <w:top w:val="nil"/>
                <w:left w:val="nil"/>
                <w:bottom w:val="nil"/>
                <w:right w:val="nil"/>
                <w:between w:val="nil"/>
              </w:pBdr>
              <w:jc w:val="center"/>
              <w:rPr>
                <w:color w:val="000000"/>
              </w:rPr>
            </w:pPr>
            <w:r>
              <w:rPr>
                <w:color w:val="000000"/>
              </w:rPr>
              <w:t>Total Equity</w:t>
            </w:r>
          </w:p>
        </w:tc>
        <w:tc>
          <w:tcPr>
            <w:tcW w:w="2295"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7F2DB715" w14:textId="77777777" w:rsidR="001F636E" w:rsidRDefault="00000000">
            <w:pPr>
              <w:widowControl w:val="0"/>
              <w:pBdr>
                <w:top w:val="nil"/>
                <w:left w:val="nil"/>
                <w:bottom w:val="nil"/>
                <w:right w:val="nil"/>
                <w:between w:val="nil"/>
              </w:pBdr>
              <w:jc w:val="center"/>
              <w:rPr>
                <w:color w:val="000000"/>
              </w:rPr>
            </w:pPr>
            <w:r>
              <w:rPr>
                <w:color w:val="000000"/>
              </w:rPr>
              <w:t>2,256,180</w:t>
            </w:r>
          </w:p>
        </w:tc>
        <w:tc>
          <w:tcPr>
            <w:tcW w:w="1995"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17D59CCA" w14:textId="77777777" w:rsidR="001F636E" w:rsidRDefault="00000000">
            <w:pPr>
              <w:widowControl w:val="0"/>
              <w:pBdr>
                <w:top w:val="nil"/>
                <w:left w:val="nil"/>
                <w:bottom w:val="nil"/>
                <w:right w:val="nil"/>
                <w:between w:val="nil"/>
              </w:pBdr>
              <w:jc w:val="center"/>
              <w:rPr>
                <w:color w:val="000000"/>
              </w:rPr>
            </w:pPr>
            <w:r>
              <w:rPr>
                <w:color w:val="000000"/>
              </w:rPr>
              <w:t>2,583,030</w:t>
            </w:r>
          </w:p>
        </w:tc>
        <w:tc>
          <w:tcPr>
            <w:tcW w:w="2205"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78ECA41B" w14:textId="77777777" w:rsidR="001F636E" w:rsidRDefault="00000000">
            <w:pPr>
              <w:widowControl w:val="0"/>
              <w:pBdr>
                <w:top w:val="nil"/>
                <w:left w:val="nil"/>
                <w:bottom w:val="nil"/>
                <w:right w:val="nil"/>
                <w:between w:val="nil"/>
              </w:pBdr>
              <w:jc w:val="center"/>
              <w:rPr>
                <w:color w:val="000000"/>
              </w:rPr>
            </w:pPr>
            <w:r>
              <w:rPr>
                <w:color w:val="000000"/>
              </w:rPr>
              <w:t>1,410,580</w:t>
            </w:r>
          </w:p>
        </w:tc>
      </w:tr>
      <w:tr w:rsidR="001F636E" w14:paraId="685E602F" w14:textId="77777777">
        <w:trPr>
          <w:trHeight w:val="345"/>
          <w:jc w:val="center"/>
        </w:trPr>
        <w:tc>
          <w:tcPr>
            <w:tcW w:w="2160" w:type="dxa"/>
            <w:tcBorders>
              <w:top w:val="single" w:sz="6" w:space="0" w:color="CCCCCC"/>
              <w:left w:val="single" w:sz="6" w:space="0" w:color="000000"/>
              <w:bottom w:val="single" w:sz="6" w:space="0" w:color="000000"/>
              <w:right w:val="single" w:sz="6" w:space="0" w:color="000000"/>
            </w:tcBorders>
            <w:shd w:val="clear" w:color="auto" w:fill="FFF2CC"/>
            <w:tcMar>
              <w:top w:w="40" w:type="dxa"/>
              <w:left w:w="40" w:type="dxa"/>
              <w:bottom w:w="40" w:type="dxa"/>
              <w:right w:w="40" w:type="dxa"/>
            </w:tcMar>
          </w:tcPr>
          <w:p w14:paraId="7ABC46B3" w14:textId="77777777" w:rsidR="001F636E" w:rsidRDefault="00000000">
            <w:pPr>
              <w:widowControl w:val="0"/>
              <w:pBdr>
                <w:top w:val="nil"/>
                <w:left w:val="nil"/>
                <w:bottom w:val="nil"/>
                <w:right w:val="nil"/>
                <w:between w:val="nil"/>
              </w:pBdr>
              <w:jc w:val="center"/>
              <w:rPr>
                <w:color w:val="000000"/>
              </w:rPr>
            </w:pPr>
            <w:r>
              <w:rPr>
                <w:color w:val="000000"/>
              </w:rPr>
              <w:t>Net profit</w:t>
            </w:r>
          </w:p>
        </w:tc>
        <w:tc>
          <w:tcPr>
            <w:tcW w:w="2295"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23F131DF" w14:textId="77777777" w:rsidR="001F636E" w:rsidRDefault="00000000">
            <w:pPr>
              <w:widowControl w:val="0"/>
              <w:pBdr>
                <w:top w:val="nil"/>
                <w:left w:val="nil"/>
                <w:bottom w:val="nil"/>
                <w:right w:val="nil"/>
                <w:between w:val="nil"/>
              </w:pBdr>
              <w:jc w:val="center"/>
              <w:rPr>
                <w:color w:val="000000"/>
              </w:rPr>
            </w:pPr>
            <w:r>
              <w:rPr>
                <w:color w:val="000000"/>
              </w:rPr>
              <w:t>664,160</w:t>
            </w:r>
          </w:p>
        </w:tc>
        <w:tc>
          <w:tcPr>
            <w:tcW w:w="1995"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7713009D" w14:textId="77777777" w:rsidR="001F636E" w:rsidRDefault="00000000">
            <w:pPr>
              <w:widowControl w:val="0"/>
              <w:pBdr>
                <w:top w:val="nil"/>
                <w:left w:val="nil"/>
                <w:bottom w:val="nil"/>
                <w:right w:val="nil"/>
                <w:between w:val="nil"/>
              </w:pBdr>
              <w:jc w:val="center"/>
              <w:rPr>
                <w:color w:val="000000"/>
              </w:rPr>
            </w:pPr>
            <w:r>
              <w:rPr>
                <w:color w:val="000000"/>
              </w:rPr>
              <w:t>674,730</w:t>
            </w:r>
          </w:p>
        </w:tc>
        <w:tc>
          <w:tcPr>
            <w:tcW w:w="2205"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2F0B879D" w14:textId="77777777" w:rsidR="001F636E" w:rsidRDefault="00000000">
            <w:pPr>
              <w:widowControl w:val="0"/>
              <w:pBdr>
                <w:top w:val="nil"/>
                <w:left w:val="nil"/>
                <w:bottom w:val="nil"/>
                <w:right w:val="nil"/>
                <w:between w:val="nil"/>
              </w:pBdr>
              <w:jc w:val="center"/>
              <w:rPr>
                <w:color w:val="000000"/>
              </w:rPr>
            </w:pPr>
            <w:r>
              <w:rPr>
                <w:color w:val="000000"/>
              </w:rPr>
              <w:t>-1,218,850</w:t>
            </w:r>
          </w:p>
        </w:tc>
      </w:tr>
      <w:tr w:rsidR="001F636E" w14:paraId="67ED8DF9" w14:textId="77777777">
        <w:trPr>
          <w:trHeight w:val="615"/>
          <w:jc w:val="center"/>
        </w:trPr>
        <w:tc>
          <w:tcPr>
            <w:tcW w:w="2160" w:type="dxa"/>
            <w:tcBorders>
              <w:top w:val="single" w:sz="6" w:space="0" w:color="CCCCCC"/>
              <w:left w:val="single" w:sz="6" w:space="0" w:color="000000"/>
              <w:bottom w:val="single" w:sz="6" w:space="0" w:color="000000"/>
              <w:right w:val="single" w:sz="6" w:space="0" w:color="000000"/>
            </w:tcBorders>
            <w:shd w:val="clear" w:color="auto" w:fill="FFF2CC"/>
            <w:tcMar>
              <w:top w:w="40" w:type="dxa"/>
              <w:left w:w="40" w:type="dxa"/>
              <w:bottom w:w="40" w:type="dxa"/>
              <w:right w:w="40" w:type="dxa"/>
            </w:tcMar>
          </w:tcPr>
          <w:p w14:paraId="079CD63A" w14:textId="77777777" w:rsidR="001F636E" w:rsidRDefault="00000000">
            <w:pPr>
              <w:widowControl w:val="0"/>
              <w:pBdr>
                <w:top w:val="nil"/>
                <w:left w:val="nil"/>
                <w:bottom w:val="nil"/>
                <w:right w:val="nil"/>
                <w:between w:val="nil"/>
              </w:pBdr>
              <w:jc w:val="center"/>
              <w:rPr>
                <w:color w:val="000000"/>
              </w:rPr>
            </w:pPr>
            <w:r>
              <w:rPr>
                <w:b/>
                <w:color w:val="000000"/>
              </w:rPr>
              <w:t>Net Profit/Total Equity</w:t>
            </w:r>
          </w:p>
        </w:tc>
        <w:tc>
          <w:tcPr>
            <w:tcW w:w="2295"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26D318CF" w14:textId="77777777" w:rsidR="001F636E" w:rsidRDefault="00000000">
            <w:pPr>
              <w:widowControl w:val="0"/>
              <w:pBdr>
                <w:top w:val="nil"/>
                <w:left w:val="nil"/>
                <w:bottom w:val="nil"/>
                <w:right w:val="nil"/>
                <w:between w:val="nil"/>
              </w:pBdr>
              <w:jc w:val="center"/>
              <w:rPr>
                <w:color w:val="000000"/>
              </w:rPr>
            </w:pPr>
            <w:r>
              <w:rPr>
                <w:color w:val="000000"/>
              </w:rPr>
              <w:t>0.29</w:t>
            </w:r>
          </w:p>
        </w:tc>
        <w:tc>
          <w:tcPr>
            <w:tcW w:w="1995"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0B6B7759" w14:textId="77777777" w:rsidR="001F636E" w:rsidRDefault="00000000">
            <w:pPr>
              <w:widowControl w:val="0"/>
              <w:pBdr>
                <w:top w:val="nil"/>
                <w:left w:val="nil"/>
                <w:bottom w:val="nil"/>
                <w:right w:val="nil"/>
                <w:between w:val="nil"/>
              </w:pBdr>
              <w:jc w:val="center"/>
              <w:rPr>
                <w:color w:val="000000"/>
              </w:rPr>
            </w:pPr>
            <w:r>
              <w:rPr>
                <w:color w:val="000000"/>
              </w:rPr>
              <w:t>3.83</w:t>
            </w:r>
          </w:p>
        </w:tc>
        <w:tc>
          <w:tcPr>
            <w:tcW w:w="2205"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34CE4303" w14:textId="77777777" w:rsidR="001F636E" w:rsidRDefault="00000000">
            <w:pPr>
              <w:widowControl w:val="0"/>
              <w:pBdr>
                <w:top w:val="nil"/>
                <w:left w:val="nil"/>
                <w:bottom w:val="nil"/>
                <w:right w:val="nil"/>
                <w:between w:val="nil"/>
              </w:pBdr>
              <w:jc w:val="center"/>
              <w:rPr>
                <w:color w:val="000000"/>
              </w:rPr>
            </w:pPr>
            <w:r>
              <w:rPr>
                <w:color w:val="000000"/>
              </w:rPr>
              <w:t>-0.86</w:t>
            </w:r>
          </w:p>
        </w:tc>
      </w:tr>
    </w:tbl>
    <w:p w14:paraId="1F6C7907" w14:textId="77777777" w:rsidR="001F636E" w:rsidRDefault="00000000">
      <w:pPr>
        <w:pBdr>
          <w:top w:val="nil"/>
          <w:left w:val="nil"/>
          <w:bottom w:val="nil"/>
          <w:right w:val="nil"/>
          <w:between w:val="nil"/>
        </w:pBdr>
        <w:jc w:val="center"/>
        <w:rPr>
          <w:b/>
          <w:color w:val="000000"/>
        </w:rPr>
      </w:pPr>
      <w:r>
        <w:rPr>
          <w:b/>
          <w:color w:val="000000"/>
        </w:rPr>
        <w:t>Table 1: Profitability Ratio</w:t>
      </w:r>
    </w:p>
    <w:p w14:paraId="1F6BC6C7" w14:textId="77777777" w:rsidR="001F636E" w:rsidRDefault="00000000">
      <w:pPr>
        <w:pBdr>
          <w:top w:val="nil"/>
          <w:left w:val="nil"/>
          <w:bottom w:val="nil"/>
          <w:right w:val="nil"/>
          <w:between w:val="nil"/>
        </w:pBdr>
        <w:jc w:val="center"/>
        <w:rPr>
          <w:color w:val="000000"/>
        </w:rPr>
      </w:pPr>
      <w:r>
        <w:rPr>
          <w:color w:val="000000"/>
        </w:rPr>
        <w:t>(Source: Self-Developed)</w:t>
      </w:r>
    </w:p>
    <w:p w14:paraId="04B593D8" w14:textId="77777777" w:rsidR="001F636E" w:rsidRDefault="00000000">
      <w:pPr>
        <w:pBdr>
          <w:top w:val="nil"/>
          <w:left w:val="nil"/>
          <w:bottom w:val="nil"/>
          <w:right w:val="nil"/>
          <w:between w:val="nil"/>
        </w:pBdr>
        <w:rPr>
          <w:color w:val="000000"/>
        </w:rPr>
      </w:pPr>
      <w:r>
        <w:rPr>
          <w:color w:val="000000"/>
        </w:rPr>
        <w:t xml:space="preserve">The return on equity ratio is another effective profitability ratio that helps to gain knowledge about the earnings of the business by using their equity capital (Desmon and </w:t>
      </w:r>
      <w:proofErr w:type="spellStart"/>
      <w:r>
        <w:rPr>
          <w:color w:val="000000"/>
        </w:rPr>
        <w:t>Meirinaldi</w:t>
      </w:r>
      <w:proofErr w:type="spellEnd"/>
      <w:r>
        <w:rPr>
          <w:color w:val="000000"/>
        </w:rPr>
        <w:t>, 2022). In 2022, the City Hotel Contained a return on equity ratio of 3.83, which became -0.86 in 2023. Following that, the capability of the business to provide proper profitable returns on their equities is lost. It can affect the trust of their equity holders within the operational process of the business and reduce their investments within the company.</w:t>
      </w:r>
    </w:p>
    <w:p w14:paraId="44F566E3" w14:textId="77777777" w:rsidR="001F636E" w:rsidRDefault="00000000">
      <w:pPr>
        <w:pStyle w:val="Heading2"/>
      </w:pPr>
      <w:bookmarkStart w:id="7" w:name="_1t3h5sf" w:colFirst="0" w:colLast="0"/>
      <w:bookmarkEnd w:id="7"/>
      <w:r>
        <w:t>Liquidity structure</w:t>
      </w:r>
    </w:p>
    <w:p w14:paraId="1578ECC2" w14:textId="77777777" w:rsidR="001F636E" w:rsidRDefault="00000000">
      <w:pPr>
        <w:pBdr>
          <w:top w:val="nil"/>
          <w:left w:val="nil"/>
          <w:bottom w:val="nil"/>
          <w:right w:val="nil"/>
          <w:between w:val="nil"/>
        </w:pBdr>
        <w:rPr>
          <w:color w:val="000000"/>
        </w:rPr>
      </w:pPr>
      <w:r>
        <w:rPr>
          <w:color w:val="000000"/>
        </w:rPr>
        <w:t>The liquidity ratio refers to the evaluation of the assets of the business to settle down short-term obligations of the company and secure the financial structure of the company (</w:t>
      </w:r>
      <w:proofErr w:type="spellStart"/>
      <w:r>
        <w:rPr>
          <w:color w:val="000000"/>
        </w:rPr>
        <w:t>Markonah</w:t>
      </w:r>
      <w:proofErr w:type="spellEnd"/>
      <w:r>
        <w:rPr>
          <w:color w:val="000000"/>
        </w:rPr>
        <w:t xml:space="preserve"> </w:t>
      </w:r>
      <w:r>
        <w:rPr>
          <w:i/>
          <w:color w:val="000000"/>
        </w:rPr>
        <w:t>et al.</w:t>
      </w:r>
      <w:r>
        <w:rPr>
          <w:color w:val="000000"/>
        </w:rPr>
        <w:t xml:space="preserve"> 2020). Following that, the current ratio of the City Hotel helps to determine their liquidity structure </w:t>
      </w:r>
      <w:r>
        <w:rPr>
          <w:color w:val="000000"/>
        </w:rPr>
        <w:lastRenderedPageBreak/>
        <w:t>in the below table. In 2021, the current ratio of the company was 0.97, which became 0.64 in 2023. It reflects rising short-term debts and liquidity threats on the financial structure of the City Hotel.</w:t>
      </w:r>
    </w:p>
    <w:tbl>
      <w:tblPr>
        <w:tblStyle w:val="a0"/>
        <w:tblW w:w="8895" w:type="dxa"/>
        <w:jc w:val="center"/>
        <w:tblBorders>
          <w:top w:val="nil"/>
          <w:left w:val="nil"/>
          <w:bottom w:val="nil"/>
          <w:right w:val="nil"/>
          <w:insideH w:val="nil"/>
          <w:insideV w:val="nil"/>
        </w:tblBorders>
        <w:tblLayout w:type="fixed"/>
        <w:tblLook w:val="0600" w:firstRow="0" w:lastRow="0" w:firstColumn="0" w:lastColumn="0" w:noHBand="1" w:noVBand="1"/>
      </w:tblPr>
      <w:tblGrid>
        <w:gridCol w:w="2130"/>
        <w:gridCol w:w="2055"/>
        <w:gridCol w:w="2220"/>
        <w:gridCol w:w="2490"/>
      </w:tblGrid>
      <w:tr w:rsidR="001F636E" w14:paraId="62142775" w14:textId="77777777">
        <w:trPr>
          <w:trHeight w:val="345"/>
          <w:jc w:val="center"/>
        </w:trPr>
        <w:tc>
          <w:tcPr>
            <w:tcW w:w="8895" w:type="dxa"/>
            <w:gridSpan w:val="4"/>
            <w:tcBorders>
              <w:top w:val="single" w:sz="6" w:space="0" w:color="000000"/>
              <w:left w:val="single" w:sz="6" w:space="0" w:color="000000"/>
              <w:bottom w:val="single" w:sz="6" w:space="0" w:color="000000"/>
              <w:right w:val="single" w:sz="6" w:space="0" w:color="000000"/>
            </w:tcBorders>
            <w:shd w:val="clear" w:color="auto" w:fill="93C47D"/>
            <w:tcMar>
              <w:top w:w="40" w:type="dxa"/>
              <w:left w:w="40" w:type="dxa"/>
              <w:bottom w:w="40" w:type="dxa"/>
              <w:right w:w="40" w:type="dxa"/>
            </w:tcMar>
          </w:tcPr>
          <w:p w14:paraId="5B1F7D3B" w14:textId="77777777" w:rsidR="001F636E" w:rsidRDefault="00000000">
            <w:pPr>
              <w:widowControl w:val="0"/>
              <w:pBdr>
                <w:top w:val="nil"/>
                <w:left w:val="nil"/>
                <w:bottom w:val="nil"/>
                <w:right w:val="nil"/>
                <w:between w:val="nil"/>
              </w:pBdr>
              <w:jc w:val="center"/>
              <w:rPr>
                <w:color w:val="000000"/>
              </w:rPr>
            </w:pPr>
            <w:r>
              <w:rPr>
                <w:b/>
                <w:color w:val="000000"/>
              </w:rPr>
              <w:t>Calculation for Liquidity ratio</w:t>
            </w:r>
          </w:p>
        </w:tc>
      </w:tr>
      <w:tr w:rsidR="001F636E" w14:paraId="77A5A897" w14:textId="77777777">
        <w:trPr>
          <w:trHeight w:val="345"/>
          <w:jc w:val="center"/>
        </w:trPr>
        <w:tc>
          <w:tcPr>
            <w:tcW w:w="8895" w:type="dxa"/>
            <w:gridSpan w:val="4"/>
            <w:tcBorders>
              <w:top w:val="single" w:sz="6" w:space="0" w:color="CCCCCC"/>
              <w:left w:val="single" w:sz="6" w:space="0" w:color="000000"/>
              <w:bottom w:val="single" w:sz="6" w:space="0" w:color="000000"/>
              <w:right w:val="single" w:sz="6" w:space="0" w:color="000000"/>
            </w:tcBorders>
            <w:shd w:val="clear" w:color="auto" w:fill="93C47D"/>
            <w:tcMar>
              <w:top w:w="40" w:type="dxa"/>
              <w:left w:w="40" w:type="dxa"/>
              <w:bottom w:w="40" w:type="dxa"/>
              <w:right w:w="40" w:type="dxa"/>
            </w:tcMar>
          </w:tcPr>
          <w:p w14:paraId="3A3AAA57" w14:textId="77777777" w:rsidR="001F636E" w:rsidRDefault="00000000">
            <w:pPr>
              <w:widowControl w:val="0"/>
              <w:pBdr>
                <w:top w:val="nil"/>
                <w:left w:val="nil"/>
                <w:bottom w:val="nil"/>
                <w:right w:val="nil"/>
                <w:between w:val="nil"/>
              </w:pBdr>
              <w:jc w:val="center"/>
              <w:rPr>
                <w:color w:val="000000"/>
              </w:rPr>
            </w:pPr>
            <w:r>
              <w:rPr>
                <w:b/>
                <w:color w:val="000000"/>
              </w:rPr>
              <w:t>Current ratio</w:t>
            </w:r>
          </w:p>
        </w:tc>
      </w:tr>
      <w:tr w:rsidR="001F636E" w14:paraId="0D78D19E" w14:textId="77777777">
        <w:trPr>
          <w:trHeight w:val="345"/>
          <w:jc w:val="center"/>
        </w:trPr>
        <w:tc>
          <w:tcPr>
            <w:tcW w:w="2130" w:type="dxa"/>
            <w:vMerge w:val="restart"/>
            <w:tcBorders>
              <w:top w:val="single" w:sz="6" w:space="0" w:color="CCCCCC"/>
              <w:left w:val="single" w:sz="6" w:space="0" w:color="000000"/>
              <w:bottom w:val="single" w:sz="6" w:space="0" w:color="000000"/>
              <w:right w:val="single" w:sz="6" w:space="0" w:color="000000"/>
            </w:tcBorders>
            <w:shd w:val="clear" w:color="auto" w:fill="93C47D"/>
            <w:tcMar>
              <w:top w:w="40" w:type="dxa"/>
              <w:left w:w="40" w:type="dxa"/>
              <w:bottom w:w="40" w:type="dxa"/>
              <w:right w:w="40" w:type="dxa"/>
            </w:tcMar>
          </w:tcPr>
          <w:p w14:paraId="294192A8" w14:textId="77777777" w:rsidR="001F636E" w:rsidRDefault="00000000">
            <w:pPr>
              <w:widowControl w:val="0"/>
              <w:pBdr>
                <w:top w:val="nil"/>
                <w:left w:val="nil"/>
                <w:bottom w:val="nil"/>
                <w:right w:val="nil"/>
                <w:between w:val="nil"/>
              </w:pBdr>
              <w:jc w:val="center"/>
              <w:rPr>
                <w:b/>
                <w:color w:val="000000"/>
              </w:rPr>
            </w:pPr>
            <w:r>
              <w:rPr>
                <w:b/>
                <w:color w:val="000000"/>
              </w:rPr>
              <w:t>Particulars</w:t>
            </w:r>
          </w:p>
        </w:tc>
        <w:tc>
          <w:tcPr>
            <w:tcW w:w="2055" w:type="dxa"/>
            <w:tcBorders>
              <w:top w:val="single" w:sz="6" w:space="0" w:color="CCCCCC"/>
              <w:left w:val="single" w:sz="6" w:space="0" w:color="CCCCCC"/>
              <w:bottom w:val="single" w:sz="6" w:space="0" w:color="000000"/>
              <w:right w:val="single" w:sz="6" w:space="0" w:color="000000"/>
            </w:tcBorders>
            <w:shd w:val="clear" w:color="auto" w:fill="93C47D"/>
            <w:tcMar>
              <w:top w:w="40" w:type="dxa"/>
              <w:left w:w="40" w:type="dxa"/>
              <w:bottom w:w="40" w:type="dxa"/>
              <w:right w:w="40" w:type="dxa"/>
            </w:tcMar>
          </w:tcPr>
          <w:p w14:paraId="53A3FCCA" w14:textId="77777777" w:rsidR="001F636E" w:rsidRDefault="00000000">
            <w:pPr>
              <w:widowControl w:val="0"/>
              <w:pBdr>
                <w:top w:val="nil"/>
                <w:left w:val="nil"/>
                <w:bottom w:val="nil"/>
                <w:right w:val="nil"/>
                <w:between w:val="nil"/>
              </w:pBdr>
              <w:jc w:val="center"/>
              <w:rPr>
                <w:color w:val="000000"/>
              </w:rPr>
            </w:pPr>
            <w:r>
              <w:rPr>
                <w:b/>
                <w:color w:val="000000"/>
              </w:rPr>
              <w:t>2021</w:t>
            </w:r>
          </w:p>
        </w:tc>
        <w:tc>
          <w:tcPr>
            <w:tcW w:w="2220" w:type="dxa"/>
            <w:tcBorders>
              <w:top w:val="single" w:sz="6" w:space="0" w:color="CCCCCC"/>
              <w:left w:val="single" w:sz="6" w:space="0" w:color="CCCCCC"/>
              <w:bottom w:val="single" w:sz="6" w:space="0" w:color="000000"/>
              <w:right w:val="single" w:sz="6" w:space="0" w:color="000000"/>
            </w:tcBorders>
            <w:shd w:val="clear" w:color="auto" w:fill="93C47D"/>
            <w:tcMar>
              <w:top w:w="40" w:type="dxa"/>
              <w:left w:w="40" w:type="dxa"/>
              <w:bottom w:w="40" w:type="dxa"/>
              <w:right w:w="40" w:type="dxa"/>
            </w:tcMar>
          </w:tcPr>
          <w:p w14:paraId="5525AF58" w14:textId="77777777" w:rsidR="001F636E" w:rsidRDefault="00000000">
            <w:pPr>
              <w:widowControl w:val="0"/>
              <w:pBdr>
                <w:top w:val="nil"/>
                <w:left w:val="nil"/>
                <w:bottom w:val="nil"/>
                <w:right w:val="nil"/>
                <w:between w:val="nil"/>
              </w:pBdr>
              <w:jc w:val="center"/>
              <w:rPr>
                <w:color w:val="000000"/>
              </w:rPr>
            </w:pPr>
            <w:r>
              <w:rPr>
                <w:b/>
                <w:color w:val="000000"/>
              </w:rPr>
              <w:t>2022</w:t>
            </w:r>
          </w:p>
        </w:tc>
        <w:tc>
          <w:tcPr>
            <w:tcW w:w="2490" w:type="dxa"/>
            <w:tcBorders>
              <w:top w:val="single" w:sz="6" w:space="0" w:color="CCCCCC"/>
              <w:left w:val="single" w:sz="6" w:space="0" w:color="CCCCCC"/>
              <w:bottom w:val="single" w:sz="6" w:space="0" w:color="000000"/>
              <w:right w:val="single" w:sz="6" w:space="0" w:color="000000"/>
            </w:tcBorders>
            <w:shd w:val="clear" w:color="auto" w:fill="93C47D"/>
            <w:tcMar>
              <w:top w:w="40" w:type="dxa"/>
              <w:left w:w="40" w:type="dxa"/>
              <w:bottom w:w="40" w:type="dxa"/>
              <w:right w:w="40" w:type="dxa"/>
            </w:tcMar>
          </w:tcPr>
          <w:p w14:paraId="21C49445" w14:textId="77777777" w:rsidR="001F636E" w:rsidRDefault="00000000">
            <w:pPr>
              <w:widowControl w:val="0"/>
              <w:pBdr>
                <w:top w:val="nil"/>
                <w:left w:val="nil"/>
                <w:bottom w:val="nil"/>
                <w:right w:val="nil"/>
                <w:between w:val="nil"/>
              </w:pBdr>
              <w:jc w:val="center"/>
              <w:rPr>
                <w:color w:val="000000"/>
              </w:rPr>
            </w:pPr>
            <w:r>
              <w:rPr>
                <w:b/>
                <w:color w:val="000000"/>
              </w:rPr>
              <w:t>2023</w:t>
            </w:r>
          </w:p>
        </w:tc>
      </w:tr>
      <w:tr w:rsidR="001F636E" w14:paraId="53BBF6DA" w14:textId="77777777">
        <w:trPr>
          <w:trHeight w:val="345"/>
          <w:jc w:val="center"/>
        </w:trPr>
        <w:tc>
          <w:tcPr>
            <w:tcW w:w="2130" w:type="dxa"/>
            <w:vMerge/>
            <w:tcBorders>
              <w:top w:val="single" w:sz="6" w:space="0" w:color="CCCCCC"/>
              <w:left w:val="single" w:sz="6" w:space="0" w:color="000000"/>
              <w:bottom w:val="single" w:sz="6" w:space="0" w:color="000000"/>
              <w:right w:val="single" w:sz="6" w:space="0" w:color="000000"/>
            </w:tcBorders>
            <w:shd w:val="clear" w:color="auto" w:fill="93C47D"/>
            <w:tcMar>
              <w:top w:w="40" w:type="dxa"/>
              <w:left w:w="40" w:type="dxa"/>
              <w:bottom w:w="40" w:type="dxa"/>
              <w:right w:w="40" w:type="dxa"/>
            </w:tcMar>
          </w:tcPr>
          <w:p w14:paraId="6F0E56DD" w14:textId="77777777" w:rsidR="001F636E" w:rsidRDefault="001F636E">
            <w:pPr>
              <w:widowControl w:val="0"/>
              <w:pBdr>
                <w:top w:val="nil"/>
                <w:left w:val="nil"/>
                <w:bottom w:val="nil"/>
                <w:right w:val="nil"/>
                <w:between w:val="nil"/>
              </w:pBdr>
              <w:spacing w:line="276" w:lineRule="auto"/>
              <w:jc w:val="left"/>
              <w:rPr>
                <w:color w:val="000000"/>
              </w:rPr>
            </w:pPr>
          </w:p>
        </w:tc>
        <w:tc>
          <w:tcPr>
            <w:tcW w:w="2055" w:type="dxa"/>
            <w:tcBorders>
              <w:top w:val="single" w:sz="6" w:space="0" w:color="CCCCCC"/>
              <w:left w:val="single" w:sz="6" w:space="0" w:color="CCCCCC"/>
              <w:bottom w:val="single" w:sz="6" w:space="0" w:color="000000"/>
              <w:right w:val="single" w:sz="6" w:space="0" w:color="000000"/>
            </w:tcBorders>
            <w:shd w:val="clear" w:color="auto" w:fill="93C47D"/>
            <w:tcMar>
              <w:top w:w="40" w:type="dxa"/>
              <w:left w:w="40" w:type="dxa"/>
              <w:bottom w:w="40" w:type="dxa"/>
              <w:right w:w="40" w:type="dxa"/>
            </w:tcMar>
          </w:tcPr>
          <w:p w14:paraId="14274C88" w14:textId="77777777" w:rsidR="001F636E" w:rsidRDefault="00000000">
            <w:pPr>
              <w:widowControl w:val="0"/>
              <w:pBdr>
                <w:top w:val="nil"/>
                <w:left w:val="nil"/>
                <w:bottom w:val="nil"/>
                <w:right w:val="nil"/>
                <w:between w:val="nil"/>
              </w:pBdr>
              <w:jc w:val="center"/>
              <w:rPr>
                <w:color w:val="000000"/>
              </w:rPr>
            </w:pPr>
            <w:r>
              <w:rPr>
                <w:b/>
                <w:color w:val="000000"/>
              </w:rPr>
              <w:t>Amount (£)</w:t>
            </w:r>
          </w:p>
        </w:tc>
        <w:tc>
          <w:tcPr>
            <w:tcW w:w="2220" w:type="dxa"/>
            <w:tcBorders>
              <w:top w:val="single" w:sz="6" w:space="0" w:color="CCCCCC"/>
              <w:left w:val="single" w:sz="6" w:space="0" w:color="CCCCCC"/>
              <w:bottom w:val="single" w:sz="6" w:space="0" w:color="000000"/>
              <w:right w:val="single" w:sz="6" w:space="0" w:color="000000"/>
            </w:tcBorders>
            <w:shd w:val="clear" w:color="auto" w:fill="93C47D"/>
            <w:tcMar>
              <w:top w:w="40" w:type="dxa"/>
              <w:left w:w="40" w:type="dxa"/>
              <w:bottom w:w="40" w:type="dxa"/>
              <w:right w:w="40" w:type="dxa"/>
            </w:tcMar>
          </w:tcPr>
          <w:p w14:paraId="42AFB4A1" w14:textId="77777777" w:rsidR="001F636E" w:rsidRDefault="00000000">
            <w:pPr>
              <w:widowControl w:val="0"/>
              <w:pBdr>
                <w:top w:val="nil"/>
                <w:left w:val="nil"/>
                <w:bottom w:val="nil"/>
                <w:right w:val="nil"/>
                <w:between w:val="nil"/>
              </w:pBdr>
              <w:jc w:val="center"/>
              <w:rPr>
                <w:color w:val="000000"/>
              </w:rPr>
            </w:pPr>
            <w:r>
              <w:rPr>
                <w:b/>
                <w:color w:val="000000"/>
              </w:rPr>
              <w:t>Amount (£)</w:t>
            </w:r>
          </w:p>
        </w:tc>
        <w:tc>
          <w:tcPr>
            <w:tcW w:w="2490" w:type="dxa"/>
            <w:tcBorders>
              <w:top w:val="single" w:sz="6" w:space="0" w:color="CCCCCC"/>
              <w:left w:val="single" w:sz="6" w:space="0" w:color="CCCCCC"/>
              <w:bottom w:val="single" w:sz="6" w:space="0" w:color="000000"/>
              <w:right w:val="single" w:sz="6" w:space="0" w:color="000000"/>
            </w:tcBorders>
            <w:shd w:val="clear" w:color="auto" w:fill="93C47D"/>
            <w:tcMar>
              <w:top w:w="40" w:type="dxa"/>
              <w:left w:w="40" w:type="dxa"/>
              <w:bottom w:w="40" w:type="dxa"/>
              <w:right w:w="40" w:type="dxa"/>
            </w:tcMar>
          </w:tcPr>
          <w:p w14:paraId="69B1594E" w14:textId="77777777" w:rsidR="001F636E" w:rsidRDefault="00000000">
            <w:pPr>
              <w:widowControl w:val="0"/>
              <w:pBdr>
                <w:top w:val="nil"/>
                <w:left w:val="nil"/>
                <w:bottom w:val="nil"/>
                <w:right w:val="nil"/>
                <w:between w:val="nil"/>
              </w:pBdr>
              <w:jc w:val="center"/>
              <w:rPr>
                <w:color w:val="000000"/>
              </w:rPr>
            </w:pPr>
            <w:r>
              <w:rPr>
                <w:b/>
                <w:color w:val="000000"/>
              </w:rPr>
              <w:t>Amount (£)</w:t>
            </w:r>
          </w:p>
        </w:tc>
      </w:tr>
      <w:tr w:rsidR="001F636E" w14:paraId="44459DFE" w14:textId="77777777">
        <w:trPr>
          <w:trHeight w:val="345"/>
          <w:jc w:val="center"/>
        </w:trPr>
        <w:tc>
          <w:tcPr>
            <w:tcW w:w="2130" w:type="dxa"/>
            <w:tcBorders>
              <w:top w:val="single" w:sz="6" w:space="0" w:color="CCCCCC"/>
              <w:left w:val="single" w:sz="6" w:space="0" w:color="000000"/>
              <w:bottom w:val="single" w:sz="6" w:space="0" w:color="000000"/>
              <w:right w:val="single" w:sz="6" w:space="0" w:color="000000"/>
            </w:tcBorders>
            <w:shd w:val="clear" w:color="auto" w:fill="FFF2CC"/>
            <w:tcMar>
              <w:top w:w="40" w:type="dxa"/>
              <w:left w:w="40" w:type="dxa"/>
              <w:bottom w:w="40" w:type="dxa"/>
              <w:right w:w="40" w:type="dxa"/>
            </w:tcMar>
          </w:tcPr>
          <w:p w14:paraId="6CF9EA26" w14:textId="77777777" w:rsidR="001F636E" w:rsidRDefault="00000000">
            <w:pPr>
              <w:widowControl w:val="0"/>
              <w:pBdr>
                <w:top w:val="nil"/>
                <w:left w:val="nil"/>
                <w:bottom w:val="nil"/>
                <w:right w:val="nil"/>
                <w:between w:val="nil"/>
              </w:pBdr>
              <w:jc w:val="center"/>
              <w:rPr>
                <w:color w:val="000000"/>
              </w:rPr>
            </w:pPr>
            <w:r>
              <w:rPr>
                <w:color w:val="000000"/>
              </w:rPr>
              <w:t>Current Assets</w:t>
            </w:r>
          </w:p>
        </w:tc>
        <w:tc>
          <w:tcPr>
            <w:tcW w:w="2055"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4A98B5A8" w14:textId="77777777" w:rsidR="001F636E" w:rsidRDefault="00000000">
            <w:pPr>
              <w:widowControl w:val="0"/>
              <w:pBdr>
                <w:top w:val="nil"/>
                <w:left w:val="nil"/>
                <w:bottom w:val="nil"/>
                <w:right w:val="nil"/>
                <w:between w:val="nil"/>
              </w:pBdr>
              <w:jc w:val="center"/>
              <w:rPr>
                <w:color w:val="000000"/>
              </w:rPr>
            </w:pPr>
            <w:r>
              <w:rPr>
                <w:color w:val="000000"/>
              </w:rPr>
              <w:t>1,891,970</w:t>
            </w:r>
          </w:p>
        </w:tc>
        <w:tc>
          <w:tcPr>
            <w:tcW w:w="2220"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5F7DBFA0" w14:textId="77777777" w:rsidR="001F636E" w:rsidRDefault="00000000">
            <w:pPr>
              <w:widowControl w:val="0"/>
              <w:pBdr>
                <w:top w:val="nil"/>
                <w:left w:val="nil"/>
                <w:bottom w:val="nil"/>
                <w:right w:val="nil"/>
                <w:between w:val="nil"/>
              </w:pBdr>
              <w:jc w:val="center"/>
              <w:rPr>
                <w:color w:val="000000"/>
              </w:rPr>
            </w:pPr>
            <w:r>
              <w:rPr>
                <w:color w:val="000000"/>
              </w:rPr>
              <w:t>1,965,340</w:t>
            </w:r>
          </w:p>
        </w:tc>
        <w:tc>
          <w:tcPr>
            <w:tcW w:w="2490"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762D55E8" w14:textId="77777777" w:rsidR="001F636E" w:rsidRDefault="00000000">
            <w:pPr>
              <w:widowControl w:val="0"/>
              <w:pBdr>
                <w:top w:val="nil"/>
                <w:left w:val="nil"/>
                <w:bottom w:val="nil"/>
                <w:right w:val="nil"/>
                <w:between w:val="nil"/>
              </w:pBdr>
              <w:jc w:val="center"/>
              <w:rPr>
                <w:color w:val="000000"/>
              </w:rPr>
            </w:pPr>
            <w:r>
              <w:rPr>
                <w:color w:val="000000"/>
              </w:rPr>
              <w:t>1,285,880</w:t>
            </w:r>
          </w:p>
        </w:tc>
      </w:tr>
      <w:tr w:rsidR="001F636E" w14:paraId="6C53ED86" w14:textId="77777777">
        <w:trPr>
          <w:trHeight w:val="345"/>
          <w:jc w:val="center"/>
        </w:trPr>
        <w:tc>
          <w:tcPr>
            <w:tcW w:w="2130" w:type="dxa"/>
            <w:tcBorders>
              <w:top w:val="single" w:sz="6" w:space="0" w:color="CCCCCC"/>
              <w:left w:val="single" w:sz="6" w:space="0" w:color="000000"/>
              <w:bottom w:val="single" w:sz="6" w:space="0" w:color="000000"/>
              <w:right w:val="single" w:sz="6" w:space="0" w:color="000000"/>
            </w:tcBorders>
            <w:shd w:val="clear" w:color="auto" w:fill="FFF2CC"/>
            <w:tcMar>
              <w:top w:w="40" w:type="dxa"/>
              <w:left w:w="40" w:type="dxa"/>
              <w:bottom w:w="40" w:type="dxa"/>
              <w:right w:w="40" w:type="dxa"/>
            </w:tcMar>
          </w:tcPr>
          <w:p w14:paraId="3DCAE4BA" w14:textId="77777777" w:rsidR="001F636E" w:rsidRDefault="00000000">
            <w:pPr>
              <w:widowControl w:val="0"/>
              <w:pBdr>
                <w:top w:val="nil"/>
                <w:left w:val="nil"/>
                <w:bottom w:val="nil"/>
                <w:right w:val="nil"/>
                <w:between w:val="nil"/>
              </w:pBdr>
              <w:jc w:val="center"/>
              <w:rPr>
                <w:color w:val="000000"/>
              </w:rPr>
            </w:pPr>
            <w:r>
              <w:rPr>
                <w:color w:val="000000"/>
              </w:rPr>
              <w:t>Current Liability</w:t>
            </w:r>
          </w:p>
        </w:tc>
        <w:tc>
          <w:tcPr>
            <w:tcW w:w="2055"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2BB58A0A" w14:textId="77777777" w:rsidR="001F636E" w:rsidRDefault="00000000">
            <w:pPr>
              <w:widowControl w:val="0"/>
              <w:pBdr>
                <w:top w:val="nil"/>
                <w:left w:val="nil"/>
                <w:bottom w:val="nil"/>
                <w:right w:val="nil"/>
                <w:between w:val="nil"/>
              </w:pBdr>
              <w:jc w:val="center"/>
              <w:rPr>
                <w:color w:val="000000"/>
              </w:rPr>
            </w:pPr>
            <w:r>
              <w:rPr>
                <w:color w:val="000000"/>
              </w:rPr>
              <w:t>1,957,360</w:t>
            </w:r>
          </w:p>
        </w:tc>
        <w:tc>
          <w:tcPr>
            <w:tcW w:w="2220"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6E7D6CA2" w14:textId="77777777" w:rsidR="001F636E" w:rsidRDefault="00000000">
            <w:pPr>
              <w:widowControl w:val="0"/>
              <w:pBdr>
                <w:top w:val="nil"/>
                <w:left w:val="nil"/>
                <w:bottom w:val="nil"/>
                <w:right w:val="nil"/>
                <w:between w:val="nil"/>
              </w:pBdr>
              <w:jc w:val="center"/>
              <w:rPr>
                <w:color w:val="000000"/>
              </w:rPr>
            </w:pPr>
            <w:r>
              <w:rPr>
                <w:color w:val="000000"/>
              </w:rPr>
              <w:t>£2,107,750</w:t>
            </w:r>
          </w:p>
        </w:tc>
        <w:tc>
          <w:tcPr>
            <w:tcW w:w="2490"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5CBD7C3C" w14:textId="77777777" w:rsidR="001F636E" w:rsidRDefault="00000000">
            <w:pPr>
              <w:widowControl w:val="0"/>
              <w:pBdr>
                <w:top w:val="nil"/>
                <w:left w:val="nil"/>
                <w:bottom w:val="nil"/>
                <w:right w:val="nil"/>
                <w:between w:val="nil"/>
              </w:pBdr>
              <w:jc w:val="center"/>
              <w:rPr>
                <w:color w:val="000000"/>
              </w:rPr>
            </w:pPr>
            <w:r>
              <w:rPr>
                <w:color w:val="000000"/>
              </w:rPr>
              <w:t>2,014,600</w:t>
            </w:r>
          </w:p>
        </w:tc>
      </w:tr>
      <w:tr w:rsidR="001F636E" w14:paraId="20FC5073" w14:textId="77777777">
        <w:trPr>
          <w:trHeight w:val="615"/>
          <w:jc w:val="center"/>
        </w:trPr>
        <w:tc>
          <w:tcPr>
            <w:tcW w:w="2130" w:type="dxa"/>
            <w:tcBorders>
              <w:top w:val="single" w:sz="6" w:space="0" w:color="CCCCCC"/>
              <w:left w:val="single" w:sz="6" w:space="0" w:color="000000"/>
              <w:bottom w:val="single" w:sz="6" w:space="0" w:color="000000"/>
              <w:right w:val="single" w:sz="6" w:space="0" w:color="000000"/>
            </w:tcBorders>
            <w:shd w:val="clear" w:color="auto" w:fill="FFF2CC"/>
            <w:tcMar>
              <w:top w:w="40" w:type="dxa"/>
              <w:left w:w="40" w:type="dxa"/>
              <w:bottom w:w="40" w:type="dxa"/>
              <w:right w:w="40" w:type="dxa"/>
            </w:tcMar>
          </w:tcPr>
          <w:p w14:paraId="6ACC24D0" w14:textId="77777777" w:rsidR="001F636E" w:rsidRDefault="00000000">
            <w:pPr>
              <w:widowControl w:val="0"/>
              <w:pBdr>
                <w:top w:val="nil"/>
                <w:left w:val="nil"/>
                <w:bottom w:val="nil"/>
                <w:right w:val="nil"/>
                <w:between w:val="nil"/>
              </w:pBdr>
              <w:jc w:val="center"/>
              <w:rPr>
                <w:color w:val="000000"/>
              </w:rPr>
            </w:pPr>
            <w:r>
              <w:rPr>
                <w:b/>
                <w:color w:val="000000"/>
              </w:rPr>
              <w:t>Current Assets/ Current Liability</w:t>
            </w:r>
          </w:p>
        </w:tc>
        <w:tc>
          <w:tcPr>
            <w:tcW w:w="2055"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34AD386C" w14:textId="77777777" w:rsidR="001F636E" w:rsidRDefault="00000000">
            <w:pPr>
              <w:widowControl w:val="0"/>
              <w:pBdr>
                <w:top w:val="nil"/>
                <w:left w:val="nil"/>
                <w:bottom w:val="nil"/>
                <w:right w:val="nil"/>
                <w:between w:val="nil"/>
              </w:pBdr>
              <w:jc w:val="center"/>
              <w:rPr>
                <w:color w:val="000000"/>
              </w:rPr>
            </w:pPr>
            <w:r>
              <w:rPr>
                <w:b/>
                <w:color w:val="000000"/>
              </w:rPr>
              <w:t>0.97</w:t>
            </w:r>
          </w:p>
        </w:tc>
        <w:tc>
          <w:tcPr>
            <w:tcW w:w="2220"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745A609F" w14:textId="77777777" w:rsidR="001F636E" w:rsidRDefault="00000000">
            <w:pPr>
              <w:widowControl w:val="0"/>
              <w:pBdr>
                <w:top w:val="nil"/>
                <w:left w:val="nil"/>
                <w:bottom w:val="nil"/>
                <w:right w:val="nil"/>
                <w:between w:val="nil"/>
              </w:pBdr>
              <w:jc w:val="center"/>
              <w:rPr>
                <w:color w:val="000000"/>
              </w:rPr>
            </w:pPr>
            <w:r>
              <w:rPr>
                <w:b/>
                <w:color w:val="000000"/>
              </w:rPr>
              <w:t>0.93</w:t>
            </w:r>
          </w:p>
        </w:tc>
        <w:tc>
          <w:tcPr>
            <w:tcW w:w="2490"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4A39A85A" w14:textId="77777777" w:rsidR="001F636E" w:rsidRDefault="00000000">
            <w:pPr>
              <w:widowControl w:val="0"/>
              <w:pBdr>
                <w:top w:val="nil"/>
                <w:left w:val="nil"/>
                <w:bottom w:val="nil"/>
                <w:right w:val="nil"/>
                <w:between w:val="nil"/>
              </w:pBdr>
              <w:jc w:val="center"/>
              <w:rPr>
                <w:color w:val="000000"/>
              </w:rPr>
            </w:pPr>
            <w:r>
              <w:rPr>
                <w:b/>
                <w:color w:val="000000"/>
              </w:rPr>
              <w:t>0.64</w:t>
            </w:r>
          </w:p>
        </w:tc>
      </w:tr>
      <w:tr w:rsidR="001F636E" w14:paraId="474727FF" w14:textId="77777777">
        <w:trPr>
          <w:trHeight w:val="345"/>
          <w:jc w:val="center"/>
        </w:trPr>
        <w:tc>
          <w:tcPr>
            <w:tcW w:w="8895" w:type="dxa"/>
            <w:gridSpan w:val="4"/>
            <w:tcBorders>
              <w:top w:val="single" w:sz="6" w:space="0" w:color="CCCCCC"/>
              <w:left w:val="single" w:sz="6" w:space="0" w:color="000000"/>
              <w:bottom w:val="single" w:sz="6" w:space="0" w:color="000000"/>
              <w:right w:val="single" w:sz="6" w:space="0" w:color="000000"/>
            </w:tcBorders>
            <w:shd w:val="clear" w:color="auto" w:fill="93C47D"/>
            <w:tcMar>
              <w:top w:w="40" w:type="dxa"/>
              <w:left w:w="40" w:type="dxa"/>
              <w:bottom w:w="40" w:type="dxa"/>
              <w:right w:w="40" w:type="dxa"/>
            </w:tcMar>
          </w:tcPr>
          <w:p w14:paraId="0AA717C2" w14:textId="77777777" w:rsidR="001F636E" w:rsidRDefault="00000000">
            <w:pPr>
              <w:widowControl w:val="0"/>
              <w:pBdr>
                <w:top w:val="nil"/>
                <w:left w:val="nil"/>
                <w:bottom w:val="nil"/>
                <w:right w:val="nil"/>
                <w:between w:val="nil"/>
              </w:pBdr>
              <w:jc w:val="center"/>
              <w:rPr>
                <w:color w:val="000000"/>
              </w:rPr>
            </w:pPr>
            <w:r>
              <w:rPr>
                <w:b/>
                <w:color w:val="000000"/>
              </w:rPr>
              <w:t>Quick ratio</w:t>
            </w:r>
          </w:p>
        </w:tc>
      </w:tr>
      <w:tr w:rsidR="001F636E" w14:paraId="05CD381B" w14:textId="77777777">
        <w:trPr>
          <w:trHeight w:val="345"/>
          <w:jc w:val="center"/>
        </w:trPr>
        <w:tc>
          <w:tcPr>
            <w:tcW w:w="2130" w:type="dxa"/>
            <w:tcBorders>
              <w:top w:val="single" w:sz="6" w:space="0" w:color="CCCCCC"/>
              <w:left w:val="single" w:sz="6" w:space="0" w:color="000000"/>
              <w:bottom w:val="single" w:sz="6" w:space="0" w:color="000000"/>
              <w:right w:val="single" w:sz="6" w:space="0" w:color="000000"/>
            </w:tcBorders>
            <w:shd w:val="clear" w:color="auto" w:fill="93C47D"/>
            <w:tcMar>
              <w:top w:w="40" w:type="dxa"/>
              <w:left w:w="40" w:type="dxa"/>
              <w:bottom w:w="40" w:type="dxa"/>
              <w:right w:w="40" w:type="dxa"/>
            </w:tcMar>
          </w:tcPr>
          <w:p w14:paraId="0FD63629" w14:textId="77777777" w:rsidR="001F636E" w:rsidRDefault="00000000">
            <w:pPr>
              <w:widowControl w:val="0"/>
              <w:pBdr>
                <w:top w:val="nil"/>
                <w:left w:val="nil"/>
                <w:bottom w:val="nil"/>
                <w:right w:val="nil"/>
                <w:between w:val="nil"/>
              </w:pBdr>
              <w:jc w:val="center"/>
              <w:rPr>
                <w:color w:val="000000"/>
              </w:rPr>
            </w:pPr>
            <w:r>
              <w:rPr>
                <w:b/>
                <w:color w:val="000000"/>
              </w:rPr>
              <w:t>Particulars</w:t>
            </w:r>
          </w:p>
        </w:tc>
        <w:tc>
          <w:tcPr>
            <w:tcW w:w="2055" w:type="dxa"/>
            <w:tcBorders>
              <w:top w:val="single" w:sz="6" w:space="0" w:color="CCCCCC"/>
              <w:left w:val="single" w:sz="6" w:space="0" w:color="CCCCCC"/>
              <w:bottom w:val="single" w:sz="6" w:space="0" w:color="000000"/>
              <w:right w:val="single" w:sz="6" w:space="0" w:color="000000"/>
            </w:tcBorders>
            <w:shd w:val="clear" w:color="auto" w:fill="93C47D"/>
            <w:tcMar>
              <w:top w:w="40" w:type="dxa"/>
              <w:left w:w="40" w:type="dxa"/>
              <w:bottom w:w="40" w:type="dxa"/>
              <w:right w:w="40" w:type="dxa"/>
            </w:tcMar>
          </w:tcPr>
          <w:p w14:paraId="27E8722D" w14:textId="77777777" w:rsidR="001F636E" w:rsidRDefault="00000000">
            <w:pPr>
              <w:widowControl w:val="0"/>
              <w:pBdr>
                <w:top w:val="nil"/>
                <w:left w:val="nil"/>
                <w:bottom w:val="nil"/>
                <w:right w:val="nil"/>
                <w:between w:val="nil"/>
              </w:pBdr>
              <w:jc w:val="center"/>
              <w:rPr>
                <w:color w:val="000000"/>
              </w:rPr>
            </w:pPr>
            <w:r>
              <w:rPr>
                <w:b/>
                <w:color w:val="000000"/>
              </w:rPr>
              <w:t>2021</w:t>
            </w:r>
          </w:p>
        </w:tc>
        <w:tc>
          <w:tcPr>
            <w:tcW w:w="2220" w:type="dxa"/>
            <w:tcBorders>
              <w:top w:val="single" w:sz="6" w:space="0" w:color="CCCCCC"/>
              <w:left w:val="single" w:sz="6" w:space="0" w:color="CCCCCC"/>
              <w:bottom w:val="single" w:sz="6" w:space="0" w:color="000000"/>
              <w:right w:val="single" w:sz="6" w:space="0" w:color="000000"/>
            </w:tcBorders>
            <w:shd w:val="clear" w:color="auto" w:fill="93C47D"/>
            <w:tcMar>
              <w:top w:w="40" w:type="dxa"/>
              <w:left w:w="40" w:type="dxa"/>
              <w:bottom w:w="40" w:type="dxa"/>
              <w:right w:w="40" w:type="dxa"/>
            </w:tcMar>
          </w:tcPr>
          <w:p w14:paraId="1B70F36E" w14:textId="77777777" w:rsidR="001F636E" w:rsidRDefault="00000000">
            <w:pPr>
              <w:widowControl w:val="0"/>
              <w:pBdr>
                <w:top w:val="nil"/>
                <w:left w:val="nil"/>
                <w:bottom w:val="nil"/>
                <w:right w:val="nil"/>
                <w:between w:val="nil"/>
              </w:pBdr>
              <w:jc w:val="center"/>
              <w:rPr>
                <w:color w:val="000000"/>
              </w:rPr>
            </w:pPr>
            <w:r>
              <w:rPr>
                <w:b/>
                <w:color w:val="000000"/>
              </w:rPr>
              <w:t>2022</w:t>
            </w:r>
          </w:p>
        </w:tc>
        <w:tc>
          <w:tcPr>
            <w:tcW w:w="2490" w:type="dxa"/>
            <w:tcBorders>
              <w:top w:val="single" w:sz="6" w:space="0" w:color="CCCCCC"/>
              <w:left w:val="single" w:sz="6" w:space="0" w:color="CCCCCC"/>
              <w:bottom w:val="single" w:sz="6" w:space="0" w:color="000000"/>
              <w:right w:val="single" w:sz="6" w:space="0" w:color="000000"/>
            </w:tcBorders>
            <w:shd w:val="clear" w:color="auto" w:fill="93C47D"/>
            <w:tcMar>
              <w:top w:w="40" w:type="dxa"/>
              <w:left w:w="40" w:type="dxa"/>
              <w:bottom w:w="40" w:type="dxa"/>
              <w:right w:w="40" w:type="dxa"/>
            </w:tcMar>
          </w:tcPr>
          <w:p w14:paraId="57377696" w14:textId="77777777" w:rsidR="001F636E" w:rsidRDefault="00000000">
            <w:pPr>
              <w:widowControl w:val="0"/>
              <w:pBdr>
                <w:top w:val="nil"/>
                <w:left w:val="nil"/>
                <w:bottom w:val="nil"/>
                <w:right w:val="nil"/>
                <w:between w:val="nil"/>
              </w:pBdr>
              <w:jc w:val="center"/>
              <w:rPr>
                <w:color w:val="000000"/>
              </w:rPr>
            </w:pPr>
            <w:r>
              <w:rPr>
                <w:b/>
                <w:color w:val="000000"/>
              </w:rPr>
              <w:t>2023</w:t>
            </w:r>
          </w:p>
        </w:tc>
      </w:tr>
      <w:tr w:rsidR="001F636E" w14:paraId="7ED2197D" w14:textId="77777777">
        <w:trPr>
          <w:trHeight w:val="345"/>
          <w:jc w:val="center"/>
        </w:trPr>
        <w:tc>
          <w:tcPr>
            <w:tcW w:w="2130" w:type="dxa"/>
            <w:tcBorders>
              <w:top w:val="single" w:sz="6" w:space="0" w:color="CCCCCC"/>
              <w:left w:val="single" w:sz="6" w:space="0" w:color="000000"/>
              <w:bottom w:val="single" w:sz="6" w:space="0" w:color="000000"/>
              <w:right w:val="single" w:sz="6" w:space="0" w:color="000000"/>
            </w:tcBorders>
            <w:shd w:val="clear" w:color="auto" w:fill="93C47D"/>
            <w:tcMar>
              <w:top w:w="40" w:type="dxa"/>
              <w:left w:w="40" w:type="dxa"/>
              <w:bottom w:w="40" w:type="dxa"/>
              <w:right w:w="40" w:type="dxa"/>
            </w:tcMar>
          </w:tcPr>
          <w:p w14:paraId="2CEE0E98" w14:textId="77777777" w:rsidR="001F636E" w:rsidRDefault="001F636E">
            <w:pPr>
              <w:widowControl w:val="0"/>
              <w:pBdr>
                <w:top w:val="nil"/>
                <w:left w:val="nil"/>
                <w:bottom w:val="nil"/>
                <w:right w:val="nil"/>
                <w:between w:val="nil"/>
              </w:pBdr>
              <w:jc w:val="center"/>
              <w:rPr>
                <w:color w:val="000000"/>
              </w:rPr>
            </w:pPr>
          </w:p>
        </w:tc>
        <w:tc>
          <w:tcPr>
            <w:tcW w:w="2055" w:type="dxa"/>
            <w:tcBorders>
              <w:top w:val="single" w:sz="6" w:space="0" w:color="CCCCCC"/>
              <w:left w:val="single" w:sz="6" w:space="0" w:color="CCCCCC"/>
              <w:bottom w:val="single" w:sz="6" w:space="0" w:color="000000"/>
              <w:right w:val="single" w:sz="6" w:space="0" w:color="000000"/>
            </w:tcBorders>
            <w:shd w:val="clear" w:color="auto" w:fill="93C47D"/>
            <w:tcMar>
              <w:top w:w="40" w:type="dxa"/>
              <w:left w:w="40" w:type="dxa"/>
              <w:bottom w:w="40" w:type="dxa"/>
              <w:right w:w="40" w:type="dxa"/>
            </w:tcMar>
          </w:tcPr>
          <w:p w14:paraId="43B2AC31" w14:textId="77777777" w:rsidR="001F636E" w:rsidRDefault="00000000">
            <w:pPr>
              <w:widowControl w:val="0"/>
              <w:pBdr>
                <w:top w:val="nil"/>
                <w:left w:val="nil"/>
                <w:bottom w:val="nil"/>
                <w:right w:val="nil"/>
                <w:between w:val="nil"/>
              </w:pBdr>
              <w:jc w:val="center"/>
              <w:rPr>
                <w:color w:val="000000"/>
              </w:rPr>
            </w:pPr>
            <w:r>
              <w:rPr>
                <w:b/>
                <w:color w:val="000000"/>
              </w:rPr>
              <w:t>Amount (£)</w:t>
            </w:r>
          </w:p>
        </w:tc>
        <w:tc>
          <w:tcPr>
            <w:tcW w:w="2220" w:type="dxa"/>
            <w:tcBorders>
              <w:top w:val="single" w:sz="6" w:space="0" w:color="CCCCCC"/>
              <w:left w:val="single" w:sz="6" w:space="0" w:color="CCCCCC"/>
              <w:bottom w:val="single" w:sz="6" w:space="0" w:color="000000"/>
              <w:right w:val="single" w:sz="6" w:space="0" w:color="000000"/>
            </w:tcBorders>
            <w:shd w:val="clear" w:color="auto" w:fill="93C47D"/>
            <w:tcMar>
              <w:top w:w="40" w:type="dxa"/>
              <w:left w:w="40" w:type="dxa"/>
              <w:bottom w:w="40" w:type="dxa"/>
              <w:right w:w="40" w:type="dxa"/>
            </w:tcMar>
          </w:tcPr>
          <w:p w14:paraId="3884BEE0" w14:textId="77777777" w:rsidR="001F636E" w:rsidRDefault="00000000">
            <w:pPr>
              <w:widowControl w:val="0"/>
              <w:pBdr>
                <w:top w:val="nil"/>
                <w:left w:val="nil"/>
                <w:bottom w:val="nil"/>
                <w:right w:val="nil"/>
                <w:between w:val="nil"/>
              </w:pBdr>
              <w:jc w:val="center"/>
              <w:rPr>
                <w:color w:val="000000"/>
              </w:rPr>
            </w:pPr>
            <w:r>
              <w:rPr>
                <w:b/>
                <w:color w:val="000000"/>
              </w:rPr>
              <w:t>Amount (£)</w:t>
            </w:r>
          </w:p>
        </w:tc>
        <w:tc>
          <w:tcPr>
            <w:tcW w:w="2490" w:type="dxa"/>
            <w:tcBorders>
              <w:top w:val="single" w:sz="6" w:space="0" w:color="CCCCCC"/>
              <w:left w:val="single" w:sz="6" w:space="0" w:color="CCCCCC"/>
              <w:bottom w:val="single" w:sz="6" w:space="0" w:color="000000"/>
              <w:right w:val="single" w:sz="6" w:space="0" w:color="000000"/>
            </w:tcBorders>
            <w:shd w:val="clear" w:color="auto" w:fill="93C47D"/>
            <w:tcMar>
              <w:top w:w="40" w:type="dxa"/>
              <w:left w:w="40" w:type="dxa"/>
              <w:bottom w:w="40" w:type="dxa"/>
              <w:right w:w="40" w:type="dxa"/>
            </w:tcMar>
          </w:tcPr>
          <w:p w14:paraId="579B6081" w14:textId="77777777" w:rsidR="001F636E" w:rsidRDefault="00000000">
            <w:pPr>
              <w:widowControl w:val="0"/>
              <w:pBdr>
                <w:top w:val="nil"/>
                <w:left w:val="nil"/>
                <w:bottom w:val="nil"/>
                <w:right w:val="nil"/>
                <w:between w:val="nil"/>
              </w:pBdr>
              <w:jc w:val="center"/>
              <w:rPr>
                <w:color w:val="000000"/>
              </w:rPr>
            </w:pPr>
            <w:r>
              <w:rPr>
                <w:b/>
                <w:color w:val="000000"/>
              </w:rPr>
              <w:t>Amount (£)</w:t>
            </w:r>
          </w:p>
        </w:tc>
      </w:tr>
      <w:tr w:rsidR="001F636E" w14:paraId="747D6FA2" w14:textId="77777777">
        <w:trPr>
          <w:trHeight w:val="345"/>
          <w:jc w:val="center"/>
        </w:trPr>
        <w:tc>
          <w:tcPr>
            <w:tcW w:w="2130" w:type="dxa"/>
            <w:tcBorders>
              <w:top w:val="single" w:sz="6" w:space="0" w:color="CCCCCC"/>
              <w:left w:val="single" w:sz="6" w:space="0" w:color="000000"/>
              <w:bottom w:val="single" w:sz="6" w:space="0" w:color="000000"/>
              <w:right w:val="single" w:sz="6" w:space="0" w:color="000000"/>
            </w:tcBorders>
            <w:shd w:val="clear" w:color="auto" w:fill="FFF2CC"/>
            <w:tcMar>
              <w:top w:w="40" w:type="dxa"/>
              <w:left w:w="40" w:type="dxa"/>
              <w:bottom w:w="40" w:type="dxa"/>
              <w:right w:w="40" w:type="dxa"/>
            </w:tcMar>
          </w:tcPr>
          <w:p w14:paraId="5D28CE70" w14:textId="77777777" w:rsidR="001F636E" w:rsidRDefault="00000000">
            <w:pPr>
              <w:widowControl w:val="0"/>
              <w:pBdr>
                <w:top w:val="nil"/>
                <w:left w:val="nil"/>
                <w:bottom w:val="nil"/>
                <w:right w:val="nil"/>
                <w:between w:val="nil"/>
              </w:pBdr>
              <w:jc w:val="center"/>
              <w:rPr>
                <w:color w:val="000000"/>
              </w:rPr>
            </w:pPr>
            <w:r>
              <w:rPr>
                <w:color w:val="000000"/>
              </w:rPr>
              <w:t>Current Assets</w:t>
            </w:r>
          </w:p>
        </w:tc>
        <w:tc>
          <w:tcPr>
            <w:tcW w:w="2055"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01848C76" w14:textId="77777777" w:rsidR="001F636E" w:rsidRDefault="00000000">
            <w:pPr>
              <w:widowControl w:val="0"/>
              <w:pBdr>
                <w:top w:val="nil"/>
                <w:left w:val="nil"/>
                <w:bottom w:val="nil"/>
                <w:right w:val="nil"/>
                <w:between w:val="nil"/>
              </w:pBdr>
              <w:jc w:val="center"/>
              <w:rPr>
                <w:color w:val="000000"/>
              </w:rPr>
            </w:pPr>
            <w:r>
              <w:rPr>
                <w:color w:val="000000"/>
              </w:rPr>
              <w:t>1,891,970</w:t>
            </w:r>
          </w:p>
        </w:tc>
        <w:tc>
          <w:tcPr>
            <w:tcW w:w="2220"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550D4250" w14:textId="77777777" w:rsidR="001F636E" w:rsidRDefault="00000000">
            <w:pPr>
              <w:widowControl w:val="0"/>
              <w:pBdr>
                <w:top w:val="nil"/>
                <w:left w:val="nil"/>
                <w:bottom w:val="nil"/>
                <w:right w:val="nil"/>
                <w:between w:val="nil"/>
              </w:pBdr>
              <w:jc w:val="center"/>
              <w:rPr>
                <w:color w:val="000000"/>
              </w:rPr>
            </w:pPr>
            <w:r>
              <w:rPr>
                <w:color w:val="000000"/>
              </w:rPr>
              <w:t>1,965,340</w:t>
            </w:r>
          </w:p>
        </w:tc>
        <w:tc>
          <w:tcPr>
            <w:tcW w:w="2490"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78B5E0C9" w14:textId="77777777" w:rsidR="001F636E" w:rsidRDefault="00000000">
            <w:pPr>
              <w:widowControl w:val="0"/>
              <w:pBdr>
                <w:top w:val="nil"/>
                <w:left w:val="nil"/>
                <w:bottom w:val="nil"/>
                <w:right w:val="nil"/>
                <w:between w:val="nil"/>
              </w:pBdr>
              <w:jc w:val="center"/>
              <w:rPr>
                <w:color w:val="000000"/>
              </w:rPr>
            </w:pPr>
            <w:r>
              <w:rPr>
                <w:color w:val="000000"/>
              </w:rPr>
              <w:t>1,285,880</w:t>
            </w:r>
          </w:p>
        </w:tc>
      </w:tr>
      <w:tr w:rsidR="001F636E" w14:paraId="078D63E3" w14:textId="77777777">
        <w:trPr>
          <w:trHeight w:val="345"/>
          <w:jc w:val="center"/>
        </w:trPr>
        <w:tc>
          <w:tcPr>
            <w:tcW w:w="2130" w:type="dxa"/>
            <w:tcBorders>
              <w:top w:val="single" w:sz="6" w:space="0" w:color="CCCCCC"/>
              <w:left w:val="single" w:sz="6" w:space="0" w:color="000000"/>
              <w:bottom w:val="single" w:sz="6" w:space="0" w:color="000000"/>
              <w:right w:val="single" w:sz="6" w:space="0" w:color="000000"/>
            </w:tcBorders>
            <w:shd w:val="clear" w:color="auto" w:fill="FFF2CC"/>
            <w:tcMar>
              <w:top w:w="40" w:type="dxa"/>
              <w:left w:w="40" w:type="dxa"/>
              <w:bottom w:w="40" w:type="dxa"/>
              <w:right w:w="40" w:type="dxa"/>
            </w:tcMar>
          </w:tcPr>
          <w:p w14:paraId="0B309A5B" w14:textId="77777777" w:rsidR="001F636E" w:rsidRDefault="00000000">
            <w:pPr>
              <w:widowControl w:val="0"/>
              <w:pBdr>
                <w:top w:val="nil"/>
                <w:left w:val="nil"/>
                <w:bottom w:val="nil"/>
                <w:right w:val="nil"/>
                <w:between w:val="nil"/>
              </w:pBdr>
              <w:jc w:val="center"/>
              <w:rPr>
                <w:color w:val="000000"/>
              </w:rPr>
            </w:pPr>
            <w:r>
              <w:rPr>
                <w:color w:val="000000"/>
              </w:rPr>
              <w:t>Inventories</w:t>
            </w:r>
          </w:p>
        </w:tc>
        <w:tc>
          <w:tcPr>
            <w:tcW w:w="2055"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629E5C50" w14:textId="77777777" w:rsidR="001F636E" w:rsidRDefault="00000000">
            <w:pPr>
              <w:widowControl w:val="0"/>
              <w:pBdr>
                <w:top w:val="nil"/>
                <w:left w:val="nil"/>
                <w:bottom w:val="nil"/>
                <w:right w:val="nil"/>
                <w:between w:val="nil"/>
              </w:pBdr>
              <w:jc w:val="center"/>
              <w:rPr>
                <w:color w:val="000000"/>
              </w:rPr>
            </w:pPr>
            <w:r>
              <w:rPr>
                <w:color w:val="000000"/>
              </w:rPr>
              <w:t>35,230</w:t>
            </w:r>
          </w:p>
        </w:tc>
        <w:tc>
          <w:tcPr>
            <w:tcW w:w="2220"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70485F4C" w14:textId="77777777" w:rsidR="001F636E" w:rsidRDefault="00000000">
            <w:pPr>
              <w:widowControl w:val="0"/>
              <w:pBdr>
                <w:top w:val="nil"/>
                <w:left w:val="nil"/>
                <w:bottom w:val="nil"/>
                <w:right w:val="nil"/>
                <w:between w:val="nil"/>
              </w:pBdr>
              <w:jc w:val="center"/>
              <w:rPr>
                <w:color w:val="000000"/>
              </w:rPr>
            </w:pPr>
            <w:r>
              <w:rPr>
                <w:color w:val="000000"/>
              </w:rPr>
              <w:t>36,350</w:t>
            </w:r>
          </w:p>
        </w:tc>
        <w:tc>
          <w:tcPr>
            <w:tcW w:w="2490"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237CD894" w14:textId="77777777" w:rsidR="001F636E" w:rsidRDefault="00000000">
            <w:pPr>
              <w:widowControl w:val="0"/>
              <w:pBdr>
                <w:top w:val="nil"/>
                <w:left w:val="nil"/>
                <w:bottom w:val="nil"/>
                <w:right w:val="nil"/>
                <w:between w:val="nil"/>
              </w:pBdr>
              <w:jc w:val="center"/>
              <w:rPr>
                <w:color w:val="000000"/>
              </w:rPr>
            </w:pPr>
            <w:r>
              <w:rPr>
                <w:color w:val="000000"/>
              </w:rPr>
              <w:t>29,470</w:t>
            </w:r>
          </w:p>
        </w:tc>
      </w:tr>
      <w:tr w:rsidR="001F636E" w14:paraId="379E381E" w14:textId="77777777">
        <w:trPr>
          <w:trHeight w:val="345"/>
          <w:jc w:val="center"/>
        </w:trPr>
        <w:tc>
          <w:tcPr>
            <w:tcW w:w="2130" w:type="dxa"/>
            <w:tcBorders>
              <w:top w:val="single" w:sz="6" w:space="0" w:color="CCCCCC"/>
              <w:left w:val="single" w:sz="6" w:space="0" w:color="000000"/>
              <w:bottom w:val="single" w:sz="6" w:space="0" w:color="000000"/>
              <w:right w:val="single" w:sz="6" w:space="0" w:color="000000"/>
            </w:tcBorders>
            <w:shd w:val="clear" w:color="auto" w:fill="FFF2CC"/>
            <w:tcMar>
              <w:top w:w="40" w:type="dxa"/>
              <w:left w:w="40" w:type="dxa"/>
              <w:bottom w:w="40" w:type="dxa"/>
              <w:right w:w="40" w:type="dxa"/>
            </w:tcMar>
          </w:tcPr>
          <w:p w14:paraId="563D9ED4" w14:textId="77777777" w:rsidR="001F636E" w:rsidRDefault="00000000">
            <w:pPr>
              <w:widowControl w:val="0"/>
              <w:pBdr>
                <w:top w:val="nil"/>
                <w:left w:val="nil"/>
                <w:bottom w:val="nil"/>
                <w:right w:val="nil"/>
                <w:between w:val="nil"/>
              </w:pBdr>
              <w:jc w:val="center"/>
              <w:rPr>
                <w:color w:val="000000"/>
              </w:rPr>
            </w:pPr>
            <w:r>
              <w:rPr>
                <w:color w:val="000000"/>
              </w:rPr>
              <w:t>Current Liability</w:t>
            </w:r>
          </w:p>
        </w:tc>
        <w:tc>
          <w:tcPr>
            <w:tcW w:w="2055"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15032108" w14:textId="77777777" w:rsidR="001F636E" w:rsidRDefault="00000000">
            <w:pPr>
              <w:widowControl w:val="0"/>
              <w:pBdr>
                <w:top w:val="nil"/>
                <w:left w:val="nil"/>
                <w:bottom w:val="nil"/>
                <w:right w:val="nil"/>
                <w:between w:val="nil"/>
              </w:pBdr>
              <w:jc w:val="center"/>
              <w:rPr>
                <w:color w:val="000000"/>
              </w:rPr>
            </w:pPr>
            <w:r>
              <w:rPr>
                <w:color w:val="000000"/>
              </w:rPr>
              <w:t>1,957,360</w:t>
            </w:r>
          </w:p>
        </w:tc>
        <w:tc>
          <w:tcPr>
            <w:tcW w:w="2220"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3416E69B" w14:textId="77777777" w:rsidR="001F636E" w:rsidRDefault="00000000">
            <w:pPr>
              <w:widowControl w:val="0"/>
              <w:pBdr>
                <w:top w:val="nil"/>
                <w:left w:val="nil"/>
                <w:bottom w:val="nil"/>
                <w:right w:val="nil"/>
                <w:between w:val="nil"/>
              </w:pBdr>
              <w:jc w:val="center"/>
              <w:rPr>
                <w:color w:val="000000"/>
              </w:rPr>
            </w:pPr>
            <w:r>
              <w:rPr>
                <w:color w:val="000000"/>
              </w:rPr>
              <w:t>2,107,750</w:t>
            </w:r>
          </w:p>
        </w:tc>
        <w:tc>
          <w:tcPr>
            <w:tcW w:w="2490"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6D9992B6" w14:textId="77777777" w:rsidR="001F636E" w:rsidRDefault="00000000">
            <w:pPr>
              <w:widowControl w:val="0"/>
              <w:pBdr>
                <w:top w:val="nil"/>
                <w:left w:val="nil"/>
                <w:bottom w:val="nil"/>
                <w:right w:val="nil"/>
                <w:between w:val="nil"/>
              </w:pBdr>
              <w:jc w:val="center"/>
              <w:rPr>
                <w:color w:val="000000"/>
              </w:rPr>
            </w:pPr>
            <w:r>
              <w:rPr>
                <w:color w:val="000000"/>
              </w:rPr>
              <w:t>2,014,600</w:t>
            </w:r>
          </w:p>
        </w:tc>
      </w:tr>
      <w:tr w:rsidR="001F636E" w14:paraId="2E9E1E24" w14:textId="77777777">
        <w:trPr>
          <w:trHeight w:val="885"/>
          <w:jc w:val="center"/>
        </w:trPr>
        <w:tc>
          <w:tcPr>
            <w:tcW w:w="2130" w:type="dxa"/>
            <w:tcBorders>
              <w:top w:val="single" w:sz="6" w:space="0" w:color="CCCCCC"/>
              <w:left w:val="single" w:sz="6" w:space="0" w:color="000000"/>
              <w:bottom w:val="single" w:sz="6" w:space="0" w:color="000000"/>
              <w:right w:val="single" w:sz="6" w:space="0" w:color="000000"/>
            </w:tcBorders>
            <w:shd w:val="clear" w:color="auto" w:fill="FFF2CC"/>
            <w:tcMar>
              <w:top w:w="40" w:type="dxa"/>
              <w:left w:w="40" w:type="dxa"/>
              <w:bottom w:w="40" w:type="dxa"/>
              <w:right w:w="40" w:type="dxa"/>
            </w:tcMar>
          </w:tcPr>
          <w:p w14:paraId="4BDBB53C" w14:textId="77777777" w:rsidR="001F636E" w:rsidRDefault="00000000">
            <w:pPr>
              <w:widowControl w:val="0"/>
              <w:pBdr>
                <w:top w:val="nil"/>
                <w:left w:val="nil"/>
                <w:bottom w:val="nil"/>
                <w:right w:val="nil"/>
                <w:between w:val="nil"/>
              </w:pBdr>
              <w:jc w:val="center"/>
              <w:rPr>
                <w:color w:val="000000"/>
              </w:rPr>
            </w:pPr>
            <w:r>
              <w:rPr>
                <w:b/>
                <w:color w:val="000000"/>
              </w:rPr>
              <w:t>Current assets - Inventories/ Current Liability</w:t>
            </w:r>
          </w:p>
        </w:tc>
        <w:tc>
          <w:tcPr>
            <w:tcW w:w="2055"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46C48C93" w14:textId="77777777" w:rsidR="001F636E" w:rsidRDefault="00000000">
            <w:pPr>
              <w:widowControl w:val="0"/>
              <w:pBdr>
                <w:top w:val="nil"/>
                <w:left w:val="nil"/>
                <w:bottom w:val="nil"/>
                <w:right w:val="nil"/>
                <w:between w:val="nil"/>
              </w:pBdr>
              <w:jc w:val="center"/>
              <w:rPr>
                <w:color w:val="000000"/>
              </w:rPr>
            </w:pPr>
            <w:r>
              <w:rPr>
                <w:b/>
                <w:color w:val="000000"/>
              </w:rPr>
              <w:t>0.95</w:t>
            </w:r>
          </w:p>
        </w:tc>
        <w:tc>
          <w:tcPr>
            <w:tcW w:w="2220"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7D51ABB4" w14:textId="77777777" w:rsidR="001F636E" w:rsidRDefault="00000000">
            <w:pPr>
              <w:widowControl w:val="0"/>
              <w:pBdr>
                <w:top w:val="nil"/>
                <w:left w:val="nil"/>
                <w:bottom w:val="nil"/>
                <w:right w:val="nil"/>
                <w:between w:val="nil"/>
              </w:pBdr>
              <w:jc w:val="center"/>
              <w:rPr>
                <w:color w:val="000000"/>
              </w:rPr>
            </w:pPr>
            <w:r>
              <w:rPr>
                <w:b/>
                <w:color w:val="000000"/>
              </w:rPr>
              <w:t>0.92</w:t>
            </w:r>
          </w:p>
        </w:tc>
        <w:tc>
          <w:tcPr>
            <w:tcW w:w="2490"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41352375" w14:textId="77777777" w:rsidR="001F636E" w:rsidRDefault="00000000">
            <w:pPr>
              <w:widowControl w:val="0"/>
              <w:pBdr>
                <w:top w:val="nil"/>
                <w:left w:val="nil"/>
                <w:bottom w:val="nil"/>
                <w:right w:val="nil"/>
                <w:between w:val="nil"/>
              </w:pBdr>
              <w:jc w:val="center"/>
              <w:rPr>
                <w:color w:val="000000"/>
              </w:rPr>
            </w:pPr>
            <w:r>
              <w:rPr>
                <w:b/>
                <w:color w:val="000000"/>
              </w:rPr>
              <w:t>0.62</w:t>
            </w:r>
          </w:p>
        </w:tc>
      </w:tr>
    </w:tbl>
    <w:p w14:paraId="02F70E5E" w14:textId="77777777" w:rsidR="001F636E" w:rsidRDefault="00000000">
      <w:pPr>
        <w:pBdr>
          <w:top w:val="nil"/>
          <w:left w:val="nil"/>
          <w:bottom w:val="nil"/>
          <w:right w:val="nil"/>
          <w:between w:val="nil"/>
        </w:pBdr>
        <w:jc w:val="center"/>
        <w:rPr>
          <w:b/>
          <w:color w:val="000000"/>
        </w:rPr>
      </w:pPr>
      <w:r>
        <w:rPr>
          <w:b/>
          <w:color w:val="000000"/>
        </w:rPr>
        <w:t>Table 2: Liquidity Ratio</w:t>
      </w:r>
    </w:p>
    <w:p w14:paraId="5AEEE3F8" w14:textId="77777777" w:rsidR="001F636E" w:rsidRDefault="00000000">
      <w:pPr>
        <w:pBdr>
          <w:top w:val="nil"/>
          <w:left w:val="nil"/>
          <w:bottom w:val="nil"/>
          <w:right w:val="nil"/>
          <w:between w:val="nil"/>
        </w:pBdr>
        <w:jc w:val="center"/>
        <w:rPr>
          <w:color w:val="000000"/>
        </w:rPr>
      </w:pPr>
      <w:r>
        <w:rPr>
          <w:color w:val="000000"/>
        </w:rPr>
        <w:t>(Source: Self-Developed)</w:t>
      </w:r>
    </w:p>
    <w:p w14:paraId="19AC874D" w14:textId="77777777" w:rsidR="001F636E" w:rsidRDefault="00000000">
      <w:pPr>
        <w:pBdr>
          <w:top w:val="nil"/>
          <w:left w:val="nil"/>
          <w:bottom w:val="nil"/>
          <w:right w:val="nil"/>
          <w:between w:val="nil"/>
        </w:pBdr>
        <w:rPr>
          <w:color w:val="000000"/>
        </w:rPr>
      </w:pPr>
      <w:r>
        <w:rPr>
          <w:color w:val="000000"/>
        </w:rPr>
        <w:t>The quick ratio is another effective financial ratio that helps to determine the short-term debt-settling capabilities of the business by using the portions of assets that can easily be convertible into cash (</w:t>
      </w:r>
      <w:proofErr w:type="spellStart"/>
      <w:r>
        <w:rPr>
          <w:color w:val="000000"/>
        </w:rPr>
        <w:t>Kumoro</w:t>
      </w:r>
      <w:proofErr w:type="spellEnd"/>
      <w:r>
        <w:rPr>
          <w:color w:val="000000"/>
        </w:rPr>
        <w:t xml:space="preserve"> </w:t>
      </w:r>
      <w:r>
        <w:rPr>
          <w:i/>
          <w:color w:val="000000"/>
        </w:rPr>
        <w:t>et al.</w:t>
      </w:r>
      <w:r>
        <w:rPr>
          <w:color w:val="000000"/>
        </w:rPr>
        <w:t xml:space="preserve"> 2020). However, the City Hotel contained a rising threat of liabilities and reducing assets, which can be convertible into cash as follows the quick ratio of 0.95 in 2021 to 062 in 2023. As follows, the long-term debt-setting capabilities of the business are deeply affected.</w:t>
      </w:r>
    </w:p>
    <w:p w14:paraId="0ACF562A" w14:textId="77777777" w:rsidR="001F636E" w:rsidRDefault="00000000">
      <w:pPr>
        <w:pStyle w:val="Heading2"/>
      </w:pPr>
      <w:bookmarkStart w:id="8" w:name="_4d34og8" w:colFirst="0" w:colLast="0"/>
      <w:bookmarkEnd w:id="8"/>
      <w:r>
        <w:lastRenderedPageBreak/>
        <w:t>Solvency structure</w:t>
      </w:r>
    </w:p>
    <w:p w14:paraId="4F293DC8" w14:textId="77777777" w:rsidR="001F636E" w:rsidRDefault="00000000">
      <w:pPr>
        <w:pBdr>
          <w:top w:val="nil"/>
          <w:left w:val="nil"/>
          <w:bottom w:val="nil"/>
          <w:right w:val="nil"/>
          <w:between w:val="nil"/>
        </w:pBdr>
        <w:rPr>
          <w:color w:val="000000"/>
        </w:rPr>
      </w:pPr>
      <w:r>
        <w:rPr>
          <w:color w:val="000000"/>
        </w:rPr>
        <w:t>The solvency ratio helps determine the long-term debt risks within the business and the capabilities of the company to stay solvent (</w:t>
      </w:r>
      <w:proofErr w:type="spellStart"/>
      <w:r>
        <w:rPr>
          <w:color w:val="000000"/>
        </w:rPr>
        <w:t>Yusnita</w:t>
      </w:r>
      <w:proofErr w:type="spellEnd"/>
      <w:r>
        <w:rPr>
          <w:color w:val="000000"/>
        </w:rPr>
        <w:t xml:space="preserve">, 2023). The debt-to-assets ratio of City Hotel reflects a rising threat of debts on their structure of assets as follows the ratio of 0.66 in 2021 to 0.79 in 2023. </w:t>
      </w:r>
    </w:p>
    <w:tbl>
      <w:tblPr>
        <w:tblStyle w:val="a1"/>
        <w:tblW w:w="9360" w:type="dxa"/>
        <w:jc w:val="center"/>
        <w:tblBorders>
          <w:top w:val="nil"/>
          <w:left w:val="nil"/>
          <w:bottom w:val="nil"/>
          <w:right w:val="nil"/>
          <w:insideH w:val="nil"/>
          <w:insideV w:val="nil"/>
        </w:tblBorders>
        <w:tblLayout w:type="fixed"/>
        <w:tblLook w:val="0600" w:firstRow="0" w:lastRow="0" w:firstColumn="0" w:lastColumn="0" w:noHBand="1" w:noVBand="1"/>
      </w:tblPr>
      <w:tblGrid>
        <w:gridCol w:w="2114"/>
        <w:gridCol w:w="2114"/>
        <w:gridCol w:w="2416"/>
        <w:gridCol w:w="2716"/>
      </w:tblGrid>
      <w:tr w:rsidR="001F636E" w14:paraId="7329D2F3" w14:textId="77777777">
        <w:trPr>
          <w:trHeight w:val="345"/>
          <w:jc w:val="center"/>
        </w:trPr>
        <w:tc>
          <w:tcPr>
            <w:tcW w:w="9360" w:type="dxa"/>
            <w:gridSpan w:val="4"/>
            <w:tcBorders>
              <w:top w:val="single" w:sz="6" w:space="0" w:color="000000"/>
              <w:left w:val="single" w:sz="6" w:space="0" w:color="000000"/>
              <w:bottom w:val="single" w:sz="6" w:space="0" w:color="000000"/>
              <w:right w:val="single" w:sz="6" w:space="0" w:color="000000"/>
            </w:tcBorders>
            <w:shd w:val="clear" w:color="auto" w:fill="EA9999"/>
            <w:tcMar>
              <w:top w:w="40" w:type="dxa"/>
              <w:left w:w="40" w:type="dxa"/>
              <w:bottom w:w="40" w:type="dxa"/>
              <w:right w:w="40" w:type="dxa"/>
            </w:tcMar>
          </w:tcPr>
          <w:p w14:paraId="7C340828" w14:textId="77777777" w:rsidR="001F636E" w:rsidRDefault="00000000">
            <w:pPr>
              <w:widowControl w:val="0"/>
              <w:pBdr>
                <w:top w:val="nil"/>
                <w:left w:val="nil"/>
                <w:bottom w:val="nil"/>
                <w:right w:val="nil"/>
                <w:between w:val="nil"/>
              </w:pBdr>
              <w:jc w:val="center"/>
              <w:rPr>
                <w:color w:val="000000"/>
              </w:rPr>
            </w:pPr>
            <w:r>
              <w:rPr>
                <w:b/>
                <w:color w:val="000000"/>
              </w:rPr>
              <w:t>The calculation for the Solvency ratio</w:t>
            </w:r>
          </w:p>
        </w:tc>
      </w:tr>
      <w:tr w:rsidR="001F636E" w14:paraId="4ABD2F4B" w14:textId="77777777">
        <w:trPr>
          <w:trHeight w:val="345"/>
          <w:jc w:val="center"/>
        </w:trPr>
        <w:tc>
          <w:tcPr>
            <w:tcW w:w="9360" w:type="dxa"/>
            <w:gridSpan w:val="4"/>
            <w:tcBorders>
              <w:top w:val="single" w:sz="6" w:space="0" w:color="CCCCCC"/>
              <w:left w:val="single" w:sz="6" w:space="0" w:color="000000"/>
              <w:bottom w:val="single" w:sz="6" w:space="0" w:color="000000"/>
              <w:right w:val="single" w:sz="6" w:space="0" w:color="000000"/>
            </w:tcBorders>
            <w:shd w:val="clear" w:color="auto" w:fill="EA9999"/>
            <w:tcMar>
              <w:top w:w="40" w:type="dxa"/>
              <w:left w:w="40" w:type="dxa"/>
              <w:bottom w:w="40" w:type="dxa"/>
              <w:right w:w="40" w:type="dxa"/>
            </w:tcMar>
          </w:tcPr>
          <w:p w14:paraId="268EAE30" w14:textId="77777777" w:rsidR="001F636E" w:rsidRDefault="00000000">
            <w:pPr>
              <w:widowControl w:val="0"/>
              <w:pBdr>
                <w:top w:val="nil"/>
                <w:left w:val="nil"/>
                <w:bottom w:val="nil"/>
                <w:right w:val="nil"/>
                <w:between w:val="nil"/>
              </w:pBdr>
              <w:jc w:val="center"/>
              <w:rPr>
                <w:color w:val="000000"/>
              </w:rPr>
            </w:pPr>
            <w:r>
              <w:rPr>
                <w:b/>
                <w:color w:val="000000"/>
              </w:rPr>
              <w:t>Calculation for Debt to Assets ratio</w:t>
            </w:r>
          </w:p>
        </w:tc>
      </w:tr>
      <w:tr w:rsidR="001F636E" w14:paraId="0FE4CE31" w14:textId="77777777">
        <w:trPr>
          <w:trHeight w:val="345"/>
          <w:jc w:val="center"/>
        </w:trPr>
        <w:tc>
          <w:tcPr>
            <w:tcW w:w="2114" w:type="dxa"/>
            <w:tcBorders>
              <w:top w:val="single" w:sz="6" w:space="0" w:color="CCCCCC"/>
              <w:left w:val="single" w:sz="6" w:space="0" w:color="000000"/>
              <w:bottom w:val="single" w:sz="6" w:space="0" w:color="000000"/>
              <w:right w:val="single" w:sz="6" w:space="0" w:color="000000"/>
            </w:tcBorders>
            <w:shd w:val="clear" w:color="auto" w:fill="EA9999"/>
            <w:tcMar>
              <w:top w:w="40" w:type="dxa"/>
              <w:left w:w="40" w:type="dxa"/>
              <w:bottom w:w="40" w:type="dxa"/>
              <w:right w:w="40" w:type="dxa"/>
            </w:tcMar>
          </w:tcPr>
          <w:p w14:paraId="56CC3180" w14:textId="77777777" w:rsidR="001F636E" w:rsidRDefault="00000000">
            <w:pPr>
              <w:widowControl w:val="0"/>
              <w:pBdr>
                <w:top w:val="nil"/>
                <w:left w:val="nil"/>
                <w:bottom w:val="nil"/>
                <w:right w:val="nil"/>
                <w:between w:val="nil"/>
              </w:pBdr>
              <w:jc w:val="center"/>
              <w:rPr>
                <w:color w:val="000000"/>
              </w:rPr>
            </w:pPr>
            <w:r>
              <w:rPr>
                <w:b/>
                <w:color w:val="000000"/>
              </w:rPr>
              <w:t>Particulars</w:t>
            </w:r>
          </w:p>
        </w:tc>
        <w:tc>
          <w:tcPr>
            <w:tcW w:w="2114" w:type="dxa"/>
            <w:tcBorders>
              <w:top w:val="single" w:sz="6" w:space="0" w:color="CCCCCC"/>
              <w:left w:val="single" w:sz="6" w:space="0" w:color="CCCCCC"/>
              <w:bottom w:val="single" w:sz="6" w:space="0" w:color="000000"/>
              <w:right w:val="single" w:sz="6" w:space="0" w:color="000000"/>
            </w:tcBorders>
            <w:shd w:val="clear" w:color="auto" w:fill="EA9999"/>
            <w:tcMar>
              <w:top w:w="40" w:type="dxa"/>
              <w:left w:w="40" w:type="dxa"/>
              <w:bottom w:w="40" w:type="dxa"/>
              <w:right w:w="40" w:type="dxa"/>
            </w:tcMar>
          </w:tcPr>
          <w:p w14:paraId="7293F2DC" w14:textId="77777777" w:rsidR="001F636E" w:rsidRDefault="00000000">
            <w:pPr>
              <w:widowControl w:val="0"/>
              <w:pBdr>
                <w:top w:val="nil"/>
                <w:left w:val="nil"/>
                <w:bottom w:val="nil"/>
                <w:right w:val="nil"/>
                <w:between w:val="nil"/>
              </w:pBdr>
              <w:jc w:val="center"/>
              <w:rPr>
                <w:color w:val="000000"/>
              </w:rPr>
            </w:pPr>
            <w:r>
              <w:rPr>
                <w:b/>
                <w:color w:val="000000"/>
              </w:rPr>
              <w:t>2021</w:t>
            </w:r>
          </w:p>
        </w:tc>
        <w:tc>
          <w:tcPr>
            <w:tcW w:w="2416" w:type="dxa"/>
            <w:tcBorders>
              <w:top w:val="single" w:sz="6" w:space="0" w:color="CCCCCC"/>
              <w:left w:val="single" w:sz="6" w:space="0" w:color="CCCCCC"/>
              <w:bottom w:val="single" w:sz="6" w:space="0" w:color="000000"/>
              <w:right w:val="single" w:sz="6" w:space="0" w:color="000000"/>
            </w:tcBorders>
            <w:shd w:val="clear" w:color="auto" w:fill="EA9999"/>
            <w:tcMar>
              <w:top w:w="40" w:type="dxa"/>
              <w:left w:w="40" w:type="dxa"/>
              <w:bottom w:w="40" w:type="dxa"/>
              <w:right w:w="40" w:type="dxa"/>
            </w:tcMar>
          </w:tcPr>
          <w:p w14:paraId="30D8C953" w14:textId="77777777" w:rsidR="001F636E" w:rsidRDefault="00000000">
            <w:pPr>
              <w:widowControl w:val="0"/>
              <w:pBdr>
                <w:top w:val="nil"/>
                <w:left w:val="nil"/>
                <w:bottom w:val="nil"/>
                <w:right w:val="nil"/>
                <w:between w:val="nil"/>
              </w:pBdr>
              <w:jc w:val="center"/>
              <w:rPr>
                <w:color w:val="000000"/>
              </w:rPr>
            </w:pPr>
            <w:r>
              <w:rPr>
                <w:b/>
                <w:color w:val="000000"/>
              </w:rPr>
              <w:t>2022</w:t>
            </w:r>
          </w:p>
        </w:tc>
        <w:tc>
          <w:tcPr>
            <w:tcW w:w="2716" w:type="dxa"/>
            <w:tcBorders>
              <w:top w:val="single" w:sz="6" w:space="0" w:color="CCCCCC"/>
              <w:left w:val="single" w:sz="6" w:space="0" w:color="CCCCCC"/>
              <w:bottom w:val="single" w:sz="6" w:space="0" w:color="000000"/>
              <w:right w:val="single" w:sz="6" w:space="0" w:color="000000"/>
            </w:tcBorders>
            <w:shd w:val="clear" w:color="auto" w:fill="EA9999"/>
            <w:tcMar>
              <w:top w:w="40" w:type="dxa"/>
              <w:left w:w="40" w:type="dxa"/>
              <w:bottom w:w="40" w:type="dxa"/>
              <w:right w:w="40" w:type="dxa"/>
            </w:tcMar>
          </w:tcPr>
          <w:p w14:paraId="07B0421C" w14:textId="77777777" w:rsidR="001F636E" w:rsidRDefault="00000000">
            <w:pPr>
              <w:widowControl w:val="0"/>
              <w:pBdr>
                <w:top w:val="nil"/>
                <w:left w:val="nil"/>
                <w:bottom w:val="nil"/>
                <w:right w:val="nil"/>
                <w:between w:val="nil"/>
              </w:pBdr>
              <w:jc w:val="center"/>
              <w:rPr>
                <w:color w:val="000000"/>
              </w:rPr>
            </w:pPr>
            <w:r>
              <w:rPr>
                <w:b/>
                <w:color w:val="000000"/>
              </w:rPr>
              <w:t>2023</w:t>
            </w:r>
          </w:p>
        </w:tc>
      </w:tr>
      <w:tr w:rsidR="001F636E" w14:paraId="6C3E047B" w14:textId="77777777">
        <w:trPr>
          <w:trHeight w:val="345"/>
          <w:jc w:val="center"/>
        </w:trPr>
        <w:tc>
          <w:tcPr>
            <w:tcW w:w="2114" w:type="dxa"/>
            <w:tcBorders>
              <w:top w:val="single" w:sz="6" w:space="0" w:color="CCCCCC"/>
              <w:left w:val="single" w:sz="6" w:space="0" w:color="000000"/>
              <w:bottom w:val="single" w:sz="6" w:space="0" w:color="000000"/>
              <w:right w:val="single" w:sz="6" w:space="0" w:color="000000"/>
            </w:tcBorders>
            <w:shd w:val="clear" w:color="auto" w:fill="EA9999"/>
            <w:tcMar>
              <w:top w:w="40" w:type="dxa"/>
              <w:left w:w="40" w:type="dxa"/>
              <w:bottom w:w="40" w:type="dxa"/>
              <w:right w:w="40" w:type="dxa"/>
            </w:tcMar>
          </w:tcPr>
          <w:p w14:paraId="57C6F31C" w14:textId="77777777" w:rsidR="001F636E" w:rsidRDefault="001F636E">
            <w:pPr>
              <w:widowControl w:val="0"/>
              <w:pBdr>
                <w:top w:val="nil"/>
                <w:left w:val="nil"/>
                <w:bottom w:val="nil"/>
                <w:right w:val="nil"/>
                <w:between w:val="nil"/>
              </w:pBdr>
              <w:jc w:val="center"/>
              <w:rPr>
                <w:color w:val="000000"/>
              </w:rPr>
            </w:pPr>
          </w:p>
        </w:tc>
        <w:tc>
          <w:tcPr>
            <w:tcW w:w="2114" w:type="dxa"/>
            <w:tcBorders>
              <w:top w:val="single" w:sz="6" w:space="0" w:color="CCCCCC"/>
              <w:left w:val="single" w:sz="6" w:space="0" w:color="CCCCCC"/>
              <w:bottom w:val="single" w:sz="6" w:space="0" w:color="000000"/>
              <w:right w:val="single" w:sz="6" w:space="0" w:color="000000"/>
            </w:tcBorders>
            <w:shd w:val="clear" w:color="auto" w:fill="EA9999"/>
            <w:tcMar>
              <w:top w:w="40" w:type="dxa"/>
              <w:left w:w="40" w:type="dxa"/>
              <w:bottom w:w="40" w:type="dxa"/>
              <w:right w:w="40" w:type="dxa"/>
            </w:tcMar>
          </w:tcPr>
          <w:p w14:paraId="066953B0" w14:textId="77777777" w:rsidR="001F636E" w:rsidRDefault="00000000">
            <w:pPr>
              <w:widowControl w:val="0"/>
              <w:pBdr>
                <w:top w:val="nil"/>
                <w:left w:val="nil"/>
                <w:bottom w:val="nil"/>
                <w:right w:val="nil"/>
                <w:between w:val="nil"/>
              </w:pBdr>
              <w:jc w:val="center"/>
              <w:rPr>
                <w:color w:val="000000"/>
              </w:rPr>
            </w:pPr>
            <w:r>
              <w:rPr>
                <w:b/>
                <w:color w:val="000000"/>
              </w:rPr>
              <w:t>Amount</w:t>
            </w:r>
          </w:p>
        </w:tc>
        <w:tc>
          <w:tcPr>
            <w:tcW w:w="2416" w:type="dxa"/>
            <w:tcBorders>
              <w:top w:val="single" w:sz="6" w:space="0" w:color="CCCCCC"/>
              <w:left w:val="single" w:sz="6" w:space="0" w:color="CCCCCC"/>
              <w:bottom w:val="single" w:sz="6" w:space="0" w:color="000000"/>
              <w:right w:val="single" w:sz="6" w:space="0" w:color="000000"/>
            </w:tcBorders>
            <w:shd w:val="clear" w:color="auto" w:fill="EA9999"/>
            <w:tcMar>
              <w:top w:w="40" w:type="dxa"/>
              <w:left w:w="40" w:type="dxa"/>
              <w:bottom w:w="40" w:type="dxa"/>
              <w:right w:w="40" w:type="dxa"/>
            </w:tcMar>
          </w:tcPr>
          <w:p w14:paraId="11BC4A9A" w14:textId="77777777" w:rsidR="001F636E" w:rsidRDefault="00000000">
            <w:pPr>
              <w:widowControl w:val="0"/>
              <w:pBdr>
                <w:top w:val="nil"/>
                <w:left w:val="nil"/>
                <w:bottom w:val="nil"/>
                <w:right w:val="nil"/>
                <w:between w:val="nil"/>
              </w:pBdr>
              <w:jc w:val="center"/>
              <w:rPr>
                <w:color w:val="000000"/>
              </w:rPr>
            </w:pPr>
            <w:r>
              <w:rPr>
                <w:b/>
                <w:color w:val="000000"/>
              </w:rPr>
              <w:t>Amount</w:t>
            </w:r>
          </w:p>
        </w:tc>
        <w:tc>
          <w:tcPr>
            <w:tcW w:w="2716" w:type="dxa"/>
            <w:tcBorders>
              <w:top w:val="single" w:sz="6" w:space="0" w:color="CCCCCC"/>
              <w:left w:val="single" w:sz="6" w:space="0" w:color="CCCCCC"/>
              <w:bottom w:val="single" w:sz="6" w:space="0" w:color="000000"/>
              <w:right w:val="single" w:sz="6" w:space="0" w:color="000000"/>
            </w:tcBorders>
            <w:shd w:val="clear" w:color="auto" w:fill="EA9999"/>
            <w:tcMar>
              <w:top w:w="40" w:type="dxa"/>
              <w:left w:w="40" w:type="dxa"/>
              <w:bottom w:w="40" w:type="dxa"/>
              <w:right w:w="40" w:type="dxa"/>
            </w:tcMar>
          </w:tcPr>
          <w:p w14:paraId="7F86AA3E" w14:textId="77777777" w:rsidR="001F636E" w:rsidRDefault="00000000">
            <w:pPr>
              <w:widowControl w:val="0"/>
              <w:pBdr>
                <w:top w:val="nil"/>
                <w:left w:val="nil"/>
                <w:bottom w:val="nil"/>
                <w:right w:val="nil"/>
                <w:between w:val="nil"/>
              </w:pBdr>
              <w:jc w:val="center"/>
              <w:rPr>
                <w:color w:val="000000"/>
              </w:rPr>
            </w:pPr>
            <w:r>
              <w:rPr>
                <w:b/>
                <w:color w:val="000000"/>
              </w:rPr>
              <w:t>Amount</w:t>
            </w:r>
          </w:p>
        </w:tc>
      </w:tr>
      <w:tr w:rsidR="001F636E" w14:paraId="728EBD0F" w14:textId="77777777">
        <w:trPr>
          <w:trHeight w:val="345"/>
          <w:jc w:val="center"/>
        </w:trPr>
        <w:tc>
          <w:tcPr>
            <w:tcW w:w="2114" w:type="dxa"/>
            <w:tcBorders>
              <w:top w:val="single" w:sz="6" w:space="0" w:color="CCCCCC"/>
              <w:left w:val="single" w:sz="6" w:space="0" w:color="000000"/>
              <w:bottom w:val="single" w:sz="6" w:space="0" w:color="000000"/>
              <w:right w:val="single" w:sz="6" w:space="0" w:color="000000"/>
            </w:tcBorders>
            <w:shd w:val="clear" w:color="auto" w:fill="FFF2CC"/>
            <w:tcMar>
              <w:top w:w="40" w:type="dxa"/>
              <w:left w:w="40" w:type="dxa"/>
              <w:bottom w:w="40" w:type="dxa"/>
              <w:right w:w="40" w:type="dxa"/>
            </w:tcMar>
          </w:tcPr>
          <w:p w14:paraId="223EDB8C" w14:textId="77777777" w:rsidR="001F636E" w:rsidRDefault="00000000">
            <w:pPr>
              <w:widowControl w:val="0"/>
              <w:pBdr>
                <w:top w:val="nil"/>
                <w:left w:val="nil"/>
                <w:bottom w:val="nil"/>
                <w:right w:val="nil"/>
                <w:between w:val="nil"/>
              </w:pBdr>
              <w:jc w:val="center"/>
              <w:rPr>
                <w:color w:val="000000"/>
              </w:rPr>
            </w:pPr>
            <w:r>
              <w:rPr>
                <w:color w:val="000000"/>
              </w:rPr>
              <w:t>Total Debt</w:t>
            </w:r>
          </w:p>
        </w:tc>
        <w:tc>
          <w:tcPr>
            <w:tcW w:w="2114"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60793CE2" w14:textId="77777777" w:rsidR="001F636E" w:rsidRDefault="00000000">
            <w:pPr>
              <w:widowControl w:val="0"/>
              <w:pBdr>
                <w:top w:val="nil"/>
                <w:left w:val="nil"/>
                <w:bottom w:val="nil"/>
                <w:right w:val="nil"/>
                <w:between w:val="nil"/>
              </w:pBdr>
              <w:jc w:val="center"/>
              <w:rPr>
                <w:color w:val="000000"/>
              </w:rPr>
            </w:pPr>
            <w:r>
              <w:rPr>
                <w:color w:val="000000"/>
              </w:rPr>
              <w:t>8,513,470</w:t>
            </w:r>
          </w:p>
        </w:tc>
        <w:tc>
          <w:tcPr>
            <w:tcW w:w="2416"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26219EB1" w14:textId="77777777" w:rsidR="001F636E" w:rsidRDefault="00000000">
            <w:pPr>
              <w:widowControl w:val="0"/>
              <w:pBdr>
                <w:top w:val="nil"/>
                <w:left w:val="nil"/>
                <w:bottom w:val="nil"/>
                <w:right w:val="nil"/>
                <w:between w:val="nil"/>
              </w:pBdr>
              <w:jc w:val="center"/>
              <w:rPr>
                <w:color w:val="000000"/>
              </w:rPr>
            </w:pPr>
            <w:r>
              <w:rPr>
                <w:color w:val="000000"/>
              </w:rPr>
              <w:t>11,142,530</w:t>
            </w:r>
          </w:p>
        </w:tc>
        <w:tc>
          <w:tcPr>
            <w:tcW w:w="2716"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72D1B80D" w14:textId="77777777" w:rsidR="001F636E" w:rsidRDefault="00000000">
            <w:pPr>
              <w:widowControl w:val="0"/>
              <w:pBdr>
                <w:top w:val="nil"/>
                <w:left w:val="nil"/>
                <w:bottom w:val="nil"/>
                <w:right w:val="nil"/>
                <w:between w:val="nil"/>
              </w:pBdr>
              <w:jc w:val="center"/>
              <w:rPr>
                <w:color w:val="000000"/>
              </w:rPr>
            </w:pPr>
            <w:r>
              <w:rPr>
                <w:color w:val="000000"/>
              </w:rPr>
              <w:t>12,420,100</w:t>
            </w:r>
          </w:p>
        </w:tc>
      </w:tr>
      <w:tr w:rsidR="001F636E" w14:paraId="140FD4EE" w14:textId="77777777">
        <w:trPr>
          <w:trHeight w:val="345"/>
          <w:jc w:val="center"/>
        </w:trPr>
        <w:tc>
          <w:tcPr>
            <w:tcW w:w="2114" w:type="dxa"/>
            <w:tcBorders>
              <w:top w:val="single" w:sz="6" w:space="0" w:color="CCCCCC"/>
              <w:left w:val="single" w:sz="6" w:space="0" w:color="000000"/>
              <w:bottom w:val="single" w:sz="6" w:space="0" w:color="000000"/>
              <w:right w:val="single" w:sz="6" w:space="0" w:color="000000"/>
            </w:tcBorders>
            <w:shd w:val="clear" w:color="auto" w:fill="FFF2CC"/>
            <w:tcMar>
              <w:top w:w="40" w:type="dxa"/>
              <w:left w:w="40" w:type="dxa"/>
              <w:bottom w:w="40" w:type="dxa"/>
              <w:right w:w="40" w:type="dxa"/>
            </w:tcMar>
          </w:tcPr>
          <w:p w14:paraId="68F7EFB1" w14:textId="77777777" w:rsidR="001F636E" w:rsidRDefault="00000000">
            <w:pPr>
              <w:widowControl w:val="0"/>
              <w:pBdr>
                <w:top w:val="nil"/>
                <w:left w:val="nil"/>
                <w:bottom w:val="nil"/>
                <w:right w:val="nil"/>
                <w:between w:val="nil"/>
              </w:pBdr>
              <w:jc w:val="center"/>
              <w:rPr>
                <w:color w:val="000000"/>
              </w:rPr>
            </w:pPr>
            <w:r>
              <w:rPr>
                <w:color w:val="000000"/>
              </w:rPr>
              <w:t>Total assets</w:t>
            </w:r>
          </w:p>
        </w:tc>
        <w:tc>
          <w:tcPr>
            <w:tcW w:w="2114"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0AB35443" w14:textId="77777777" w:rsidR="001F636E" w:rsidRDefault="00000000">
            <w:pPr>
              <w:widowControl w:val="0"/>
              <w:pBdr>
                <w:top w:val="nil"/>
                <w:left w:val="nil"/>
                <w:bottom w:val="nil"/>
                <w:right w:val="nil"/>
                <w:between w:val="nil"/>
              </w:pBdr>
              <w:jc w:val="center"/>
              <w:rPr>
                <w:color w:val="000000"/>
              </w:rPr>
            </w:pPr>
            <w:r>
              <w:rPr>
                <w:color w:val="000000"/>
              </w:rPr>
              <w:t>12,941,110</w:t>
            </w:r>
          </w:p>
        </w:tc>
        <w:tc>
          <w:tcPr>
            <w:tcW w:w="2416"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1CB44497" w14:textId="77777777" w:rsidR="001F636E" w:rsidRDefault="00000000">
            <w:pPr>
              <w:widowControl w:val="0"/>
              <w:pBdr>
                <w:top w:val="nil"/>
                <w:left w:val="nil"/>
                <w:bottom w:val="nil"/>
                <w:right w:val="nil"/>
                <w:between w:val="nil"/>
              </w:pBdr>
              <w:jc w:val="center"/>
              <w:rPr>
                <w:color w:val="000000"/>
              </w:rPr>
            </w:pPr>
            <w:r>
              <w:rPr>
                <w:color w:val="000000"/>
              </w:rPr>
              <w:t>15,921,080</w:t>
            </w:r>
          </w:p>
        </w:tc>
        <w:tc>
          <w:tcPr>
            <w:tcW w:w="2716"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4AB81BD0" w14:textId="77777777" w:rsidR="001F636E" w:rsidRDefault="00000000">
            <w:pPr>
              <w:widowControl w:val="0"/>
              <w:pBdr>
                <w:top w:val="nil"/>
                <w:left w:val="nil"/>
                <w:bottom w:val="nil"/>
                <w:right w:val="nil"/>
                <w:between w:val="nil"/>
              </w:pBdr>
              <w:jc w:val="center"/>
              <w:rPr>
                <w:color w:val="000000"/>
              </w:rPr>
            </w:pPr>
            <w:r>
              <w:rPr>
                <w:color w:val="000000"/>
              </w:rPr>
              <w:t>15,653,970</w:t>
            </w:r>
          </w:p>
        </w:tc>
      </w:tr>
      <w:tr w:rsidR="001F636E" w14:paraId="0FCD10B5" w14:textId="77777777">
        <w:trPr>
          <w:trHeight w:val="615"/>
          <w:jc w:val="center"/>
        </w:trPr>
        <w:tc>
          <w:tcPr>
            <w:tcW w:w="2114" w:type="dxa"/>
            <w:tcBorders>
              <w:top w:val="single" w:sz="6" w:space="0" w:color="CCCCCC"/>
              <w:left w:val="single" w:sz="6" w:space="0" w:color="000000"/>
              <w:bottom w:val="single" w:sz="6" w:space="0" w:color="000000"/>
              <w:right w:val="single" w:sz="6" w:space="0" w:color="000000"/>
            </w:tcBorders>
            <w:shd w:val="clear" w:color="auto" w:fill="FFF2CC"/>
            <w:tcMar>
              <w:top w:w="40" w:type="dxa"/>
              <w:left w:w="40" w:type="dxa"/>
              <w:bottom w:w="40" w:type="dxa"/>
              <w:right w:w="40" w:type="dxa"/>
            </w:tcMar>
          </w:tcPr>
          <w:p w14:paraId="3E68642F" w14:textId="77777777" w:rsidR="001F636E" w:rsidRDefault="00000000">
            <w:pPr>
              <w:widowControl w:val="0"/>
              <w:pBdr>
                <w:top w:val="nil"/>
                <w:left w:val="nil"/>
                <w:bottom w:val="nil"/>
                <w:right w:val="nil"/>
                <w:between w:val="nil"/>
              </w:pBdr>
              <w:jc w:val="center"/>
              <w:rPr>
                <w:color w:val="000000"/>
              </w:rPr>
            </w:pPr>
            <w:r>
              <w:rPr>
                <w:b/>
                <w:color w:val="000000"/>
              </w:rPr>
              <w:t>Total Debt / Total Assets</w:t>
            </w:r>
          </w:p>
        </w:tc>
        <w:tc>
          <w:tcPr>
            <w:tcW w:w="2114"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45D841FB" w14:textId="77777777" w:rsidR="001F636E" w:rsidRDefault="00000000">
            <w:pPr>
              <w:widowControl w:val="0"/>
              <w:pBdr>
                <w:top w:val="nil"/>
                <w:left w:val="nil"/>
                <w:bottom w:val="nil"/>
                <w:right w:val="nil"/>
                <w:between w:val="nil"/>
              </w:pBdr>
              <w:jc w:val="center"/>
              <w:rPr>
                <w:color w:val="000000"/>
              </w:rPr>
            </w:pPr>
            <w:r>
              <w:rPr>
                <w:b/>
                <w:color w:val="000000"/>
              </w:rPr>
              <w:t>0.66</w:t>
            </w:r>
          </w:p>
        </w:tc>
        <w:tc>
          <w:tcPr>
            <w:tcW w:w="2416"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14680B09" w14:textId="77777777" w:rsidR="001F636E" w:rsidRDefault="00000000">
            <w:pPr>
              <w:widowControl w:val="0"/>
              <w:pBdr>
                <w:top w:val="nil"/>
                <w:left w:val="nil"/>
                <w:bottom w:val="nil"/>
                <w:right w:val="nil"/>
                <w:between w:val="nil"/>
              </w:pBdr>
              <w:jc w:val="center"/>
              <w:rPr>
                <w:color w:val="000000"/>
              </w:rPr>
            </w:pPr>
            <w:r>
              <w:rPr>
                <w:b/>
                <w:color w:val="000000"/>
              </w:rPr>
              <w:t>0.70</w:t>
            </w:r>
          </w:p>
        </w:tc>
        <w:tc>
          <w:tcPr>
            <w:tcW w:w="2716"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767C0B5E" w14:textId="77777777" w:rsidR="001F636E" w:rsidRDefault="00000000">
            <w:pPr>
              <w:widowControl w:val="0"/>
              <w:pBdr>
                <w:top w:val="nil"/>
                <w:left w:val="nil"/>
                <w:bottom w:val="nil"/>
                <w:right w:val="nil"/>
                <w:between w:val="nil"/>
              </w:pBdr>
              <w:jc w:val="center"/>
              <w:rPr>
                <w:color w:val="000000"/>
              </w:rPr>
            </w:pPr>
            <w:r>
              <w:rPr>
                <w:b/>
                <w:color w:val="000000"/>
              </w:rPr>
              <w:t>0.79</w:t>
            </w:r>
          </w:p>
        </w:tc>
      </w:tr>
      <w:tr w:rsidR="001F636E" w14:paraId="21B8FD31" w14:textId="77777777">
        <w:trPr>
          <w:trHeight w:val="345"/>
          <w:jc w:val="center"/>
        </w:trPr>
        <w:tc>
          <w:tcPr>
            <w:tcW w:w="9360" w:type="dxa"/>
            <w:gridSpan w:val="4"/>
            <w:tcBorders>
              <w:top w:val="single" w:sz="6" w:space="0" w:color="000000"/>
              <w:left w:val="single" w:sz="6" w:space="0" w:color="000000"/>
              <w:bottom w:val="single" w:sz="6" w:space="0" w:color="000000"/>
              <w:right w:val="single" w:sz="6" w:space="0" w:color="000000"/>
            </w:tcBorders>
            <w:shd w:val="clear" w:color="auto" w:fill="EA9999"/>
            <w:tcMar>
              <w:top w:w="40" w:type="dxa"/>
              <w:left w:w="40" w:type="dxa"/>
              <w:bottom w:w="40" w:type="dxa"/>
              <w:right w:w="40" w:type="dxa"/>
            </w:tcMar>
          </w:tcPr>
          <w:p w14:paraId="4906B776" w14:textId="77777777" w:rsidR="001F636E" w:rsidRDefault="00000000">
            <w:pPr>
              <w:widowControl w:val="0"/>
              <w:pBdr>
                <w:top w:val="nil"/>
                <w:left w:val="nil"/>
                <w:bottom w:val="nil"/>
                <w:right w:val="nil"/>
                <w:between w:val="nil"/>
              </w:pBdr>
              <w:jc w:val="center"/>
              <w:rPr>
                <w:color w:val="000000"/>
              </w:rPr>
            </w:pPr>
            <w:r>
              <w:rPr>
                <w:b/>
                <w:color w:val="000000"/>
              </w:rPr>
              <w:t>Calculation for Debt to Equity</w:t>
            </w:r>
          </w:p>
        </w:tc>
      </w:tr>
      <w:tr w:rsidR="001F636E" w14:paraId="53A292B6" w14:textId="77777777">
        <w:trPr>
          <w:trHeight w:val="345"/>
          <w:jc w:val="center"/>
        </w:trPr>
        <w:tc>
          <w:tcPr>
            <w:tcW w:w="2114" w:type="dxa"/>
            <w:tcBorders>
              <w:top w:val="single" w:sz="6" w:space="0" w:color="CCCCCC"/>
              <w:left w:val="single" w:sz="6" w:space="0" w:color="000000"/>
              <w:bottom w:val="single" w:sz="6" w:space="0" w:color="000000"/>
              <w:right w:val="single" w:sz="6" w:space="0" w:color="000000"/>
            </w:tcBorders>
            <w:shd w:val="clear" w:color="auto" w:fill="EA9999"/>
            <w:tcMar>
              <w:top w:w="40" w:type="dxa"/>
              <w:left w:w="40" w:type="dxa"/>
              <w:bottom w:w="40" w:type="dxa"/>
              <w:right w:w="40" w:type="dxa"/>
            </w:tcMar>
          </w:tcPr>
          <w:p w14:paraId="50D5F3AD" w14:textId="77777777" w:rsidR="001F636E" w:rsidRDefault="00000000">
            <w:pPr>
              <w:widowControl w:val="0"/>
              <w:pBdr>
                <w:top w:val="nil"/>
                <w:left w:val="nil"/>
                <w:bottom w:val="nil"/>
                <w:right w:val="nil"/>
                <w:between w:val="nil"/>
              </w:pBdr>
              <w:jc w:val="center"/>
              <w:rPr>
                <w:color w:val="000000"/>
              </w:rPr>
            </w:pPr>
            <w:r>
              <w:rPr>
                <w:b/>
                <w:color w:val="000000"/>
              </w:rPr>
              <w:t>Particulars</w:t>
            </w:r>
          </w:p>
        </w:tc>
        <w:tc>
          <w:tcPr>
            <w:tcW w:w="2114" w:type="dxa"/>
            <w:tcBorders>
              <w:top w:val="single" w:sz="6" w:space="0" w:color="CCCCCC"/>
              <w:left w:val="single" w:sz="6" w:space="0" w:color="CCCCCC"/>
              <w:bottom w:val="single" w:sz="6" w:space="0" w:color="000000"/>
              <w:right w:val="single" w:sz="6" w:space="0" w:color="000000"/>
            </w:tcBorders>
            <w:shd w:val="clear" w:color="auto" w:fill="EA9999"/>
            <w:tcMar>
              <w:top w:w="40" w:type="dxa"/>
              <w:left w:w="40" w:type="dxa"/>
              <w:bottom w:w="40" w:type="dxa"/>
              <w:right w:w="40" w:type="dxa"/>
            </w:tcMar>
          </w:tcPr>
          <w:p w14:paraId="3AF21A80" w14:textId="77777777" w:rsidR="001F636E" w:rsidRDefault="00000000">
            <w:pPr>
              <w:widowControl w:val="0"/>
              <w:pBdr>
                <w:top w:val="nil"/>
                <w:left w:val="nil"/>
                <w:bottom w:val="nil"/>
                <w:right w:val="nil"/>
                <w:between w:val="nil"/>
              </w:pBdr>
              <w:jc w:val="center"/>
              <w:rPr>
                <w:color w:val="000000"/>
              </w:rPr>
            </w:pPr>
            <w:r>
              <w:rPr>
                <w:b/>
                <w:color w:val="000000"/>
              </w:rPr>
              <w:t>2021</w:t>
            </w:r>
          </w:p>
        </w:tc>
        <w:tc>
          <w:tcPr>
            <w:tcW w:w="2416" w:type="dxa"/>
            <w:tcBorders>
              <w:top w:val="single" w:sz="6" w:space="0" w:color="CCCCCC"/>
              <w:left w:val="single" w:sz="6" w:space="0" w:color="CCCCCC"/>
              <w:bottom w:val="single" w:sz="6" w:space="0" w:color="000000"/>
              <w:right w:val="single" w:sz="6" w:space="0" w:color="000000"/>
            </w:tcBorders>
            <w:shd w:val="clear" w:color="auto" w:fill="EA9999"/>
            <w:tcMar>
              <w:top w:w="40" w:type="dxa"/>
              <w:left w:w="40" w:type="dxa"/>
              <w:bottom w:w="40" w:type="dxa"/>
              <w:right w:w="40" w:type="dxa"/>
            </w:tcMar>
          </w:tcPr>
          <w:p w14:paraId="74EF747E" w14:textId="77777777" w:rsidR="001F636E" w:rsidRDefault="00000000">
            <w:pPr>
              <w:widowControl w:val="0"/>
              <w:pBdr>
                <w:top w:val="nil"/>
                <w:left w:val="nil"/>
                <w:bottom w:val="nil"/>
                <w:right w:val="nil"/>
                <w:between w:val="nil"/>
              </w:pBdr>
              <w:jc w:val="center"/>
              <w:rPr>
                <w:color w:val="000000"/>
              </w:rPr>
            </w:pPr>
            <w:r>
              <w:rPr>
                <w:b/>
                <w:color w:val="000000"/>
              </w:rPr>
              <w:t>2022</w:t>
            </w:r>
          </w:p>
        </w:tc>
        <w:tc>
          <w:tcPr>
            <w:tcW w:w="2716" w:type="dxa"/>
            <w:tcBorders>
              <w:top w:val="single" w:sz="6" w:space="0" w:color="CCCCCC"/>
              <w:left w:val="single" w:sz="6" w:space="0" w:color="CCCCCC"/>
              <w:bottom w:val="single" w:sz="6" w:space="0" w:color="000000"/>
              <w:right w:val="single" w:sz="6" w:space="0" w:color="000000"/>
            </w:tcBorders>
            <w:shd w:val="clear" w:color="auto" w:fill="EA9999"/>
            <w:tcMar>
              <w:top w:w="40" w:type="dxa"/>
              <w:left w:w="40" w:type="dxa"/>
              <w:bottom w:w="40" w:type="dxa"/>
              <w:right w:w="40" w:type="dxa"/>
            </w:tcMar>
          </w:tcPr>
          <w:p w14:paraId="2154F75E" w14:textId="77777777" w:rsidR="001F636E" w:rsidRDefault="00000000">
            <w:pPr>
              <w:widowControl w:val="0"/>
              <w:pBdr>
                <w:top w:val="nil"/>
                <w:left w:val="nil"/>
                <w:bottom w:val="nil"/>
                <w:right w:val="nil"/>
                <w:between w:val="nil"/>
              </w:pBdr>
              <w:jc w:val="center"/>
              <w:rPr>
                <w:color w:val="000000"/>
              </w:rPr>
            </w:pPr>
            <w:r>
              <w:rPr>
                <w:b/>
                <w:color w:val="000000"/>
              </w:rPr>
              <w:t>2023</w:t>
            </w:r>
          </w:p>
        </w:tc>
      </w:tr>
      <w:tr w:rsidR="001F636E" w14:paraId="140F5F8B" w14:textId="77777777">
        <w:trPr>
          <w:trHeight w:val="345"/>
          <w:jc w:val="center"/>
        </w:trPr>
        <w:tc>
          <w:tcPr>
            <w:tcW w:w="2114" w:type="dxa"/>
            <w:tcBorders>
              <w:top w:val="single" w:sz="6" w:space="0" w:color="CCCCCC"/>
              <w:left w:val="single" w:sz="6" w:space="0" w:color="000000"/>
              <w:bottom w:val="single" w:sz="6" w:space="0" w:color="000000"/>
              <w:right w:val="single" w:sz="6" w:space="0" w:color="000000"/>
            </w:tcBorders>
            <w:shd w:val="clear" w:color="auto" w:fill="EA9999"/>
            <w:tcMar>
              <w:top w:w="40" w:type="dxa"/>
              <w:left w:w="40" w:type="dxa"/>
              <w:bottom w:w="40" w:type="dxa"/>
              <w:right w:w="40" w:type="dxa"/>
            </w:tcMar>
          </w:tcPr>
          <w:p w14:paraId="1EE3277C" w14:textId="77777777" w:rsidR="001F636E" w:rsidRDefault="001F636E">
            <w:pPr>
              <w:widowControl w:val="0"/>
              <w:pBdr>
                <w:top w:val="nil"/>
                <w:left w:val="nil"/>
                <w:bottom w:val="nil"/>
                <w:right w:val="nil"/>
                <w:between w:val="nil"/>
              </w:pBdr>
              <w:jc w:val="center"/>
              <w:rPr>
                <w:color w:val="000000"/>
              </w:rPr>
            </w:pPr>
          </w:p>
        </w:tc>
        <w:tc>
          <w:tcPr>
            <w:tcW w:w="2114" w:type="dxa"/>
            <w:tcBorders>
              <w:top w:val="single" w:sz="6" w:space="0" w:color="CCCCCC"/>
              <w:left w:val="single" w:sz="6" w:space="0" w:color="CCCCCC"/>
              <w:bottom w:val="single" w:sz="6" w:space="0" w:color="000000"/>
              <w:right w:val="single" w:sz="6" w:space="0" w:color="000000"/>
            </w:tcBorders>
            <w:shd w:val="clear" w:color="auto" w:fill="EA9999"/>
            <w:tcMar>
              <w:top w:w="40" w:type="dxa"/>
              <w:left w:w="40" w:type="dxa"/>
              <w:bottom w:w="40" w:type="dxa"/>
              <w:right w:w="40" w:type="dxa"/>
            </w:tcMar>
          </w:tcPr>
          <w:p w14:paraId="0B6E91F2" w14:textId="77777777" w:rsidR="001F636E" w:rsidRDefault="00000000">
            <w:pPr>
              <w:widowControl w:val="0"/>
              <w:pBdr>
                <w:top w:val="nil"/>
                <w:left w:val="nil"/>
                <w:bottom w:val="nil"/>
                <w:right w:val="nil"/>
                <w:between w:val="nil"/>
              </w:pBdr>
              <w:jc w:val="center"/>
              <w:rPr>
                <w:color w:val="000000"/>
              </w:rPr>
            </w:pPr>
            <w:r>
              <w:rPr>
                <w:b/>
                <w:color w:val="000000"/>
              </w:rPr>
              <w:t>Amount</w:t>
            </w:r>
          </w:p>
        </w:tc>
        <w:tc>
          <w:tcPr>
            <w:tcW w:w="2416" w:type="dxa"/>
            <w:tcBorders>
              <w:top w:val="single" w:sz="6" w:space="0" w:color="CCCCCC"/>
              <w:left w:val="single" w:sz="6" w:space="0" w:color="CCCCCC"/>
              <w:bottom w:val="single" w:sz="6" w:space="0" w:color="000000"/>
              <w:right w:val="single" w:sz="6" w:space="0" w:color="000000"/>
            </w:tcBorders>
            <w:shd w:val="clear" w:color="auto" w:fill="EA9999"/>
            <w:tcMar>
              <w:top w:w="40" w:type="dxa"/>
              <w:left w:w="40" w:type="dxa"/>
              <w:bottom w:w="40" w:type="dxa"/>
              <w:right w:w="40" w:type="dxa"/>
            </w:tcMar>
          </w:tcPr>
          <w:p w14:paraId="2BE1B8D9" w14:textId="77777777" w:rsidR="001F636E" w:rsidRDefault="00000000">
            <w:pPr>
              <w:widowControl w:val="0"/>
              <w:pBdr>
                <w:top w:val="nil"/>
                <w:left w:val="nil"/>
                <w:bottom w:val="nil"/>
                <w:right w:val="nil"/>
                <w:between w:val="nil"/>
              </w:pBdr>
              <w:jc w:val="center"/>
              <w:rPr>
                <w:color w:val="000000"/>
              </w:rPr>
            </w:pPr>
            <w:r>
              <w:rPr>
                <w:b/>
                <w:color w:val="000000"/>
              </w:rPr>
              <w:t>Amount</w:t>
            </w:r>
          </w:p>
        </w:tc>
        <w:tc>
          <w:tcPr>
            <w:tcW w:w="2716" w:type="dxa"/>
            <w:tcBorders>
              <w:top w:val="single" w:sz="6" w:space="0" w:color="CCCCCC"/>
              <w:left w:val="single" w:sz="6" w:space="0" w:color="CCCCCC"/>
              <w:bottom w:val="single" w:sz="6" w:space="0" w:color="000000"/>
              <w:right w:val="single" w:sz="6" w:space="0" w:color="000000"/>
            </w:tcBorders>
            <w:shd w:val="clear" w:color="auto" w:fill="EA9999"/>
            <w:tcMar>
              <w:top w:w="40" w:type="dxa"/>
              <w:left w:w="40" w:type="dxa"/>
              <w:bottom w:w="40" w:type="dxa"/>
              <w:right w:w="40" w:type="dxa"/>
            </w:tcMar>
          </w:tcPr>
          <w:p w14:paraId="0D7D1EB3" w14:textId="77777777" w:rsidR="001F636E" w:rsidRDefault="00000000">
            <w:pPr>
              <w:widowControl w:val="0"/>
              <w:pBdr>
                <w:top w:val="nil"/>
                <w:left w:val="nil"/>
                <w:bottom w:val="nil"/>
                <w:right w:val="nil"/>
                <w:between w:val="nil"/>
              </w:pBdr>
              <w:jc w:val="center"/>
              <w:rPr>
                <w:color w:val="000000"/>
              </w:rPr>
            </w:pPr>
            <w:r>
              <w:rPr>
                <w:b/>
                <w:color w:val="000000"/>
              </w:rPr>
              <w:t>Amount</w:t>
            </w:r>
          </w:p>
        </w:tc>
      </w:tr>
      <w:tr w:rsidR="001F636E" w14:paraId="56E7CD7C" w14:textId="77777777">
        <w:trPr>
          <w:trHeight w:val="345"/>
          <w:jc w:val="center"/>
        </w:trPr>
        <w:tc>
          <w:tcPr>
            <w:tcW w:w="2114" w:type="dxa"/>
            <w:tcBorders>
              <w:top w:val="single" w:sz="6" w:space="0" w:color="CCCCCC"/>
              <w:left w:val="single" w:sz="6" w:space="0" w:color="000000"/>
              <w:bottom w:val="single" w:sz="6" w:space="0" w:color="000000"/>
              <w:right w:val="single" w:sz="6" w:space="0" w:color="000000"/>
            </w:tcBorders>
            <w:shd w:val="clear" w:color="auto" w:fill="FFF2CC"/>
            <w:tcMar>
              <w:top w:w="40" w:type="dxa"/>
              <w:left w:w="40" w:type="dxa"/>
              <w:bottom w:w="40" w:type="dxa"/>
              <w:right w:w="40" w:type="dxa"/>
            </w:tcMar>
          </w:tcPr>
          <w:p w14:paraId="2CD118E9" w14:textId="77777777" w:rsidR="001F636E" w:rsidRDefault="00000000">
            <w:pPr>
              <w:widowControl w:val="0"/>
              <w:pBdr>
                <w:top w:val="nil"/>
                <w:left w:val="nil"/>
                <w:bottom w:val="nil"/>
                <w:right w:val="nil"/>
                <w:between w:val="nil"/>
              </w:pBdr>
              <w:jc w:val="center"/>
              <w:rPr>
                <w:color w:val="000000"/>
              </w:rPr>
            </w:pPr>
            <w:r>
              <w:rPr>
                <w:color w:val="000000"/>
              </w:rPr>
              <w:t>Total Debt</w:t>
            </w:r>
          </w:p>
        </w:tc>
        <w:tc>
          <w:tcPr>
            <w:tcW w:w="2114"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6CB56C12" w14:textId="77777777" w:rsidR="001F636E" w:rsidRDefault="00000000">
            <w:pPr>
              <w:widowControl w:val="0"/>
              <w:pBdr>
                <w:top w:val="nil"/>
                <w:left w:val="nil"/>
                <w:bottom w:val="nil"/>
                <w:right w:val="nil"/>
                <w:between w:val="nil"/>
              </w:pBdr>
              <w:jc w:val="center"/>
              <w:rPr>
                <w:color w:val="000000"/>
              </w:rPr>
            </w:pPr>
            <w:r>
              <w:rPr>
                <w:color w:val="000000"/>
              </w:rPr>
              <w:t>8,513,470</w:t>
            </w:r>
          </w:p>
        </w:tc>
        <w:tc>
          <w:tcPr>
            <w:tcW w:w="2416"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06FFEF0B" w14:textId="77777777" w:rsidR="001F636E" w:rsidRDefault="00000000">
            <w:pPr>
              <w:widowControl w:val="0"/>
              <w:pBdr>
                <w:top w:val="nil"/>
                <w:left w:val="nil"/>
                <w:bottom w:val="nil"/>
                <w:right w:val="nil"/>
                <w:between w:val="nil"/>
              </w:pBdr>
              <w:jc w:val="center"/>
              <w:rPr>
                <w:color w:val="000000"/>
              </w:rPr>
            </w:pPr>
            <w:r>
              <w:rPr>
                <w:color w:val="000000"/>
              </w:rPr>
              <w:t>11,142,530</w:t>
            </w:r>
          </w:p>
        </w:tc>
        <w:tc>
          <w:tcPr>
            <w:tcW w:w="2716"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23824041" w14:textId="77777777" w:rsidR="001F636E" w:rsidRDefault="00000000">
            <w:pPr>
              <w:widowControl w:val="0"/>
              <w:pBdr>
                <w:top w:val="nil"/>
                <w:left w:val="nil"/>
                <w:bottom w:val="nil"/>
                <w:right w:val="nil"/>
                <w:between w:val="nil"/>
              </w:pBdr>
              <w:jc w:val="center"/>
              <w:rPr>
                <w:color w:val="000000"/>
              </w:rPr>
            </w:pPr>
            <w:r>
              <w:rPr>
                <w:color w:val="000000"/>
              </w:rPr>
              <w:t>12,420,100</w:t>
            </w:r>
          </w:p>
        </w:tc>
      </w:tr>
      <w:tr w:rsidR="001F636E" w14:paraId="5BF1B8C8" w14:textId="77777777">
        <w:trPr>
          <w:trHeight w:val="345"/>
          <w:jc w:val="center"/>
        </w:trPr>
        <w:tc>
          <w:tcPr>
            <w:tcW w:w="2114" w:type="dxa"/>
            <w:tcBorders>
              <w:top w:val="single" w:sz="6" w:space="0" w:color="CCCCCC"/>
              <w:left w:val="single" w:sz="6" w:space="0" w:color="000000"/>
              <w:bottom w:val="single" w:sz="6" w:space="0" w:color="000000"/>
              <w:right w:val="single" w:sz="6" w:space="0" w:color="000000"/>
            </w:tcBorders>
            <w:shd w:val="clear" w:color="auto" w:fill="FFF2CC"/>
            <w:tcMar>
              <w:top w:w="40" w:type="dxa"/>
              <w:left w:w="40" w:type="dxa"/>
              <w:bottom w:w="40" w:type="dxa"/>
              <w:right w:w="40" w:type="dxa"/>
            </w:tcMar>
          </w:tcPr>
          <w:p w14:paraId="15C30004" w14:textId="77777777" w:rsidR="001F636E" w:rsidRDefault="00000000">
            <w:pPr>
              <w:widowControl w:val="0"/>
              <w:pBdr>
                <w:top w:val="nil"/>
                <w:left w:val="nil"/>
                <w:bottom w:val="nil"/>
                <w:right w:val="nil"/>
                <w:between w:val="nil"/>
              </w:pBdr>
              <w:jc w:val="center"/>
              <w:rPr>
                <w:color w:val="000000"/>
              </w:rPr>
            </w:pPr>
            <w:r>
              <w:rPr>
                <w:color w:val="000000"/>
              </w:rPr>
              <w:t>Total Equity</w:t>
            </w:r>
          </w:p>
        </w:tc>
        <w:tc>
          <w:tcPr>
            <w:tcW w:w="2114"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74E4577E" w14:textId="77777777" w:rsidR="001F636E" w:rsidRDefault="00000000">
            <w:pPr>
              <w:widowControl w:val="0"/>
              <w:pBdr>
                <w:top w:val="nil"/>
                <w:left w:val="nil"/>
                <w:bottom w:val="nil"/>
                <w:right w:val="nil"/>
                <w:between w:val="nil"/>
              </w:pBdr>
              <w:jc w:val="center"/>
              <w:rPr>
                <w:color w:val="000000"/>
              </w:rPr>
            </w:pPr>
            <w:r>
              <w:rPr>
                <w:color w:val="000000"/>
              </w:rPr>
              <w:t>2,256,180</w:t>
            </w:r>
          </w:p>
        </w:tc>
        <w:tc>
          <w:tcPr>
            <w:tcW w:w="2416"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76FD65E5" w14:textId="77777777" w:rsidR="001F636E" w:rsidRDefault="00000000">
            <w:pPr>
              <w:widowControl w:val="0"/>
              <w:pBdr>
                <w:top w:val="nil"/>
                <w:left w:val="nil"/>
                <w:bottom w:val="nil"/>
                <w:right w:val="nil"/>
                <w:between w:val="nil"/>
              </w:pBdr>
              <w:jc w:val="center"/>
              <w:rPr>
                <w:color w:val="000000"/>
              </w:rPr>
            </w:pPr>
            <w:r>
              <w:rPr>
                <w:color w:val="000000"/>
              </w:rPr>
              <w:t>2,583,030</w:t>
            </w:r>
          </w:p>
        </w:tc>
        <w:tc>
          <w:tcPr>
            <w:tcW w:w="2716"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723AFC66" w14:textId="77777777" w:rsidR="001F636E" w:rsidRDefault="00000000">
            <w:pPr>
              <w:widowControl w:val="0"/>
              <w:pBdr>
                <w:top w:val="nil"/>
                <w:left w:val="nil"/>
                <w:bottom w:val="nil"/>
                <w:right w:val="nil"/>
                <w:between w:val="nil"/>
              </w:pBdr>
              <w:jc w:val="center"/>
              <w:rPr>
                <w:color w:val="000000"/>
              </w:rPr>
            </w:pPr>
            <w:r>
              <w:rPr>
                <w:color w:val="000000"/>
              </w:rPr>
              <w:t>1,410,580</w:t>
            </w:r>
          </w:p>
        </w:tc>
      </w:tr>
      <w:tr w:rsidR="001F636E" w14:paraId="1C9983E8" w14:textId="77777777">
        <w:trPr>
          <w:trHeight w:val="615"/>
          <w:jc w:val="center"/>
        </w:trPr>
        <w:tc>
          <w:tcPr>
            <w:tcW w:w="2114" w:type="dxa"/>
            <w:tcBorders>
              <w:top w:val="single" w:sz="6" w:space="0" w:color="CCCCCC"/>
              <w:left w:val="single" w:sz="6" w:space="0" w:color="000000"/>
              <w:bottom w:val="single" w:sz="6" w:space="0" w:color="000000"/>
              <w:right w:val="single" w:sz="6" w:space="0" w:color="000000"/>
            </w:tcBorders>
            <w:shd w:val="clear" w:color="auto" w:fill="FFF2CC"/>
            <w:tcMar>
              <w:top w:w="40" w:type="dxa"/>
              <w:left w:w="0" w:type="dxa"/>
              <w:bottom w:w="40" w:type="dxa"/>
              <w:right w:w="0" w:type="dxa"/>
            </w:tcMar>
          </w:tcPr>
          <w:p w14:paraId="634AC7DE" w14:textId="77777777" w:rsidR="001F636E" w:rsidRDefault="00000000">
            <w:pPr>
              <w:widowControl w:val="0"/>
              <w:pBdr>
                <w:top w:val="nil"/>
                <w:left w:val="nil"/>
                <w:bottom w:val="nil"/>
                <w:right w:val="nil"/>
                <w:between w:val="nil"/>
              </w:pBdr>
              <w:ind w:left="-12000" w:right="-12000"/>
              <w:jc w:val="center"/>
              <w:rPr>
                <w:b/>
                <w:color w:val="000000"/>
              </w:rPr>
            </w:pPr>
            <w:r>
              <w:rPr>
                <w:b/>
                <w:color w:val="000000"/>
              </w:rPr>
              <w:t>Total Equity/</w:t>
            </w:r>
          </w:p>
          <w:p w14:paraId="46E2691D" w14:textId="77777777" w:rsidR="001F636E" w:rsidRDefault="00000000">
            <w:pPr>
              <w:widowControl w:val="0"/>
              <w:pBdr>
                <w:top w:val="nil"/>
                <w:left w:val="nil"/>
                <w:bottom w:val="nil"/>
                <w:right w:val="nil"/>
                <w:between w:val="nil"/>
              </w:pBdr>
              <w:ind w:left="-12000" w:right="-12000"/>
              <w:jc w:val="center"/>
              <w:rPr>
                <w:b/>
                <w:color w:val="000000"/>
              </w:rPr>
            </w:pPr>
            <w:r>
              <w:rPr>
                <w:b/>
                <w:color w:val="000000"/>
              </w:rPr>
              <w:t>Total Debt</w:t>
            </w:r>
          </w:p>
        </w:tc>
        <w:tc>
          <w:tcPr>
            <w:tcW w:w="2114"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76E752BA" w14:textId="77777777" w:rsidR="001F636E" w:rsidRDefault="00000000">
            <w:pPr>
              <w:widowControl w:val="0"/>
              <w:pBdr>
                <w:top w:val="nil"/>
                <w:left w:val="nil"/>
                <w:bottom w:val="nil"/>
                <w:right w:val="nil"/>
                <w:between w:val="nil"/>
              </w:pBdr>
              <w:jc w:val="center"/>
              <w:rPr>
                <w:color w:val="000000"/>
              </w:rPr>
            </w:pPr>
            <w:r>
              <w:rPr>
                <w:b/>
                <w:color w:val="000000"/>
              </w:rPr>
              <w:t>0.27</w:t>
            </w:r>
          </w:p>
        </w:tc>
        <w:tc>
          <w:tcPr>
            <w:tcW w:w="2416"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235D9791" w14:textId="77777777" w:rsidR="001F636E" w:rsidRDefault="00000000">
            <w:pPr>
              <w:widowControl w:val="0"/>
              <w:pBdr>
                <w:top w:val="nil"/>
                <w:left w:val="nil"/>
                <w:bottom w:val="nil"/>
                <w:right w:val="nil"/>
                <w:between w:val="nil"/>
              </w:pBdr>
              <w:jc w:val="center"/>
              <w:rPr>
                <w:color w:val="000000"/>
              </w:rPr>
            </w:pPr>
            <w:r>
              <w:rPr>
                <w:b/>
                <w:color w:val="000000"/>
              </w:rPr>
              <w:t>0.23</w:t>
            </w:r>
          </w:p>
        </w:tc>
        <w:tc>
          <w:tcPr>
            <w:tcW w:w="2716"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tcPr>
          <w:p w14:paraId="588C6207" w14:textId="77777777" w:rsidR="001F636E" w:rsidRDefault="00000000">
            <w:pPr>
              <w:widowControl w:val="0"/>
              <w:pBdr>
                <w:top w:val="nil"/>
                <w:left w:val="nil"/>
                <w:bottom w:val="nil"/>
                <w:right w:val="nil"/>
                <w:between w:val="nil"/>
              </w:pBdr>
              <w:jc w:val="center"/>
              <w:rPr>
                <w:color w:val="000000"/>
              </w:rPr>
            </w:pPr>
            <w:r>
              <w:rPr>
                <w:b/>
                <w:color w:val="000000"/>
              </w:rPr>
              <w:t>0.11</w:t>
            </w:r>
          </w:p>
        </w:tc>
      </w:tr>
    </w:tbl>
    <w:p w14:paraId="48661B32" w14:textId="77777777" w:rsidR="001F636E" w:rsidRDefault="00000000">
      <w:pPr>
        <w:pBdr>
          <w:top w:val="nil"/>
          <w:left w:val="nil"/>
          <w:bottom w:val="nil"/>
          <w:right w:val="nil"/>
          <w:between w:val="nil"/>
        </w:pBdr>
        <w:jc w:val="center"/>
        <w:rPr>
          <w:b/>
          <w:color w:val="000000"/>
        </w:rPr>
      </w:pPr>
      <w:r>
        <w:rPr>
          <w:b/>
          <w:color w:val="000000"/>
        </w:rPr>
        <w:t>Table 3: Solvency ratio</w:t>
      </w:r>
    </w:p>
    <w:p w14:paraId="102E24AF" w14:textId="77777777" w:rsidR="001F636E" w:rsidRDefault="00000000">
      <w:pPr>
        <w:pBdr>
          <w:top w:val="nil"/>
          <w:left w:val="nil"/>
          <w:bottom w:val="nil"/>
          <w:right w:val="nil"/>
          <w:between w:val="nil"/>
        </w:pBdr>
        <w:jc w:val="center"/>
        <w:rPr>
          <w:color w:val="000000"/>
        </w:rPr>
      </w:pPr>
      <w:r>
        <w:rPr>
          <w:color w:val="000000"/>
        </w:rPr>
        <w:t>(Source: Self-Developed)</w:t>
      </w:r>
    </w:p>
    <w:p w14:paraId="5542070B" w14:textId="77777777" w:rsidR="001F636E" w:rsidRDefault="00000000">
      <w:pPr>
        <w:pBdr>
          <w:top w:val="nil"/>
          <w:left w:val="nil"/>
          <w:bottom w:val="nil"/>
          <w:right w:val="nil"/>
          <w:between w:val="nil"/>
        </w:pBdr>
        <w:rPr>
          <w:color w:val="000000"/>
        </w:rPr>
      </w:pPr>
      <w:r>
        <w:rPr>
          <w:color w:val="000000"/>
        </w:rPr>
        <w:t>The debt-to-equity ratio helps to determine the risks of debts within the equity structure of the business (</w:t>
      </w:r>
      <w:proofErr w:type="spellStart"/>
      <w:r>
        <w:rPr>
          <w:color w:val="000000"/>
        </w:rPr>
        <w:t>Tarsono</w:t>
      </w:r>
      <w:proofErr w:type="spellEnd"/>
      <w:r>
        <w:rPr>
          <w:color w:val="000000"/>
        </w:rPr>
        <w:t>, 2021). The debt-to-equity ratio of 0.27 in 2021 to 0.11 in 2023 reflects a reduction threat of long-term debts on the equity structure of the company. The reductions of debts from the equities reduced the threats to investments.</w:t>
      </w:r>
    </w:p>
    <w:p w14:paraId="6115170C" w14:textId="77777777" w:rsidR="001F636E" w:rsidRDefault="00000000">
      <w:pPr>
        <w:pStyle w:val="Heading1"/>
      </w:pPr>
      <w:bookmarkStart w:id="9" w:name="_2s8eyo1" w:colFirst="0" w:colLast="0"/>
      <w:bookmarkEnd w:id="9"/>
      <w:r>
        <w:t>The Key reason behind the decline in profitability</w:t>
      </w:r>
    </w:p>
    <w:p w14:paraId="01221057" w14:textId="77777777" w:rsidR="001F636E" w:rsidRDefault="00000000">
      <w:pPr>
        <w:pBdr>
          <w:top w:val="nil"/>
          <w:left w:val="nil"/>
          <w:bottom w:val="nil"/>
          <w:right w:val="nil"/>
          <w:between w:val="nil"/>
        </w:pBdr>
        <w:rPr>
          <w:b/>
          <w:color w:val="000000"/>
        </w:rPr>
      </w:pPr>
      <w:r>
        <w:rPr>
          <w:b/>
          <w:color w:val="000000"/>
        </w:rPr>
        <w:t>Uncertainty and reduction of consumer spending</w:t>
      </w:r>
    </w:p>
    <w:p w14:paraId="12D97914" w14:textId="77777777" w:rsidR="001F636E" w:rsidRDefault="00000000">
      <w:pPr>
        <w:pBdr>
          <w:top w:val="nil"/>
          <w:left w:val="nil"/>
          <w:bottom w:val="nil"/>
          <w:right w:val="nil"/>
          <w:between w:val="nil"/>
        </w:pBdr>
        <w:rPr>
          <w:color w:val="000000"/>
        </w:rPr>
      </w:pPr>
      <w:r>
        <w:rPr>
          <w:color w:val="000000"/>
        </w:rPr>
        <w:lastRenderedPageBreak/>
        <w:t>Uncertainty attached to Brexit instances, COVID-19, and recent economic turndown has resulted in careful disposable income spending within the United Kingdom. Of these uncertainty reasons, the country faced a decline in customer spending by 3.2% from 2021 which increased by only 1.4% in 2023 (Office for National Statistics, 2024). For that, it received gaps in consumer spending in the U.K. As seen from their spending habits, individuals have been inclined to reduce extra spending such as travelling and hotel accommodation. Domestic tourism, which is usually considered to be a reliable source of income for the City Hotels, has also suffered through this because people cut down their unnecessary expenditure, and the only thing that comes first is the basic needs (Office for National Statistics, 2024). Further, budget constraints for corporate travel, conferences, and events, affect City Hotels that mainly serve corporates. Since there are fewer guests and they tend to stay less, the ability of any hotel to generate per-room revenues has been affected thus the overall profitability (Office for National Statistics, 2024).</w:t>
      </w:r>
    </w:p>
    <w:p w14:paraId="3C06B2D5" w14:textId="77777777" w:rsidR="001F636E" w:rsidRDefault="00000000">
      <w:pPr>
        <w:pBdr>
          <w:top w:val="nil"/>
          <w:left w:val="nil"/>
          <w:bottom w:val="nil"/>
          <w:right w:val="nil"/>
          <w:between w:val="nil"/>
        </w:pBdr>
        <w:rPr>
          <w:b/>
          <w:color w:val="000000"/>
        </w:rPr>
      </w:pPr>
      <w:r>
        <w:rPr>
          <w:b/>
          <w:color w:val="000000"/>
        </w:rPr>
        <w:t>Inflation and Rising Operational Costs</w:t>
      </w:r>
    </w:p>
    <w:p w14:paraId="68076E0E" w14:textId="77777777" w:rsidR="001F636E" w:rsidRDefault="00000000">
      <w:pPr>
        <w:pBdr>
          <w:top w:val="nil"/>
          <w:left w:val="nil"/>
          <w:bottom w:val="nil"/>
          <w:right w:val="nil"/>
          <w:between w:val="nil"/>
        </w:pBdr>
        <w:rPr>
          <w:color w:val="000000"/>
        </w:rPr>
      </w:pPr>
      <w:r>
        <w:rPr>
          <w:color w:val="000000"/>
        </w:rPr>
        <w:t xml:space="preserve">The U.K., particularly after Brexit, has experienced inflationary forces that made it costly universally. The country contained an inflation rate of 2.52% in 2021 which became 11.1% in 2022 (Francis-Devine, 2024). This for hotels is inclusive of the costs of energy, food, beverages, and other necessities whose prices have also gone higher. Also, the cost of </w:t>
      </w:r>
      <w:proofErr w:type="spellStart"/>
      <w:r>
        <w:rPr>
          <w:color w:val="000000"/>
        </w:rPr>
        <w:t>labour</w:t>
      </w:r>
      <w:proofErr w:type="spellEnd"/>
      <w:r>
        <w:rPr>
          <w:color w:val="000000"/>
        </w:rPr>
        <w:t xml:space="preserve"> has gone up because new minimum wages have been introduced, which limit the availability of skilled workforce and hence raise the payroll. In the hospitality business, where the margins differ in most cases thin, such cost variations are very likely to affect the business's bottom line.  Additionally, in 2023, the country faced an inflation level of 6.79%, which is the main cause of the rising operating costs of the company in 2023 (Francis-Devine, 2024). City Hotels, especially in current big cities, are most affected since their business greatly depends on business </w:t>
      </w:r>
      <w:proofErr w:type="spellStart"/>
      <w:r>
        <w:rPr>
          <w:color w:val="000000"/>
        </w:rPr>
        <w:t>travellers</w:t>
      </w:r>
      <w:proofErr w:type="spellEnd"/>
      <w:r>
        <w:rPr>
          <w:color w:val="000000"/>
        </w:rPr>
        <w:t xml:space="preserve"> and international guests who are relatively more sensitive to the price factor. When the operational cost goes up without corresponding room rates, the profitability of a hotel decreases, moving down gross margins (Francis-Devine, 2024).</w:t>
      </w:r>
    </w:p>
    <w:p w14:paraId="0015FB10" w14:textId="77777777" w:rsidR="001F636E" w:rsidRDefault="00000000">
      <w:pPr>
        <w:pBdr>
          <w:top w:val="nil"/>
          <w:left w:val="nil"/>
          <w:bottom w:val="nil"/>
          <w:right w:val="nil"/>
          <w:between w:val="nil"/>
        </w:pBdr>
        <w:jc w:val="center"/>
        <w:rPr>
          <w:color w:val="000000"/>
        </w:rPr>
      </w:pPr>
      <w:r>
        <w:rPr>
          <w:noProof/>
          <w:color w:val="000000"/>
        </w:rPr>
        <w:lastRenderedPageBreak/>
        <w:drawing>
          <wp:inline distT="114300" distB="114300" distL="114300" distR="114300" wp14:anchorId="000BF713" wp14:editId="66123EAF">
            <wp:extent cx="5943600" cy="2971800"/>
            <wp:effectExtent l="25400" t="25400" r="25400" b="254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943600" cy="2971800"/>
                    </a:xfrm>
                    <a:prstGeom prst="rect">
                      <a:avLst/>
                    </a:prstGeom>
                    <a:ln w="25400">
                      <a:solidFill>
                        <a:srgbClr val="000000"/>
                      </a:solidFill>
                      <a:prstDash val="solid"/>
                    </a:ln>
                  </pic:spPr>
                </pic:pic>
              </a:graphicData>
            </a:graphic>
          </wp:inline>
        </w:drawing>
      </w:r>
    </w:p>
    <w:p w14:paraId="664D3E78" w14:textId="77777777" w:rsidR="001F636E" w:rsidRDefault="00000000">
      <w:pPr>
        <w:pBdr>
          <w:top w:val="nil"/>
          <w:left w:val="nil"/>
          <w:bottom w:val="nil"/>
          <w:right w:val="nil"/>
          <w:between w:val="nil"/>
        </w:pBdr>
        <w:jc w:val="center"/>
        <w:rPr>
          <w:b/>
          <w:color w:val="000000"/>
        </w:rPr>
      </w:pPr>
      <w:r>
        <w:rPr>
          <w:b/>
          <w:color w:val="000000"/>
        </w:rPr>
        <w:t>Figure 3: Higher Inflation in the U.K.</w:t>
      </w:r>
    </w:p>
    <w:p w14:paraId="3C628180" w14:textId="77777777" w:rsidR="001F636E" w:rsidRDefault="00000000">
      <w:pPr>
        <w:pBdr>
          <w:top w:val="nil"/>
          <w:left w:val="nil"/>
          <w:bottom w:val="nil"/>
          <w:right w:val="nil"/>
          <w:between w:val="nil"/>
        </w:pBdr>
        <w:jc w:val="center"/>
        <w:rPr>
          <w:color w:val="000000"/>
        </w:rPr>
      </w:pPr>
      <w:r>
        <w:rPr>
          <w:color w:val="000000"/>
        </w:rPr>
        <w:t>(Source: Francis-Devine, 2024)</w:t>
      </w:r>
    </w:p>
    <w:p w14:paraId="2A0ECEF0" w14:textId="77777777" w:rsidR="001F636E" w:rsidRDefault="00000000">
      <w:pPr>
        <w:pBdr>
          <w:top w:val="nil"/>
          <w:left w:val="nil"/>
          <w:bottom w:val="nil"/>
          <w:right w:val="nil"/>
          <w:between w:val="nil"/>
        </w:pBdr>
        <w:rPr>
          <w:b/>
          <w:color w:val="000000"/>
        </w:rPr>
      </w:pPr>
      <w:r>
        <w:rPr>
          <w:b/>
          <w:color w:val="000000"/>
        </w:rPr>
        <w:t>Higher Interest rates and rising debt</w:t>
      </w:r>
    </w:p>
    <w:p w14:paraId="152592F3" w14:textId="77777777" w:rsidR="001F636E" w:rsidRDefault="00000000">
      <w:pPr>
        <w:pBdr>
          <w:top w:val="nil"/>
          <w:left w:val="nil"/>
          <w:bottom w:val="nil"/>
          <w:right w:val="nil"/>
          <w:between w:val="nil"/>
        </w:pBdr>
        <w:rPr>
          <w:color w:val="000000"/>
        </w:rPr>
      </w:pPr>
      <w:r>
        <w:rPr>
          <w:color w:val="000000"/>
        </w:rPr>
        <w:t xml:space="preserve">Higher interest rates in the U.K. have put further pressure on operating margins in the hotel business. Most hotels rely on loans to finance their operations, expansion, or renovations, and the increased interest rates as a response to inflation made borrowing expensive for these hotels. In 2021, the interest rate of the country was 2.0%, which became 5.25% in 2021, which is the cause of higher interest in banking and corporate debts of the business (Bank of England, 2024). Higher interest rates mean higher costs of </w:t>
      </w:r>
      <w:proofErr w:type="gramStart"/>
      <w:r>
        <w:rPr>
          <w:color w:val="000000"/>
        </w:rPr>
        <w:t>debt</w:t>
      </w:r>
      <w:proofErr w:type="gramEnd"/>
      <w:r>
        <w:rPr>
          <w:color w:val="000000"/>
        </w:rPr>
        <w:t xml:space="preserve"> so this reduces the cash flow necessary for the enhancement of guest services as well as enhancement of facilities. Regarding City Hotels which predominantly depend on bank funding because the expenses on strategic spatial areas are high, the pressure is still higher (Bank of England, 2024).</w:t>
      </w:r>
    </w:p>
    <w:p w14:paraId="5D832BDF" w14:textId="77777777" w:rsidR="001F636E" w:rsidRDefault="00000000">
      <w:pPr>
        <w:pStyle w:val="Heading1"/>
      </w:pPr>
      <w:bookmarkStart w:id="10" w:name="_17dp8vu" w:colFirst="0" w:colLast="0"/>
      <w:bookmarkEnd w:id="10"/>
      <w:r>
        <w:t xml:space="preserve">Comprehensive Turnover Strategy </w:t>
      </w:r>
    </w:p>
    <w:p w14:paraId="0C3701AD" w14:textId="77777777" w:rsidR="001F636E" w:rsidRDefault="00000000">
      <w:pPr>
        <w:pBdr>
          <w:top w:val="nil"/>
          <w:left w:val="nil"/>
          <w:bottom w:val="nil"/>
          <w:right w:val="nil"/>
          <w:between w:val="nil"/>
        </w:pBdr>
        <w:rPr>
          <w:b/>
          <w:color w:val="000000"/>
        </w:rPr>
      </w:pPr>
      <w:r>
        <w:rPr>
          <w:b/>
          <w:color w:val="000000"/>
        </w:rPr>
        <w:t>Optimization operational costs strategy:</w:t>
      </w:r>
    </w:p>
    <w:p w14:paraId="35480065" w14:textId="77777777" w:rsidR="001F636E" w:rsidRDefault="00000000">
      <w:pPr>
        <w:pBdr>
          <w:top w:val="nil"/>
          <w:left w:val="nil"/>
          <w:bottom w:val="nil"/>
          <w:right w:val="nil"/>
          <w:between w:val="nil"/>
        </w:pBdr>
        <w:rPr>
          <w:color w:val="000000"/>
        </w:rPr>
      </w:pPr>
      <w:r>
        <w:rPr>
          <w:color w:val="000000"/>
        </w:rPr>
        <w:t xml:space="preserve">As operational costs are on the rise, City Hotels should perform an evaluation of costs to determine efficient ways of cutting spending. Having L.E.D. lights, smart thermostats, or low–flow water fixtures will greatly reduce utility bills in the long run (Hayes </w:t>
      </w:r>
      <w:r>
        <w:rPr>
          <w:i/>
          <w:color w:val="000000"/>
        </w:rPr>
        <w:t>et al.</w:t>
      </w:r>
      <w:r>
        <w:rPr>
          <w:color w:val="000000"/>
        </w:rPr>
        <w:t xml:space="preserve"> 2021). Hotels should also source their supplies locally </w:t>
      </w:r>
      <w:proofErr w:type="gramStart"/>
      <w:r>
        <w:rPr>
          <w:color w:val="000000"/>
        </w:rPr>
        <w:t>so as to</w:t>
      </w:r>
      <w:proofErr w:type="gramEnd"/>
      <w:r>
        <w:rPr>
          <w:color w:val="000000"/>
        </w:rPr>
        <w:t xml:space="preserve"> cut down on costs of transacting and also to negotiate for more </w:t>
      </w:r>
      <w:proofErr w:type="spellStart"/>
      <w:r>
        <w:rPr>
          <w:color w:val="000000"/>
        </w:rPr>
        <w:t>favourable</w:t>
      </w:r>
      <w:proofErr w:type="spellEnd"/>
      <w:r>
        <w:rPr>
          <w:color w:val="000000"/>
        </w:rPr>
        <w:t xml:space="preserve"> prices, especially for ratable items such as linen, cleaning items and food. Some </w:t>
      </w:r>
      <w:r>
        <w:rPr>
          <w:color w:val="000000"/>
        </w:rPr>
        <w:lastRenderedPageBreak/>
        <w:t xml:space="preserve">of the areas identified to utilize technology are checking systems and forecasting inventory demand, and in most cases, no or less manpower is required, especially during low patronage. These are efficiencies, the effects of which, if incorporated, can guarantee massive, continuous and immediate savings that lift the profit line (Hayes </w:t>
      </w:r>
      <w:r>
        <w:rPr>
          <w:i/>
          <w:color w:val="000000"/>
        </w:rPr>
        <w:t>et al.</w:t>
      </w:r>
      <w:r>
        <w:rPr>
          <w:color w:val="000000"/>
        </w:rPr>
        <w:t xml:space="preserve"> 2021).</w:t>
      </w:r>
    </w:p>
    <w:p w14:paraId="26440586" w14:textId="77777777" w:rsidR="001F636E" w:rsidRDefault="00000000">
      <w:pPr>
        <w:pBdr>
          <w:top w:val="nil"/>
          <w:left w:val="nil"/>
          <w:bottom w:val="nil"/>
          <w:right w:val="nil"/>
          <w:between w:val="nil"/>
        </w:pBdr>
        <w:rPr>
          <w:b/>
          <w:color w:val="000000"/>
        </w:rPr>
      </w:pPr>
      <w:r>
        <w:rPr>
          <w:b/>
          <w:color w:val="000000"/>
        </w:rPr>
        <w:t>Diversity of Revenue Source:</w:t>
      </w:r>
    </w:p>
    <w:p w14:paraId="1A94AF90" w14:textId="77777777" w:rsidR="001F636E" w:rsidRDefault="00000000">
      <w:pPr>
        <w:pBdr>
          <w:top w:val="nil"/>
          <w:left w:val="nil"/>
          <w:bottom w:val="nil"/>
          <w:right w:val="nil"/>
          <w:between w:val="nil"/>
        </w:pBdr>
        <w:rPr>
          <w:color w:val="000000"/>
        </w:rPr>
      </w:pPr>
      <w:proofErr w:type="gramStart"/>
      <w:r>
        <w:rPr>
          <w:color w:val="000000"/>
        </w:rPr>
        <w:t>Despite the fact that</w:t>
      </w:r>
      <w:proofErr w:type="gramEnd"/>
      <w:r>
        <w:rPr>
          <w:color w:val="000000"/>
        </w:rPr>
        <w:t xml:space="preserve"> room bookings are a powerful source of income, they can restrain the organization's income-making capacity in the case of low occupancy. In response to this, City Hotels should adopt a diverse service delivery system that addresses new changes and improves guest interaction. Development of coworking spaces can bring employees who work from home or are self-employed who are in most cases in search of an environment that is conducive to working but at the same time inspiring (Nguyen </w:t>
      </w:r>
      <w:r>
        <w:rPr>
          <w:i/>
          <w:color w:val="000000"/>
        </w:rPr>
        <w:t>et al.</w:t>
      </w:r>
      <w:r>
        <w:rPr>
          <w:color w:val="000000"/>
        </w:rPr>
        <w:t xml:space="preserve"> 2022). Available day passes under the facility of a gym, swimming pool, or lounge encourage the local people the use the property during the day. Moreover, it is also necessary to create strong and long-term partnerships with local event planners that will help City Hotels brand the hotel as the right place for holding events to gain additional recognition and generate more sales (Nguyen </w:t>
      </w:r>
      <w:r>
        <w:rPr>
          <w:i/>
          <w:color w:val="000000"/>
        </w:rPr>
        <w:t>et al.</w:t>
      </w:r>
      <w:r>
        <w:rPr>
          <w:color w:val="000000"/>
        </w:rPr>
        <w:t xml:space="preserve"> 2022).</w:t>
      </w:r>
    </w:p>
    <w:p w14:paraId="551FDE89" w14:textId="77777777" w:rsidR="001F636E" w:rsidRDefault="00000000">
      <w:pPr>
        <w:pStyle w:val="Heading1"/>
      </w:pPr>
      <w:bookmarkStart w:id="11" w:name="_3rdcrjn" w:colFirst="0" w:colLast="0"/>
      <w:bookmarkEnd w:id="11"/>
      <w:r>
        <w:t>Conclusion</w:t>
      </w:r>
    </w:p>
    <w:p w14:paraId="42A90297" w14:textId="77777777" w:rsidR="001F636E" w:rsidRDefault="00000000">
      <w:pPr>
        <w:pBdr>
          <w:top w:val="nil"/>
          <w:left w:val="nil"/>
          <w:bottom w:val="nil"/>
          <w:right w:val="nil"/>
          <w:between w:val="nil"/>
        </w:pBdr>
        <w:rPr>
          <w:color w:val="000000"/>
        </w:rPr>
      </w:pPr>
      <w:r>
        <w:rPr>
          <w:color w:val="000000"/>
        </w:rPr>
        <w:t xml:space="preserve">This short report serves as a detailed discussion of the financial structure of the City Hotel. This report </w:t>
      </w:r>
      <w:proofErr w:type="spellStart"/>
      <w:r>
        <w:rPr>
          <w:color w:val="000000"/>
        </w:rPr>
        <w:t>analysed</w:t>
      </w:r>
      <w:proofErr w:type="spellEnd"/>
      <w:r>
        <w:rPr>
          <w:color w:val="000000"/>
        </w:rPr>
        <w:t xml:space="preserve"> the revenue and expenditure trends of the company and served their profitability, liquidity and solvency position. To reflect this position of the business, this report provides net profit ratio, return on equity ratio, current ratio, quick ratio, debt to assets ratio and debt to equity ratio. It additionally describes the reasons for the financial downfall of the business. To describe the key reasons, this report evaluated the increasing inflation and interest rates of the U.K. as well as their uncertainty crisis. It also reflects some of the effective strategies to improve the profitable structure of the company.</w:t>
      </w:r>
      <w:r>
        <w:br w:type="page"/>
      </w:r>
    </w:p>
    <w:p w14:paraId="68D52602" w14:textId="77777777" w:rsidR="001F636E" w:rsidRDefault="00000000">
      <w:pPr>
        <w:pStyle w:val="Heading1"/>
      </w:pPr>
      <w:bookmarkStart w:id="12" w:name="_26in1rg" w:colFirst="0" w:colLast="0"/>
      <w:bookmarkEnd w:id="12"/>
      <w:r>
        <w:lastRenderedPageBreak/>
        <w:t>References</w:t>
      </w:r>
    </w:p>
    <w:p w14:paraId="541FFBAF" w14:textId="77777777" w:rsidR="001F636E" w:rsidRDefault="00000000">
      <w:pPr>
        <w:pBdr>
          <w:top w:val="nil"/>
          <w:left w:val="nil"/>
          <w:bottom w:val="nil"/>
          <w:right w:val="nil"/>
          <w:between w:val="nil"/>
        </w:pBdr>
        <w:rPr>
          <w:color w:val="000000"/>
        </w:rPr>
      </w:pPr>
      <w:r>
        <w:rPr>
          <w:color w:val="000000"/>
        </w:rPr>
        <w:t xml:space="preserve">Bank of England (2024) Why are interest rates high and how quickly might they </w:t>
      </w:r>
      <w:proofErr w:type="gramStart"/>
      <w:r>
        <w:rPr>
          <w:color w:val="000000"/>
        </w:rPr>
        <w:t>fall?,</w:t>
      </w:r>
      <w:proofErr w:type="gramEnd"/>
      <w:r>
        <w:rPr>
          <w:color w:val="000000"/>
        </w:rPr>
        <w:t xml:space="preserve"> Bank of England. Available at: https://www.bankofengland.co.uk/explainers/why-are-interest-rates-in-the-uk-going-up#:~:text=We%20began%20raising%20interest%20rates,many%20people%20are%20in%20work (Accessed: 28 October 2024).</w:t>
      </w:r>
    </w:p>
    <w:p w14:paraId="6A07440F" w14:textId="77777777" w:rsidR="001F636E" w:rsidRDefault="00000000">
      <w:pPr>
        <w:pBdr>
          <w:top w:val="nil"/>
          <w:left w:val="nil"/>
          <w:bottom w:val="nil"/>
          <w:right w:val="nil"/>
          <w:between w:val="nil"/>
        </w:pBdr>
        <w:rPr>
          <w:color w:val="000000"/>
        </w:rPr>
      </w:pPr>
      <w:r>
        <w:rPr>
          <w:color w:val="000000"/>
        </w:rPr>
        <w:t xml:space="preserve">Desmon, A.R.W.A. and </w:t>
      </w:r>
      <w:proofErr w:type="spellStart"/>
      <w:r>
        <w:rPr>
          <w:color w:val="000000"/>
        </w:rPr>
        <w:t>Meirinaldi</w:t>
      </w:r>
      <w:proofErr w:type="spellEnd"/>
      <w:r>
        <w:rPr>
          <w:color w:val="000000"/>
        </w:rPr>
        <w:t>, Y.C., (2022), January. The Effect of Return on Asset, Return on Equity and Debt to Equity Ratio on the Value of the Manufacturing Firm Listed on Stock Exchange 2015-2019. In M.I.C. 2021: Proceedings of the First Multidiscipline International Conference, M.I.C. 2021, October 30</w:t>
      </w:r>
      <w:proofErr w:type="gramStart"/>
      <w:r>
        <w:rPr>
          <w:color w:val="000000"/>
        </w:rPr>
        <w:t xml:space="preserve"> 2021</w:t>
      </w:r>
      <w:proofErr w:type="gramEnd"/>
      <w:r>
        <w:rPr>
          <w:color w:val="000000"/>
        </w:rPr>
        <w:t xml:space="preserve">, Jakarta, Indonesia (Vol. 196). European Alliance for Innovation. Available at: </w:t>
      </w:r>
      <w:hyperlink r:id="rId10">
        <w:r>
          <w:rPr>
            <w:color w:val="1155CC"/>
            <w:u w:val="single"/>
          </w:rPr>
          <w:t>https://eudl.eu/pdf/10.4108/eai.30-10-2021.2315839</w:t>
        </w:r>
      </w:hyperlink>
    </w:p>
    <w:p w14:paraId="33CAEB56" w14:textId="77777777" w:rsidR="001F636E" w:rsidRDefault="00000000">
      <w:pPr>
        <w:pBdr>
          <w:top w:val="nil"/>
          <w:left w:val="nil"/>
          <w:bottom w:val="nil"/>
          <w:right w:val="nil"/>
          <w:between w:val="nil"/>
        </w:pBdr>
        <w:rPr>
          <w:color w:val="000000"/>
        </w:rPr>
      </w:pPr>
      <w:r>
        <w:rPr>
          <w:color w:val="000000"/>
        </w:rPr>
        <w:t xml:space="preserve">Francis-Devine, B. (2024) </w:t>
      </w:r>
      <w:r>
        <w:rPr>
          <w:i/>
          <w:color w:val="000000"/>
        </w:rPr>
        <w:t>Rising cost of living in the U.K. - house of commons library</w:t>
      </w:r>
      <w:r>
        <w:rPr>
          <w:color w:val="000000"/>
        </w:rPr>
        <w:t xml:space="preserve">. Available at: https://commonslibrary.parliament.uk/research-briefings/cbp-9428/ (Accessed: 28 October 2024). </w:t>
      </w:r>
    </w:p>
    <w:p w14:paraId="0AB30DB3" w14:textId="77777777" w:rsidR="001F636E" w:rsidRDefault="00000000">
      <w:pPr>
        <w:pBdr>
          <w:top w:val="nil"/>
          <w:left w:val="nil"/>
          <w:bottom w:val="nil"/>
          <w:right w:val="nil"/>
          <w:between w:val="nil"/>
        </w:pBdr>
        <w:rPr>
          <w:color w:val="000000"/>
        </w:rPr>
      </w:pPr>
      <w:r>
        <w:rPr>
          <w:color w:val="000000"/>
        </w:rPr>
        <w:t xml:space="preserve">Hayes, D.K., Hayes, J.D. and Hayes, P.A., (2021). Revenue management for the hospitality industry. John Wiley &amp; Sons. Available at: </w:t>
      </w:r>
      <w:hyperlink r:id="rId11">
        <w:r>
          <w:rPr>
            <w:color w:val="1155CC"/>
            <w:u w:val="single"/>
          </w:rPr>
          <w:t>https://www.uoguelph.ca/hftm/system/files/HTM%204250%20W19%20COURSE%20OUTLINE%20-%20MARK%20HOLMES%20.pdf</w:t>
        </w:r>
      </w:hyperlink>
    </w:p>
    <w:p w14:paraId="12213C22" w14:textId="77777777" w:rsidR="001F636E" w:rsidRDefault="00000000">
      <w:pPr>
        <w:pBdr>
          <w:top w:val="nil"/>
          <w:left w:val="nil"/>
          <w:bottom w:val="nil"/>
          <w:right w:val="nil"/>
          <w:between w:val="nil"/>
        </w:pBdr>
        <w:rPr>
          <w:color w:val="000000"/>
        </w:rPr>
      </w:pPr>
      <w:proofErr w:type="spellStart"/>
      <w:r>
        <w:rPr>
          <w:color w:val="000000"/>
        </w:rPr>
        <w:t>Helmold</w:t>
      </w:r>
      <w:proofErr w:type="spellEnd"/>
      <w:r>
        <w:rPr>
          <w:color w:val="000000"/>
        </w:rPr>
        <w:t xml:space="preserve">, M. and </w:t>
      </w:r>
      <w:proofErr w:type="spellStart"/>
      <w:r>
        <w:rPr>
          <w:color w:val="000000"/>
        </w:rPr>
        <w:t>Helmold</w:t>
      </w:r>
      <w:proofErr w:type="spellEnd"/>
      <w:r>
        <w:rPr>
          <w:color w:val="000000"/>
        </w:rPr>
        <w:t>, M., (2020). Total revenue management (</w:t>
      </w:r>
      <w:proofErr w:type="spellStart"/>
      <w:r>
        <w:rPr>
          <w:color w:val="000000"/>
        </w:rPr>
        <w:t>trm</w:t>
      </w:r>
      <w:proofErr w:type="spellEnd"/>
      <w:r>
        <w:rPr>
          <w:color w:val="000000"/>
        </w:rPr>
        <w:t xml:space="preserve">) (pp. 1-12). Springer International Publishing. Available at: </w:t>
      </w:r>
      <w:hyperlink r:id="rId12">
        <w:r>
          <w:rPr>
            <w:color w:val="1155CC"/>
            <w:u w:val="single"/>
          </w:rPr>
          <w:t>https://hisp.htmi.ch/pluginfile.php/71681/mod_resource/content/0/Total%20Revenue%20Management%20%28TRM%29%20Case%20Studies%2C%20Best%20Practices%20and%20Industry%20Insights%20by%20Marc%20Helmold.pdf</w:t>
        </w:r>
      </w:hyperlink>
    </w:p>
    <w:p w14:paraId="200CAF5B" w14:textId="77777777" w:rsidR="001F636E" w:rsidRDefault="00000000">
      <w:pPr>
        <w:pBdr>
          <w:top w:val="nil"/>
          <w:left w:val="nil"/>
          <w:bottom w:val="nil"/>
          <w:right w:val="nil"/>
          <w:between w:val="nil"/>
        </w:pBdr>
        <w:rPr>
          <w:color w:val="000000"/>
        </w:rPr>
      </w:pPr>
      <w:r>
        <w:rPr>
          <w:color w:val="000000"/>
        </w:rPr>
        <w:t xml:space="preserve">Kok, W.J., (2021). Image recognition expense extraction (Doctoral dissertation, U.T.A.R.). Available at: </w:t>
      </w:r>
      <w:hyperlink r:id="rId13">
        <w:r>
          <w:rPr>
            <w:color w:val="1155CC"/>
            <w:u w:val="single"/>
          </w:rPr>
          <w:t>http://eprints.utar.edu.my/4258/1/16ACB00064_FYP.pdf</w:t>
        </w:r>
      </w:hyperlink>
    </w:p>
    <w:p w14:paraId="21B00915" w14:textId="77777777" w:rsidR="001F636E" w:rsidRDefault="00000000">
      <w:pPr>
        <w:pBdr>
          <w:top w:val="nil"/>
          <w:left w:val="nil"/>
          <w:bottom w:val="nil"/>
          <w:right w:val="nil"/>
          <w:between w:val="nil"/>
        </w:pBdr>
        <w:rPr>
          <w:color w:val="000000"/>
        </w:rPr>
      </w:pPr>
      <w:proofErr w:type="spellStart"/>
      <w:r>
        <w:rPr>
          <w:color w:val="000000"/>
        </w:rPr>
        <w:t>Kumoro</w:t>
      </w:r>
      <w:proofErr w:type="spellEnd"/>
      <w:r>
        <w:rPr>
          <w:color w:val="000000"/>
        </w:rPr>
        <w:t xml:space="preserve">, D.F.C., </w:t>
      </w:r>
      <w:proofErr w:type="spellStart"/>
      <w:r>
        <w:rPr>
          <w:color w:val="000000"/>
        </w:rPr>
        <w:t>Novitasari</w:t>
      </w:r>
      <w:proofErr w:type="spellEnd"/>
      <w:r>
        <w:rPr>
          <w:color w:val="000000"/>
        </w:rPr>
        <w:t xml:space="preserve">, D., </w:t>
      </w:r>
      <w:proofErr w:type="spellStart"/>
      <w:r>
        <w:rPr>
          <w:color w:val="000000"/>
        </w:rPr>
        <w:t>Yuwono</w:t>
      </w:r>
      <w:proofErr w:type="spellEnd"/>
      <w:r>
        <w:rPr>
          <w:color w:val="000000"/>
        </w:rPr>
        <w:t xml:space="preserve">, T. and </w:t>
      </w:r>
      <w:proofErr w:type="spellStart"/>
      <w:r>
        <w:rPr>
          <w:color w:val="000000"/>
        </w:rPr>
        <w:t>Asbari</w:t>
      </w:r>
      <w:proofErr w:type="spellEnd"/>
      <w:r>
        <w:rPr>
          <w:color w:val="000000"/>
        </w:rPr>
        <w:t xml:space="preserve">, M., (2020). Analysis of the Effect of Quick Ratio (Q.R.), Total Assets Turn Over (T.A.T.O.), and Debt </w:t>
      </w:r>
      <w:proofErr w:type="gramStart"/>
      <w:r>
        <w:rPr>
          <w:color w:val="000000"/>
        </w:rPr>
        <w:t>To</w:t>
      </w:r>
      <w:proofErr w:type="gramEnd"/>
      <w:r>
        <w:rPr>
          <w:color w:val="000000"/>
        </w:rPr>
        <w:t xml:space="preserve"> Equity Ratio (D.E.R.) on Return On Equity (R.O.E.) at P.T. X.Y.Z. Journal of Industrial Engineering &amp; Management Research, 1(3), pp.166-183. </w:t>
      </w:r>
    </w:p>
    <w:p w14:paraId="795927FE" w14:textId="77777777" w:rsidR="001F636E" w:rsidRDefault="00000000">
      <w:pPr>
        <w:pBdr>
          <w:top w:val="nil"/>
          <w:left w:val="nil"/>
          <w:bottom w:val="nil"/>
          <w:right w:val="nil"/>
          <w:between w:val="nil"/>
        </w:pBdr>
        <w:rPr>
          <w:color w:val="000000"/>
        </w:rPr>
      </w:pPr>
      <w:proofErr w:type="spellStart"/>
      <w:r>
        <w:rPr>
          <w:color w:val="000000"/>
        </w:rPr>
        <w:lastRenderedPageBreak/>
        <w:t>Markonah</w:t>
      </w:r>
      <w:proofErr w:type="spellEnd"/>
      <w:r>
        <w:rPr>
          <w:color w:val="000000"/>
        </w:rPr>
        <w:t xml:space="preserve">, M., Salim, A. and </w:t>
      </w:r>
      <w:proofErr w:type="spellStart"/>
      <w:r>
        <w:rPr>
          <w:color w:val="000000"/>
        </w:rPr>
        <w:t>Franciska</w:t>
      </w:r>
      <w:proofErr w:type="spellEnd"/>
      <w:r>
        <w:rPr>
          <w:color w:val="000000"/>
        </w:rPr>
        <w:t xml:space="preserve">, J., (2020). Effect of profitability, leverage, and liquidity to the firm value. </w:t>
      </w:r>
      <w:proofErr w:type="spellStart"/>
      <w:r>
        <w:rPr>
          <w:color w:val="000000"/>
        </w:rPr>
        <w:t>Dinasti</w:t>
      </w:r>
      <w:proofErr w:type="spellEnd"/>
      <w:r>
        <w:rPr>
          <w:color w:val="000000"/>
        </w:rPr>
        <w:t xml:space="preserve"> International Journal of Economics, Finance &amp; Accounting, 1(1), pp.83-94. Available at: </w:t>
      </w:r>
      <w:hyperlink r:id="rId14">
        <w:r>
          <w:rPr>
            <w:color w:val="1155CC"/>
            <w:u w:val="single"/>
          </w:rPr>
          <w:t>https://eudl.eu/pdf/10.4108/eai.30-10-2021.2315839</w:t>
        </w:r>
      </w:hyperlink>
    </w:p>
    <w:p w14:paraId="6C603268" w14:textId="77777777" w:rsidR="001F636E" w:rsidRDefault="00000000">
      <w:pPr>
        <w:pBdr>
          <w:top w:val="nil"/>
          <w:left w:val="nil"/>
          <w:bottom w:val="nil"/>
          <w:right w:val="nil"/>
          <w:between w:val="nil"/>
        </w:pBdr>
        <w:rPr>
          <w:color w:val="000000"/>
        </w:rPr>
      </w:pPr>
      <w:r>
        <w:rPr>
          <w:color w:val="000000"/>
        </w:rPr>
        <w:t xml:space="preserve">Nguyen, N.T., Yadav, M., Pande, S., </w:t>
      </w:r>
      <w:proofErr w:type="spellStart"/>
      <w:r>
        <w:rPr>
          <w:color w:val="000000"/>
        </w:rPr>
        <w:t>Bhanot</w:t>
      </w:r>
      <w:proofErr w:type="spellEnd"/>
      <w:r>
        <w:rPr>
          <w:color w:val="000000"/>
        </w:rPr>
        <w:t xml:space="preserve">, A. and Hasan, M.F., (2022). Impact of diversity management on organizational performance in hotel organizations: a conceptual framework. International Journal of System Assurance Engineering and Management, 13(Suppl 1), pp.186-196. Available at: </w:t>
      </w:r>
      <w:hyperlink r:id="rId15">
        <w:r>
          <w:rPr>
            <w:color w:val="1155CC"/>
            <w:u w:val="single"/>
          </w:rPr>
          <w:t>https://www.researchgate.net/profile/Sagar-Pande-2/publication/355781318_Impact_of_diversity_management_on_organizational_performance_in_hotel_organizations_a_conceptual_framework/links/6184c677a767a03c14f6d682/Impact-of-diversity-management-on-organizational-performance-in-hotel-organizations-a-conceptual-framework.pdf</w:t>
        </w:r>
      </w:hyperlink>
    </w:p>
    <w:p w14:paraId="417AB8A4" w14:textId="77777777" w:rsidR="001F636E" w:rsidRDefault="00000000">
      <w:pPr>
        <w:pBdr>
          <w:top w:val="nil"/>
          <w:left w:val="nil"/>
          <w:bottom w:val="nil"/>
          <w:right w:val="nil"/>
          <w:between w:val="nil"/>
        </w:pBdr>
        <w:rPr>
          <w:color w:val="000000"/>
        </w:rPr>
      </w:pPr>
      <w:r>
        <w:rPr>
          <w:color w:val="000000"/>
        </w:rPr>
        <w:t>Office for National Statistics (2024) Cost of living insights: Spending, Cost of living insights - Office for National Statistics. Available at: https://www.ons.gov.uk/economy/inflationandpriceindices/articles/costoflivinginsights/spending#:~:text=Retail%20sales%20volumes%20(the%20amount,sales%20volumes%20in%20November%202023. (Accessed: 28 October 2024).</w:t>
      </w:r>
    </w:p>
    <w:p w14:paraId="1C0A44F8" w14:textId="77777777" w:rsidR="001F636E" w:rsidRDefault="00000000">
      <w:pPr>
        <w:pBdr>
          <w:top w:val="nil"/>
          <w:left w:val="nil"/>
          <w:bottom w:val="nil"/>
          <w:right w:val="nil"/>
          <w:between w:val="nil"/>
        </w:pBdr>
        <w:rPr>
          <w:color w:val="000000"/>
        </w:rPr>
      </w:pPr>
      <w:r>
        <w:rPr>
          <w:color w:val="000000"/>
        </w:rPr>
        <w:t xml:space="preserve">Rafid, M., </w:t>
      </w:r>
      <w:proofErr w:type="spellStart"/>
      <w:r>
        <w:rPr>
          <w:color w:val="000000"/>
        </w:rPr>
        <w:t>Soukotta</w:t>
      </w:r>
      <w:proofErr w:type="spellEnd"/>
      <w:r>
        <w:rPr>
          <w:color w:val="000000"/>
        </w:rPr>
        <w:t xml:space="preserve">, A., </w:t>
      </w:r>
      <w:proofErr w:type="spellStart"/>
      <w:r>
        <w:rPr>
          <w:color w:val="000000"/>
        </w:rPr>
        <w:t>Cakranegara</w:t>
      </w:r>
      <w:proofErr w:type="spellEnd"/>
      <w:r>
        <w:rPr>
          <w:color w:val="000000"/>
        </w:rPr>
        <w:t xml:space="preserve">, P.A., </w:t>
      </w:r>
      <w:proofErr w:type="spellStart"/>
      <w:r>
        <w:rPr>
          <w:color w:val="000000"/>
        </w:rPr>
        <w:t>Sutiyan</w:t>
      </w:r>
      <w:proofErr w:type="spellEnd"/>
      <w:r>
        <w:rPr>
          <w:color w:val="000000"/>
        </w:rPr>
        <w:t xml:space="preserve">, O.S.J. and </w:t>
      </w:r>
      <w:proofErr w:type="spellStart"/>
      <w:r>
        <w:rPr>
          <w:color w:val="000000"/>
        </w:rPr>
        <w:t>Nurriqli</w:t>
      </w:r>
      <w:proofErr w:type="spellEnd"/>
      <w:r>
        <w:rPr>
          <w:color w:val="000000"/>
        </w:rPr>
        <w:t xml:space="preserve">, A., (2024). Analysis Of Liquidity Ratios, Profitability Ratios, And Capital Structures </w:t>
      </w:r>
      <w:proofErr w:type="gramStart"/>
      <w:r>
        <w:rPr>
          <w:color w:val="000000"/>
        </w:rPr>
        <w:t>On</w:t>
      </w:r>
      <w:proofErr w:type="gramEnd"/>
      <w:r>
        <w:rPr>
          <w:color w:val="000000"/>
        </w:rPr>
        <w:t xml:space="preserve"> Financial Distress Conditions In Service Companies During The Covid-19 Period. </w:t>
      </w:r>
      <w:proofErr w:type="spellStart"/>
      <w:r>
        <w:rPr>
          <w:color w:val="000000"/>
        </w:rPr>
        <w:t>Jurnal</w:t>
      </w:r>
      <w:proofErr w:type="spellEnd"/>
      <w:r>
        <w:rPr>
          <w:color w:val="000000"/>
        </w:rPr>
        <w:t xml:space="preserve"> Darma Agung, 30(3), pp.614-622. Available at: </w:t>
      </w:r>
      <w:hyperlink r:id="rId16">
        <w:r>
          <w:rPr>
            <w:color w:val="1155CC"/>
            <w:u w:val="single"/>
          </w:rPr>
          <w:t>https://jurnal.darmaagung.ac.id/index.php/jurnaluda/article/download/2280/2041</w:t>
        </w:r>
      </w:hyperlink>
    </w:p>
    <w:p w14:paraId="5104AC51" w14:textId="77777777" w:rsidR="001F636E" w:rsidRDefault="00000000">
      <w:pPr>
        <w:pBdr>
          <w:top w:val="nil"/>
          <w:left w:val="nil"/>
          <w:bottom w:val="nil"/>
          <w:right w:val="nil"/>
          <w:between w:val="nil"/>
        </w:pBdr>
        <w:rPr>
          <w:color w:val="000000"/>
        </w:rPr>
      </w:pPr>
      <w:bookmarkStart w:id="13" w:name="_lnxbz9" w:colFirst="0" w:colLast="0"/>
      <w:bookmarkEnd w:id="13"/>
      <w:proofErr w:type="spellStart"/>
      <w:r>
        <w:rPr>
          <w:color w:val="000000"/>
        </w:rPr>
        <w:t>Tarsono</w:t>
      </w:r>
      <w:proofErr w:type="spellEnd"/>
      <w:r>
        <w:rPr>
          <w:color w:val="000000"/>
        </w:rPr>
        <w:t xml:space="preserve">, O., (2021). The effect of debt equity ratio, return on equity, net profit margin on stock prices. International Journal of Social Science, 1(4), pp.393-398.  Available at: </w:t>
      </w:r>
      <w:hyperlink r:id="rId17">
        <w:r>
          <w:rPr>
            <w:color w:val="1155CC"/>
            <w:u w:val="single"/>
          </w:rPr>
          <w:t>https://bajangjournal.com/index.php/IJSS/article/view/716</w:t>
        </w:r>
      </w:hyperlink>
    </w:p>
    <w:p w14:paraId="3B53918B" w14:textId="77777777" w:rsidR="001F636E" w:rsidRDefault="00000000">
      <w:pPr>
        <w:pBdr>
          <w:top w:val="nil"/>
          <w:left w:val="nil"/>
          <w:bottom w:val="nil"/>
          <w:right w:val="nil"/>
          <w:between w:val="nil"/>
        </w:pBdr>
        <w:rPr>
          <w:color w:val="000000"/>
        </w:rPr>
      </w:pPr>
      <w:proofErr w:type="spellStart"/>
      <w:r>
        <w:rPr>
          <w:color w:val="000000"/>
        </w:rPr>
        <w:t>Yusnita</w:t>
      </w:r>
      <w:proofErr w:type="spellEnd"/>
      <w:r>
        <w:rPr>
          <w:color w:val="000000"/>
        </w:rPr>
        <w:t xml:space="preserve">, I., (2023). The Effect </w:t>
      </w:r>
      <w:proofErr w:type="gramStart"/>
      <w:r>
        <w:rPr>
          <w:color w:val="000000"/>
        </w:rPr>
        <w:t>Of</w:t>
      </w:r>
      <w:proofErr w:type="gramEnd"/>
      <w:r>
        <w:rPr>
          <w:color w:val="000000"/>
        </w:rPr>
        <w:t xml:space="preserve"> Solvency Ratio, Profitability Ratio And Activity Ratio To Company Value Of P.T. Astra </w:t>
      </w:r>
      <w:proofErr w:type="spellStart"/>
      <w:r>
        <w:rPr>
          <w:color w:val="000000"/>
        </w:rPr>
        <w:t>Internasional</w:t>
      </w:r>
      <w:proofErr w:type="spellEnd"/>
      <w:r>
        <w:rPr>
          <w:color w:val="000000"/>
        </w:rPr>
        <w:t xml:space="preserve"> </w:t>
      </w:r>
      <w:proofErr w:type="spellStart"/>
      <w:r>
        <w:rPr>
          <w:color w:val="000000"/>
        </w:rPr>
        <w:t>Tbk</w:t>
      </w:r>
      <w:proofErr w:type="spellEnd"/>
      <w:r>
        <w:rPr>
          <w:color w:val="000000"/>
        </w:rPr>
        <w:t xml:space="preserve">. International Journal of Business and Quality Research, 1(03), pp.102-113. Available at: </w:t>
      </w:r>
      <w:hyperlink r:id="rId18">
        <w:r>
          <w:rPr>
            <w:color w:val="1155CC"/>
            <w:u w:val="single"/>
          </w:rPr>
          <w:t>https://e-journal.citakonsultindo.or.id/index.php/IJBQR/article/view/500</w:t>
        </w:r>
      </w:hyperlink>
    </w:p>
    <w:sectPr w:rsidR="001F636E">
      <w:footerReference w:type="default" r:id="rId1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F1896A" w14:textId="77777777" w:rsidR="00963173" w:rsidRDefault="00963173">
      <w:pPr>
        <w:spacing w:line="240" w:lineRule="auto"/>
      </w:pPr>
      <w:r>
        <w:separator/>
      </w:r>
    </w:p>
  </w:endnote>
  <w:endnote w:type="continuationSeparator" w:id="0">
    <w:p w14:paraId="08AF56DB" w14:textId="77777777" w:rsidR="00963173" w:rsidRDefault="009631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366A5" w14:textId="77777777" w:rsidR="001F636E" w:rsidRDefault="00000000">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E15EFD">
      <w:rPr>
        <w:noProof/>
        <w:color w:val="000000"/>
      </w:rPr>
      <w:t>2</w:t>
    </w:r>
    <w:r>
      <w:rPr>
        <w:color w:val="000000"/>
      </w:rPr>
      <w:fldChar w:fldCharType="end"/>
    </w:r>
  </w:p>
  <w:p w14:paraId="6D65A9A5" w14:textId="77777777" w:rsidR="001F636E" w:rsidRDefault="001F636E">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68F1FB" w14:textId="77777777" w:rsidR="00963173" w:rsidRDefault="00963173">
      <w:pPr>
        <w:spacing w:line="240" w:lineRule="auto"/>
      </w:pPr>
      <w:r>
        <w:separator/>
      </w:r>
    </w:p>
  </w:footnote>
  <w:footnote w:type="continuationSeparator" w:id="0">
    <w:p w14:paraId="3F22FA14" w14:textId="77777777" w:rsidR="00963173" w:rsidRDefault="0096317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636E"/>
    <w:rsid w:val="00141CE0"/>
    <w:rsid w:val="001F636E"/>
    <w:rsid w:val="00394666"/>
    <w:rsid w:val="00766CEE"/>
    <w:rsid w:val="00963173"/>
    <w:rsid w:val="00E15E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67A7C"/>
  <w15:docId w15:val="{B58B4CA2-5CCF-3F49-953B-E77A6F5C4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outlineLvl w:val="0"/>
    </w:pPr>
    <w:rPr>
      <w:b/>
      <w:color w:val="000000"/>
    </w:rPr>
  </w:style>
  <w:style w:type="paragraph" w:styleId="Heading2">
    <w:name w:val="heading 2"/>
    <w:basedOn w:val="Normal"/>
    <w:next w:val="Normal"/>
    <w:uiPriority w:val="9"/>
    <w:unhideWhenUsed/>
    <w:qFormat/>
    <w:pPr>
      <w:keepNext/>
      <w:keepLines/>
      <w:pBdr>
        <w:top w:val="nil"/>
        <w:left w:val="nil"/>
        <w:bottom w:val="nil"/>
        <w:right w:val="nil"/>
        <w:between w:val="nil"/>
      </w:pBdr>
      <w:outlineLvl w:val="1"/>
    </w:pPr>
    <w:rPr>
      <w:b/>
      <w:color w:val="000000"/>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eprints.utar.edu.my/4258/1/16ACB00064_FYP.pdf" TargetMode="External"/><Relationship Id="rId18" Type="http://schemas.openxmlformats.org/officeDocument/2006/relationships/hyperlink" Target="https://e-journal.citakonsultindo.or.id/index.php/IJBQR/article/view/500"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hisp.htmi.ch/pluginfile.php/71681/mod_resource/content/0/Total%20Revenue%20Management%20%28TRM%29%20Case%20Studies%2C%20Best%20Practices%20and%20Industry%20Insights%20by%20Marc%20Helmold.pdf" TargetMode="External"/><Relationship Id="rId17" Type="http://schemas.openxmlformats.org/officeDocument/2006/relationships/hyperlink" Target="https://bajangjournal.com/index.php/IJSS/article/view/716" TargetMode="External"/><Relationship Id="rId2" Type="http://schemas.openxmlformats.org/officeDocument/2006/relationships/settings" Target="settings.xml"/><Relationship Id="rId16" Type="http://schemas.openxmlformats.org/officeDocument/2006/relationships/hyperlink" Target="https://jurnal.darmaagung.ac.id/index.php/jurnaluda/article/download/2280/2041"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uoguelph.ca/hftm/system/files/HTM%204250%20W19%20COURSE%20OUTLINE%20-%20MARK%20HOLMES%20.pdf" TargetMode="External"/><Relationship Id="rId5" Type="http://schemas.openxmlformats.org/officeDocument/2006/relationships/endnotes" Target="endnotes.xml"/><Relationship Id="rId15" Type="http://schemas.openxmlformats.org/officeDocument/2006/relationships/hyperlink" Target="https://www.researchgate.net/profile/Sagar-Pande-2/publication/355781318_Impact_of_diversity_management_on_organizational_performance_in_hotel_organizations_a_conceptual_framework/links/6184c677a767a03c14f6d682/Impact-of-diversity-management-on-organizational-performance-in-hotel-organizations-a-conceptual-framework.pdf" TargetMode="External"/><Relationship Id="rId10" Type="http://schemas.openxmlformats.org/officeDocument/2006/relationships/hyperlink" Target="https://eudl.eu/pdf/10.4108/eai.30-10-2021.2315839"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eudl.eu/pdf/10.4108/eai.30-10-2021.23158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12</Pages>
  <Words>2705</Words>
  <Characters>16043</Characters>
  <Application>Microsoft Office Word</Application>
  <DocSecurity>0</DocSecurity>
  <Lines>267</Lines>
  <Paragraphs>94</Paragraphs>
  <ScaleCrop>false</ScaleCrop>
  <Company/>
  <LinksUpToDate>false</LinksUpToDate>
  <CharactersWithSpaces>18654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 Caragicu (2244881)</cp:lastModifiedBy>
  <cp:revision>3</cp:revision>
  <dcterms:created xsi:type="dcterms:W3CDTF">2024-11-13T21:18:00Z</dcterms:created>
  <dcterms:modified xsi:type="dcterms:W3CDTF">2024-11-13T22:04:00Z</dcterms:modified>
</cp:coreProperties>
</file>