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C110A" w:rsidRPr="006C110A" w:rsidRDefault="006C110A" w:rsidP="006C110A">
      <w:pPr>
        <w:jc w:val="right"/>
        <w:rPr>
          <w:rFonts w:ascii="Arial" w:eastAsia="Times New Roman" w:hAnsi="Arial" w:cs="Arial"/>
          <w:b/>
          <w:sz w:val="28"/>
          <w:szCs w:val="28"/>
        </w:rPr>
      </w:pPr>
      <w:r w:rsidRPr="006C110A">
        <w:rPr>
          <w:rFonts w:ascii="Arial" w:eastAsia="Times New Roman" w:hAnsi="Arial" w:cs="Arial"/>
          <w:noProof/>
          <w:sz w:val="20"/>
          <w:szCs w:val="20"/>
        </w:rPr>
        <w:drawing>
          <wp:anchor distT="0" distB="0" distL="114300" distR="114300" simplePos="0" relativeHeight="251659264" behindDoc="0" locked="0" layoutInCell="1" allowOverlap="1" wp14:anchorId="6F1CE6C6" wp14:editId="42CE26A7">
            <wp:simplePos x="457200" y="457200"/>
            <wp:positionH relativeFrom="column">
              <wp:align>left</wp:align>
            </wp:positionH>
            <wp:positionV relativeFrom="paragraph">
              <wp:align>top</wp:align>
            </wp:positionV>
            <wp:extent cx="1809750" cy="723900"/>
            <wp:effectExtent l="0" t="0" r="0" b="0"/>
            <wp:wrapSquare wrapText="bothSides"/>
            <wp:docPr id="21" name="Picture 2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6C110A">
        <w:rPr>
          <w:rFonts w:ascii="Arial" w:eastAsia="Times New Roman" w:hAnsi="Arial" w:cs="Arial"/>
          <w:sz w:val="20"/>
          <w:szCs w:val="20"/>
        </w:rPr>
        <w:t xml:space="preserve"> </w:t>
      </w:r>
      <w:r w:rsidRPr="006C110A">
        <w:rPr>
          <w:rFonts w:ascii="Arial" w:eastAsia="Times New Roman" w:hAnsi="Arial" w:cs="Arial"/>
          <w:sz w:val="20"/>
          <w:szCs w:val="20"/>
        </w:rPr>
        <w:br w:type="textWrapping" w:clear="all"/>
      </w:r>
      <w:r w:rsidRPr="006C110A">
        <w:rPr>
          <w:rFonts w:ascii="Arial" w:eastAsia="Times New Roman" w:hAnsi="Arial" w:cs="Arial"/>
          <w:b/>
          <w:sz w:val="28"/>
          <w:szCs w:val="28"/>
        </w:rPr>
        <w:t>APPENDIX GA36c</w:t>
      </w:r>
    </w:p>
    <w:tbl>
      <w:tblPr>
        <w:tblpPr w:leftFromText="180" w:rightFromText="180" w:vertAnchor="text" w:horzAnchor="margin" w:tblpY="10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6C110A" w:rsidRPr="006C110A" w:rsidTr="006C110A">
        <w:tc>
          <w:tcPr>
            <w:tcW w:w="8624" w:type="dxa"/>
            <w:shd w:val="clear" w:color="auto" w:fill="C0C0C0"/>
          </w:tcPr>
          <w:p w:rsidR="006C110A" w:rsidRPr="006C110A" w:rsidRDefault="006C110A" w:rsidP="006C110A">
            <w:pPr>
              <w:keepNext/>
              <w:spacing w:before="120" w:after="120"/>
              <w:jc w:val="center"/>
              <w:outlineLvl w:val="3"/>
              <w:rPr>
                <w:rFonts w:ascii="Arial" w:eastAsia="Times New Roman" w:hAnsi="Arial" w:cs="Arial"/>
                <w:b/>
                <w:sz w:val="40"/>
                <w:szCs w:val="20"/>
              </w:rPr>
            </w:pPr>
            <w:r w:rsidRPr="006C110A">
              <w:rPr>
                <w:rFonts w:ascii="Arial" w:eastAsia="Times New Roman" w:hAnsi="Arial" w:cs="Arial"/>
                <w:b/>
                <w:sz w:val="40"/>
                <w:szCs w:val="20"/>
              </w:rPr>
              <w:t xml:space="preserve">LEVEL 6 ASSESSMENT SPECIFICATION </w:t>
            </w:r>
          </w:p>
        </w:tc>
      </w:tr>
    </w:tbl>
    <w:p w:rsidR="006C110A" w:rsidRPr="006C110A" w:rsidRDefault="006C110A" w:rsidP="006C110A">
      <w:pPr>
        <w:rPr>
          <w:rFonts w:ascii="Arial" w:eastAsia="Times New Roman" w:hAnsi="Arial" w:cs="Arial"/>
          <w:sz w:val="20"/>
          <w:szCs w:val="20"/>
        </w:rPr>
      </w:pPr>
    </w:p>
    <w:tbl>
      <w:tblPr>
        <w:tblpPr w:leftFromText="180" w:rightFromText="180" w:vertAnchor="text" w:horzAnchor="margin" w:tblpY="175"/>
        <w:tblW w:w="9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6C110A" w:rsidRPr="006C110A" w:rsidTr="006C110A">
        <w:tc>
          <w:tcPr>
            <w:tcW w:w="2093" w:type="dxa"/>
            <w:shd w:val="pct15" w:color="auto" w:fill="auto"/>
          </w:tcPr>
          <w:p w:rsidR="006C110A" w:rsidRPr="006C110A" w:rsidRDefault="006C110A" w:rsidP="006C110A">
            <w:pPr>
              <w:spacing w:before="120" w:after="120"/>
              <w:jc w:val="both"/>
              <w:rPr>
                <w:rFonts w:ascii="Arial" w:eastAsia="Times New Roman" w:hAnsi="Arial" w:cs="Arial"/>
                <w:b/>
              </w:rPr>
            </w:pPr>
            <w:r w:rsidRPr="006C110A">
              <w:rPr>
                <w:rFonts w:ascii="Arial" w:eastAsia="Times New Roman" w:hAnsi="Arial" w:cs="Arial"/>
                <w:b/>
              </w:rPr>
              <w:t>Student name:</w:t>
            </w:r>
          </w:p>
        </w:tc>
        <w:tc>
          <w:tcPr>
            <w:tcW w:w="3293" w:type="dxa"/>
          </w:tcPr>
          <w:p w:rsidR="006C110A" w:rsidRPr="006C110A" w:rsidRDefault="006C110A" w:rsidP="006C110A">
            <w:pPr>
              <w:spacing w:before="120" w:after="120"/>
              <w:jc w:val="both"/>
              <w:rPr>
                <w:rFonts w:ascii="Arial" w:eastAsia="Times New Roman" w:hAnsi="Arial" w:cs="Arial"/>
                <w:b/>
              </w:rPr>
            </w:pPr>
            <w:r>
              <w:rPr>
                <w:rFonts w:ascii="Arial" w:eastAsia="Times New Roman" w:hAnsi="Arial" w:cs="Arial"/>
                <w:b/>
              </w:rPr>
              <w:t>Dominic Hole</w:t>
            </w:r>
          </w:p>
        </w:tc>
        <w:tc>
          <w:tcPr>
            <w:tcW w:w="2268" w:type="dxa"/>
            <w:shd w:val="clear" w:color="auto" w:fill="D9D9D9"/>
          </w:tcPr>
          <w:p w:rsidR="006C110A" w:rsidRPr="006C110A" w:rsidRDefault="006C110A" w:rsidP="006C110A">
            <w:pPr>
              <w:spacing w:before="120" w:after="120"/>
              <w:jc w:val="both"/>
              <w:rPr>
                <w:rFonts w:ascii="Arial" w:eastAsia="Times New Roman" w:hAnsi="Arial" w:cs="Arial"/>
                <w:b/>
              </w:rPr>
            </w:pPr>
            <w:r w:rsidRPr="006C110A">
              <w:rPr>
                <w:rFonts w:ascii="Arial" w:eastAsia="Times New Roman" w:hAnsi="Arial" w:cs="Arial"/>
                <w:b/>
              </w:rPr>
              <w:t>Student ID number:</w:t>
            </w:r>
          </w:p>
        </w:tc>
        <w:tc>
          <w:tcPr>
            <w:tcW w:w="2268" w:type="dxa"/>
          </w:tcPr>
          <w:p w:rsidR="006C110A" w:rsidRPr="006C110A" w:rsidRDefault="006C110A" w:rsidP="006C110A">
            <w:pPr>
              <w:spacing w:before="120" w:after="120"/>
              <w:jc w:val="both"/>
              <w:rPr>
                <w:rFonts w:ascii="Arial" w:eastAsia="Times New Roman" w:hAnsi="Arial" w:cs="Arial"/>
                <w:b/>
              </w:rPr>
            </w:pPr>
            <w:r>
              <w:rPr>
                <w:rFonts w:ascii="Arial" w:eastAsia="Times New Roman" w:hAnsi="Arial" w:cs="Arial"/>
                <w:b/>
              </w:rPr>
              <w:t>1800402</w:t>
            </w:r>
          </w:p>
        </w:tc>
      </w:tr>
      <w:tr w:rsidR="006C110A" w:rsidRPr="006C110A" w:rsidTr="006C110A">
        <w:tc>
          <w:tcPr>
            <w:tcW w:w="2093" w:type="dxa"/>
            <w:shd w:val="pct15" w:color="auto" w:fill="auto"/>
          </w:tcPr>
          <w:p w:rsidR="006C110A" w:rsidRPr="006C110A" w:rsidRDefault="006C110A" w:rsidP="006C110A">
            <w:pPr>
              <w:spacing w:before="120" w:after="120"/>
              <w:jc w:val="both"/>
              <w:rPr>
                <w:rFonts w:ascii="Arial" w:eastAsia="Times New Roman" w:hAnsi="Arial" w:cs="Arial"/>
                <w:b/>
              </w:rPr>
            </w:pPr>
            <w:r w:rsidRPr="006C110A">
              <w:rPr>
                <w:rFonts w:ascii="Arial" w:eastAsia="Times New Roman" w:hAnsi="Arial" w:cs="Arial"/>
                <w:b/>
              </w:rPr>
              <w:t>Programme:</w:t>
            </w:r>
          </w:p>
        </w:tc>
        <w:tc>
          <w:tcPr>
            <w:tcW w:w="7829" w:type="dxa"/>
            <w:gridSpan w:val="3"/>
          </w:tcPr>
          <w:p w:rsidR="006C110A" w:rsidRPr="006C110A" w:rsidRDefault="006C110A" w:rsidP="006C110A">
            <w:pPr>
              <w:spacing w:before="120" w:after="120"/>
              <w:jc w:val="both"/>
              <w:rPr>
                <w:rFonts w:ascii="Arial" w:eastAsia="Times New Roman" w:hAnsi="Arial" w:cs="Arial"/>
                <w:b/>
              </w:rPr>
            </w:pPr>
            <w:r w:rsidRPr="006C110A">
              <w:rPr>
                <w:rFonts w:ascii="Arial" w:eastAsia="Times New Roman" w:hAnsi="Arial" w:cs="Arial"/>
                <w:b/>
              </w:rPr>
              <w:t>Outdoor Adventure Education BA</w:t>
            </w:r>
          </w:p>
        </w:tc>
      </w:tr>
      <w:tr w:rsidR="006C110A" w:rsidRPr="006C110A" w:rsidTr="006C110A">
        <w:tc>
          <w:tcPr>
            <w:tcW w:w="2093" w:type="dxa"/>
            <w:shd w:val="pct15" w:color="auto" w:fill="auto"/>
          </w:tcPr>
          <w:p w:rsidR="006C110A" w:rsidRPr="006C110A" w:rsidRDefault="006C110A" w:rsidP="006C110A">
            <w:pPr>
              <w:spacing w:before="120" w:after="120"/>
              <w:jc w:val="both"/>
              <w:rPr>
                <w:rFonts w:ascii="Arial" w:eastAsia="Times New Roman" w:hAnsi="Arial" w:cs="Arial"/>
                <w:b/>
              </w:rPr>
            </w:pPr>
            <w:r w:rsidRPr="006C110A">
              <w:rPr>
                <w:rFonts w:ascii="Arial" w:eastAsia="Times New Roman" w:hAnsi="Arial" w:cs="Arial"/>
                <w:b/>
              </w:rPr>
              <w:t>Module:</w:t>
            </w:r>
          </w:p>
        </w:tc>
        <w:tc>
          <w:tcPr>
            <w:tcW w:w="7829" w:type="dxa"/>
            <w:gridSpan w:val="3"/>
            <w:shd w:val="clear" w:color="auto" w:fill="auto"/>
          </w:tcPr>
          <w:p w:rsidR="006C110A" w:rsidRPr="006C110A" w:rsidRDefault="006C110A" w:rsidP="006C110A">
            <w:pPr>
              <w:spacing w:before="120" w:after="120"/>
              <w:jc w:val="both"/>
              <w:rPr>
                <w:rFonts w:ascii="Arial" w:eastAsia="Times New Roman" w:hAnsi="Arial" w:cs="Arial"/>
                <w:b/>
              </w:rPr>
            </w:pPr>
            <w:r w:rsidRPr="006C110A">
              <w:rPr>
                <w:rFonts w:ascii="Arial" w:eastAsia="Times New Roman" w:hAnsi="Arial" w:cs="Arial"/>
                <w:b/>
              </w:rPr>
              <w:t>Landscape &amp; Sustainable Recreation</w:t>
            </w:r>
          </w:p>
        </w:tc>
      </w:tr>
      <w:tr w:rsidR="006C110A" w:rsidRPr="006C110A" w:rsidTr="006C110A">
        <w:tc>
          <w:tcPr>
            <w:tcW w:w="2093" w:type="dxa"/>
            <w:shd w:val="pct15" w:color="auto" w:fill="auto"/>
          </w:tcPr>
          <w:p w:rsidR="006C110A" w:rsidRPr="006C110A" w:rsidRDefault="006C110A" w:rsidP="006C110A">
            <w:pPr>
              <w:spacing w:before="120" w:after="120"/>
              <w:jc w:val="both"/>
              <w:rPr>
                <w:rFonts w:ascii="Arial" w:eastAsia="Times New Roman" w:hAnsi="Arial" w:cs="Arial"/>
                <w:b/>
              </w:rPr>
            </w:pPr>
            <w:r w:rsidRPr="006C110A">
              <w:rPr>
                <w:rFonts w:ascii="Arial" w:eastAsia="Times New Roman" w:hAnsi="Arial" w:cs="Arial"/>
                <w:b/>
              </w:rPr>
              <w:t>Module code:</w:t>
            </w:r>
          </w:p>
        </w:tc>
        <w:tc>
          <w:tcPr>
            <w:tcW w:w="3293" w:type="dxa"/>
          </w:tcPr>
          <w:p w:rsidR="006C110A" w:rsidRPr="006C110A" w:rsidRDefault="006C110A" w:rsidP="006C110A">
            <w:pPr>
              <w:spacing w:before="120" w:after="120"/>
              <w:jc w:val="both"/>
              <w:rPr>
                <w:rFonts w:ascii="Arial" w:eastAsia="Times New Roman" w:hAnsi="Arial" w:cs="Arial"/>
                <w:b/>
              </w:rPr>
            </w:pPr>
            <w:r w:rsidRPr="006C110A">
              <w:rPr>
                <w:rFonts w:ascii="Arial" w:eastAsia="Times New Roman" w:hAnsi="Arial" w:cs="Arial"/>
                <w:b/>
              </w:rPr>
              <w:t>BMOE6003</w:t>
            </w:r>
          </w:p>
        </w:tc>
        <w:tc>
          <w:tcPr>
            <w:tcW w:w="2268" w:type="dxa"/>
            <w:shd w:val="clear" w:color="auto" w:fill="D9D9D9"/>
          </w:tcPr>
          <w:p w:rsidR="006C110A" w:rsidRPr="006C110A" w:rsidRDefault="006C110A" w:rsidP="006C110A">
            <w:pPr>
              <w:keepNext/>
              <w:jc w:val="both"/>
              <w:outlineLvl w:val="1"/>
              <w:rPr>
                <w:rFonts w:ascii="Arial" w:eastAsia="Times New Roman" w:hAnsi="Arial" w:cs="Arial"/>
                <w:b/>
              </w:rPr>
            </w:pPr>
            <w:r w:rsidRPr="006C110A">
              <w:rPr>
                <w:rFonts w:ascii="Arial" w:eastAsia="Times New Roman" w:hAnsi="Arial" w:cs="Arial"/>
                <w:b/>
              </w:rPr>
              <w:t>Contribution to Overall Module Assessment (%):</w:t>
            </w:r>
          </w:p>
        </w:tc>
        <w:tc>
          <w:tcPr>
            <w:tcW w:w="2268" w:type="dxa"/>
          </w:tcPr>
          <w:p w:rsidR="006C110A" w:rsidRPr="006C110A" w:rsidRDefault="006C110A" w:rsidP="006C110A">
            <w:pPr>
              <w:spacing w:before="120" w:after="120"/>
              <w:jc w:val="both"/>
              <w:rPr>
                <w:rFonts w:ascii="Arial" w:eastAsia="Times New Roman" w:hAnsi="Arial" w:cs="Arial"/>
                <w:b/>
              </w:rPr>
            </w:pPr>
            <w:r w:rsidRPr="006C110A">
              <w:rPr>
                <w:rFonts w:ascii="Arial" w:eastAsia="Times New Roman" w:hAnsi="Arial" w:cs="Arial"/>
                <w:b/>
              </w:rPr>
              <w:t>50%</w:t>
            </w:r>
          </w:p>
        </w:tc>
      </w:tr>
      <w:tr w:rsidR="006C110A" w:rsidRPr="006C110A" w:rsidTr="006C110A">
        <w:tc>
          <w:tcPr>
            <w:tcW w:w="2093" w:type="dxa"/>
            <w:shd w:val="pct15" w:color="auto" w:fill="auto"/>
          </w:tcPr>
          <w:p w:rsidR="006C110A" w:rsidRPr="006C110A" w:rsidRDefault="006C110A" w:rsidP="006C110A">
            <w:pPr>
              <w:spacing w:before="120" w:after="120"/>
              <w:jc w:val="both"/>
              <w:rPr>
                <w:rFonts w:ascii="Arial" w:eastAsia="Times New Roman" w:hAnsi="Arial" w:cs="Arial"/>
                <w:b/>
              </w:rPr>
            </w:pPr>
            <w:r w:rsidRPr="006C110A">
              <w:rPr>
                <w:rFonts w:ascii="Arial" w:eastAsia="Times New Roman" w:hAnsi="Arial" w:cs="Arial"/>
                <w:b/>
              </w:rPr>
              <w:t>Lecturer:</w:t>
            </w:r>
          </w:p>
        </w:tc>
        <w:tc>
          <w:tcPr>
            <w:tcW w:w="3293" w:type="dxa"/>
          </w:tcPr>
          <w:p w:rsidR="006C110A" w:rsidRPr="006C110A" w:rsidRDefault="006C110A" w:rsidP="006C110A">
            <w:pPr>
              <w:spacing w:before="120" w:after="120"/>
              <w:jc w:val="both"/>
              <w:rPr>
                <w:rFonts w:ascii="Arial" w:eastAsia="Times New Roman" w:hAnsi="Arial" w:cs="Arial"/>
                <w:b/>
              </w:rPr>
            </w:pPr>
            <w:r w:rsidRPr="006C110A">
              <w:rPr>
                <w:rFonts w:ascii="Arial" w:eastAsia="Times New Roman" w:hAnsi="Arial" w:cs="Arial"/>
                <w:b/>
              </w:rPr>
              <w:t>Anthony Burns</w:t>
            </w:r>
          </w:p>
        </w:tc>
        <w:tc>
          <w:tcPr>
            <w:tcW w:w="2268" w:type="dxa"/>
            <w:shd w:val="clear" w:color="auto" w:fill="D9D9D9"/>
          </w:tcPr>
          <w:p w:rsidR="006C110A" w:rsidRPr="006C110A" w:rsidRDefault="006C110A" w:rsidP="006C110A">
            <w:pPr>
              <w:spacing w:before="120" w:after="120"/>
              <w:jc w:val="both"/>
              <w:rPr>
                <w:rFonts w:ascii="Arial" w:eastAsia="Times New Roman" w:hAnsi="Arial" w:cs="Arial"/>
                <w:b/>
              </w:rPr>
            </w:pPr>
            <w:r w:rsidRPr="006C110A">
              <w:rPr>
                <w:rFonts w:ascii="Arial" w:eastAsia="Times New Roman" w:hAnsi="Arial" w:cs="Arial"/>
                <w:b/>
              </w:rPr>
              <w:t>Internal Verifier:</w:t>
            </w:r>
          </w:p>
        </w:tc>
        <w:tc>
          <w:tcPr>
            <w:tcW w:w="2268" w:type="dxa"/>
          </w:tcPr>
          <w:p w:rsidR="006C110A" w:rsidRPr="006C110A" w:rsidRDefault="006C110A" w:rsidP="006C110A">
            <w:pPr>
              <w:spacing w:before="120" w:after="120"/>
              <w:jc w:val="both"/>
              <w:rPr>
                <w:rFonts w:ascii="Arial" w:eastAsia="Times New Roman" w:hAnsi="Arial" w:cs="Arial"/>
                <w:b/>
              </w:rPr>
            </w:pPr>
            <w:r w:rsidRPr="006C110A">
              <w:rPr>
                <w:rFonts w:ascii="Arial" w:eastAsia="Times New Roman" w:hAnsi="Arial" w:cs="Arial"/>
                <w:b/>
              </w:rPr>
              <w:t>Roisin Mullins</w:t>
            </w:r>
          </w:p>
        </w:tc>
      </w:tr>
      <w:tr w:rsidR="006C110A" w:rsidRPr="006C110A" w:rsidTr="006C110A">
        <w:tc>
          <w:tcPr>
            <w:tcW w:w="2093" w:type="dxa"/>
            <w:shd w:val="pct15" w:color="auto" w:fill="auto"/>
          </w:tcPr>
          <w:p w:rsidR="006C110A" w:rsidRPr="006C110A" w:rsidRDefault="006C110A" w:rsidP="006C110A">
            <w:pPr>
              <w:spacing w:before="120" w:after="120"/>
              <w:jc w:val="both"/>
              <w:rPr>
                <w:rFonts w:ascii="Arial" w:eastAsia="Times New Roman" w:hAnsi="Arial" w:cs="Arial"/>
                <w:b/>
              </w:rPr>
            </w:pPr>
            <w:r w:rsidRPr="006C110A">
              <w:rPr>
                <w:rFonts w:ascii="Arial" w:eastAsia="Times New Roman" w:hAnsi="Arial" w:cs="Arial"/>
                <w:b/>
              </w:rPr>
              <w:t>Assignment Title:</w:t>
            </w:r>
          </w:p>
        </w:tc>
        <w:tc>
          <w:tcPr>
            <w:tcW w:w="3293" w:type="dxa"/>
          </w:tcPr>
          <w:p w:rsidR="006C110A" w:rsidRPr="006C110A" w:rsidRDefault="006C110A" w:rsidP="006C110A">
            <w:pPr>
              <w:spacing w:before="120" w:after="120"/>
              <w:jc w:val="both"/>
              <w:rPr>
                <w:rFonts w:ascii="Arial" w:eastAsia="Times New Roman" w:hAnsi="Arial" w:cs="Arial"/>
                <w:b/>
              </w:rPr>
            </w:pPr>
            <w:r w:rsidRPr="006C110A">
              <w:rPr>
                <w:rFonts w:ascii="Arial" w:eastAsia="Times New Roman" w:hAnsi="Arial" w:cs="Arial"/>
                <w:b/>
              </w:rPr>
              <w:t>Reflective Fieldwork Journal</w:t>
            </w:r>
          </w:p>
        </w:tc>
        <w:tc>
          <w:tcPr>
            <w:tcW w:w="2268" w:type="dxa"/>
            <w:shd w:val="pct15" w:color="auto" w:fill="auto"/>
          </w:tcPr>
          <w:p w:rsidR="006C110A" w:rsidRPr="006C110A" w:rsidRDefault="006C110A" w:rsidP="006C110A">
            <w:pPr>
              <w:spacing w:before="120" w:after="120"/>
              <w:jc w:val="both"/>
              <w:rPr>
                <w:rFonts w:ascii="Arial" w:eastAsia="Times New Roman" w:hAnsi="Arial" w:cs="Arial"/>
                <w:b/>
              </w:rPr>
            </w:pPr>
            <w:r w:rsidRPr="006C110A">
              <w:rPr>
                <w:rFonts w:ascii="Arial" w:eastAsia="Times New Roman" w:hAnsi="Arial" w:cs="Arial"/>
                <w:b/>
              </w:rPr>
              <w:t>Word count (or equivalent):</w:t>
            </w:r>
          </w:p>
        </w:tc>
        <w:tc>
          <w:tcPr>
            <w:tcW w:w="2268" w:type="dxa"/>
          </w:tcPr>
          <w:p w:rsidR="006C110A" w:rsidRPr="006C110A" w:rsidRDefault="006C110A" w:rsidP="006C110A">
            <w:pPr>
              <w:spacing w:before="120" w:after="120"/>
              <w:jc w:val="both"/>
              <w:rPr>
                <w:rFonts w:ascii="Arial" w:eastAsia="Times New Roman" w:hAnsi="Arial" w:cs="Arial"/>
                <w:b/>
              </w:rPr>
            </w:pPr>
            <w:r w:rsidRPr="006C110A">
              <w:rPr>
                <w:rFonts w:ascii="Arial" w:eastAsia="Times New Roman" w:hAnsi="Arial" w:cs="Arial"/>
                <w:b/>
              </w:rPr>
              <w:t>2,500 words</w:t>
            </w:r>
          </w:p>
        </w:tc>
      </w:tr>
      <w:tr w:rsidR="006C110A" w:rsidRPr="006C110A" w:rsidTr="006C110A">
        <w:tc>
          <w:tcPr>
            <w:tcW w:w="2093" w:type="dxa"/>
            <w:shd w:val="pct15" w:color="auto" w:fill="auto"/>
          </w:tcPr>
          <w:p w:rsidR="006C110A" w:rsidRPr="006C110A" w:rsidRDefault="006C110A" w:rsidP="006C110A">
            <w:pPr>
              <w:spacing w:before="120" w:after="120"/>
              <w:jc w:val="both"/>
              <w:rPr>
                <w:rFonts w:ascii="Arial" w:eastAsia="Times New Roman" w:hAnsi="Arial" w:cs="Arial"/>
                <w:b/>
              </w:rPr>
            </w:pPr>
            <w:r w:rsidRPr="006C110A">
              <w:rPr>
                <w:rFonts w:ascii="Arial" w:eastAsia="Times New Roman" w:hAnsi="Arial" w:cs="Arial"/>
                <w:b/>
              </w:rPr>
              <w:t>Submission deadline:</w:t>
            </w:r>
          </w:p>
        </w:tc>
        <w:tc>
          <w:tcPr>
            <w:tcW w:w="3293" w:type="dxa"/>
            <w:shd w:val="clear" w:color="auto" w:fill="auto"/>
          </w:tcPr>
          <w:p w:rsidR="006C110A" w:rsidRPr="006C110A" w:rsidRDefault="006C110A" w:rsidP="006C110A">
            <w:pPr>
              <w:spacing w:before="120" w:after="120"/>
              <w:jc w:val="both"/>
              <w:rPr>
                <w:rFonts w:ascii="Arial" w:eastAsia="Times New Roman" w:hAnsi="Arial" w:cs="Arial"/>
                <w:b/>
              </w:rPr>
            </w:pPr>
            <w:r w:rsidRPr="006C110A">
              <w:rPr>
                <w:rFonts w:ascii="Arial" w:eastAsia="Times New Roman" w:hAnsi="Arial" w:cs="Arial"/>
                <w:b/>
              </w:rPr>
              <w:t>29th April 2022</w:t>
            </w:r>
          </w:p>
        </w:tc>
        <w:tc>
          <w:tcPr>
            <w:tcW w:w="2268" w:type="dxa"/>
            <w:shd w:val="pct15" w:color="auto" w:fill="auto"/>
          </w:tcPr>
          <w:p w:rsidR="006C110A" w:rsidRPr="006C110A" w:rsidRDefault="006C110A" w:rsidP="006C110A">
            <w:pPr>
              <w:spacing w:before="120" w:after="120"/>
              <w:jc w:val="both"/>
              <w:rPr>
                <w:rFonts w:ascii="Arial" w:eastAsia="Times New Roman" w:hAnsi="Arial" w:cs="Arial"/>
                <w:b/>
              </w:rPr>
            </w:pPr>
            <w:r w:rsidRPr="006C110A">
              <w:rPr>
                <w:rFonts w:ascii="Arial" w:eastAsia="Times New Roman" w:hAnsi="Arial" w:cs="Arial"/>
                <w:b/>
              </w:rPr>
              <w:t>Return date of provisional marks &amp; written feedback:</w:t>
            </w:r>
          </w:p>
        </w:tc>
        <w:tc>
          <w:tcPr>
            <w:tcW w:w="2268" w:type="dxa"/>
          </w:tcPr>
          <w:p w:rsidR="006C110A" w:rsidRPr="006C110A" w:rsidRDefault="006C110A" w:rsidP="006C110A">
            <w:pPr>
              <w:spacing w:before="120" w:after="120"/>
              <w:jc w:val="both"/>
              <w:rPr>
                <w:rFonts w:ascii="Arial" w:eastAsia="Times New Roman" w:hAnsi="Arial" w:cs="Arial"/>
                <w:b/>
              </w:rPr>
            </w:pPr>
            <w:r w:rsidRPr="006C110A">
              <w:rPr>
                <w:rFonts w:ascii="Arial" w:eastAsia="Times New Roman" w:hAnsi="Arial" w:cs="Arial"/>
                <w:b/>
              </w:rPr>
              <w:t>27</w:t>
            </w:r>
            <w:r w:rsidRPr="006C110A">
              <w:rPr>
                <w:rFonts w:ascii="Arial" w:eastAsia="Times New Roman" w:hAnsi="Arial" w:cs="Arial"/>
                <w:b/>
                <w:vertAlign w:val="superscript"/>
              </w:rPr>
              <w:t>th</w:t>
            </w:r>
            <w:r w:rsidRPr="006C110A">
              <w:rPr>
                <w:rFonts w:ascii="Arial" w:eastAsia="Times New Roman" w:hAnsi="Arial" w:cs="Arial"/>
                <w:b/>
              </w:rPr>
              <w:t xml:space="preserve"> May 2022</w:t>
            </w:r>
          </w:p>
        </w:tc>
      </w:tr>
      <w:tr w:rsidR="006C110A" w:rsidRPr="006C110A" w:rsidTr="006C110A">
        <w:tc>
          <w:tcPr>
            <w:tcW w:w="2093" w:type="dxa"/>
            <w:shd w:val="pct15" w:color="auto" w:fill="auto"/>
          </w:tcPr>
          <w:p w:rsidR="006C110A" w:rsidRPr="006C110A" w:rsidRDefault="006C110A" w:rsidP="006C110A">
            <w:pPr>
              <w:spacing w:before="120" w:after="120"/>
              <w:jc w:val="both"/>
              <w:rPr>
                <w:rFonts w:ascii="Arial" w:eastAsia="Times New Roman" w:hAnsi="Arial" w:cs="Arial"/>
                <w:b/>
              </w:rPr>
            </w:pPr>
            <w:r w:rsidRPr="006C110A">
              <w:rPr>
                <w:rFonts w:ascii="Arial" w:eastAsia="Times New Roman" w:hAnsi="Arial" w:cs="Arial"/>
                <w:b/>
              </w:rPr>
              <w:t>Submission method:</w:t>
            </w:r>
          </w:p>
        </w:tc>
        <w:tc>
          <w:tcPr>
            <w:tcW w:w="7829" w:type="dxa"/>
            <w:gridSpan w:val="3"/>
            <w:shd w:val="clear" w:color="auto" w:fill="auto"/>
          </w:tcPr>
          <w:p w:rsidR="006C110A" w:rsidRPr="006C110A" w:rsidRDefault="006C110A" w:rsidP="006C110A">
            <w:pPr>
              <w:rPr>
                <w:rFonts w:ascii="Arial" w:eastAsia="Times New Roman" w:hAnsi="Arial" w:cs="Arial"/>
              </w:rPr>
            </w:pPr>
            <w:r w:rsidRPr="006C110A">
              <w:rPr>
                <w:rFonts w:ascii="Arial" w:eastAsia="Times New Roman" w:hAnsi="Arial" w:cs="Arial"/>
              </w:rPr>
              <w:t xml:space="preserve">All written assessments, where practical and possible, must be submitted via </w:t>
            </w:r>
            <w:proofErr w:type="spellStart"/>
            <w:r w:rsidRPr="006C110A">
              <w:rPr>
                <w:rFonts w:ascii="Arial" w:eastAsia="Times New Roman" w:hAnsi="Arial" w:cs="Arial"/>
              </w:rPr>
              <w:t>Turnitin</w:t>
            </w:r>
            <w:proofErr w:type="spellEnd"/>
            <w:r w:rsidRPr="006C110A">
              <w:rPr>
                <w:rFonts w:ascii="Arial" w:eastAsia="Times New Roman" w:hAnsi="Arial" w:cs="Arial"/>
              </w:rPr>
              <w:t xml:space="preserve"> unless otherwise instructed by the Lecturer. (Please DO NOT put this assessment specification into </w:t>
            </w:r>
            <w:proofErr w:type="spellStart"/>
            <w:r w:rsidRPr="006C110A">
              <w:rPr>
                <w:rFonts w:ascii="Arial" w:eastAsia="Times New Roman" w:hAnsi="Arial" w:cs="Arial"/>
              </w:rPr>
              <w:t>Turnitin</w:t>
            </w:r>
            <w:proofErr w:type="spellEnd"/>
            <w:r w:rsidRPr="006C110A">
              <w:rPr>
                <w:rFonts w:ascii="Arial" w:eastAsia="Times New Roman" w:hAnsi="Arial" w:cs="Arial"/>
              </w:rPr>
              <w:t xml:space="preserve"> or it will match many similarities with other students’ submissions.)</w:t>
            </w:r>
          </w:p>
          <w:p w:rsidR="006C110A" w:rsidRPr="006C110A" w:rsidRDefault="006C110A" w:rsidP="006C110A">
            <w:pPr>
              <w:spacing w:before="120" w:after="120"/>
              <w:jc w:val="both"/>
              <w:rPr>
                <w:rFonts w:ascii="Arial" w:eastAsia="Times New Roman" w:hAnsi="Arial" w:cs="Arial"/>
                <w:b/>
              </w:rPr>
            </w:pPr>
            <w:r w:rsidRPr="006C110A">
              <w:rPr>
                <w:rFonts w:ascii="Arial" w:eastAsia="Times New Roman" w:hAnsi="Arial" w:cs="Arial"/>
                <w:b/>
              </w:rPr>
              <w:t xml:space="preserve">Alternative submission method (if applicable): </w:t>
            </w:r>
          </w:p>
          <w:p w:rsidR="006C110A" w:rsidRPr="006C110A" w:rsidRDefault="006C110A" w:rsidP="006C110A">
            <w:pPr>
              <w:spacing w:before="120" w:after="120"/>
              <w:jc w:val="both"/>
              <w:rPr>
                <w:rFonts w:ascii="Arial" w:eastAsia="Times New Roman" w:hAnsi="Arial" w:cs="Arial"/>
                <w:b/>
              </w:rPr>
            </w:pPr>
            <w:r w:rsidRPr="006C110A">
              <w:rPr>
                <w:rFonts w:ascii="Arial" w:eastAsia="Times New Roman" w:hAnsi="Arial" w:cs="Arial"/>
                <w:b/>
              </w:rPr>
              <w:t xml:space="preserve">Late submission of the assessment will result in a late penalty mark.  </w:t>
            </w:r>
            <w:r w:rsidRPr="006C110A">
              <w:rPr>
                <w:rFonts w:ascii="Arial" w:eastAsia="Times New Roman" w:hAnsi="Arial" w:cs="Arial"/>
              </w:rPr>
              <w:t>Penalties for late submission: Up to one week late, maximum mark of 40%.  Over one week late, 0%.  Only the Extenuating Circumstances Panel may approve a change to submission dates.</w:t>
            </w:r>
          </w:p>
        </w:tc>
      </w:tr>
      <w:tr w:rsidR="006C110A" w:rsidRPr="006C110A" w:rsidTr="006C110A">
        <w:tc>
          <w:tcPr>
            <w:tcW w:w="2093" w:type="dxa"/>
            <w:shd w:val="pct15" w:color="auto" w:fill="auto"/>
          </w:tcPr>
          <w:p w:rsidR="006C110A" w:rsidRPr="006C110A" w:rsidRDefault="006C110A" w:rsidP="006C110A">
            <w:pPr>
              <w:spacing w:before="120" w:after="120"/>
              <w:rPr>
                <w:rFonts w:ascii="Arial" w:eastAsia="Times New Roman" w:hAnsi="Arial" w:cs="Arial"/>
                <w:b/>
              </w:rPr>
            </w:pPr>
            <w:r w:rsidRPr="006C110A">
              <w:rPr>
                <w:rFonts w:ascii="Arial" w:eastAsia="Times New Roman" w:hAnsi="Arial" w:cs="Arial"/>
                <w:b/>
              </w:rPr>
              <w:t>Academic honesty / referencing:</w:t>
            </w:r>
          </w:p>
        </w:tc>
        <w:tc>
          <w:tcPr>
            <w:tcW w:w="7829" w:type="dxa"/>
            <w:gridSpan w:val="3"/>
            <w:shd w:val="clear" w:color="auto" w:fill="auto"/>
          </w:tcPr>
          <w:p w:rsidR="006C110A" w:rsidRPr="006C110A" w:rsidRDefault="006C110A" w:rsidP="006C110A">
            <w:pPr>
              <w:spacing w:before="120" w:after="120"/>
              <w:jc w:val="both"/>
              <w:rPr>
                <w:rFonts w:ascii="Arial" w:eastAsia="Times New Roman" w:hAnsi="Arial" w:cs="Arial"/>
              </w:rPr>
            </w:pPr>
            <w:r w:rsidRPr="006C110A">
              <w:rPr>
                <w:rFonts w:ascii="Arial" w:eastAsia="Times New Roman"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rsidR="006C110A" w:rsidRPr="006C110A" w:rsidRDefault="006C110A" w:rsidP="006C110A">
      <w:pPr>
        <w:jc w:val="center"/>
        <w:rPr>
          <w:rFonts w:ascii="Arial" w:eastAsia="Times New Roman" w:hAnsi="Arial" w:cs="Arial"/>
          <w:b/>
          <w:i/>
          <w:sz w:val="32"/>
          <w:szCs w:val="20"/>
        </w:rPr>
      </w:pPr>
    </w:p>
    <w:p w:rsidR="006C110A" w:rsidRPr="006C110A" w:rsidRDefault="006C110A" w:rsidP="006C110A">
      <w:pPr>
        <w:rPr>
          <w:rFonts w:ascii="Arial" w:eastAsia="Times New Roman" w:hAnsi="Arial" w:cs="Arial"/>
          <w:sz w:val="32"/>
          <w:szCs w:val="20"/>
        </w:rPr>
      </w:pPr>
    </w:p>
    <w:p w:rsidR="006C110A" w:rsidRPr="006C110A" w:rsidRDefault="006C110A" w:rsidP="006C110A">
      <w:pPr>
        <w:rPr>
          <w:rFonts w:ascii="Arial" w:eastAsia="Times New Roman" w:hAnsi="Arial" w:cs="Arial"/>
          <w:sz w:val="32"/>
          <w:szCs w:val="20"/>
        </w:rPr>
      </w:pPr>
    </w:p>
    <w:p w:rsidR="006C110A" w:rsidRPr="006C110A" w:rsidRDefault="006C110A" w:rsidP="006C110A">
      <w:pPr>
        <w:rPr>
          <w:rFonts w:ascii="Arial" w:eastAsia="Times New Roman" w:hAnsi="Arial" w:cs="Arial"/>
          <w:sz w:val="32"/>
          <w:szCs w:val="20"/>
        </w:rPr>
      </w:pPr>
    </w:p>
    <w:p w:rsidR="006C110A" w:rsidRPr="006C110A" w:rsidRDefault="006C110A" w:rsidP="006C110A">
      <w:pPr>
        <w:spacing w:after="160" w:line="259" w:lineRule="auto"/>
        <w:rPr>
          <w:rFonts w:asciiTheme="majorHAnsi" w:eastAsiaTheme="majorEastAsia" w:hAnsiTheme="majorHAnsi" w:cstheme="majorBidi"/>
          <w:color w:val="2E74B5" w:themeColor="accent1" w:themeShade="BF"/>
          <w:sz w:val="32"/>
          <w:szCs w:val="32"/>
        </w:rPr>
      </w:pPr>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6C110A" w:rsidRPr="00A406E5" w:rsidTr="00CE158B">
        <w:trPr>
          <w:jc w:val="center"/>
        </w:trPr>
        <w:tc>
          <w:tcPr>
            <w:tcW w:w="10670" w:type="dxa"/>
            <w:shd w:val="clear" w:color="auto" w:fill="BFBFBF"/>
          </w:tcPr>
          <w:p w:rsidR="006C110A" w:rsidRPr="00A406E5" w:rsidRDefault="006C110A" w:rsidP="00CE158B">
            <w:pPr>
              <w:rPr>
                <w:rFonts w:ascii="Arial" w:hAnsi="Arial" w:cs="Arial"/>
              </w:rPr>
            </w:pPr>
            <w:r w:rsidRPr="00A406E5">
              <w:rPr>
                <w:rFonts w:ascii="Arial" w:hAnsi="Arial" w:cs="Arial"/>
                <w:sz w:val="32"/>
                <w:szCs w:val="32"/>
              </w:rPr>
              <w:lastRenderedPageBreak/>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rsidR="006C110A" w:rsidRPr="00A406E5" w:rsidRDefault="006C110A" w:rsidP="006C110A">
      <w:pPr>
        <w:rPr>
          <w:rFonts w:ascii="Arial" w:hAnsi="Arial" w:cs="Arial"/>
        </w:rPr>
      </w:pPr>
    </w:p>
    <w:p w:rsidR="006C110A" w:rsidRPr="00A406E5" w:rsidRDefault="006C110A" w:rsidP="006C110A">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6C110A" w:rsidRPr="00A406E5" w:rsidRDefault="006C110A" w:rsidP="006C110A">
      <w:pPr>
        <w:rPr>
          <w:rFonts w:ascii="Arial" w:hAnsi="Arial" w:cs="Arial"/>
          <w:b/>
        </w:rPr>
      </w:pPr>
    </w:p>
    <w:tbl>
      <w:tblPr>
        <w:tblW w:w="5000" w:type="pct"/>
        <w:tblLayout w:type="fixed"/>
        <w:tblLook w:val="04A0" w:firstRow="1" w:lastRow="0" w:firstColumn="1" w:lastColumn="0" w:noHBand="0" w:noVBand="1"/>
      </w:tblPr>
      <w:tblGrid>
        <w:gridCol w:w="7518"/>
        <w:gridCol w:w="750"/>
        <w:gridCol w:w="748"/>
      </w:tblGrid>
      <w:tr w:rsidR="006C110A" w:rsidRPr="00A406E5" w:rsidTr="00CE158B">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6C110A" w:rsidRPr="00A406E5" w:rsidRDefault="006C110A" w:rsidP="00CE158B">
            <w:pPr>
              <w:rPr>
                <w:rFonts w:ascii="Arial" w:hAnsi="Arial" w:cs="Arial"/>
                <w:b/>
              </w:rPr>
            </w:pPr>
            <w:r>
              <w:rPr>
                <w:rFonts w:ascii="Arial" w:hAnsi="Arial" w:cs="Arial"/>
                <w:b/>
                <w:szCs w:val="16"/>
              </w:rPr>
              <w:t>Generic</w:t>
            </w:r>
            <w:r w:rsidRPr="00A406E5">
              <w:rPr>
                <w:rFonts w:ascii="Arial" w:hAnsi="Arial" w:cs="Arial"/>
                <w:b/>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6C110A" w:rsidRPr="00A85BFE" w:rsidRDefault="006C110A" w:rsidP="00CE158B">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6C110A" w:rsidRPr="00A85BFE" w:rsidRDefault="006C110A" w:rsidP="00CE158B">
            <w:pPr>
              <w:ind w:left="113" w:right="113"/>
              <w:jc w:val="center"/>
              <w:rPr>
                <w:rFonts w:ascii="Arial" w:hAnsi="Arial" w:cs="Arial"/>
                <w:b/>
                <w:sz w:val="18"/>
                <w:szCs w:val="18"/>
              </w:rPr>
            </w:pPr>
            <w:r w:rsidRPr="00A85BFE">
              <w:rPr>
                <w:rFonts w:ascii="Arial" w:hAnsi="Arial" w:cs="Arial"/>
                <w:b/>
                <w:sz w:val="18"/>
                <w:szCs w:val="18"/>
              </w:rPr>
              <w:t xml:space="preserve">Marks </w:t>
            </w:r>
          </w:p>
          <w:p w:rsidR="006C110A" w:rsidRPr="00A85BFE" w:rsidRDefault="006C110A" w:rsidP="00CE158B">
            <w:pPr>
              <w:ind w:left="113" w:right="113"/>
              <w:jc w:val="center"/>
              <w:rPr>
                <w:rFonts w:ascii="Arial" w:hAnsi="Arial" w:cs="Arial"/>
                <w:b/>
                <w:sz w:val="18"/>
                <w:szCs w:val="18"/>
              </w:rPr>
            </w:pPr>
            <w:r w:rsidRPr="00A85BFE">
              <w:rPr>
                <w:rFonts w:ascii="Arial" w:hAnsi="Arial" w:cs="Arial"/>
                <w:b/>
                <w:sz w:val="18"/>
                <w:szCs w:val="18"/>
              </w:rPr>
              <w:t>awarded</w:t>
            </w:r>
          </w:p>
        </w:tc>
      </w:tr>
      <w:tr w:rsidR="006C110A" w:rsidRPr="00A406E5" w:rsidTr="00CE158B">
        <w:trPr>
          <w:trHeight w:val="450"/>
        </w:trPr>
        <w:tc>
          <w:tcPr>
            <w:tcW w:w="4169" w:type="pct"/>
            <w:tcBorders>
              <w:top w:val="single" w:sz="4" w:space="0" w:color="auto"/>
              <w:left w:val="single" w:sz="4" w:space="0" w:color="auto"/>
              <w:right w:val="single" w:sz="4" w:space="0" w:color="auto"/>
            </w:tcBorders>
            <w:shd w:val="clear" w:color="auto" w:fill="D9D9D9"/>
          </w:tcPr>
          <w:p w:rsidR="006C110A" w:rsidRPr="00A406E5" w:rsidRDefault="006C110A" w:rsidP="00CE158B">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006C110A" w:rsidRPr="00A406E5" w:rsidRDefault="006C110A" w:rsidP="00CE158B">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6C110A" w:rsidRPr="00A406E5" w:rsidRDefault="006C110A" w:rsidP="00CE158B">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6C110A" w:rsidRPr="00A406E5" w:rsidRDefault="006C110A" w:rsidP="00CE158B">
            <w:pPr>
              <w:jc w:val="center"/>
              <w:rPr>
                <w:rFonts w:ascii="Arial" w:hAnsi="Arial" w:cs="Arial"/>
                <w:sz w:val="32"/>
              </w:rPr>
            </w:pPr>
          </w:p>
        </w:tc>
      </w:tr>
      <w:tr w:rsidR="006C110A" w:rsidRPr="00A406E5" w:rsidTr="00CE158B">
        <w:trPr>
          <w:trHeight w:val="450"/>
        </w:trPr>
        <w:tc>
          <w:tcPr>
            <w:tcW w:w="4169" w:type="pct"/>
            <w:vMerge w:val="restart"/>
            <w:tcBorders>
              <w:top w:val="single" w:sz="4" w:space="0" w:color="auto"/>
              <w:left w:val="single" w:sz="4" w:space="0" w:color="auto"/>
              <w:right w:val="single" w:sz="4" w:space="0" w:color="auto"/>
            </w:tcBorders>
          </w:tcPr>
          <w:p w:rsidR="006C110A" w:rsidRPr="00A406E5" w:rsidRDefault="006C110A" w:rsidP="00CE158B">
            <w:pPr>
              <w:spacing w:after="120"/>
              <w:rPr>
                <w:rFonts w:ascii="Arial" w:hAnsi="Arial" w:cs="Arial"/>
                <w:sz w:val="14"/>
                <w:szCs w:val="14"/>
              </w:rPr>
            </w:pPr>
            <w:r w:rsidRPr="00A152D1">
              <w:rPr>
                <w:rFonts w:ascii="Arial" w:hAnsi="Arial" w:cs="Arial"/>
                <w:i/>
              </w:rPr>
              <w:t>Your identification and use of relevant academic and other material to help inform and develop your argument</w:t>
            </w:r>
            <w:r>
              <w:rPr>
                <w:rFonts w:ascii="Arial" w:hAnsi="Arial" w:cs="Arial"/>
                <w:i/>
              </w:rPr>
              <w:t>. Y</w:t>
            </w:r>
            <w:r w:rsidRPr="00A455EF">
              <w:rPr>
                <w:rFonts w:ascii="Arial" w:hAnsi="Arial" w:cs="Arial"/>
                <w:i/>
              </w:rPr>
              <w:t>ou should include at least twenty references. These should be taken form appropriate journals, textbooks and reliable websites</w:t>
            </w:r>
          </w:p>
          <w:p w:rsidR="006C110A" w:rsidRPr="00A406E5" w:rsidRDefault="006C110A" w:rsidP="00CE158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6C110A" w:rsidRPr="00A406E5" w:rsidRDefault="006C110A" w:rsidP="00CE158B">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6C110A" w:rsidRDefault="006C110A" w:rsidP="00CE158B">
            <w:pPr>
              <w:jc w:val="center"/>
              <w:rPr>
                <w:rFonts w:ascii="Arial" w:hAnsi="Arial" w:cs="Arial"/>
                <w:sz w:val="32"/>
              </w:rPr>
            </w:pPr>
          </w:p>
          <w:p w:rsidR="006C110A" w:rsidRPr="00A406E5" w:rsidRDefault="006C110A" w:rsidP="00CE158B">
            <w:pPr>
              <w:jc w:val="center"/>
              <w:rPr>
                <w:rFonts w:ascii="Arial" w:hAnsi="Arial" w:cs="Arial"/>
                <w:sz w:val="32"/>
              </w:rPr>
            </w:pPr>
            <w:r>
              <w:rPr>
                <w:rFonts w:ascii="Arial" w:hAnsi="Arial" w:cs="Arial"/>
                <w:sz w:val="32"/>
              </w:rPr>
              <w:t>10</w:t>
            </w:r>
          </w:p>
        </w:tc>
      </w:tr>
      <w:tr w:rsidR="006C110A" w:rsidRPr="00A406E5" w:rsidTr="00CE158B">
        <w:trPr>
          <w:trHeight w:val="451"/>
        </w:trPr>
        <w:tc>
          <w:tcPr>
            <w:tcW w:w="4169" w:type="pct"/>
            <w:vMerge/>
            <w:tcBorders>
              <w:left w:val="single" w:sz="4" w:space="0" w:color="auto"/>
              <w:bottom w:val="single" w:sz="4" w:space="0" w:color="auto"/>
              <w:right w:val="single" w:sz="4" w:space="0" w:color="auto"/>
            </w:tcBorders>
          </w:tcPr>
          <w:p w:rsidR="006C110A" w:rsidRPr="00A406E5" w:rsidRDefault="006C110A" w:rsidP="00CE158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6C110A" w:rsidRPr="00A406E5" w:rsidRDefault="006C110A" w:rsidP="00CE158B">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6C110A" w:rsidRPr="00A406E5" w:rsidRDefault="006C110A" w:rsidP="00CE158B">
            <w:pPr>
              <w:jc w:val="center"/>
              <w:rPr>
                <w:rFonts w:ascii="Arial" w:hAnsi="Arial" w:cs="Arial"/>
                <w:sz w:val="32"/>
              </w:rPr>
            </w:pPr>
          </w:p>
        </w:tc>
      </w:tr>
      <w:tr w:rsidR="006C110A" w:rsidRPr="00A406E5" w:rsidTr="00CE158B">
        <w:trPr>
          <w:trHeight w:val="450"/>
        </w:trPr>
        <w:tc>
          <w:tcPr>
            <w:tcW w:w="4169" w:type="pct"/>
            <w:tcBorders>
              <w:top w:val="single" w:sz="4" w:space="0" w:color="auto"/>
              <w:left w:val="single" w:sz="4" w:space="0" w:color="auto"/>
              <w:right w:val="single" w:sz="4" w:space="0" w:color="auto"/>
            </w:tcBorders>
            <w:shd w:val="clear" w:color="auto" w:fill="D9D9D9"/>
          </w:tcPr>
          <w:p w:rsidR="006C110A" w:rsidRPr="00A406E5" w:rsidRDefault="006C110A" w:rsidP="00CE158B">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006C110A" w:rsidRPr="00A406E5" w:rsidRDefault="006C110A" w:rsidP="00CE158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6C110A" w:rsidRPr="00A406E5" w:rsidRDefault="006C110A" w:rsidP="00CE158B">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6C110A" w:rsidRPr="00A406E5" w:rsidRDefault="006C110A" w:rsidP="00CE158B">
            <w:pPr>
              <w:jc w:val="center"/>
              <w:rPr>
                <w:rFonts w:ascii="Arial" w:hAnsi="Arial" w:cs="Arial"/>
                <w:sz w:val="32"/>
              </w:rPr>
            </w:pPr>
          </w:p>
        </w:tc>
      </w:tr>
      <w:tr w:rsidR="006C110A" w:rsidRPr="00A406E5" w:rsidTr="00CE158B">
        <w:trPr>
          <w:trHeight w:val="450"/>
        </w:trPr>
        <w:tc>
          <w:tcPr>
            <w:tcW w:w="4169" w:type="pct"/>
            <w:vMerge w:val="restart"/>
            <w:tcBorders>
              <w:top w:val="single" w:sz="4" w:space="0" w:color="auto"/>
              <w:left w:val="single" w:sz="4" w:space="0" w:color="auto"/>
              <w:right w:val="single" w:sz="4" w:space="0" w:color="auto"/>
            </w:tcBorders>
          </w:tcPr>
          <w:p w:rsidR="006C110A" w:rsidRPr="00A406E5" w:rsidRDefault="006C110A" w:rsidP="00CE158B">
            <w:pPr>
              <w:spacing w:after="120"/>
              <w:rPr>
                <w:rFonts w:ascii="Arial" w:hAnsi="Arial" w:cs="Arial"/>
                <w:sz w:val="14"/>
                <w:szCs w:val="14"/>
              </w:rPr>
            </w:pPr>
            <w:r w:rsidRPr="00A152D1">
              <w:rPr>
                <w:rFonts w:ascii="Arial" w:hAnsi="Arial" w:cs="Arial"/>
                <w:i/>
              </w:rPr>
              <w:t>Your critical discussion of the relationship between landscape and recreation and your suggestion of sustainable approaches to the interpretation and use of landscape for recreation.</w:t>
            </w:r>
          </w:p>
          <w:p w:rsidR="006C110A" w:rsidRPr="00A406E5" w:rsidRDefault="006C110A" w:rsidP="00CE158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6C110A" w:rsidRPr="00A406E5" w:rsidRDefault="006C110A" w:rsidP="00CE158B">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6C110A" w:rsidRDefault="006C110A" w:rsidP="00CE158B">
            <w:pPr>
              <w:jc w:val="center"/>
              <w:rPr>
                <w:rFonts w:ascii="Arial" w:hAnsi="Arial" w:cs="Arial"/>
                <w:sz w:val="32"/>
              </w:rPr>
            </w:pPr>
          </w:p>
          <w:p w:rsidR="006C110A" w:rsidRPr="00A406E5" w:rsidRDefault="006C110A" w:rsidP="00CE158B">
            <w:pPr>
              <w:jc w:val="center"/>
              <w:rPr>
                <w:rFonts w:ascii="Arial" w:hAnsi="Arial" w:cs="Arial"/>
                <w:sz w:val="32"/>
              </w:rPr>
            </w:pPr>
            <w:r>
              <w:rPr>
                <w:rFonts w:ascii="Arial" w:hAnsi="Arial" w:cs="Arial"/>
                <w:sz w:val="32"/>
              </w:rPr>
              <w:t>25</w:t>
            </w:r>
          </w:p>
        </w:tc>
      </w:tr>
      <w:tr w:rsidR="006C110A" w:rsidRPr="00A406E5" w:rsidTr="00CE158B">
        <w:trPr>
          <w:trHeight w:val="451"/>
        </w:trPr>
        <w:tc>
          <w:tcPr>
            <w:tcW w:w="4169" w:type="pct"/>
            <w:vMerge/>
            <w:tcBorders>
              <w:left w:val="single" w:sz="4" w:space="0" w:color="auto"/>
              <w:bottom w:val="single" w:sz="4" w:space="0" w:color="auto"/>
              <w:right w:val="single" w:sz="4" w:space="0" w:color="auto"/>
            </w:tcBorders>
          </w:tcPr>
          <w:p w:rsidR="006C110A" w:rsidRPr="00A406E5" w:rsidRDefault="006C110A" w:rsidP="00CE158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6C110A" w:rsidRPr="00A406E5" w:rsidRDefault="006C110A" w:rsidP="00CE158B">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6C110A" w:rsidRPr="00A406E5" w:rsidRDefault="006C110A" w:rsidP="00CE158B">
            <w:pPr>
              <w:jc w:val="center"/>
              <w:rPr>
                <w:rFonts w:ascii="Arial" w:hAnsi="Arial" w:cs="Arial"/>
                <w:sz w:val="32"/>
              </w:rPr>
            </w:pPr>
          </w:p>
        </w:tc>
      </w:tr>
      <w:tr w:rsidR="006C110A" w:rsidRPr="00A406E5" w:rsidTr="00CE158B">
        <w:trPr>
          <w:trHeight w:val="450"/>
        </w:trPr>
        <w:tc>
          <w:tcPr>
            <w:tcW w:w="4169" w:type="pct"/>
            <w:tcBorders>
              <w:top w:val="single" w:sz="4" w:space="0" w:color="auto"/>
              <w:left w:val="single" w:sz="4" w:space="0" w:color="auto"/>
              <w:right w:val="single" w:sz="4" w:space="0" w:color="auto"/>
            </w:tcBorders>
            <w:shd w:val="clear" w:color="auto" w:fill="D9D9D9"/>
          </w:tcPr>
          <w:p w:rsidR="006C110A" w:rsidRPr="00A406E5" w:rsidRDefault="006C110A" w:rsidP="00CE158B">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006C110A" w:rsidRPr="00A406E5" w:rsidRDefault="006C110A" w:rsidP="00CE158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6C110A" w:rsidRPr="00A406E5" w:rsidRDefault="006C110A" w:rsidP="00CE158B">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6C110A" w:rsidRPr="00A406E5" w:rsidRDefault="006C110A" w:rsidP="00CE158B">
            <w:pPr>
              <w:jc w:val="center"/>
              <w:rPr>
                <w:rFonts w:ascii="Arial" w:hAnsi="Arial" w:cs="Arial"/>
                <w:sz w:val="32"/>
              </w:rPr>
            </w:pPr>
          </w:p>
        </w:tc>
      </w:tr>
      <w:tr w:rsidR="006C110A" w:rsidRPr="00A406E5" w:rsidTr="00CE158B">
        <w:trPr>
          <w:trHeight w:val="450"/>
        </w:trPr>
        <w:tc>
          <w:tcPr>
            <w:tcW w:w="4169" w:type="pct"/>
            <w:vMerge w:val="restart"/>
            <w:tcBorders>
              <w:top w:val="single" w:sz="4" w:space="0" w:color="auto"/>
              <w:left w:val="single" w:sz="4" w:space="0" w:color="auto"/>
              <w:right w:val="single" w:sz="4" w:space="0" w:color="auto"/>
            </w:tcBorders>
          </w:tcPr>
          <w:p w:rsidR="006C110A" w:rsidRPr="00A406E5" w:rsidRDefault="006C110A" w:rsidP="00CE158B">
            <w:pPr>
              <w:spacing w:after="120"/>
              <w:rPr>
                <w:rFonts w:ascii="Arial" w:hAnsi="Arial" w:cs="Arial"/>
                <w:sz w:val="14"/>
                <w:szCs w:val="14"/>
              </w:rPr>
            </w:pPr>
            <w:r w:rsidRPr="00A152D1">
              <w:rPr>
                <w:rFonts w:ascii="Arial" w:hAnsi="Arial" w:cs="Arial"/>
                <w:i/>
              </w:rPr>
              <w:t>Your critical evaluation of external and internal influences that affect the perception, interpretation and use of landscape at the fieldwork sites.</w:t>
            </w:r>
          </w:p>
          <w:p w:rsidR="006C110A" w:rsidRPr="00A406E5" w:rsidRDefault="006C110A" w:rsidP="00CE158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6C110A" w:rsidRPr="00A406E5" w:rsidRDefault="006C110A" w:rsidP="00CE158B">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6C110A" w:rsidRDefault="006C110A" w:rsidP="00CE158B">
            <w:pPr>
              <w:jc w:val="center"/>
              <w:rPr>
                <w:rFonts w:ascii="Arial" w:hAnsi="Arial" w:cs="Arial"/>
                <w:sz w:val="32"/>
              </w:rPr>
            </w:pPr>
          </w:p>
          <w:p w:rsidR="006C110A" w:rsidRPr="00A406E5" w:rsidRDefault="006C110A" w:rsidP="00CE158B">
            <w:pPr>
              <w:jc w:val="center"/>
              <w:rPr>
                <w:rFonts w:ascii="Arial" w:hAnsi="Arial" w:cs="Arial"/>
                <w:sz w:val="32"/>
              </w:rPr>
            </w:pPr>
            <w:r>
              <w:rPr>
                <w:rFonts w:ascii="Arial" w:hAnsi="Arial" w:cs="Arial"/>
                <w:sz w:val="32"/>
              </w:rPr>
              <w:t>30</w:t>
            </w:r>
          </w:p>
        </w:tc>
      </w:tr>
      <w:tr w:rsidR="006C110A" w:rsidRPr="00A406E5" w:rsidTr="00CE158B">
        <w:trPr>
          <w:trHeight w:val="451"/>
        </w:trPr>
        <w:tc>
          <w:tcPr>
            <w:tcW w:w="4169" w:type="pct"/>
            <w:vMerge/>
            <w:tcBorders>
              <w:left w:val="single" w:sz="4" w:space="0" w:color="auto"/>
              <w:bottom w:val="single" w:sz="4" w:space="0" w:color="auto"/>
              <w:right w:val="single" w:sz="4" w:space="0" w:color="auto"/>
            </w:tcBorders>
          </w:tcPr>
          <w:p w:rsidR="006C110A" w:rsidRPr="00A406E5" w:rsidRDefault="006C110A" w:rsidP="00CE158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6C110A" w:rsidRPr="00A406E5" w:rsidRDefault="006C110A" w:rsidP="00CE158B">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6C110A" w:rsidRPr="00A406E5" w:rsidRDefault="006C110A" w:rsidP="00CE158B">
            <w:pPr>
              <w:jc w:val="center"/>
              <w:rPr>
                <w:rFonts w:ascii="Arial" w:hAnsi="Arial" w:cs="Arial"/>
                <w:sz w:val="32"/>
              </w:rPr>
            </w:pPr>
          </w:p>
        </w:tc>
      </w:tr>
      <w:tr w:rsidR="006C110A" w:rsidRPr="00A406E5" w:rsidTr="00CE158B">
        <w:trPr>
          <w:trHeight w:val="450"/>
        </w:trPr>
        <w:tc>
          <w:tcPr>
            <w:tcW w:w="4169" w:type="pct"/>
            <w:tcBorders>
              <w:top w:val="single" w:sz="4" w:space="0" w:color="auto"/>
              <w:left w:val="single" w:sz="4" w:space="0" w:color="auto"/>
              <w:right w:val="single" w:sz="4" w:space="0" w:color="auto"/>
            </w:tcBorders>
            <w:shd w:val="clear" w:color="auto" w:fill="D9D9D9"/>
          </w:tcPr>
          <w:p w:rsidR="006C110A" w:rsidRPr="00A406E5" w:rsidRDefault="006C110A" w:rsidP="00CE158B">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006C110A" w:rsidRPr="00A406E5" w:rsidRDefault="006C110A" w:rsidP="00CE158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6C110A" w:rsidRPr="00A406E5" w:rsidRDefault="006C110A" w:rsidP="00CE158B">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6C110A" w:rsidRPr="00A406E5" w:rsidRDefault="006C110A" w:rsidP="00CE158B">
            <w:pPr>
              <w:jc w:val="center"/>
              <w:rPr>
                <w:rFonts w:ascii="Arial" w:hAnsi="Arial" w:cs="Arial"/>
                <w:sz w:val="32"/>
              </w:rPr>
            </w:pPr>
          </w:p>
        </w:tc>
      </w:tr>
      <w:tr w:rsidR="006C110A" w:rsidRPr="00A406E5" w:rsidTr="00CE158B">
        <w:trPr>
          <w:trHeight w:val="451"/>
        </w:trPr>
        <w:tc>
          <w:tcPr>
            <w:tcW w:w="4169" w:type="pct"/>
            <w:vMerge w:val="restart"/>
            <w:tcBorders>
              <w:top w:val="single" w:sz="4" w:space="0" w:color="auto"/>
              <w:left w:val="single" w:sz="4" w:space="0" w:color="auto"/>
              <w:right w:val="single" w:sz="4" w:space="0" w:color="auto"/>
            </w:tcBorders>
          </w:tcPr>
          <w:p w:rsidR="006C110A" w:rsidRPr="00A406E5" w:rsidRDefault="006C110A" w:rsidP="00CE158B">
            <w:pPr>
              <w:jc w:val="both"/>
              <w:rPr>
                <w:rFonts w:ascii="Arial" w:hAnsi="Arial" w:cs="Arial"/>
                <w:i/>
              </w:rPr>
            </w:pPr>
            <w:r w:rsidRPr="00A152D1">
              <w:rPr>
                <w:rFonts w:ascii="Arial" w:hAnsi="Arial" w:cs="Arial"/>
                <w:i/>
              </w:rPr>
              <w:t>Your discussion of the nature of landscape within the context of the fieldwork locations</w:t>
            </w:r>
          </w:p>
          <w:p w:rsidR="006C110A" w:rsidRPr="00A406E5" w:rsidRDefault="006C110A" w:rsidP="00CE158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6C110A" w:rsidRPr="00A406E5" w:rsidRDefault="006C110A" w:rsidP="00CE158B">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6C110A" w:rsidRDefault="006C110A" w:rsidP="00CE158B">
            <w:pPr>
              <w:jc w:val="center"/>
              <w:rPr>
                <w:rFonts w:ascii="Arial" w:hAnsi="Arial" w:cs="Arial"/>
                <w:sz w:val="32"/>
              </w:rPr>
            </w:pPr>
          </w:p>
          <w:p w:rsidR="006C110A" w:rsidRPr="00A406E5" w:rsidRDefault="006C110A" w:rsidP="00CE158B">
            <w:pPr>
              <w:jc w:val="center"/>
              <w:rPr>
                <w:rFonts w:ascii="Arial" w:hAnsi="Arial" w:cs="Arial"/>
                <w:sz w:val="32"/>
              </w:rPr>
            </w:pPr>
            <w:r>
              <w:rPr>
                <w:rFonts w:ascii="Arial" w:hAnsi="Arial" w:cs="Arial"/>
                <w:sz w:val="32"/>
              </w:rPr>
              <w:t>25</w:t>
            </w:r>
          </w:p>
        </w:tc>
      </w:tr>
      <w:tr w:rsidR="006C110A" w:rsidRPr="00A406E5" w:rsidTr="00CE158B">
        <w:trPr>
          <w:trHeight w:val="450"/>
        </w:trPr>
        <w:tc>
          <w:tcPr>
            <w:tcW w:w="4169" w:type="pct"/>
            <w:vMerge/>
            <w:tcBorders>
              <w:left w:val="single" w:sz="4" w:space="0" w:color="auto"/>
              <w:bottom w:val="single" w:sz="4" w:space="0" w:color="auto"/>
              <w:right w:val="single" w:sz="4" w:space="0" w:color="auto"/>
            </w:tcBorders>
          </w:tcPr>
          <w:p w:rsidR="006C110A" w:rsidRPr="00A406E5" w:rsidRDefault="006C110A" w:rsidP="00CE158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6C110A" w:rsidRPr="00A406E5" w:rsidRDefault="006C110A" w:rsidP="00CE158B">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6C110A" w:rsidRPr="00A406E5" w:rsidRDefault="006C110A" w:rsidP="00CE158B">
            <w:pPr>
              <w:jc w:val="center"/>
              <w:rPr>
                <w:rFonts w:ascii="Arial" w:hAnsi="Arial" w:cs="Arial"/>
                <w:sz w:val="32"/>
              </w:rPr>
            </w:pPr>
          </w:p>
        </w:tc>
      </w:tr>
      <w:tr w:rsidR="006C110A" w:rsidRPr="00A406E5" w:rsidTr="00CE158B">
        <w:trPr>
          <w:trHeight w:val="450"/>
        </w:trPr>
        <w:tc>
          <w:tcPr>
            <w:tcW w:w="4169" w:type="pct"/>
            <w:tcBorders>
              <w:top w:val="single" w:sz="4" w:space="0" w:color="auto"/>
              <w:left w:val="single" w:sz="4" w:space="0" w:color="auto"/>
              <w:right w:val="single" w:sz="4" w:space="0" w:color="auto"/>
            </w:tcBorders>
            <w:shd w:val="clear" w:color="auto" w:fill="D9D9D9"/>
          </w:tcPr>
          <w:p w:rsidR="006C110A" w:rsidRPr="00A406E5" w:rsidRDefault="006C110A" w:rsidP="00CE158B">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006C110A" w:rsidRPr="00A406E5" w:rsidRDefault="006C110A" w:rsidP="00CE158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6C110A" w:rsidRPr="00A406E5" w:rsidRDefault="006C110A" w:rsidP="00CE158B">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6C110A" w:rsidRPr="00A406E5" w:rsidRDefault="006C110A" w:rsidP="00CE158B">
            <w:pPr>
              <w:jc w:val="center"/>
              <w:rPr>
                <w:rFonts w:ascii="Arial" w:hAnsi="Arial" w:cs="Arial"/>
                <w:sz w:val="32"/>
              </w:rPr>
            </w:pPr>
          </w:p>
        </w:tc>
      </w:tr>
      <w:tr w:rsidR="006C110A" w:rsidRPr="00A406E5" w:rsidTr="00CE158B">
        <w:trPr>
          <w:trHeight w:val="451"/>
        </w:trPr>
        <w:tc>
          <w:tcPr>
            <w:tcW w:w="4169" w:type="pct"/>
            <w:vMerge w:val="restart"/>
            <w:tcBorders>
              <w:top w:val="single" w:sz="4" w:space="0" w:color="auto"/>
              <w:left w:val="single" w:sz="4" w:space="0" w:color="auto"/>
              <w:right w:val="single" w:sz="4" w:space="0" w:color="auto"/>
            </w:tcBorders>
          </w:tcPr>
          <w:p w:rsidR="006C110A" w:rsidRPr="00A406E5" w:rsidRDefault="006C110A" w:rsidP="00CE158B">
            <w:pPr>
              <w:tabs>
                <w:tab w:val="center" w:pos="5227"/>
              </w:tabs>
              <w:jc w:val="both"/>
              <w:rPr>
                <w:rFonts w:ascii="Arial" w:hAnsi="Arial" w:cs="Arial"/>
                <w:i/>
              </w:rPr>
            </w:pPr>
            <w:r w:rsidRPr="00A152D1">
              <w:rPr>
                <w:rFonts w:ascii="Arial" w:hAnsi="Arial" w:cs="Arial"/>
                <w:i/>
              </w:rPr>
              <w:t>Written or other presentation: clarity of expression, accuracy of grammar and spelling (please use your spell-checker, set to UK English), use of headings when appropriate, use of illustrations (captioned and referred to in the text).</w:t>
            </w:r>
          </w:p>
          <w:p w:rsidR="006C110A" w:rsidRPr="00A406E5" w:rsidRDefault="006C110A" w:rsidP="00CE158B">
            <w:pPr>
              <w:spacing w:after="120"/>
              <w:rPr>
                <w:rFonts w:ascii="Arial" w:hAnsi="Arial" w:cs="Arial"/>
                <w:sz w:val="14"/>
                <w:szCs w:val="14"/>
              </w:rPr>
            </w:pPr>
          </w:p>
          <w:p w:rsidR="006C110A" w:rsidRPr="00A406E5" w:rsidRDefault="006C110A" w:rsidP="00CE158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6C110A" w:rsidRPr="00A406E5" w:rsidRDefault="006C110A" w:rsidP="00CE158B">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6C110A" w:rsidRDefault="006C110A" w:rsidP="00CE158B">
            <w:pPr>
              <w:jc w:val="center"/>
              <w:rPr>
                <w:rFonts w:ascii="Arial" w:hAnsi="Arial" w:cs="Arial"/>
                <w:sz w:val="32"/>
              </w:rPr>
            </w:pPr>
          </w:p>
          <w:p w:rsidR="006C110A" w:rsidRPr="00A406E5" w:rsidRDefault="006C110A" w:rsidP="00CE158B">
            <w:pPr>
              <w:jc w:val="center"/>
              <w:rPr>
                <w:rFonts w:ascii="Arial" w:hAnsi="Arial" w:cs="Arial"/>
                <w:sz w:val="32"/>
              </w:rPr>
            </w:pPr>
            <w:r>
              <w:rPr>
                <w:rFonts w:ascii="Arial" w:hAnsi="Arial" w:cs="Arial"/>
                <w:sz w:val="32"/>
              </w:rPr>
              <w:t>10</w:t>
            </w:r>
          </w:p>
        </w:tc>
      </w:tr>
      <w:tr w:rsidR="006C110A" w:rsidRPr="00A406E5" w:rsidTr="00CE158B">
        <w:trPr>
          <w:trHeight w:val="450"/>
        </w:trPr>
        <w:tc>
          <w:tcPr>
            <w:tcW w:w="4169" w:type="pct"/>
            <w:vMerge/>
            <w:tcBorders>
              <w:left w:val="single" w:sz="4" w:space="0" w:color="auto"/>
              <w:bottom w:val="single" w:sz="4" w:space="0" w:color="auto"/>
              <w:right w:val="single" w:sz="4" w:space="0" w:color="auto"/>
            </w:tcBorders>
          </w:tcPr>
          <w:p w:rsidR="006C110A" w:rsidRPr="00A406E5" w:rsidRDefault="006C110A" w:rsidP="00CE158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6C110A" w:rsidRPr="00A406E5" w:rsidRDefault="006C110A" w:rsidP="00CE158B">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6C110A" w:rsidRPr="00A406E5" w:rsidRDefault="006C110A" w:rsidP="00CE158B">
            <w:pPr>
              <w:jc w:val="center"/>
              <w:rPr>
                <w:rFonts w:ascii="Arial" w:hAnsi="Arial" w:cs="Arial"/>
                <w:sz w:val="32"/>
              </w:rPr>
            </w:pPr>
          </w:p>
        </w:tc>
      </w:tr>
    </w:tbl>
    <w:p w:rsidR="006C110A" w:rsidRPr="00A406E5" w:rsidRDefault="006C110A" w:rsidP="006C110A">
      <w:pPr>
        <w:ind w:left="284" w:right="531"/>
        <w:rPr>
          <w:rFonts w:ascii="Arial" w:hAnsi="Arial" w:cs="Arial"/>
          <w:b/>
          <w:sz w:val="16"/>
          <w:szCs w:val="16"/>
        </w:rPr>
      </w:pPr>
      <w:r>
        <w:rPr>
          <w:rFonts w:ascii="Arial" w:hAnsi="Arial" w:cs="Arial"/>
          <w:b/>
          <w:sz w:val="16"/>
          <w:szCs w:val="16"/>
        </w:rPr>
        <w:t>29t</w:t>
      </w: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6C110A" w:rsidRPr="00A406E5" w:rsidTr="00CE158B">
        <w:trPr>
          <w:cantSplit/>
        </w:trPr>
        <w:tc>
          <w:tcPr>
            <w:tcW w:w="6062" w:type="dxa"/>
            <w:vMerge w:val="restart"/>
            <w:shd w:val="pct15" w:color="auto" w:fill="auto"/>
            <w:vAlign w:val="center"/>
          </w:tcPr>
          <w:p w:rsidR="006C110A" w:rsidRPr="00A406E5" w:rsidRDefault="006C110A" w:rsidP="00CE158B">
            <w:pPr>
              <w:rPr>
                <w:rFonts w:ascii="Arial" w:hAnsi="Arial" w:cs="Arial"/>
                <w:sz w:val="16"/>
                <w:szCs w:val="16"/>
              </w:rPr>
            </w:pPr>
            <w:r>
              <w:rPr>
                <w:rFonts w:ascii="Arial" w:hAnsi="Arial" w:cs="Arial"/>
                <w:b/>
                <w:bCs/>
              </w:rPr>
              <w:t>Assessment</w:t>
            </w:r>
            <w:r w:rsidRPr="00A406E5">
              <w:rPr>
                <w:rFonts w:ascii="Arial" w:hAnsi="Arial" w:cs="Arial"/>
                <w:b/>
                <w:bCs/>
              </w:rPr>
              <w:t xml:space="preserve"> Mark </w:t>
            </w:r>
            <w:r w:rsidRPr="00A406E5">
              <w:rPr>
                <w:rFonts w:ascii="Arial" w:hAnsi="Arial" w:cs="Arial"/>
                <w:bCs/>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6C110A" w:rsidRPr="00A406E5" w:rsidRDefault="006C110A" w:rsidP="00CE158B">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6C110A" w:rsidRPr="00A406E5" w:rsidRDefault="006C110A" w:rsidP="00CE158B">
            <w:pPr>
              <w:jc w:val="right"/>
              <w:rPr>
                <w:rFonts w:ascii="Arial" w:hAnsi="Arial" w:cs="Arial"/>
                <w:b/>
                <w:bCs/>
              </w:rPr>
            </w:pPr>
            <w:r w:rsidRPr="00A406E5">
              <w:rPr>
                <w:rFonts w:ascii="Arial" w:hAnsi="Arial" w:cs="Arial"/>
                <w:b/>
                <w:bCs/>
              </w:rPr>
              <w:t>%</w:t>
            </w:r>
          </w:p>
        </w:tc>
      </w:tr>
      <w:tr w:rsidR="006C110A" w:rsidRPr="00A406E5" w:rsidTr="00CE158B">
        <w:trPr>
          <w:cantSplit/>
        </w:trPr>
        <w:tc>
          <w:tcPr>
            <w:tcW w:w="6062" w:type="dxa"/>
            <w:vMerge/>
            <w:vAlign w:val="bottom"/>
          </w:tcPr>
          <w:p w:rsidR="006C110A" w:rsidRPr="00A406E5" w:rsidRDefault="006C110A" w:rsidP="00CE158B">
            <w:pPr>
              <w:rPr>
                <w:rFonts w:ascii="Arial" w:hAnsi="Arial" w:cs="Arial"/>
              </w:rPr>
            </w:pPr>
          </w:p>
        </w:tc>
        <w:tc>
          <w:tcPr>
            <w:tcW w:w="2903" w:type="dxa"/>
            <w:vAlign w:val="bottom"/>
          </w:tcPr>
          <w:p w:rsidR="006C110A" w:rsidRPr="00A406E5" w:rsidRDefault="006C110A" w:rsidP="00CE158B">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rsidR="006C110A" w:rsidRPr="00A406E5" w:rsidRDefault="006C110A" w:rsidP="00CE158B">
            <w:pPr>
              <w:jc w:val="center"/>
              <w:rPr>
                <w:rFonts w:ascii="Arial" w:hAnsi="Arial" w:cs="Arial"/>
                <w:sz w:val="12"/>
                <w:szCs w:val="12"/>
              </w:rPr>
            </w:pPr>
          </w:p>
        </w:tc>
        <w:tc>
          <w:tcPr>
            <w:tcW w:w="1060" w:type="dxa"/>
            <w:vMerge/>
            <w:vAlign w:val="bottom"/>
          </w:tcPr>
          <w:p w:rsidR="006C110A" w:rsidRPr="00A406E5" w:rsidRDefault="006C110A" w:rsidP="00CE158B">
            <w:pPr>
              <w:ind w:leftChars="71" w:left="156"/>
              <w:rPr>
                <w:rFonts w:ascii="Arial" w:hAnsi="Arial" w:cs="Arial"/>
              </w:rPr>
            </w:pPr>
          </w:p>
        </w:tc>
      </w:tr>
      <w:tr w:rsidR="006C110A" w:rsidRPr="00A406E5" w:rsidTr="00CE158B">
        <w:trPr>
          <w:cantSplit/>
        </w:trPr>
        <w:tc>
          <w:tcPr>
            <w:tcW w:w="6062" w:type="dxa"/>
            <w:vMerge/>
            <w:vAlign w:val="bottom"/>
          </w:tcPr>
          <w:p w:rsidR="006C110A" w:rsidRPr="00A406E5" w:rsidRDefault="006C110A" w:rsidP="00CE158B">
            <w:pPr>
              <w:rPr>
                <w:rFonts w:ascii="Arial" w:hAnsi="Arial" w:cs="Arial"/>
              </w:rPr>
            </w:pPr>
          </w:p>
        </w:tc>
        <w:tc>
          <w:tcPr>
            <w:tcW w:w="2903" w:type="dxa"/>
            <w:vAlign w:val="bottom"/>
          </w:tcPr>
          <w:p w:rsidR="006C110A" w:rsidRPr="00A406E5" w:rsidRDefault="006C110A" w:rsidP="00CE158B">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006C110A" w:rsidRPr="00A406E5" w:rsidRDefault="006C110A" w:rsidP="00CE158B">
            <w:pPr>
              <w:jc w:val="center"/>
              <w:rPr>
                <w:rFonts w:ascii="Arial" w:hAnsi="Arial" w:cs="Arial"/>
                <w:sz w:val="12"/>
                <w:szCs w:val="12"/>
              </w:rPr>
            </w:pPr>
          </w:p>
        </w:tc>
        <w:tc>
          <w:tcPr>
            <w:tcW w:w="1060" w:type="dxa"/>
            <w:vMerge/>
            <w:vAlign w:val="bottom"/>
          </w:tcPr>
          <w:p w:rsidR="006C110A" w:rsidRPr="00A406E5" w:rsidRDefault="006C110A" w:rsidP="00CE158B">
            <w:pPr>
              <w:ind w:firstLineChars="141" w:firstLine="310"/>
              <w:rPr>
                <w:rFonts w:ascii="Arial" w:hAnsi="Arial" w:cs="Arial"/>
              </w:rPr>
            </w:pPr>
          </w:p>
        </w:tc>
      </w:tr>
    </w:tbl>
    <w:p w:rsidR="006C110A" w:rsidRDefault="006C110A" w:rsidP="006C110A">
      <w:pPr>
        <w:rPr>
          <w:rFonts w:ascii="Arial" w:hAnsi="Arial" w:cs="Arial"/>
        </w:rPr>
      </w:pPr>
    </w:p>
    <w:p w:rsidR="006C110A" w:rsidRPr="006A0AF4" w:rsidRDefault="006C110A" w:rsidP="006C110A">
      <w:pPr>
        <w:pStyle w:val="Heading1"/>
        <w:spacing w:before="0" w:after="240" w:line="360" w:lineRule="auto"/>
      </w:pPr>
      <w:r>
        <w:lastRenderedPageBreak/>
        <w:t>Dinefwr Estate</w:t>
      </w:r>
    </w:p>
    <w:p w:rsidR="006C110A" w:rsidRDefault="006C110A" w:rsidP="006C110A">
      <w:pPr>
        <w:pStyle w:val="Heading2"/>
        <w:spacing w:before="0" w:after="240" w:line="360" w:lineRule="auto"/>
      </w:pPr>
      <w:r>
        <w:t>Landscape character</w:t>
      </w:r>
    </w:p>
    <w:p w:rsidR="006C110A" w:rsidRDefault="009E0787" w:rsidP="006C110A">
      <w:pPr>
        <w:spacing w:line="360" w:lineRule="auto"/>
      </w:pPr>
      <w:r>
        <w:t xml:space="preserve">Dinefwr </w:t>
      </w:r>
      <w:r w:rsidR="00C87F4B">
        <w:t>represents a socialised landscape (</w:t>
      </w:r>
      <w:proofErr w:type="spellStart"/>
      <w:r w:rsidR="00C87F4B">
        <w:t>Landley</w:t>
      </w:r>
      <w:proofErr w:type="spellEnd"/>
      <w:r w:rsidR="00C87F4B">
        <w:t xml:space="preserve">, 2013) and </w:t>
      </w:r>
      <w:r>
        <w:t>is a 970 acre landscaped park (</w:t>
      </w:r>
      <w:proofErr w:type="spellStart"/>
      <w:r>
        <w:t>Cadw</w:t>
      </w:r>
      <w:proofErr w:type="spellEnd"/>
      <w:r>
        <w:t>, 2002</w:t>
      </w:r>
      <w:r w:rsidR="006C110A">
        <w:t>), located in Carmarthenshire, South Wales (Figure 1).</w:t>
      </w:r>
      <w:r>
        <w:t xml:space="preserve"> </w:t>
      </w:r>
      <w:r w:rsidR="006C110A">
        <w:t xml:space="preserve">Dinefwr has multiple key elements which have impacted upon the current visible landscape, most notably are the </w:t>
      </w:r>
      <w:r>
        <w:t>Castle, Deer P</w:t>
      </w:r>
      <w:r w:rsidR="006C110A">
        <w:t xml:space="preserve">ark and Newton House. </w:t>
      </w:r>
    </w:p>
    <w:p w:rsidR="006C110A" w:rsidRDefault="006C110A" w:rsidP="006C110A">
      <w:pPr>
        <w:spacing w:line="360" w:lineRule="auto"/>
      </w:pPr>
    </w:p>
    <w:p w:rsidR="006C110A" w:rsidRDefault="006C110A" w:rsidP="006C110A">
      <w:pPr>
        <w:spacing w:line="360" w:lineRule="auto"/>
      </w:pPr>
      <w:r>
        <w:t xml:space="preserve">The present deer park at Dinefwr was enclosed and established in 1660 with slaters </w:t>
      </w:r>
      <w:r w:rsidR="009E0787">
        <w:t>(</w:t>
      </w:r>
      <w:proofErr w:type="spellStart"/>
      <w:r w:rsidR="009E0787">
        <w:t>Cadw</w:t>
      </w:r>
      <w:proofErr w:type="spellEnd"/>
      <w:r w:rsidR="009E0787">
        <w:t xml:space="preserve">, 2002; </w:t>
      </w:r>
      <w:r w:rsidR="00D97F89">
        <w:t>Bailey, 2022</w:t>
      </w:r>
      <w:r w:rsidR="009E0787">
        <w:t xml:space="preserve">), to </w:t>
      </w:r>
      <w:r>
        <w:t>en</w:t>
      </w:r>
      <w:r w:rsidR="009E0787">
        <w:t xml:space="preserve">able deer to enter the park whilst preventing </w:t>
      </w:r>
      <w:r>
        <w:t>escape (Cooper and Shannon, 2017). Following 1066, the gentry of Britain enclosed large swathes of lands from the commo</w:t>
      </w:r>
      <w:r w:rsidR="009E0787">
        <w:t xml:space="preserve">ns </w:t>
      </w:r>
      <w:r w:rsidR="00E04847">
        <w:t>to create</w:t>
      </w:r>
      <w:r w:rsidR="009E0787">
        <w:t xml:space="preserve"> deer p</w:t>
      </w:r>
      <w:r>
        <w:t>arks (</w:t>
      </w:r>
      <w:proofErr w:type="spellStart"/>
      <w:r>
        <w:t>Peterken</w:t>
      </w:r>
      <w:proofErr w:type="spellEnd"/>
      <w:r>
        <w:t>, 1993). The</w:t>
      </w:r>
      <w:r w:rsidR="00E04847">
        <w:t xml:space="preserve">ir creation </w:t>
      </w:r>
      <w:r>
        <w:t>represents a shift in landscape management in Britain, where enhanced deer populations drastically altered the character of lands usually reclaimed from wooded ‘wast</w:t>
      </w:r>
      <w:r w:rsidR="00C425BC">
        <w:t>es’ (Williamson, 2016).</w:t>
      </w:r>
      <w:r w:rsidR="00314DE6">
        <w:t xml:space="preserve"> Enclosing land for deer parks negatively influenced </w:t>
      </w:r>
      <w:r w:rsidR="00A82548">
        <w:t>commoner’s</w:t>
      </w:r>
      <w:r w:rsidR="00314DE6">
        <w:t xml:space="preserve"> perceptions of such landscapes</w:t>
      </w:r>
      <w:r w:rsidR="00C87F4B">
        <w:t xml:space="preserve"> (Peng, 2020)</w:t>
      </w:r>
      <w:r w:rsidR="00314DE6">
        <w:t xml:space="preserve"> as they were now blocked from accessing the </w:t>
      </w:r>
      <w:r w:rsidR="00E04847">
        <w:t xml:space="preserve">once </w:t>
      </w:r>
      <w:r w:rsidR="00314DE6">
        <w:t xml:space="preserve">common lands (Hayes, 2020; </w:t>
      </w:r>
      <w:proofErr w:type="spellStart"/>
      <w:r w:rsidR="00314DE6">
        <w:t>Neeson</w:t>
      </w:r>
      <w:proofErr w:type="spellEnd"/>
      <w:r w:rsidR="00314DE6">
        <w:t>, 1996).</w:t>
      </w:r>
      <w:r w:rsidR="00C425BC">
        <w:t xml:space="preserve"> T</w:t>
      </w:r>
      <w:r>
        <w:t xml:space="preserve">he eating habits of deer in the artificial populations facilitated within deer parks, </w:t>
      </w:r>
      <w:r w:rsidR="00C425BC">
        <w:t xml:space="preserve">limit </w:t>
      </w:r>
      <w:r>
        <w:t xml:space="preserve">new </w:t>
      </w:r>
      <w:r w:rsidR="00C425BC">
        <w:t xml:space="preserve">tree </w:t>
      </w:r>
      <w:r w:rsidR="009F7660">
        <w:t>growth within the park</w:t>
      </w:r>
      <w:r>
        <w:t xml:space="preserve"> (</w:t>
      </w:r>
      <w:r w:rsidR="00C425BC">
        <w:t>Cote et al., 2004</w:t>
      </w:r>
      <w:r w:rsidR="009F7660">
        <w:t>; Bailey, 2022</w:t>
      </w:r>
      <w:r>
        <w:t xml:space="preserve">). Dinefwr also housed white </w:t>
      </w:r>
      <w:r w:rsidR="00C425BC">
        <w:t xml:space="preserve">park </w:t>
      </w:r>
      <w:r>
        <w:t xml:space="preserve">cattle, </w:t>
      </w:r>
      <w:r w:rsidR="009F7660">
        <w:t xml:space="preserve">as was </w:t>
      </w:r>
      <w:r>
        <w:t>commo</w:t>
      </w:r>
      <w:r w:rsidR="00C425BC">
        <w:t>n at the time (</w:t>
      </w:r>
      <w:proofErr w:type="spellStart"/>
      <w:r w:rsidR="00C425BC">
        <w:t>Peterken</w:t>
      </w:r>
      <w:proofErr w:type="spellEnd"/>
      <w:r w:rsidR="00C425BC">
        <w:t xml:space="preserve">, 1993). </w:t>
      </w:r>
      <w:r>
        <w:t>Dinefwr followed the cultural norms of the 18</w:t>
      </w:r>
      <w:r w:rsidRPr="00976C24">
        <w:rPr>
          <w:vertAlign w:val="superscript"/>
        </w:rPr>
        <w:t>th</w:t>
      </w:r>
      <w:r>
        <w:t xml:space="preserve"> century with changes made </w:t>
      </w:r>
      <w:r w:rsidR="00C425BC">
        <w:t>following</w:t>
      </w:r>
      <w:r>
        <w:t xml:space="preserve"> the philosophies of Capability Brown, with deer parks being incorporated within or converted to landscape parks (</w:t>
      </w:r>
      <w:proofErr w:type="spellStart"/>
      <w:r>
        <w:t>Peterken</w:t>
      </w:r>
      <w:proofErr w:type="spellEnd"/>
      <w:r>
        <w:t>, 1999).</w:t>
      </w:r>
    </w:p>
    <w:p w:rsidR="006C110A" w:rsidRPr="003E1641" w:rsidRDefault="006C110A" w:rsidP="006C110A">
      <w:pPr>
        <w:spacing w:line="360" w:lineRule="auto"/>
      </w:pPr>
    </w:p>
    <w:p w:rsidR="006C110A" w:rsidRDefault="006C110A" w:rsidP="006C110A">
      <w:pPr>
        <w:spacing w:after="240" w:line="360" w:lineRule="auto"/>
      </w:pPr>
      <w:r>
        <w:t>New</w:t>
      </w:r>
      <w:r w:rsidR="003F7350">
        <w:t xml:space="preserve">ton House (Figure 2; 3; 4) was the Rhys family home for over 350 years after </w:t>
      </w:r>
      <w:r>
        <w:t>being sold to the</w:t>
      </w:r>
      <w:r w:rsidR="003F7350">
        <w:t>m</w:t>
      </w:r>
      <w:r>
        <w:t xml:space="preserve"> in 1635 (</w:t>
      </w:r>
      <w:proofErr w:type="spellStart"/>
      <w:r>
        <w:t>Cadw</w:t>
      </w:r>
      <w:proofErr w:type="spellEnd"/>
      <w:r>
        <w:t>, 2002). The modern Newton House was built on top of the grounds of a medieval town also called Newton for which there are no remains above ground (Dyfed Archaeological Trust, 2022). The current home</w:t>
      </w:r>
      <w:r w:rsidR="006C5645">
        <w:t xml:space="preserve"> had a</w:t>
      </w:r>
      <w:r>
        <w:t xml:space="preserve"> Venetian gothic redesign in the 1850s (National Trust, 2022; </w:t>
      </w:r>
      <w:proofErr w:type="spellStart"/>
      <w:r>
        <w:t>Cadw</w:t>
      </w:r>
      <w:proofErr w:type="spellEnd"/>
      <w:r>
        <w:t xml:space="preserve">, 2002) to reflect the </w:t>
      </w:r>
      <w:r w:rsidR="006C5645">
        <w:t>cultural norms</w:t>
      </w:r>
      <w:r>
        <w:t xml:space="preserve"> and </w:t>
      </w:r>
      <w:r w:rsidR="006C5645">
        <w:t>perspectives</w:t>
      </w:r>
      <w:r>
        <w:t xml:space="preserve"> of nature as art (Appendix 1; ref of cultural norms). The lands around Newton House and the Dinefwr estate include an 18</w:t>
      </w:r>
      <w:r w:rsidRPr="00032F8B">
        <w:rPr>
          <w:vertAlign w:val="superscript"/>
        </w:rPr>
        <w:t>th</w:t>
      </w:r>
      <w:r>
        <w:t xml:space="preserve"> century </w:t>
      </w:r>
      <w:r w:rsidR="00C87F4B">
        <w:t xml:space="preserve">enlightenment era </w:t>
      </w:r>
      <w:r>
        <w:t>landscape park built around a medieval deer park (Norman, 2022), small formal garden (Figure 4), walled garden, and walled kitchen garden (</w:t>
      </w:r>
      <w:proofErr w:type="spellStart"/>
      <w:r>
        <w:t>Cadw</w:t>
      </w:r>
      <w:proofErr w:type="spellEnd"/>
      <w:r>
        <w:t>, 2002). These landscaping projects replaced the previous landscaping efforts where the house stood amongst mature trees looking down over rows of young trees</w:t>
      </w:r>
      <w:r w:rsidR="00896C56">
        <w:t xml:space="preserve"> (Figure 5)</w:t>
      </w:r>
      <w:r>
        <w:t xml:space="preserve">, as painted in approximately 1690 (Appendix 1; 2). The formal garden was constructed between 1856 and 1858 and is separated from the landscape park by </w:t>
      </w:r>
      <w:r w:rsidR="00896C56">
        <w:t xml:space="preserve">a </w:t>
      </w:r>
      <w:r>
        <w:t>stone ha-ha (</w:t>
      </w:r>
      <w:proofErr w:type="spellStart"/>
      <w:r>
        <w:t>Cadw</w:t>
      </w:r>
      <w:proofErr w:type="spellEnd"/>
      <w:r>
        <w:t xml:space="preserve">, 2002). George Rhys landscaped the grounds around the house to the east and south </w:t>
      </w:r>
      <w:r>
        <w:lastRenderedPageBreak/>
        <w:t>according to naturalistic principles between 1750 and 1780 (</w:t>
      </w:r>
      <w:proofErr w:type="spellStart"/>
      <w:r>
        <w:t>Cadw</w:t>
      </w:r>
      <w:proofErr w:type="spellEnd"/>
      <w:r>
        <w:t>, 2002). This landscaping included the removal of over 300 trees, hedges flattened, and ditches levelled (</w:t>
      </w:r>
      <w:proofErr w:type="spellStart"/>
      <w:r>
        <w:t>Cadw</w:t>
      </w:r>
      <w:proofErr w:type="spellEnd"/>
      <w:r>
        <w:t xml:space="preserve">, 2002). </w:t>
      </w:r>
      <w:r w:rsidR="00D323F6">
        <w:t>These landscape changes follow a shift in western cultures to focus on the aesthetic rather than survival f</w:t>
      </w:r>
      <w:r w:rsidR="00D46981">
        <w:t>e</w:t>
      </w:r>
      <w:r w:rsidR="00D323F6">
        <w:t>atures of landscape (</w:t>
      </w:r>
      <w:r w:rsidR="00B63115">
        <w:t>Burt and Archer, 1994</w:t>
      </w:r>
      <w:r w:rsidR="00D323F6">
        <w:t xml:space="preserve">). </w:t>
      </w:r>
      <w:r>
        <w:t>The landscape styles around the estate are not uniform with the landscape east of the house being largely tree-covered and the land to the south being moulded into gently rolling open land (</w:t>
      </w:r>
      <w:proofErr w:type="spellStart"/>
      <w:r>
        <w:t>Cadw</w:t>
      </w:r>
      <w:proofErr w:type="spellEnd"/>
      <w:r>
        <w:t xml:space="preserve">, 2002). The house itself sits on a raised terrace surrounded by </w:t>
      </w:r>
      <w:r w:rsidR="006C5645">
        <w:t>a ha-ha on three sides (Figure 6</w:t>
      </w:r>
      <w:r>
        <w:t>), with offices and two courtyard buildings to the south (</w:t>
      </w:r>
      <w:proofErr w:type="spellStart"/>
      <w:r>
        <w:t>Cadw</w:t>
      </w:r>
      <w:proofErr w:type="spellEnd"/>
      <w:r>
        <w:t xml:space="preserve">, 2002). </w:t>
      </w:r>
    </w:p>
    <w:p w:rsidR="006C110A" w:rsidRPr="00947BA4" w:rsidRDefault="006C110A" w:rsidP="006C110A">
      <w:pPr>
        <w:spacing w:after="240" w:line="360" w:lineRule="auto"/>
      </w:pPr>
      <w:r w:rsidRPr="00947BA4">
        <w:t>The ownership of the Dinefwr estate has seen constant changes over the last 1000 years as separate kings and queens both took control away from the Rhys family and then subsequent rulers returned it, with Charles the 1</w:t>
      </w:r>
      <w:r w:rsidRPr="00947BA4">
        <w:rPr>
          <w:vertAlign w:val="superscript"/>
        </w:rPr>
        <w:t>st</w:t>
      </w:r>
      <w:r w:rsidRPr="00947BA4">
        <w:t xml:space="preserve"> returning all lands to the Rhys family in the 17</w:t>
      </w:r>
      <w:r w:rsidRPr="00947BA4">
        <w:rPr>
          <w:vertAlign w:val="superscript"/>
        </w:rPr>
        <w:t>th</w:t>
      </w:r>
      <w:r w:rsidRPr="00947BA4">
        <w:t xml:space="preserve"> century (Norman, 2022).</w:t>
      </w:r>
    </w:p>
    <w:p w:rsidR="006C110A" w:rsidRDefault="006C110A" w:rsidP="006C110A">
      <w:pPr>
        <w:pStyle w:val="Caption"/>
        <w:keepNext/>
        <w:spacing w:line="360" w:lineRule="auto"/>
      </w:pPr>
      <w:r>
        <w:t xml:space="preserve">Figure </w:t>
      </w:r>
      <w:fldSimple w:instr=" SEQ Figure \* ARABIC ">
        <w:r w:rsidR="006C5645">
          <w:rPr>
            <w:noProof/>
          </w:rPr>
          <w:t>1</w:t>
        </w:r>
      </w:fldSimple>
      <w:r>
        <w:t>(</w:t>
      </w:r>
      <w:proofErr w:type="spellStart"/>
      <w:r>
        <w:t>Digimap</w:t>
      </w:r>
      <w:proofErr w:type="spellEnd"/>
      <w:r>
        <w:t>, 2022)</w:t>
      </w:r>
    </w:p>
    <w:p w:rsidR="006C110A" w:rsidRDefault="006C110A" w:rsidP="006C110A">
      <w:pPr>
        <w:spacing w:after="240" w:line="360" w:lineRule="auto"/>
      </w:pPr>
      <w:r w:rsidRPr="006A0AF4">
        <w:rPr>
          <w:noProof/>
        </w:rPr>
        <w:drawing>
          <wp:inline distT="0" distB="0" distL="0" distR="0" wp14:anchorId="5269C53A" wp14:editId="3EC01265">
            <wp:extent cx="5731510" cy="373951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t="5077"/>
                    <a:stretch/>
                  </pic:blipFill>
                  <pic:spPr bwMode="auto">
                    <a:xfrm>
                      <a:off x="0" y="0"/>
                      <a:ext cx="5731510" cy="3739515"/>
                    </a:xfrm>
                    <a:prstGeom prst="rect">
                      <a:avLst/>
                    </a:prstGeom>
                    <a:ln>
                      <a:noFill/>
                    </a:ln>
                    <a:extLst>
                      <a:ext uri="{53640926-AAD7-44D8-BBD7-CCE9431645EC}">
                        <a14:shadowObscured xmlns:a14="http://schemas.microsoft.com/office/drawing/2010/main"/>
                      </a:ext>
                    </a:extLst>
                  </pic:spPr>
                </pic:pic>
              </a:graphicData>
            </a:graphic>
          </wp:inline>
        </w:drawing>
      </w:r>
    </w:p>
    <w:p w:rsidR="006C110A" w:rsidRDefault="006C110A" w:rsidP="006C110A">
      <w:pPr>
        <w:pStyle w:val="Caption"/>
        <w:keepNext/>
        <w:spacing w:line="360" w:lineRule="auto"/>
      </w:pPr>
      <w:r>
        <w:lastRenderedPageBreak/>
        <w:t xml:space="preserve">Figure </w:t>
      </w:r>
      <w:fldSimple w:instr=" SEQ Figure \* ARABIC ">
        <w:r w:rsidR="006C5645">
          <w:rPr>
            <w:noProof/>
          </w:rPr>
          <w:t>2</w:t>
        </w:r>
      </w:fldSimple>
      <w:r>
        <w:t>(</w:t>
      </w:r>
      <w:proofErr w:type="spellStart"/>
      <w:r>
        <w:t>Digimap</w:t>
      </w:r>
      <w:proofErr w:type="spellEnd"/>
      <w:r>
        <w:t>, 2022)</w:t>
      </w:r>
    </w:p>
    <w:p w:rsidR="006C110A" w:rsidRDefault="006C110A" w:rsidP="006C110A">
      <w:pPr>
        <w:spacing w:after="240" w:line="360" w:lineRule="auto"/>
      </w:pPr>
      <w:r w:rsidRPr="006A0AF4">
        <w:rPr>
          <w:noProof/>
        </w:rPr>
        <w:drawing>
          <wp:inline distT="0" distB="0" distL="0" distR="0" wp14:anchorId="698E7BBD" wp14:editId="1A2DF3B4">
            <wp:extent cx="5342890" cy="3495240"/>
            <wp:effectExtent l="0" t="0" r="0" b="0"/>
            <wp:docPr id="2" name="Picture 2" descr="C:\Users\domgo_000\Downloads\digimap_roam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go_000\Downloads\digimap_roam (2).pn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3158" t="9136" r="3611" b="4889"/>
                    <a:stretch/>
                  </pic:blipFill>
                  <pic:spPr bwMode="auto">
                    <a:xfrm>
                      <a:off x="0" y="0"/>
                      <a:ext cx="5343575" cy="3495688"/>
                    </a:xfrm>
                    <a:prstGeom prst="rect">
                      <a:avLst/>
                    </a:prstGeom>
                    <a:noFill/>
                    <a:ln>
                      <a:noFill/>
                    </a:ln>
                    <a:extLst>
                      <a:ext uri="{53640926-AAD7-44D8-BBD7-CCE9431645EC}">
                        <a14:shadowObscured xmlns:a14="http://schemas.microsoft.com/office/drawing/2010/main"/>
                      </a:ext>
                    </a:extLst>
                  </pic:spPr>
                </pic:pic>
              </a:graphicData>
            </a:graphic>
          </wp:inline>
        </w:drawing>
      </w:r>
    </w:p>
    <w:p w:rsidR="006C110A" w:rsidRDefault="006C110A" w:rsidP="006C110A">
      <w:pPr>
        <w:pStyle w:val="Caption"/>
        <w:keepNext/>
        <w:spacing w:line="360" w:lineRule="auto"/>
      </w:pPr>
      <w:r>
        <w:t xml:space="preserve">Figure </w:t>
      </w:r>
      <w:fldSimple w:instr=" SEQ Figure \* ARABIC ">
        <w:r w:rsidR="006C5645">
          <w:rPr>
            <w:noProof/>
          </w:rPr>
          <w:t>3</w:t>
        </w:r>
      </w:fldSimple>
      <w:r>
        <w:t xml:space="preserve"> Newton House from Capability Brown viewing spot</w:t>
      </w:r>
    </w:p>
    <w:p w:rsidR="006C110A" w:rsidRDefault="006C110A" w:rsidP="006C110A">
      <w:pPr>
        <w:spacing w:after="240" w:line="360" w:lineRule="auto"/>
      </w:pPr>
      <w:r w:rsidRPr="002C5F1E">
        <w:rPr>
          <w:noProof/>
        </w:rPr>
        <w:drawing>
          <wp:inline distT="0" distB="0" distL="0" distR="0" wp14:anchorId="6FEB0566" wp14:editId="263AFF0F">
            <wp:extent cx="5314950" cy="3988205"/>
            <wp:effectExtent l="0" t="0" r="0" b="0"/>
            <wp:docPr id="5" name="Picture 5" descr="C:\Users\domgo_000\Downloads\IMG_654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domgo_000\Downloads\IMG_6543.jpe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321061" cy="3992790"/>
                    </a:xfrm>
                    <a:prstGeom prst="rect">
                      <a:avLst/>
                    </a:prstGeom>
                    <a:noFill/>
                    <a:ln>
                      <a:noFill/>
                    </a:ln>
                  </pic:spPr>
                </pic:pic>
              </a:graphicData>
            </a:graphic>
          </wp:inline>
        </w:drawing>
      </w:r>
    </w:p>
    <w:p w:rsidR="006C110A" w:rsidRDefault="006C110A" w:rsidP="006C110A">
      <w:pPr>
        <w:pStyle w:val="Caption"/>
        <w:keepNext/>
        <w:spacing w:line="360" w:lineRule="auto"/>
      </w:pPr>
      <w:r>
        <w:lastRenderedPageBreak/>
        <w:t xml:space="preserve">Figure </w:t>
      </w:r>
      <w:fldSimple w:instr=" SEQ Figure \* ARABIC ">
        <w:r w:rsidR="006C5645">
          <w:rPr>
            <w:noProof/>
          </w:rPr>
          <w:t>4</w:t>
        </w:r>
      </w:fldSimple>
      <w:r>
        <w:t xml:space="preserve"> Newton House behind </w:t>
      </w:r>
      <w:r w:rsidR="007B28A8">
        <w:t>Formal Garden</w:t>
      </w:r>
    </w:p>
    <w:p w:rsidR="006C110A" w:rsidRDefault="006C110A" w:rsidP="006C110A">
      <w:pPr>
        <w:spacing w:after="240" w:line="360" w:lineRule="auto"/>
      </w:pPr>
      <w:r>
        <w:rPr>
          <w:noProof/>
        </w:rPr>
        <w:drawing>
          <wp:inline distT="0" distB="0" distL="0" distR="0" wp14:anchorId="4057B698" wp14:editId="0004BE63">
            <wp:extent cx="5724525" cy="4295775"/>
            <wp:effectExtent l="0" t="0" r="9525" b="9525"/>
            <wp:docPr id="10" name="Picture 10" descr="C:\Users\domgo_000\Downloads\IMG_655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domgo_000\Downloads\IMG_6556.jpe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24525" cy="4295775"/>
                    </a:xfrm>
                    <a:prstGeom prst="rect">
                      <a:avLst/>
                    </a:prstGeom>
                    <a:noFill/>
                    <a:ln>
                      <a:noFill/>
                    </a:ln>
                  </pic:spPr>
                </pic:pic>
              </a:graphicData>
            </a:graphic>
          </wp:inline>
        </w:drawing>
      </w:r>
    </w:p>
    <w:p w:rsidR="006C5645" w:rsidRDefault="006C5645" w:rsidP="006C5645">
      <w:pPr>
        <w:pStyle w:val="Caption"/>
        <w:keepNext/>
      </w:pPr>
      <w:r>
        <w:t xml:space="preserve">Figure </w:t>
      </w:r>
      <w:fldSimple w:instr=" SEQ Figure \* ARABIC ">
        <w:r>
          <w:rPr>
            <w:noProof/>
          </w:rPr>
          <w:t>5</w:t>
        </w:r>
      </w:fldSimple>
      <w:r>
        <w:t>(National Trust, 2022e)</w:t>
      </w:r>
    </w:p>
    <w:p w:rsidR="006C5645" w:rsidRDefault="006C5645" w:rsidP="006C110A">
      <w:pPr>
        <w:spacing w:after="240" w:line="360" w:lineRule="auto"/>
      </w:pPr>
      <w:r w:rsidRPr="006C5645">
        <w:rPr>
          <w:noProof/>
        </w:rPr>
        <w:drawing>
          <wp:inline distT="0" distB="0" distL="0" distR="0">
            <wp:extent cx="5047856" cy="2714625"/>
            <wp:effectExtent l="0" t="0" r="635" b="0"/>
            <wp:docPr id="22" name="Picture 22" descr="Newton House, Dinefwr ©National Trust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ewton House, Dinefwr ©National Trust Image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59875" cy="2721088"/>
                    </a:xfrm>
                    <a:prstGeom prst="rect">
                      <a:avLst/>
                    </a:prstGeom>
                    <a:noFill/>
                    <a:ln>
                      <a:noFill/>
                    </a:ln>
                  </pic:spPr>
                </pic:pic>
              </a:graphicData>
            </a:graphic>
          </wp:inline>
        </w:drawing>
      </w:r>
    </w:p>
    <w:p w:rsidR="006C110A" w:rsidRDefault="006C110A" w:rsidP="006C110A">
      <w:pPr>
        <w:pStyle w:val="Caption"/>
        <w:keepNext/>
        <w:spacing w:line="360" w:lineRule="auto"/>
      </w:pPr>
      <w:r>
        <w:lastRenderedPageBreak/>
        <w:t xml:space="preserve">Figure </w:t>
      </w:r>
      <w:fldSimple w:instr=" SEQ Figure \* ARABIC ">
        <w:r w:rsidR="006C5645">
          <w:rPr>
            <w:noProof/>
          </w:rPr>
          <w:t>6</w:t>
        </w:r>
      </w:fldSimple>
      <w:r>
        <w:t xml:space="preserve"> </w:t>
      </w:r>
    </w:p>
    <w:p w:rsidR="006C110A" w:rsidRDefault="006C110A" w:rsidP="006C110A">
      <w:pPr>
        <w:spacing w:after="240" w:line="360" w:lineRule="auto"/>
      </w:pPr>
      <w:r w:rsidRPr="002C5F1E">
        <w:rPr>
          <w:noProof/>
        </w:rPr>
        <w:drawing>
          <wp:inline distT="0" distB="0" distL="0" distR="0" wp14:anchorId="51089549" wp14:editId="5153E9A3">
            <wp:extent cx="3888055" cy="5191125"/>
            <wp:effectExtent l="0" t="0" r="0" b="0"/>
            <wp:docPr id="9" name="Picture 9" descr="C:\Users\domgo_000\Downloads\IMG_655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domgo_000\Downloads\IMG_6552.jpe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890911" cy="5194939"/>
                    </a:xfrm>
                    <a:prstGeom prst="rect">
                      <a:avLst/>
                    </a:prstGeom>
                    <a:noFill/>
                    <a:ln>
                      <a:noFill/>
                    </a:ln>
                  </pic:spPr>
                </pic:pic>
              </a:graphicData>
            </a:graphic>
          </wp:inline>
        </w:drawing>
      </w:r>
    </w:p>
    <w:p w:rsidR="006C110A" w:rsidRDefault="006C110A" w:rsidP="006C110A">
      <w:pPr>
        <w:spacing w:line="360" w:lineRule="auto"/>
      </w:pPr>
    </w:p>
    <w:p w:rsidR="006C110A" w:rsidRDefault="006C110A" w:rsidP="006C110A">
      <w:pPr>
        <w:pStyle w:val="Heading2"/>
        <w:spacing w:before="0" w:after="240" w:line="360" w:lineRule="auto"/>
      </w:pPr>
      <w:r>
        <w:t>Landscape quality</w:t>
      </w:r>
    </w:p>
    <w:p w:rsidR="006C110A" w:rsidRDefault="006C110A" w:rsidP="006C110A">
      <w:pPr>
        <w:spacing w:line="360" w:lineRule="auto"/>
      </w:pPr>
      <w:r>
        <w:t>Tree management</w:t>
      </w:r>
      <w:r w:rsidR="009F7660">
        <w:t xml:space="preserve"> at</w:t>
      </w:r>
      <w:r>
        <w:t xml:space="preserve"> Dinefwr </w:t>
      </w:r>
      <w:r w:rsidR="00914FF3">
        <w:t>is influenced by safety</w:t>
      </w:r>
      <w:r>
        <w:t>, and aesthetic demands. These aesthetic demands are that all new trees planted on the site are based on historic tree type stocks (</w:t>
      </w:r>
      <w:r w:rsidR="00D97F89">
        <w:t>Bailey, 2022</w:t>
      </w:r>
      <w:r>
        <w:t>) in order to ensure the parkland retains its landscape quality (</w:t>
      </w:r>
      <w:proofErr w:type="spellStart"/>
      <w:r>
        <w:t>Cadw</w:t>
      </w:r>
      <w:proofErr w:type="spellEnd"/>
      <w:r>
        <w:t xml:space="preserve">, 2002). </w:t>
      </w:r>
      <w:r w:rsidR="00753CE8">
        <w:t xml:space="preserve">The </w:t>
      </w:r>
      <w:r>
        <w:t xml:space="preserve">safety </w:t>
      </w:r>
      <w:r w:rsidR="00753CE8">
        <w:t xml:space="preserve">of </w:t>
      </w:r>
      <w:r>
        <w:t xml:space="preserve">visitors </w:t>
      </w:r>
      <w:r w:rsidR="00753CE8">
        <w:t xml:space="preserve">also </w:t>
      </w:r>
      <w:r w:rsidR="00914FF3">
        <w:t xml:space="preserve">informs </w:t>
      </w:r>
      <w:r>
        <w:t>tree management, the severity</w:t>
      </w:r>
      <w:r w:rsidR="00914FF3">
        <w:t xml:space="preserve"> of such management is informed by the sites </w:t>
      </w:r>
      <w:r>
        <w:t>traffic light ranking system. Red areas are those with a high dwell time such as those in t</w:t>
      </w:r>
      <w:r w:rsidR="00914FF3">
        <w:t xml:space="preserve">he car park </w:t>
      </w:r>
      <w:r>
        <w:t>(</w:t>
      </w:r>
      <w:r w:rsidR="00D97F89">
        <w:t>Bailey, 2022</w:t>
      </w:r>
      <w:r>
        <w:t xml:space="preserve">). Red areas face the </w:t>
      </w:r>
      <w:r w:rsidR="00753CE8">
        <w:t xml:space="preserve">most aggressive tree management, </w:t>
      </w:r>
      <w:r>
        <w:t>with frequent pruning</w:t>
      </w:r>
      <w:r w:rsidR="00D1247D">
        <w:t xml:space="preserve"> or felling</w:t>
      </w:r>
      <w:r>
        <w:t xml:space="preserve"> </w:t>
      </w:r>
      <w:r w:rsidR="00D1247D">
        <w:t xml:space="preserve">to </w:t>
      </w:r>
      <w:r>
        <w:t xml:space="preserve">reduce the chance of </w:t>
      </w:r>
      <w:r w:rsidR="00D1247D">
        <w:t>injury</w:t>
      </w:r>
      <w:r>
        <w:t xml:space="preserve"> (</w:t>
      </w:r>
      <w:r w:rsidR="00D97F89">
        <w:t>Bailey, 2022</w:t>
      </w:r>
      <w:r>
        <w:t xml:space="preserve">). Amber areas are those with a high footfall but low dwell time such as footpaths with limited </w:t>
      </w:r>
      <w:r w:rsidR="00753CE8">
        <w:t>points</w:t>
      </w:r>
      <w:r>
        <w:t xml:space="preserve"> where walkers are likely to stop. These amber </w:t>
      </w:r>
      <w:r w:rsidR="00D1247D">
        <w:t>areas will also be</w:t>
      </w:r>
      <w:r>
        <w:t xml:space="preserve"> </w:t>
      </w:r>
      <w:r w:rsidR="00D1247D">
        <w:t>managed through pruning and felling</w:t>
      </w:r>
      <w:r>
        <w:t>, however, to a lesser degree than red areas (</w:t>
      </w:r>
      <w:r w:rsidR="00D97F89">
        <w:t xml:space="preserve">Bailey, </w:t>
      </w:r>
      <w:r w:rsidR="00D97F89">
        <w:lastRenderedPageBreak/>
        <w:t>2022</w:t>
      </w:r>
      <w:r>
        <w:t xml:space="preserve">). Green areas are those with a low footfall and dwell time where the impact of trees or branches falling is minimal, </w:t>
      </w:r>
      <w:r w:rsidR="00753CE8">
        <w:t>thus</w:t>
      </w:r>
      <w:r>
        <w:t xml:space="preserve"> management is avoided (</w:t>
      </w:r>
      <w:r w:rsidR="00D97F89">
        <w:t>Bailey, 2022</w:t>
      </w:r>
      <w:r w:rsidR="00D1247D">
        <w:t>). Tr</w:t>
      </w:r>
      <w:r>
        <w:t>ee management decisions differ throughout the estate with different techniques used in the deer park compared to outside of the deer park. Within the deer park only 20% of felled, pruned, or fallen trees are removed from the site compared to 80% removal outside of the deer park (</w:t>
      </w:r>
      <w:r w:rsidR="00D97F89">
        <w:t>Bailey, 2022</w:t>
      </w:r>
      <w:r>
        <w:t xml:space="preserve">). </w:t>
      </w:r>
      <w:r w:rsidR="00A07FD6">
        <w:t>Replanting efforts within the Dinefwr estate are negatively impacted upon by the deer and squirrel populations eating and damaging new growth (Bailey, 2022; Figure 8). T</w:t>
      </w:r>
      <w:r>
        <w:t>he National Trust are looking to expand the management and growing techniques currently used in the deer park into the Inner and Outer Cow Parks so they will also be managed as grazed wood pasture to recreate the 18</w:t>
      </w:r>
      <w:r w:rsidRPr="001D2B76">
        <w:rPr>
          <w:vertAlign w:val="superscript"/>
        </w:rPr>
        <w:t>th</w:t>
      </w:r>
      <w:r>
        <w:t xml:space="preserve"> century design (Appendix 4). These cow parks would be graze</w:t>
      </w:r>
      <w:r w:rsidR="006C5645">
        <w:t>d by white park cattle (Figure 7</w:t>
      </w:r>
      <w:r>
        <w:t>), a breed which has been kept at Dinefwr for over 1000 years (National Trust 2022c). This breed is also exceedingly rare with less than a thousand breeding females in the world, so the herd at Dinefwr are of upmost importance for their worldwide conservation (National Trust, 2022c).</w:t>
      </w:r>
    </w:p>
    <w:p w:rsidR="006C110A" w:rsidRDefault="006C110A" w:rsidP="006C110A">
      <w:pPr>
        <w:spacing w:line="360" w:lineRule="auto"/>
      </w:pPr>
    </w:p>
    <w:p w:rsidR="006C110A" w:rsidRDefault="006C110A" w:rsidP="006C110A">
      <w:pPr>
        <w:pStyle w:val="Caption"/>
        <w:keepNext/>
        <w:spacing w:line="360" w:lineRule="auto"/>
      </w:pPr>
      <w:r>
        <w:t xml:space="preserve">Figure </w:t>
      </w:r>
      <w:fldSimple w:instr=" SEQ Figure \* ARABIC ">
        <w:r w:rsidR="006C5645">
          <w:rPr>
            <w:noProof/>
          </w:rPr>
          <w:t>7</w:t>
        </w:r>
      </w:fldSimple>
    </w:p>
    <w:p w:rsidR="006C110A" w:rsidRPr="00672D12" w:rsidRDefault="006C110A" w:rsidP="006C110A">
      <w:pPr>
        <w:spacing w:line="360" w:lineRule="auto"/>
      </w:pPr>
      <w:r>
        <w:rPr>
          <w:noProof/>
        </w:rPr>
        <w:drawing>
          <wp:inline distT="0" distB="0" distL="0" distR="0" wp14:anchorId="1B36EAEF" wp14:editId="24DF88B3">
            <wp:extent cx="3330373" cy="4438650"/>
            <wp:effectExtent l="0" t="0" r="3810" b="0"/>
            <wp:docPr id="16" name="Picture 16" descr="C:\Users\domgo_000\Downloads\IMG_658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domgo_000\Downloads\IMG_6589.jpe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332431" cy="4441393"/>
                    </a:xfrm>
                    <a:prstGeom prst="rect">
                      <a:avLst/>
                    </a:prstGeom>
                    <a:noFill/>
                    <a:ln>
                      <a:noFill/>
                    </a:ln>
                  </pic:spPr>
                </pic:pic>
              </a:graphicData>
            </a:graphic>
          </wp:inline>
        </w:drawing>
      </w:r>
    </w:p>
    <w:p w:rsidR="006C110A" w:rsidRDefault="006C110A" w:rsidP="006C110A">
      <w:pPr>
        <w:pStyle w:val="Caption"/>
        <w:keepNext/>
        <w:spacing w:line="360" w:lineRule="auto"/>
      </w:pPr>
      <w:r>
        <w:lastRenderedPageBreak/>
        <w:t xml:space="preserve">Figure </w:t>
      </w:r>
      <w:fldSimple w:instr=" SEQ Figure \* ARABIC ">
        <w:r w:rsidR="006C5645">
          <w:rPr>
            <w:noProof/>
          </w:rPr>
          <w:t>8</w:t>
        </w:r>
      </w:fldSimple>
      <w:r>
        <w:t xml:space="preserve"> Squirrel Damaged Growth</w:t>
      </w:r>
    </w:p>
    <w:p w:rsidR="006C110A" w:rsidRDefault="006C110A" w:rsidP="006C110A">
      <w:pPr>
        <w:spacing w:after="240" w:line="360" w:lineRule="auto"/>
      </w:pPr>
      <w:r w:rsidRPr="002C5F1E">
        <w:rPr>
          <w:noProof/>
        </w:rPr>
        <w:drawing>
          <wp:inline distT="0" distB="0" distL="0" distR="0" wp14:anchorId="2E8C0582" wp14:editId="4CBC14D5">
            <wp:extent cx="3394110" cy="4524375"/>
            <wp:effectExtent l="0" t="0" r="0" b="0"/>
            <wp:docPr id="6" name="Picture 6" descr="C:\Users\domgo_000\Downloads\IMG_654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domgo_000\Downloads\IMG_6545.jpe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395167" cy="4525784"/>
                    </a:xfrm>
                    <a:prstGeom prst="rect">
                      <a:avLst/>
                    </a:prstGeom>
                    <a:noFill/>
                    <a:ln>
                      <a:noFill/>
                    </a:ln>
                  </pic:spPr>
                </pic:pic>
              </a:graphicData>
            </a:graphic>
          </wp:inline>
        </w:drawing>
      </w:r>
    </w:p>
    <w:p w:rsidR="006C110A" w:rsidRDefault="006C110A" w:rsidP="006C110A">
      <w:pPr>
        <w:pStyle w:val="Heading2"/>
        <w:spacing w:before="0" w:after="240" w:line="360" w:lineRule="auto"/>
      </w:pPr>
      <w:r>
        <w:t>Designations</w:t>
      </w:r>
    </w:p>
    <w:p w:rsidR="006C110A" w:rsidRDefault="006C110A" w:rsidP="006C110A">
      <w:pPr>
        <w:spacing w:after="240" w:line="360" w:lineRule="auto"/>
      </w:pPr>
      <w:r>
        <w:t xml:space="preserve">There are a host of designations for the Dinefwr estate, highlighting its significance as a cultural landscape. </w:t>
      </w:r>
      <w:proofErr w:type="spellStart"/>
      <w:r>
        <w:t>Dynevor</w:t>
      </w:r>
      <w:proofErr w:type="spellEnd"/>
      <w:r>
        <w:t xml:space="preserve"> castle is Grade I listed, Newton house is Grade II* listed, </w:t>
      </w:r>
      <w:r w:rsidR="00A07FD6">
        <w:t>with the</w:t>
      </w:r>
      <w:r>
        <w:t xml:space="preserve"> </w:t>
      </w:r>
      <w:r w:rsidR="00A07FD6">
        <w:t>courtyard gardens</w:t>
      </w:r>
      <w:r>
        <w:t xml:space="preserve">, low stone wall, ha-ha, fountain, dairy cottage, dovecote, and icehouse </w:t>
      </w:r>
      <w:r w:rsidR="00A07FD6">
        <w:t>being</w:t>
      </w:r>
      <w:r>
        <w:t xml:space="preserve"> grade II listed. The Dinefwr estate was designated as an SSSI site </w:t>
      </w:r>
      <w:r w:rsidR="00A07FD6">
        <w:t>in 1999 (Natural Resources Wales, 1999</w:t>
      </w:r>
      <w:r>
        <w:t>) and further in 2007 became Wales first parkland to be designated as a National Nature Reserve (National Trust, 2022b). Additionally the Dinefwr estate is designated as a Conservation Area and Guardianship Ancient Monument (</w:t>
      </w:r>
      <w:proofErr w:type="spellStart"/>
      <w:r>
        <w:t>Cadw</w:t>
      </w:r>
      <w:proofErr w:type="spellEnd"/>
      <w:r>
        <w:t>, 2002).</w:t>
      </w:r>
    </w:p>
    <w:p w:rsidR="006C110A" w:rsidRDefault="006C110A" w:rsidP="006C110A">
      <w:pPr>
        <w:spacing w:after="240" w:line="360" w:lineRule="auto"/>
      </w:pPr>
    </w:p>
    <w:p w:rsidR="006C110A" w:rsidRDefault="006C110A" w:rsidP="006C110A">
      <w:pPr>
        <w:pStyle w:val="Heading2"/>
        <w:spacing w:before="0" w:after="240" w:line="360" w:lineRule="auto"/>
      </w:pPr>
      <w:r>
        <w:t>Use</w:t>
      </w:r>
    </w:p>
    <w:p w:rsidR="006C110A" w:rsidRPr="00D60B13" w:rsidRDefault="006C110A" w:rsidP="006C110A">
      <w:pPr>
        <w:spacing w:line="360" w:lineRule="auto"/>
      </w:pPr>
      <w:r>
        <w:t xml:space="preserve">Dinefwr has had a wide number of uses over its history. The castle has been used as a fort and control point for armies, and the surrounding land used as homesteads for commoners </w:t>
      </w:r>
      <w:r>
        <w:lastRenderedPageBreak/>
        <w:t>in both the towns of Dinefwr and Newtown at varying points (</w:t>
      </w:r>
      <w:proofErr w:type="spellStart"/>
      <w:r w:rsidR="00186694">
        <w:t>Cadw</w:t>
      </w:r>
      <w:proofErr w:type="spellEnd"/>
      <w:r w:rsidR="00186694">
        <w:t>, 2002</w:t>
      </w:r>
      <w:r>
        <w:t>). Prior to construction of a castle at Dinefwr the land the estate is built on was reportedly used as a fort by Roman Soldiers over many years due to its strategic location between Carmarthen and Llandovery (Appendix 5).</w:t>
      </w:r>
      <w:r w:rsidR="00C87F4B">
        <w:t xml:space="preserve"> </w:t>
      </w:r>
      <w:r>
        <w:t>Newton House itself has also had numerous uses outside of being a fa</w:t>
      </w:r>
      <w:r w:rsidR="00186694">
        <w:t xml:space="preserve">mily home. During WWII it was </w:t>
      </w:r>
      <w:r>
        <w:t>used as an army hospital (Appendix 6), and in the 1960s it was used to host prestigious art exhibitions and perfo</w:t>
      </w:r>
      <w:r w:rsidR="000B4232">
        <w:t xml:space="preserve">rmances (National Trust, 2022a). </w:t>
      </w:r>
      <w:r w:rsidR="00186694">
        <w:t>It is now used</w:t>
      </w:r>
      <w:r>
        <w:t xml:space="preserve"> as a tourist destination, where visitors can walk around the </w:t>
      </w:r>
      <w:r w:rsidR="000B4232">
        <w:t xml:space="preserve">park, </w:t>
      </w:r>
      <w:r>
        <w:t xml:space="preserve">house, and castle as well as being an education space with frequent historical exhibitions and school visits (National Trust 2022a; </w:t>
      </w:r>
      <w:r w:rsidR="00D97F89">
        <w:t>Bailey, 2022</w:t>
      </w:r>
      <w:r>
        <w:t>).</w:t>
      </w:r>
    </w:p>
    <w:p w:rsidR="006C110A" w:rsidRDefault="006C110A" w:rsidP="006C110A">
      <w:pPr>
        <w:spacing w:after="240" w:line="360" w:lineRule="auto"/>
      </w:pPr>
    </w:p>
    <w:p w:rsidR="006C110A" w:rsidRDefault="006C110A" w:rsidP="006C110A">
      <w:pPr>
        <w:pStyle w:val="Heading2"/>
        <w:spacing w:before="0" w:after="240" w:line="360" w:lineRule="auto"/>
      </w:pPr>
      <w:r>
        <w:t>Access</w:t>
      </w:r>
    </w:p>
    <w:p w:rsidR="006C110A" w:rsidRDefault="006C110A" w:rsidP="006C110A">
      <w:pPr>
        <w:spacing w:after="240" w:line="360" w:lineRule="auto"/>
      </w:pPr>
      <w:r>
        <w:t>The National Trust acquired the deer park and outer park in 1987 followed by Newton House in 1990 (Norman, 2022). There are no public footpaths through the grounds, therefore, access to the estate is managed by the National Trust (National Trust 2022d). The grounds are partly accessible for disabled users with limited disabled routes around the site (National Trust 2022d). It is located along the A40 at Llandeilo, in-between Carm</w:t>
      </w:r>
      <w:r w:rsidR="00186694">
        <w:t>arthen and Llandovery</w:t>
      </w:r>
      <w:r>
        <w:t xml:space="preserve">. </w:t>
      </w:r>
      <w:r w:rsidR="00016BB9">
        <w:t>As many parts of Dinefwr are not designed for disabled access, people’s perception of the landscape may be worsened, as accessibility issues reduce the benefits of natural spaces (Li et al., 2022).</w:t>
      </w:r>
    </w:p>
    <w:p w:rsidR="00947BA4" w:rsidRDefault="00947BA4" w:rsidP="006C110A">
      <w:pPr>
        <w:spacing w:after="240" w:line="360" w:lineRule="auto"/>
      </w:pPr>
    </w:p>
    <w:p w:rsidR="006C110A" w:rsidRDefault="006C110A" w:rsidP="00164B45">
      <w:pPr>
        <w:pStyle w:val="Heading2"/>
        <w:spacing w:before="0" w:after="240" w:line="360" w:lineRule="auto"/>
      </w:pPr>
      <w:r>
        <w:t>Future potential</w:t>
      </w:r>
    </w:p>
    <w:p w:rsidR="001832D7" w:rsidRDefault="000B4232" w:rsidP="00164B45">
      <w:pPr>
        <w:spacing w:line="360" w:lineRule="auto"/>
      </w:pPr>
      <w:r>
        <w:t xml:space="preserve">Education is a key influence which can shape perceptions of landscape, as such it is one of the main ways Dinefwr should focus on to continue its sustainable development </w:t>
      </w:r>
      <w:r w:rsidRPr="000B4232">
        <w:t xml:space="preserve">(Preston and Griffiths, 2004). </w:t>
      </w:r>
      <w:r w:rsidR="00667D4C">
        <w:t xml:space="preserve">Dinefwr has over 160 species of lichens including several which are very sensitive to atmospheric pollution, as well as hosting a variety of rare animal life such as the </w:t>
      </w:r>
      <w:proofErr w:type="spellStart"/>
      <w:r w:rsidR="00667D4C">
        <w:t>saproxylic</w:t>
      </w:r>
      <w:proofErr w:type="spellEnd"/>
      <w:r w:rsidR="00667D4C">
        <w:t xml:space="preserve"> beetles (Natural Resources Wales, 1999).</w:t>
      </w:r>
      <w:r w:rsidR="00164B45">
        <w:t xml:space="preserve"> Dinefwr could tailor their educational school visits to focus on these rare elements </w:t>
      </w:r>
      <w:r w:rsidR="00D323F6">
        <w:t xml:space="preserve">through experiential learning (Kolb, 1984; Peng, 2020) </w:t>
      </w:r>
      <w:r w:rsidR="00164B45">
        <w:t>to discuss conservation and sustainability i</w:t>
      </w:r>
      <w:r>
        <w:t>n the perspective of</w:t>
      </w:r>
      <w:r w:rsidR="00164B45">
        <w:t xml:space="preserve"> climate issues using sensitive lichens as an example of how to identify environmentally positive environments. Furthermore, helping children identify rare species such as this may assist in reducing ecological illiteracy (</w:t>
      </w:r>
      <w:proofErr w:type="spellStart"/>
      <w:r w:rsidR="00164B45">
        <w:t>Louv</w:t>
      </w:r>
      <w:proofErr w:type="spellEnd"/>
      <w:r w:rsidR="00164B45">
        <w:t>, 2005).</w:t>
      </w:r>
      <w:r w:rsidR="00D323F6">
        <w:t xml:space="preserve"> </w:t>
      </w:r>
      <w:r w:rsidR="001832D7">
        <w:t xml:space="preserve">Dinefwr has a rich history shaped by socio-cultural influences. Educational visits for children </w:t>
      </w:r>
      <w:r>
        <w:t xml:space="preserve">could </w:t>
      </w:r>
      <w:r w:rsidR="001832D7">
        <w:t xml:space="preserve">include information on how land ownership and use in Wales has been affected over the years by groups such as the </w:t>
      </w:r>
      <w:r w:rsidR="001832D7">
        <w:lastRenderedPageBreak/>
        <w:t xml:space="preserve">Romans and the English Monarchy, with a sense-of-place approach taken to allow the students to assess </w:t>
      </w:r>
      <w:r w:rsidR="000D7004">
        <w:t>the impacts of such forces on their home areas. These lessons may cover how different groups have used the lands and the impacts of such uses on the sustainability and ecology of that place.</w:t>
      </w:r>
    </w:p>
    <w:p w:rsidR="006C110A" w:rsidRDefault="006C110A" w:rsidP="006C110A">
      <w:pPr>
        <w:spacing w:after="240" w:line="360" w:lineRule="auto"/>
      </w:pPr>
    </w:p>
    <w:p w:rsidR="006C110A" w:rsidRDefault="006C110A" w:rsidP="006C110A">
      <w:pPr>
        <w:pStyle w:val="Heading1"/>
        <w:spacing w:before="0" w:after="240" w:line="360" w:lineRule="auto"/>
      </w:pPr>
      <w:r>
        <w:t>Lundy Island</w:t>
      </w:r>
    </w:p>
    <w:p w:rsidR="006C110A" w:rsidRDefault="006C110A" w:rsidP="006C110A">
      <w:pPr>
        <w:pStyle w:val="Heading2"/>
        <w:spacing w:before="0" w:after="240" w:line="360" w:lineRule="auto"/>
      </w:pPr>
      <w:r>
        <w:t>Landscape character</w:t>
      </w:r>
    </w:p>
    <w:p w:rsidR="006C110A" w:rsidRDefault="006C110A" w:rsidP="006C110A">
      <w:pPr>
        <w:spacing w:after="240" w:line="360" w:lineRule="auto"/>
      </w:pPr>
      <w:r>
        <w:t xml:space="preserve">Lundy Island </w:t>
      </w:r>
      <w:r w:rsidR="00C87F4B">
        <w:t>represents a socialised landscape (</w:t>
      </w:r>
      <w:proofErr w:type="spellStart"/>
      <w:r w:rsidR="00C87F4B">
        <w:t>Landley</w:t>
      </w:r>
      <w:proofErr w:type="spellEnd"/>
      <w:r w:rsidR="00C87F4B">
        <w:t xml:space="preserve">, 2013), and </w:t>
      </w:r>
      <w:r>
        <w:t xml:space="preserve">is situated in the Bristol Channel, 18.9 miles off the coast </w:t>
      </w:r>
      <w:r w:rsidR="00186694">
        <w:t>of</w:t>
      </w:r>
      <w:r w:rsidR="006C5645">
        <w:t xml:space="preserve"> North Devon (Figure 9</w:t>
      </w:r>
      <w:r>
        <w:t>). Lundy Island is a large granite outcrop, 5km long, 1km wide, and 451 hecta</w:t>
      </w:r>
      <w:r w:rsidR="006C5645">
        <w:t>res in size (LMF, 2017; Figure 10</w:t>
      </w:r>
      <w:r>
        <w:t xml:space="preserve">). It is made of Lundy Granite and is the southernmost igneous rock deposited as part of the British Tertiary Volcanic Province associated with the formation of the North Atlantic Ocean 60 million years ago (Stephenson, 2022). This igneous granite rock was intruded amongst Devonian era sediment deposits (Stephenson, 2022) which would form into Devonian </w:t>
      </w:r>
      <w:proofErr w:type="spellStart"/>
      <w:r>
        <w:t>Morte</w:t>
      </w:r>
      <w:proofErr w:type="spellEnd"/>
      <w:r>
        <w:t xml:space="preserve"> slates (Natural England, 2014). Weathering of the granite has created features like the granite tors found in nearby Dartmoor, however, the granite in Dartmoor is far older having formed around 300 million years ago (Nicholas, 2022).</w:t>
      </w:r>
    </w:p>
    <w:p w:rsidR="006C110A" w:rsidRDefault="006C110A" w:rsidP="006C110A">
      <w:pPr>
        <w:pStyle w:val="Caption"/>
        <w:keepNext/>
        <w:spacing w:line="360" w:lineRule="auto"/>
      </w:pPr>
      <w:r>
        <w:t xml:space="preserve">Figure </w:t>
      </w:r>
      <w:fldSimple w:instr=" SEQ Figure \* ARABIC ">
        <w:r w:rsidR="006C5645">
          <w:rPr>
            <w:noProof/>
          </w:rPr>
          <w:t>9</w:t>
        </w:r>
      </w:fldSimple>
      <w:r>
        <w:t>(</w:t>
      </w:r>
      <w:proofErr w:type="spellStart"/>
      <w:r>
        <w:t>Digimap</w:t>
      </w:r>
      <w:proofErr w:type="spellEnd"/>
      <w:r>
        <w:t>, 2022)</w:t>
      </w:r>
    </w:p>
    <w:p w:rsidR="006C110A" w:rsidRDefault="006C110A" w:rsidP="006C110A">
      <w:pPr>
        <w:spacing w:after="240" w:line="360" w:lineRule="auto"/>
      </w:pPr>
      <w:r w:rsidRPr="006A0AF4">
        <w:rPr>
          <w:noProof/>
        </w:rPr>
        <w:drawing>
          <wp:inline distT="0" distB="0" distL="0" distR="0" wp14:anchorId="66780997" wp14:editId="2614DA5F">
            <wp:extent cx="5167423" cy="3665779"/>
            <wp:effectExtent l="0" t="0" r="0" b="0"/>
            <wp:docPr id="3" name="Picture 3" descr="C:\Users\domgo_000\Downloads\digimap_roam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omgo_000\Downloads\digimap_roam (3).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207832" cy="3694445"/>
                    </a:xfrm>
                    <a:prstGeom prst="rect">
                      <a:avLst/>
                    </a:prstGeom>
                    <a:noFill/>
                    <a:ln>
                      <a:noFill/>
                    </a:ln>
                  </pic:spPr>
                </pic:pic>
              </a:graphicData>
            </a:graphic>
          </wp:inline>
        </w:drawing>
      </w:r>
    </w:p>
    <w:p w:rsidR="006C110A" w:rsidRDefault="006C110A" w:rsidP="006C110A">
      <w:pPr>
        <w:pStyle w:val="Caption"/>
        <w:keepNext/>
        <w:spacing w:line="360" w:lineRule="auto"/>
      </w:pPr>
      <w:r>
        <w:lastRenderedPageBreak/>
        <w:t xml:space="preserve">Figure </w:t>
      </w:r>
      <w:fldSimple w:instr=" SEQ Figure \* ARABIC ">
        <w:r w:rsidR="006C5645">
          <w:rPr>
            <w:noProof/>
          </w:rPr>
          <w:t>10</w:t>
        </w:r>
      </w:fldSimple>
      <w:r>
        <w:t>(</w:t>
      </w:r>
      <w:proofErr w:type="spellStart"/>
      <w:r>
        <w:t>Digimap</w:t>
      </w:r>
      <w:proofErr w:type="spellEnd"/>
      <w:r>
        <w:t>, 2022)</w:t>
      </w:r>
    </w:p>
    <w:p w:rsidR="006C110A" w:rsidRDefault="006C110A" w:rsidP="006C110A">
      <w:pPr>
        <w:spacing w:after="240" w:line="360" w:lineRule="auto"/>
      </w:pPr>
      <w:r w:rsidRPr="007E6549">
        <w:rPr>
          <w:noProof/>
        </w:rPr>
        <w:drawing>
          <wp:inline distT="0" distB="0" distL="0" distR="0" wp14:anchorId="090A334D" wp14:editId="675EBAB5">
            <wp:extent cx="3580161" cy="5162550"/>
            <wp:effectExtent l="0" t="0" r="1270" b="0"/>
            <wp:docPr id="4" name="Picture 4" descr="C:\Users\domgo_000\Downloads\digimap_roam (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domgo_000\Downloads\digimap_roam (14).png"/>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4820" t="4244" r="4930" b="3435"/>
                    <a:stretch/>
                  </pic:blipFill>
                  <pic:spPr bwMode="auto">
                    <a:xfrm>
                      <a:off x="0" y="0"/>
                      <a:ext cx="3617616" cy="5216560"/>
                    </a:xfrm>
                    <a:prstGeom prst="rect">
                      <a:avLst/>
                    </a:prstGeom>
                    <a:noFill/>
                    <a:ln>
                      <a:noFill/>
                    </a:ln>
                    <a:extLst>
                      <a:ext uri="{53640926-AAD7-44D8-BBD7-CCE9431645EC}">
                        <a14:shadowObscured xmlns:a14="http://schemas.microsoft.com/office/drawing/2010/main"/>
                      </a:ext>
                    </a:extLst>
                  </pic:spPr>
                </pic:pic>
              </a:graphicData>
            </a:graphic>
          </wp:inline>
        </w:drawing>
      </w:r>
    </w:p>
    <w:p w:rsidR="006C110A" w:rsidRDefault="006C110A" w:rsidP="006C110A">
      <w:pPr>
        <w:pStyle w:val="Heading2"/>
        <w:spacing w:before="0" w:after="240" w:line="360" w:lineRule="auto"/>
      </w:pPr>
      <w:r>
        <w:t>Landscape quality</w:t>
      </w:r>
    </w:p>
    <w:p w:rsidR="006C110A" w:rsidRDefault="00C87F4B" w:rsidP="006C110A">
      <w:pPr>
        <w:spacing w:line="360" w:lineRule="auto"/>
      </w:pPr>
      <w:r>
        <w:t>Lundy has</w:t>
      </w:r>
      <w:r w:rsidR="006C110A">
        <w:t xml:space="preserve"> a rich cultural landscape as a result of its geology, settlement, and history (Natural England, 2014</w:t>
      </w:r>
      <w:r w:rsidR="00186694">
        <w:t>)</w:t>
      </w:r>
      <w:r w:rsidR="006C110A">
        <w:t xml:space="preserve">. The landscape quality of Lundy is managed to ensure that key pressures and threats for its landscape, plant, and animal life are minimised (Natural England, 2014). Lundy hosts high levels of </w:t>
      </w:r>
      <w:r w:rsidR="00186694">
        <w:t>biodiversity</w:t>
      </w:r>
      <w:r w:rsidR="006C110A">
        <w:t xml:space="preserve"> both on land, most n</w:t>
      </w:r>
      <w:r w:rsidR="006C5645">
        <w:t>otably with the Lundy cabbage (Figure 11</w:t>
      </w:r>
      <w:r w:rsidR="006C110A">
        <w:t>) which is only found on the Island (Natural England, 2014), and among the surrounding marine and avian habitats (LMF, 2017). The extent of Lundy’s ecological diver</w:t>
      </w:r>
      <w:r w:rsidR="006C5645">
        <w:t>sity is represented in Figure 13</w:t>
      </w:r>
      <w:r w:rsidR="006C110A">
        <w:t xml:space="preserve">. Lundy houses several priority habitats including maritime cliff and slope habitats, as well as two large areas of lowland heath (Natural England, 2014). Lundy has limited woodland growth, however, it does have scrubby growth made predominately of sycamore and thorn on the eastern valleys with moorland terrain covering the plateau (Figure 11), as well as acidic pools and bogs which support </w:t>
      </w:r>
      <w:r w:rsidR="006C110A">
        <w:lastRenderedPageBreak/>
        <w:t xml:space="preserve">mosses and sundew (Natural England, 2014). The quality of grassland and moorland environments is maintained by controlling the grazing habits of domestic </w:t>
      </w:r>
      <w:r w:rsidR="007B28A8">
        <w:t xml:space="preserve">and </w:t>
      </w:r>
      <w:r w:rsidR="006C110A">
        <w:t>feral animals (Natural England, 2014). Lundy has one small village on it, built out of stones from the quarry on the island, with small agricultural fields surrounding it (Natural England, 2014).</w:t>
      </w:r>
    </w:p>
    <w:p w:rsidR="006C110A" w:rsidRDefault="006C110A" w:rsidP="006C110A">
      <w:pPr>
        <w:pStyle w:val="Caption"/>
        <w:keepNext/>
        <w:spacing w:line="360" w:lineRule="auto"/>
      </w:pPr>
      <w:r>
        <w:t xml:space="preserve">Figure </w:t>
      </w:r>
      <w:fldSimple w:instr=" SEQ Figure \* ARABIC ">
        <w:r w:rsidR="006C5645">
          <w:rPr>
            <w:noProof/>
          </w:rPr>
          <w:t>11</w:t>
        </w:r>
      </w:fldSimple>
      <w:r>
        <w:t>(Natural England, 2014, p.8)</w:t>
      </w:r>
    </w:p>
    <w:p w:rsidR="006C110A" w:rsidRDefault="006C110A" w:rsidP="006C110A">
      <w:pPr>
        <w:spacing w:after="240" w:line="360" w:lineRule="auto"/>
      </w:pPr>
      <w:r w:rsidRPr="00905F44">
        <w:rPr>
          <w:noProof/>
        </w:rPr>
        <w:drawing>
          <wp:inline distT="0" distB="0" distL="0" distR="0" wp14:anchorId="382D9243" wp14:editId="4750EC61">
            <wp:extent cx="3699294" cy="31623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713930" cy="3174811"/>
                    </a:xfrm>
                    <a:prstGeom prst="rect">
                      <a:avLst/>
                    </a:prstGeom>
                  </pic:spPr>
                </pic:pic>
              </a:graphicData>
            </a:graphic>
          </wp:inline>
        </w:drawing>
      </w:r>
    </w:p>
    <w:p w:rsidR="006C110A" w:rsidRDefault="006C110A" w:rsidP="006C110A">
      <w:pPr>
        <w:pStyle w:val="Caption"/>
        <w:keepNext/>
        <w:spacing w:line="360" w:lineRule="auto"/>
      </w:pPr>
      <w:r>
        <w:t xml:space="preserve">Figure </w:t>
      </w:r>
      <w:fldSimple w:instr=" SEQ Figure \* ARABIC ">
        <w:r w:rsidR="006C5645">
          <w:rPr>
            <w:noProof/>
          </w:rPr>
          <w:t>12</w:t>
        </w:r>
      </w:fldSimple>
      <w:r>
        <w:t>(Natural England, 2014, p.30)</w:t>
      </w:r>
    </w:p>
    <w:p w:rsidR="006C110A" w:rsidRDefault="006C110A" w:rsidP="006C110A">
      <w:pPr>
        <w:spacing w:after="240" w:line="360" w:lineRule="auto"/>
      </w:pPr>
      <w:r w:rsidRPr="000E197F">
        <w:rPr>
          <w:noProof/>
        </w:rPr>
        <w:drawing>
          <wp:inline distT="0" distB="0" distL="0" distR="0" wp14:anchorId="06892F7E" wp14:editId="57EF979D">
            <wp:extent cx="5731510" cy="2110740"/>
            <wp:effectExtent l="0" t="0" r="2540" b="381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2110740"/>
                    </a:xfrm>
                    <a:prstGeom prst="rect">
                      <a:avLst/>
                    </a:prstGeom>
                  </pic:spPr>
                </pic:pic>
              </a:graphicData>
            </a:graphic>
          </wp:inline>
        </w:drawing>
      </w:r>
    </w:p>
    <w:p w:rsidR="006C110A" w:rsidRDefault="006C110A" w:rsidP="006C110A">
      <w:pPr>
        <w:pStyle w:val="Caption"/>
        <w:keepNext/>
        <w:spacing w:line="360" w:lineRule="auto"/>
      </w:pPr>
      <w:r>
        <w:lastRenderedPageBreak/>
        <w:t xml:space="preserve">Figure </w:t>
      </w:r>
      <w:fldSimple w:instr=" SEQ Figure \* ARABIC ">
        <w:r w:rsidR="006C5645">
          <w:rPr>
            <w:noProof/>
          </w:rPr>
          <w:t>13</w:t>
        </w:r>
      </w:fldSimple>
      <w:r w:rsidRPr="002D2191">
        <w:t>(LMF, 2017, p.29)</w:t>
      </w:r>
    </w:p>
    <w:p w:rsidR="006C110A" w:rsidRDefault="006C110A" w:rsidP="006C110A">
      <w:pPr>
        <w:spacing w:after="240" w:line="360" w:lineRule="auto"/>
      </w:pPr>
      <w:r w:rsidRPr="000C2070">
        <w:rPr>
          <w:noProof/>
        </w:rPr>
        <w:drawing>
          <wp:inline distT="0" distB="0" distL="0" distR="0" wp14:anchorId="1D984DA2" wp14:editId="76E71365">
            <wp:extent cx="3793578" cy="53340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813541" cy="5362070"/>
                    </a:xfrm>
                    <a:prstGeom prst="rect">
                      <a:avLst/>
                    </a:prstGeom>
                  </pic:spPr>
                </pic:pic>
              </a:graphicData>
            </a:graphic>
          </wp:inline>
        </w:drawing>
      </w:r>
    </w:p>
    <w:p w:rsidR="006C110A" w:rsidRDefault="006C110A" w:rsidP="006C110A">
      <w:pPr>
        <w:pStyle w:val="Heading2"/>
        <w:spacing w:before="0" w:after="240" w:line="360" w:lineRule="auto"/>
      </w:pPr>
      <w:r>
        <w:t>Designations</w:t>
      </w:r>
    </w:p>
    <w:p w:rsidR="006C110A" w:rsidRDefault="006C110A" w:rsidP="006C110A">
      <w:pPr>
        <w:spacing w:after="240" w:line="360" w:lineRule="auto"/>
      </w:pPr>
      <w:r>
        <w:t>Lundy Island has a plethora of designations, signifying its high ecological and cultural importance. In 1986 the Marine area around Lundy was designated a</w:t>
      </w:r>
      <w:r w:rsidR="00C87F4B">
        <w:t>s England first Marine Nature Z</w:t>
      </w:r>
      <w:r>
        <w:t>one due to its ecological importance, this was upgraded in 2010 to a Marine Conservation Zone covering 31</w:t>
      </w:r>
      <w:r>
        <w:rPr>
          <w:vertAlign w:val="superscript"/>
        </w:rPr>
        <w:t>2</w:t>
      </w:r>
      <w:r>
        <w:t xml:space="preserve"> km (DEFRA, 2013a). </w:t>
      </w:r>
      <w:r w:rsidR="007B28A8">
        <w:t xml:space="preserve">A </w:t>
      </w:r>
      <w:r>
        <w:t>Special Area of Conservation covers the same area as the Marine Conservation Zone (DEFRA, 2013b). The Special Area of Conservation includes protections for reefs, sea banks, sea caves, and grey seals, with the Marine Conservation Zone adding additional protections for spiny lobsters (DEFRA, 2013b). A 3km</w:t>
      </w:r>
      <w:r w:rsidRPr="00E237FC">
        <w:rPr>
          <w:vertAlign w:val="superscript"/>
        </w:rPr>
        <w:t>2</w:t>
      </w:r>
      <w:r w:rsidR="007B28A8">
        <w:t xml:space="preserve"> zone of water around Lundy</w:t>
      </w:r>
      <w:r>
        <w:t xml:space="preserve"> contains England’s first ‘no take zone’ f</w:t>
      </w:r>
      <w:r w:rsidR="006C5645">
        <w:t>or fishing (LMF, 2017; Figure 14</w:t>
      </w:r>
      <w:r>
        <w:t>). Additional designations for Lundy include it being a Site of Specific Scientific Interest, Heritage Coastline,</w:t>
      </w:r>
      <w:r w:rsidRPr="00727E89">
        <w:t xml:space="preserve"> </w:t>
      </w:r>
      <w:r>
        <w:t xml:space="preserve">having 41 Scheduled Monuments, the </w:t>
      </w:r>
      <w:r>
        <w:lastRenderedPageBreak/>
        <w:t xml:space="preserve">Habitats of Principal Importance Act, and being within the UNESCO North Devon Biosphere Reserve (Natural England, 2014; LMF, 2017). These protections allow birds to thrive, with Lundy hosting the largest colonies of cliff-nesting birds in South West England (Natural England, 2014). These designations as well as </w:t>
      </w:r>
      <w:r w:rsidR="007B28A8">
        <w:t>c</w:t>
      </w:r>
      <w:r>
        <w:t>onservation methods such as the eradication of rats are showing benefits for nesting birds with most species showing large population increases, namely puffin populations have increased by 2,784% between 2000 and 2017 (Booker et al, 2018). Furthermore, the marine zone around Lundy has protections for specific species through the Wildlife and Countryside Act, and Species of Principal Importance Act (LMF, 2017).</w:t>
      </w:r>
    </w:p>
    <w:p w:rsidR="006C110A" w:rsidRDefault="006C110A" w:rsidP="006C110A">
      <w:pPr>
        <w:pStyle w:val="Caption"/>
        <w:keepNext/>
        <w:spacing w:line="360" w:lineRule="auto"/>
      </w:pPr>
      <w:r>
        <w:t xml:space="preserve">Figure </w:t>
      </w:r>
      <w:fldSimple w:instr=" SEQ Figure \* ARABIC ">
        <w:r w:rsidR="006C5645">
          <w:rPr>
            <w:noProof/>
          </w:rPr>
          <w:t>14</w:t>
        </w:r>
      </w:fldSimple>
      <w:r>
        <w:t>(LMF, 2017, p.26)</w:t>
      </w:r>
    </w:p>
    <w:p w:rsidR="006C110A" w:rsidRDefault="006C110A" w:rsidP="006C110A">
      <w:pPr>
        <w:spacing w:after="240" w:line="360" w:lineRule="auto"/>
      </w:pPr>
      <w:r w:rsidRPr="000C2070">
        <w:rPr>
          <w:noProof/>
        </w:rPr>
        <w:drawing>
          <wp:inline distT="0" distB="0" distL="0" distR="0" wp14:anchorId="19DFF7D7" wp14:editId="4033A72E">
            <wp:extent cx="4438650" cy="4972932"/>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446109" cy="4981288"/>
                    </a:xfrm>
                    <a:prstGeom prst="rect">
                      <a:avLst/>
                    </a:prstGeom>
                  </pic:spPr>
                </pic:pic>
              </a:graphicData>
            </a:graphic>
          </wp:inline>
        </w:drawing>
      </w:r>
    </w:p>
    <w:p w:rsidR="006C110A" w:rsidRDefault="006C110A" w:rsidP="006C110A">
      <w:pPr>
        <w:spacing w:after="240" w:line="360" w:lineRule="auto"/>
      </w:pPr>
    </w:p>
    <w:p w:rsidR="006C110A" w:rsidRPr="00B263DA" w:rsidRDefault="006C110A" w:rsidP="006C110A">
      <w:pPr>
        <w:spacing w:after="240" w:line="360" w:lineRule="auto"/>
      </w:pPr>
    </w:p>
    <w:p w:rsidR="006C110A" w:rsidRDefault="006C110A" w:rsidP="006C110A">
      <w:pPr>
        <w:pStyle w:val="Heading2"/>
        <w:spacing w:before="0" w:after="240" w:line="360" w:lineRule="auto"/>
      </w:pPr>
      <w:r>
        <w:lastRenderedPageBreak/>
        <w:t>Use</w:t>
      </w:r>
    </w:p>
    <w:p w:rsidR="006C110A" w:rsidRDefault="006C110A" w:rsidP="006C110A">
      <w:pPr>
        <w:spacing w:line="360" w:lineRule="auto"/>
      </w:pPr>
      <w:r>
        <w:t>Lundy has a mixed range of historical uses, it was sporadically inhabited before the 13</w:t>
      </w:r>
      <w:r w:rsidRPr="00067738">
        <w:rPr>
          <w:vertAlign w:val="superscript"/>
        </w:rPr>
        <w:t>th</w:t>
      </w:r>
      <w:r>
        <w:t xml:space="preserve"> century with Celtic gravestones on the island dating from the 5</w:t>
      </w:r>
      <w:r w:rsidRPr="00067738">
        <w:rPr>
          <w:vertAlign w:val="superscript"/>
        </w:rPr>
        <w:t>th</w:t>
      </w:r>
      <w:r>
        <w:t xml:space="preserve"> century (Natural England, 2014). Various pirate groups controlled and ran smuggling operations through the island between the 13</w:t>
      </w:r>
      <w:r w:rsidRPr="00067738">
        <w:rPr>
          <w:vertAlign w:val="superscript"/>
        </w:rPr>
        <w:t>th</w:t>
      </w:r>
      <w:r>
        <w:t xml:space="preserve"> and 17</w:t>
      </w:r>
      <w:r w:rsidRPr="00067738">
        <w:rPr>
          <w:vertAlign w:val="superscript"/>
        </w:rPr>
        <w:t>th</w:t>
      </w:r>
      <w:r>
        <w:t xml:space="preserve"> centuries (</w:t>
      </w:r>
      <w:proofErr w:type="spellStart"/>
      <w:r>
        <w:t>Khamis</w:t>
      </w:r>
      <w:proofErr w:type="spellEnd"/>
      <w:r>
        <w:t>, 2011). During the 18</w:t>
      </w:r>
      <w:r w:rsidRPr="005034B1">
        <w:rPr>
          <w:vertAlign w:val="superscript"/>
        </w:rPr>
        <w:t>th</w:t>
      </w:r>
      <w:r>
        <w:t xml:space="preserve"> and 19</w:t>
      </w:r>
      <w:r w:rsidRPr="005034B1">
        <w:rPr>
          <w:vertAlign w:val="superscript"/>
        </w:rPr>
        <w:t>th</w:t>
      </w:r>
      <w:r>
        <w:t xml:space="preserve"> centuries Lundy was used to quarry granite, however, the quarry was unable to find commercial success (Natural England, 2014). The Heaven family purchased Lundy in 1834, who built the Church and Milcombe house, Lundy then passed through several hands before being bought for the National Trust in 1969 (Natural England, 2014). </w:t>
      </w:r>
    </w:p>
    <w:p w:rsidR="006C110A" w:rsidRDefault="006C110A" w:rsidP="006C110A">
      <w:pPr>
        <w:spacing w:line="360" w:lineRule="auto"/>
      </w:pPr>
    </w:p>
    <w:p w:rsidR="006C110A" w:rsidRDefault="006C110A" w:rsidP="006C110A">
      <w:pPr>
        <w:spacing w:line="360" w:lineRule="auto"/>
      </w:pPr>
      <w:r>
        <w:t xml:space="preserve">Nowadays Lundy is used predominately as a tourist destination, with over 20,000 visitors per year, it is also </w:t>
      </w:r>
      <w:r w:rsidR="007B28A8">
        <w:t xml:space="preserve">a working farm </w:t>
      </w:r>
      <w:r>
        <w:t>(Natural England, 2014). There is guest accommodation on Lundy for up to 135 visitors, enabling extended trips (Natural England, 2014). People visit Lundy for a range of reasons including diving, bell ringing, walking, climbing, and birdwatching (Natural England, 2014). Climbing and Diving are examples of activities on the island which have to be sustainably managed in order to reduce damage to habitats and wildlife (Natural England, 2014).</w:t>
      </w:r>
    </w:p>
    <w:p w:rsidR="006C110A" w:rsidRDefault="006C110A" w:rsidP="006C110A">
      <w:pPr>
        <w:spacing w:line="360" w:lineRule="auto"/>
      </w:pPr>
    </w:p>
    <w:p w:rsidR="006C110A" w:rsidRDefault="006C110A" w:rsidP="006C110A">
      <w:pPr>
        <w:pStyle w:val="Heading2"/>
        <w:spacing w:before="0" w:after="240" w:line="360" w:lineRule="auto"/>
      </w:pPr>
      <w:r>
        <w:t>Access</w:t>
      </w:r>
    </w:p>
    <w:p w:rsidR="006C110A" w:rsidRDefault="006C110A" w:rsidP="006C110A">
      <w:pPr>
        <w:spacing w:line="360" w:lineRule="auto"/>
      </w:pPr>
      <w:r>
        <w:t xml:space="preserve">In the summer months Lundy can be reached by a daily boat service from Ilfracombe or Bideford on the North Devon coast, and in the winter months when the boats are not running a helicopter service flies from Hartland point (Natural England, 2014). There are no public footpaths on Lundy however, 76% of the island is </w:t>
      </w:r>
      <w:r w:rsidR="000347DC">
        <w:t xml:space="preserve">Countryside Rights of Way </w:t>
      </w:r>
      <w:r>
        <w:t>Access land which the public have a right to access on (Natural England, 2014).</w:t>
      </w:r>
    </w:p>
    <w:p w:rsidR="006C110A" w:rsidRDefault="006C110A" w:rsidP="006C110A">
      <w:pPr>
        <w:spacing w:after="240" w:line="360" w:lineRule="auto"/>
      </w:pPr>
    </w:p>
    <w:p w:rsidR="006C110A" w:rsidRDefault="006C110A" w:rsidP="00CE158B">
      <w:pPr>
        <w:pStyle w:val="Heading2"/>
        <w:spacing w:before="0" w:after="240" w:line="360" w:lineRule="auto"/>
      </w:pPr>
      <w:r>
        <w:t>Future potential</w:t>
      </w:r>
    </w:p>
    <w:p w:rsidR="00CE158B" w:rsidRDefault="00E94274" w:rsidP="00CE158B">
      <w:pPr>
        <w:spacing w:line="360" w:lineRule="auto"/>
      </w:pPr>
      <w:r>
        <w:t>Lundy has previously hosted the ‘</w:t>
      </w:r>
      <w:proofErr w:type="spellStart"/>
      <w:r>
        <w:t>SplashIn</w:t>
      </w:r>
      <w:proofErr w:type="spellEnd"/>
      <w:r>
        <w:t>!’ photo competition to engage divers with marine conservation efforts (LMF, 2017). Building upon initiatives such as this</w:t>
      </w:r>
      <w:r w:rsidR="00947BA4">
        <w:t>,</w:t>
      </w:r>
      <w:r>
        <w:t xml:space="preserve"> Lundy could host similar competitions for the land and avian life on Lundy to further engage visitors in both </w:t>
      </w:r>
      <w:r w:rsidR="00CE158B">
        <w:t xml:space="preserve">local, </w:t>
      </w:r>
      <w:r>
        <w:t>national</w:t>
      </w:r>
      <w:r w:rsidR="00CE158B">
        <w:t>, and international</w:t>
      </w:r>
      <w:r>
        <w:t xml:space="preserve"> conservation challenges. Such efforts may further be enhanced by running art and literary competitions for the schools which visit Lundy on a yearly basis to engage the future generation in conservation efforts. This is of particular importance as ecological illiteracy in children is </w:t>
      </w:r>
      <w:r w:rsidR="00C8015E">
        <w:t>increasing</w:t>
      </w:r>
      <w:r>
        <w:t xml:space="preserve"> (</w:t>
      </w:r>
      <w:proofErr w:type="spellStart"/>
      <w:r w:rsidR="00C8015E">
        <w:t>Louv</w:t>
      </w:r>
      <w:proofErr w:type="spellEnd"/>
      <w:r w:rsidR="00C8015E">
        <w:t>, 2005</w:t>
      </w:r>
      <w:r w:rsidR="00947BA4">
        <w:t>) and if children</w:t>
      </w:r>
      <w:r>
        <w:t xml:space="preserve"> are </w:t>
      </w:r>
      <w:r>
        <w:lastRenderedPageBreak/>
        <w:t>not exposed to the natural world and its challenges they may not be motivated to protect it (</w:t>
      </w:r>
      <w:r w:rsidR="00C8015E">
        <w:t>Gill, 2007</w:t>
      </w:r>
      <w:r>
        <w:t>).</w:t>
      </w:r>
      <w:r w:rsidR="00CE158B">
        <w:t xml:space="preserve"> </w:t>
      </w:r>
    </w:p>
    <w:p w:rsidR="00CE158B" w:rsidRDefault="00CE158B" w:rsidP="00CE158B">
      <w:pPr>
        <w:spacing w:line="360" w:lineRule="auto"/>
      </w:pPr>
    </w:p>
    <w:p w:rsidR="00E94274" w:rsidRDefault="00CE158B" w:rsidP="00CE158B">
      <w:pPr>
        <w:spacing w:line="360" w:lineRule="auto"/>
      </w:pPr>
      <w:r>
        <w:t>Such conservation orientated programmes may be further enriched, especially in the age of Covid-19, by providing online classes and resources for school groups to expand the reach of Lundy’s conservation achievements and awareness. Such digital programmes could include digital lessons hosted by Lundy’s education staff, teaching conservation information not usually covered, such as the importance of Kelp forests and related species, for which greater awareness of is a goal of the Lundy Marine Management Plan (LMF, 2017). Additional digital programmes could include the use of camera traps and webcams in key animal hot zones, such as seal pupping</w:t>
      </w:r>
      <w:r w:rsidR="00947BA4">
        <w:t xml:space="preserve"> </w:t>
      </w:r>
      <w:proofErr w:type="spellStart"/>
      <w:r w:rsidR="00947BA4">
        <w:t>zomes</w:t>
      </w:r>
      <w:proofErr w:type="spellEnd"/>
      <w:r>
        <w:t xml:space="preserve"> within the intertidal sea caves to allow people greater access to hidden animal world without impacting the animals through direct contact.</w:t>
      </w:r>
      <w:r w:rsidR="00C8015E">
        <w:t xml:space="preserve"> These webcams may open opportunities for wider research efforts with volunteers being able to assist in wildlife counts and ID’s for key species such as grey seals, and other coral, plant, and animal species, another goal of the Marine Management Plan (LMF, 2017), whilst not having to be physically on the island or in hard to access locations. </w:t>
      </w:r>
    </w:p>
    <w:p w:rsidR="00186694" w:rsidRDefault="00186694" w:rsidP="006C110A">
      <w:pPr>
        <w:spacing w:line="360" w:lineRule="auto"/>
      </w:pPr>
    </w:p>
    <w:p w:rsidR="006C110A" w:rsidRPr="008E14F6" w:rsidRDefault="00C8015E" w:rsidP="000347DC">
      <w:pPr>
        <w:spacing w:line="360" w:lineRule="auto"/>
      </w:pPr>
      <w:r>
        <w:t xml:space="preserve">Word count: </w:t>
      </w:r>
      <w:r w:rsidR="00947BA4">
        <w:t>2736</w:t>
      </w:r>
    </w:p>
    <w:p w:rsidR="006C110A" w:rsidRDefault="006C110A" w:rsidP="006C110A">
      <w:pPr>
        <w:spacing w:line="360" w:lineRule="auto"/>
        <w:rPr>
          <w:rFonts w:asciiTheme="majorHAnsi" w:eastAsiaTheme="majorEastAsia" w:hAnsiTheme="majorHAnsi" w:cstheme="majorBidi"/>
          <w:color w:val="2E74B5" w:themeColor="accent1" w:themeShade="BF"/>
          <w:sz w:val="32"/>
          <w:szCs w:val="32"/>
        </w:rPr>
      </w:pPr>
      <w:r>
        <w:br w:type="page"/>
      </w:r>
    </w:p>
    <w:p w:rsidR="00F677E2" w:rsidRPr="007C6402" w:rsidRDefault="006C110A" w:rsidP="00F677E2">
      <w:pPr>
        <w:pStyle w:val="Heading1"/>
        <w:spacing w:before="0" w:after="240" w:line="360" w:lineRule="auto"/>
      </w:pPr>
      <w:r>
        <w:lastRenderedPageBreak/>
        <w:t>References</w:t>
      </w:r>
    </w:p>
    <w:p w:rsidR="00F677E2" w:rsidRPr="00314DE6" w:rsidRDefault="00F677E2" w:rsidP="00016BB9">
      <w:pPr>
        <w:spacing w:line="360" w:lineRule="auto"/>
        <w:rPr>
          <w:rFonts w:cstheme="minorHAnsi"/>
        </w:rPr>
      </w:pPr>
    </w:p>
    <w:p w:rsidR="00F677E2" w:rsidRDefault="00F677E2" w:rsidP="006C110A">
      <w:pPr>
        <w:spacing w:line="360" w:lineRule="auto"/>
      </w:pPr>
      <w:r>
        <w:t>Bailey, C. (2022) Conversation with UWTSD Outdoor Adventure Education Class of 2019 during a tour of Dinefwr, 28 February.</w:t>
      </w:r>
    </w:p>
    <w:p w:rsidR="00F677E2" w:rsidRDefault="00F677E2" w:rsidP="006C110A">
      <w:pPr>
        <w:spacing w:after="240" w:line="360" w:lineRule="auto"/>
      </w:pPr>
      <w:r>
        <w:t>Booker, H., et al. (2018) ‘</w:t>
      </w:r>
      <w:r w:rsidRPr="00774FD9">
        <w:t xml:space="preserve">Cliff Nesting Seabirds </w:t>
      </w:r>
      <w:proofErr w:type="gramStart"/>
      <w:r w:rsidRPr="00774FD9">
        <w:t>On</w:t>
      </w:r>
      <w:proofErr w:type="gramEnd"/>
      <w:r w:rsidRPr="00774FD9">
        <w:t xml:space="preserve"> Lundy: Population Trends From 1981 To 2017</w:t>
      </w:r>
      <w:r>
        <w:t xml:space="preserve">’, </w:t>
      </w:r>
      <w:r>
        <w:rPr>
          <w:i/>
        </w:rPr>
        <w:t>Journal of the Lundy Field Society</w:t>
      </w:r>
      <w:r>
        <w:t xml:space="preserve">, 6, pp.65-76. Available at: </w:t>
      </w:r>
      <w:hyperlink r:id="rId22" w:history="1">
        <w:r w:rsidRPr="00427095">
          <w:rPr>
            <w:rStyle w:val="Hyperlink"/>
          </w:rPr>
          <w:t>https://lfs-resources.s3.amazonaws.com/j6/LFS_Journal_Vol_6_Part_5.pdf</w:t>
        </w:r>
      </w:hyperlink>
      <w:r>
        <w:t xml:space="preserve"> (Accessed: 04/04/22)</w:t>
      </w:r>
    </w:p>
    <w:p w:rsidR="00F677E2" w:rsidRDefault="00F677E2" w:rsidP="006C110A">
      <w:pPr>
        <w:spacing w:line="360" w:lineRule="auto"/>
      </w:pPr>
      <w:proofErr w:type="spellStart"/>
      <w:r w:rsidRPr="00F32093">
        <w:t>Cadw</w:t>
      </w:r>
      <w:proofErr w:type="spellEnd"/>
      <w:r w:rsidRPr="00F32093">
        <w:t xml:space="preserve"> 2002: </w:t>
      </w:r>
      <w:r w:rsidRPr="00F32093">
        <w:rPr>
          <w:i/>
          <w:iCs/>
        </w:rPr>
        <w:t>Register of Parks and Gardens of Special Historic Interest in Wales, Carmarthenshire, Ceredigion and Pembrokeshire,</w:t>
      </w:r>
      <w:r w:rsidRPr="00F32093">
        <w:t xml:space="preserve"> 68-73 (ref: </w:t>
      </w:r>
      <w:proofErr w:type="gramStart"/>
      <w:r w:rsidRPr="00F32093">
        <w:t>PGW(</w:t>
      </w:r>
      <w:proofErr w:type="spellStart"/>
      <w:proofErr w:type="gramEnd"/>
      <w:r w:rsidRPr="00F32093">
        <w:t>Dy</w:t>
      </w:r>
      <w:proofErr w:type="spellEnd"/>
      <w:r w:rsidRPr="00F32093">
        <w:t>)12(CAM)).</w:t>
      </w:r>
    </w:p>
    <w:p w:rsidR="00F677E2" w:rsidRDefault="00F677E2" w:rsidP="006C110A">
      <w:pPr>
        <w:spacing w:line="360" w:lineRule="auto"/>
      </w:pPr>
      <w:r>
        <w:t>Cooper, G. J., and</w:t>
      </w:r>
      <w:r w:rsidRPr="00C34CD1">
        <w:t xml:space="preserve"> Shannon</w:t>
      </w:r>
      <w:r>
        <w:t>, W. D.</w:t>
      </w:r>
      <w:r w:rsidRPr="00C34CD1">
        <w:t> (2017) </w:t>
      </w:r>
      <w:r>
        <w:t>‘</w:t>
      </w:r>
      <w:proofErr w:type="gramStart"/>
      <w:r w:rsidRPr="00C34CD1">
        <w:t>The</w:t>
      </w:r>
      <w:proofErr w:type="gramEnd"/>
      <w:r w:rsidRPr="00C34CD1">
        <w:t xml:space="preserve"> control of salters (deer-leaps) in private deer-parks associated with forests: a case study using a 1608 map of </w:t>
      </w:r>
      <w:proofErr w:type="spellStart"/>
      <w:r w:rsidRPr="00C34CD1">
        <w:t>Leagram</w:t>
      </w:r>
      <w:proofErr w:type="spellEnd"/>
      <w:r w:rsidRPr="00C34CD1">
        <w:t xml:space="preserve"> park in the Forest of </w:t>
      </w:r>
      <w:proofErr w:type="spellStart"/>
      <w:r w:rsidRPr="00C34CD1">
        <w:t>Bowland</w:t>
      </w:r>
      <w:proofErr w:type="spellEnd"/>
      <w:r w:rsidRPr="00C34CD1">
        <w:t>, Lancashire</w:t>
      </w:r>
      <w:r>
        <w:t>’</w:t>
      </w:r>
      <w:r w:rsidRPr="00C34CD1">
        <w:t>, </w:t>
      </w:r>
      <w:r w:rsidRPr="00C34CD1">
        <w:rPr>
          <w:i/>
        </w:rPr>
        <w:t>Landscape History</w:t>
      </w:r>
      <w:r w:rsidRPr="00C34CD1">
        <w:t>, </w:t>
      </w:r>
      <w:r>
        <w:t>38(</w:t>
      </w:r>
      <w:r w:rsidRPr="00C34CD1">
        <w:t>1</w:t>
      </w:r>
      <w:r>
        <w:t>)</w:t>
      </w:r>
      <w:r w:rsidRPr="00C34CD1">
        <w:t>, </w:t>
      </w:r>
      <w:r>
        <w:t>pp.43-66.</w:t>
      </w:r>
      <w:r w:rsidRPr="00C34CD1">
        <w:t> DOI: </w:t>
      </w:r>
      <w:hyperlink r:id="rId23" w:history="1">
        <w:r w:rsidRPr="00C34CD1">
          <w:rPr>
            <w:rStyle w:val="Hyperlink"/>
          </w:rPr>
          <w:t>10.1080/01433768.2017.1322269</w:t>
        </w:r>
      </w:hyperlink>
    </w:p>
    <w:p w:rsidR="00F677E2" w:rsidRDefault="00F677E2" w:rsidP="006C110A">
      <w:pPr>
        <w:spacing w:line="360" w:lineRule="auto"/>
      </w:pPr>
      <w:r>
        <w:t xml:space="preserve">Cote, S. D. (2004) ‘Ecological Impacts of Deer Overabundance’, </w:t>
      </w:r>
      <w:r>
        <w:rPr>
          <w:i/>
        </w:rPr>
        <w:t>Annual Review of Ecology and Systematics</w:t>
      </w:r>
      <w:r>
        <w:t xml:space="preserve">, 35, pp.113-147. DOI: </w:t>
      </w:r>
      <w:hyperlink r:id="rId24" w:history="1">
        <w:r w:rsidRPr="00C425BC">
          <w:rPr>
            <w:rStyle w:val="Hyperlink"/>
          </w:rPr>
          <w:t>10.1146/annurev.ecolsys.35.021103.105725</w:t>
        </w:r>
      </w:hyperlink>
    </w:p>
    <w:p w:rsidR="00F677E2" w:rsidRDefault="00F677E2" w:rsidP="006C110A">
      <w:pPr>
        <w:spacing w:after="240" w:line="360" w:lineRule="auto"/>
      </w:pPr>
      <w:r>
        <w:t xml:space="preserve">Department for Environment, Food &amp; Rural Affairs (DEFRA). (2013a) </w:t>
      </w:r>
      <w:r>
        <w:rPr>
          <w:i/>
        </w:rPr>
        <w:t>Marine conservation 2013 designation: Lundy</w:t>
      </w:r>
      <w:r>
        <w:t xml:space="preserve">. Available at: </w:t>
      </w:r>
      <w:hyperlink r:id="rId25" w:history="1">
        <w:r w:rsidRPr="00DB5DDC">
          <w:rPr>
            <w:rStyle w:val="Hyperlink"/>
          </w:rPr>
          <w:t>https://www.gov.uk/government/publications/marine-conservation-zone-2013-designation-lundy</w:t>
        </w:r>
      </w:hyperlink>
      <w:r>
        <w:t xml:space="preserve"> (Accessed: 04/04/22).</w:t>
      </w:r>
    </w:p>
    <w:p w:rsidR="00F677E2" w:rsidRDefault="00F677E2" w:rsidP="006C110A">
      <w:pPr>
        <w:spacing w:after="240" w:line="360" w:lineRule="auto"/>
      </w:pPr>
      <w:r>
        <w:t xml:space="preserve">Department for Environment, Food &amp; Rural Affairs (DEFRA). (2013b) </w:t>
      </w:r>
      <w:r>
        <w:rPr>
          <w:i/>
        </w:rPr>
        <w:t>Lundy Marine Conservation Zone</w:t>
      </w:r>
      <w:r>
        <w:t xml:space="preserve">. Available at: </w:t>
      </w:r>
      <w:hyperlink r:id="rId26" w:history="1">
        <w:r w:rsidRPr="00427095">
          <w:rPr>
            <w:rStyle w:val="Hyperlink"/>
          </w:rPr>
          <w:t>http://publications.naturalengland.org.uk/file/6580875894456320</w:t>
        </w:r>
      </w:hyperlink>
      <w:r>
        <w:t xml:space="preserve"> (Accessed: 04/04/22).</w:t>
      </w:r>
    </w:p>
    <w:p w:rsidR="00F677E2" w:rsidRDefault="00F677E2" w:rsidP="006C110A">
      <w:pPr>
        <w:spacing w:line="360" w:lineRule="auto"/>
      </w:pPr>
      <w:r>
        <w:t xml:space="preserve">Dyfed Archaeological Trust (2022) </w:t>
      </w:r>
      <w:r>
        <w:rPr>
          <w:i/>
        </w:rPr>
        <w:t>195 Dinefwr Park.</w:t>
      </w:r>
      <w:r>
        <w:t xml:space="preserve"> Available at: </w:t>
      </w:r>
      <w:hyperlink r:id="rId27" w:history="1">
        <w:r w:rsidRPr="00751171">
          <w:rPr>
            <w:rStyle w:val="Hyperlink"/>
          </w:rPr>
          <w:t>https://dyfedarchaeology.org.uk/HLC/HLCTowy/area/area195.htm</w:t>
        </w:r>
      </w:hyperlink>
      <w:r>
        <w:t xml:space="preserve"> (Accessed: 27/04/22).</w:t>
      </w:r>
    </w:p>
    <w:p w:rsidR="00F677E2" w:rsidRPr="00016BB9" w:rsidRDefault="00F677E2" w:rsidP="00016BB9">
      <w:pPr>
        <w:spacing w:line="360" w:lineRule="auto"/>
        <w:rPr>
          <w:bCs/>
        </w:rPr>
      </w:pPr>
      <w:r w:rsidRPr="00016BB9">
        <w:rPr>
          <w:bCs/>
        </w:rPr>
        <w:t xml:space="preserve">Gill, T. (2007) </w:t>
      </w:r>
      <w:r w:rsidRPr="00016BB9">
        <w:rPr>
          <w:bCs/>
          <w:i/>
          <w:iCs/>
        </w:rPr>
        <w:t>No Fear Growing up in a risk averse society</w:t>
      </w:r>
      <w:r w:rsidRPr="00016BB9">
        <w:rPr>
          <w:bCs/>
        </w:rPr>
        <w:t xml:space="preserve">. London: </w:t>
      </w:r>
      <w:proofErr w:type="spellStart"/>
      <w:r w:rsidRPr="00016BB9">
        <w:rPr>
          <w:bCs/>
        </w:rPr>
        <w:t>Calouste</w:t>
      </w:r>
      <w:proofErr w:type="spellEnd"/>
      <w:r w:rsidRPr="00016BB9">
        <w:rPr>
          <w:bCs/>
        </w:rPr>
        <w:t xml:space="preserve"> </w:t>
      </w:r>
      <w:proofErr w:type="spellStart"/>
      <w:r w:rsidRPr="00016BB9">
        <w:rPr>
          <w:bCs/>
        </w:rPr>
        <w:t>Gulbenkian</w:t>
      </w:r>
      <w:proofErr w:type="spellEnd"/>
      <w:r w:rsidRPr="00016BB9">
        <w:rPr>
          <w:bCs/>
        </w:rPr>
        <w:t xml:space="preserve"> Foundation.</w:t>
      </w:r>
    </w:p>
    <w:p w:rsidR="00F677E2" w:rsidRDefault="00F677E2" w:rsidP="00016BB9">
      <w:pPr>
        <w:spacing w:line="360" w:lineRule="auto"/>
        <w:rPr>
          <w:rFonts w:cstheme="minorHAnsi"/>
        </w:rPr>
      </w:pPr>
      <w:r>
        <w:rPr>
          <w:rFonts w:cstheme="minorHAnsi"/>
        </w:rPr>
        <w:t xml:space="preserve">Hayes, N. (2020) </w:t>
      </w:r>
      <w:r>
        <w:rPr>
          <w:rFonts w:cstheme="minorHAnsi"/>
          <w:i/>
        </w:rPr>
        <w:t xml:space="preserve">The Book of </w:t>
      </w:r>
      <w:proofErr w:type="spellStart"/>
      <w:r>
        <w:rPr>
          <w:rFonts w:cstheme="minorHAnsi"/>
          <w:i/>
        </w:rPr>
        <w:t>Tresspass</w:t>
      </w:r>
      <w:proofErr w:type="spellEnd"/>
      <w:r>
        <w:rPr>
          <w:rFonts w:cstheme="minorHAnsi"/>
          <w:i/>
        </w:rPr>
        <w:t>: Crossing the Lines that Divide Us</w:t>
      </w:r>
      <w:r>
        <w:rPr>
          <w:rFonts w:cstheme="minorHAnsi"/>
        </w:rPr>
        <w:t>. Bloomsbury: London.</w:t>
      </w:r>
    </w:p>
    <w:p w:rsidR="00F677E2" w:rsidRDefault="00F677E2" w:rsidP="006C110A">
      <w:pPr>
        <w:spacing w:line="360" w:lineRule="auto"/>
      </w:pPr>
      <w:proofErr w:type="spellStart"/>
      <w:r>
        <w:t>Khamis</w:t>
      </w:r>
      <w:proofErr w:type="spellEnd"/>
      <w:r>
        <w:t xml:space="preserve">, S. (2011) ‘Lundy’s Hard Work’, </w:t>
      </w:r>
      <w:proofErr w:type="spellStart"/>
      <w:r>
        <w:rPr>
          <w:i/>
        </w:rPr>
        <w:t>Shima</w:t>
      </w:r>
      <w:proofErr w:type="spellEnd"/>
      <w:r>
        <w:rPr>
          <w:i/>
        </w:rPr>
        <w:t>: The International Journal of Research into Island Cultures</w:t>
      </w:r>
      <w:r>
        <w:t xml:space="preserve">, 5(1). Available at: </w:t>
      </w:r>
      <w:r w:rsidRPr="00067738">
        <w:t>https://www.researchgate.net/publication/317351642_Lundy%27s_hard_work_branding_biodiversity_and_a_unique_island_</w:t>
      </w:r>
      <w:proofErr w:type="gramStart"/>
      <w:r w:rsidRPr="00067738">
        <w:t xml:space="preserve">experience </w:t>
      </w:r>
      <w:r>
        <w:t xml:space="preserve"> (</w:t>
      </w:r>
      <w:proofErr w:type="gramEnd"/>
      <w:r>
        <w:t>Accessed: 27/04/22).</w:t>
      </w:r>
    </w:p>
    <w:p w:rsidR="00F677E2" w:rsidRDefault="00F677E2" w:rsidP="00016BB9">
      <w:pPr>
        <w:spacing w:line="360" w:lineRule="auto"/>
        <w:rPr>
          <w:rFonts w:cstheme="minorHAnsi"/>
        </w:rPr>
      </w:pPr>
      <w:r w:rsidRPr="00A72759">
        <w:rPr>
          <w:rFonts w:cstheme="minorHAnsi"/>
        </w:rPr>
        <w:t xml:space="preserve">Li, H., et al. (2022) ‘Psychological benefits of green exercise in wild or urban greenspaces: A meta-analysis of controlled trials’, </w:t>
      </w:r>
      <w:r w:rsidRPr="00A72759">
        <w:rPr>
          <w:rFonts w:cstheme="minorHAnsi"/>
          <w:i/>
          <w:iCs/>
        </w:rPr>
        <w:t>Urban forestry &amp; urban greening</w:t>
      </w:r>
      <w:r w:rsidRPr="00A72759">
        <w:rPr>
          <w:rFonts w:cstheme="minorHAnsi"/>
        </w:rPr>
        <w:t>, 68. DOI: 10.1016/j.ufug.2022.127458</w:t>
      </w:r>
    </w:p>
    <w:p w:rsidR="00F677E2" w:rsidRPr="00016BB9" w:rsidRDefault="00F677E2" w:rsidP="00016BB9">
      <w:pPr>
        <w:spacing w:line="360" w:lineRule="auto"/>
      </w:pPr>
      <w:proofErr w:type="spellStart"/>
      <w:r w:rsidRPr="00016BB9">
        <w:lastRenderedPageBreak/>
        <w:t>Louv</w:t>
      </w:r>
      <w:proofErr w:type="spellEnd"/>
      <w:r w:rsidRPr="00016BB9">
        <w:t xml:space="preserve">, R. (2005) </w:t>
      </w:r>
      <w:r w:rsidRPr="00016BB9">
        <w:rPr>
          <w:i/>
          <w:iCs/>
        </w:rPr>
        <w:t>Last Child in the Woods: Saving Our Children from Nature Deficit Disorder</w:t>
      </w:r>
      <w:r w:rsidRPr="00016BB9">
        <w:t>. London: Atlantic Books</w:t>
      </w:r>
    </w:p>
    <w:p w:rsidR="00F677E2" w:rsidRDefault="00F677E2" w:rsidP="006C110A">
      <w:pPr>
        <w:spacing w:line="360" w:lineRule="auto"/>
      </w:pPr>
      <w:r>
        <w:t>Lundy Management Forum (LMF).</w:t>
      </w:r>
      <w:r w:rsidRPr="008F3625">
        <w:t xml:space="preserve"> </w:t>
      </w:r>
      <w:r>
        <w:t>(</w:t>
      </w:r>
      <w:r w:rsidRPr="008F3625">
        <w:t>2017</w:t>
      </w:r>
      <w:r>
        <w:t>)</w:t>
      </w:r>
      <w:r w:rsidRPr="008F3625">
        <w:t xml:space="preserve"> Lundy Marine Management Plan 2017. Written by Rebecca MacDonald and revised by Robert Irving. Produced for Natural England by the Landmark Trust, Lundy Island.</w:t>
      </w:r>
      <w:r>
        <w:t xml:space="preserve"> Available at: </w:t>
      </w:r>
      <w:hyperlink r:id="rId28" w:history="1">
        <w:r w:rsidRPr="00751171">
          <w:rPr>
            <w:rStyle w:val="Hyperlink"/>
          </w:rPr>
          <w:t>https://www.landmarktrust.org.uk/globalassets/lundy_marine_management_plan_2017.pdf</w:t>
        </w:r>
      </w:hyperlink>
      <w:r>
        <w:t xml:space="preserve"> (Accessed: 27/04/22).</w:t>
      </w:r>
    </w:p>
    <w:p w:rsidR="00F677E2" w:rsidRDefault="00F677E2" w:rsidP="006C110A">
      <w:pPr>
        <w:spacing w:after="240" w:line="360" w:lineRule="auto"/>
      </w:pPr>
      <w:r>
        <w:t xml:space="preserve">National Trust (2022a) </w:t>
      </w:r>
      <w:r>
        <w:rPr>
          <w:i/>
        </w:rPr>
        <w:t>Newton House at Dinefwr.</w:t>
      </w:r>
      <w:r>
        <w:t xml:space="preserve"> Available at:</w:t>
      </w:r>
      <w:r w:rsidRPr="008433B0">
        <w:t xml:space="preserve"> </w:t>
      </w:r>
      <w:hyperlink r:id="rId29" w:history="1">
        <w:r w:rsidRPr="00A3650B">
          <w:rPr>
            <w:rStyle w:val="Hyperlink"/>
          </w:rPr>
          <w:t>https://www.nationaltrust.org.uk/dinefwr/features/newton-house-at-dinefwr</w:t>
        </w:r>
      </w:hyperlink>
      <w:r>
        <w:t xml:space="preserve"> (Accessed: 22/04/22)</w:t>
      </w:r>
    </w:p>
    <w:p w:rsidR="00F677E2" w:rsidRPr="001B0A17" w:rsidRDefault="00F677E2" w:rsidP="006C110A">
      <w:pPr>
        <w:spacing w:after="240" w:line="360" w:lineRule="auto"/>
      </w:pPr>
      <w:r>
        <w:t xml:space="preserve">National Trust (2022b) </w:t>
      </w:r>
      <w:r>
        <w:rPr>
          <w:i/>
        </w:rPr>
        <w:t>Parkland walks at Dinefwr</w:t>
      </w:r>
      <w:r>
        <w:t xml:space="preserve">. Available at: </w:t>
      </w:r>
      <w:hyperlink r:id="rId30" w:history="1">
        <w:r w:rsidRPr="00751171">
          <w:rPr>
            <w:rStyle w:val="Hyperlink"/>
          </w:rPr>
          <w:t>https://www.nationaltrust.org.uk/dinefwr/features/dinefwr-park</w:t>
        </w:r>
      </w:hyperlink>
      <w:r>
        <w:t xml:space="preserve"> (Accessed: 27/04/22).</w:t>
      </w:r>
    </w:p>
    <w:p w:rsidR="00F677E2" w:rsidRDefault="00F677E2" w:rsidP="006C110A">
      <w:pPr>
        <w:spacing w:line="360" w:lineRule="auto"/>
      </w:pPr>
      <w:r>
        <w:t xml:space="preserve">National Trust (2022c) </w:t>
      </w:r>
      <w:r>
        <w:rPr>
          <w:i/>
        </w:rPr>
        <w:t>White Park Cattle at Dinefwr</w:t>
      </w:r>
      <w:r>
        <w:t xml:space="preserve">. Available at: </w:t>
      </w:r>
      <w:hyperlink r:id="rId31" w:history="1">
        <w:r w:rsidRPr="00751171">
          <w:rPr>
            <w:rStyle w:val="Hyperlink"/>
          </w:rPr>
          <w:t>https://www.nationaltrust.org.uk/dinefwr/features/a-living-link-to-our-distant-past</w:t>
        </w:r>
      </w:hyperlink>
      <w:r>
        <w:t xml:space="preserve"> (Accessed: 27/04/22).</w:t>
      </w:r>
    </w:p>
    <w:p w:rsidR="00F677E2" w:rsidRDefault="00F677E2" w:rsidP="006C110A">
      <w:pPr>
        <w:spacing w:line="360" w:lineRule="auto"/>
      </w:pPr>
      <w:r>
        <w:t xml:space="preserve">National Trust (2022d) </w:t>
      </w:r>
      <w:r>
        <w:rPr>
          <w:i/>
        </w:rPr>
        <w:t>Dinefwr</w:t>
      </w:r>
      <w:r>
        <w:t xml:space="preserve">. Available at: </w:t>
      </w:r>
      <w:hyperlink r:id="rId32" w:history="1">
        <w:r w:rsidRPr="00751171">
          <w:rPr>
            <w:rStyle w:val="Hyperlink"/>
          </w:rPr>
          <w:t>https://www.nationaltrust.org.uk/dinefwr</w:t>
        </w:r>
      </w:hyperlink>
      <w:r>
        <w:t xml:space="preserve"> (Accessed: 27/04/22).</w:t>
      </w:r>
    </w:p>
    <w:p w:rsidR="00F677E2" w:rsidRDefault="00F677E2" w:rsidP="006C110A">
      <w:pPr>
        <w:spacing w:line="360" w:lineRule="auto"/>
      </w:pPr>
      <w:r>
        <w:t xml:space="preserve">National Trust (2022e) </w:t>
      </w:r>
      <w:r>
        <w:rPr>
          <w:i/>
        </w:rPr>
        <w:t>Newton House from the East</w:t>
      </w:r>
      <w:r>
        <w:t xml:space="preserve">. Available at: </w:t>
      </w:r>
      <w:hyperlink r:id="rId33" w:history="1">
        <w:r w:rsidRPr="00751171">
          <w:rPr>
            <w:rStyle w:val="Hyperlink"/>
          </w:rPr>
          <w:t>https://www.nationaltrustcollections.org.uk/object/869192</w:t>
        </w:r>
      </w:hyperlink>
      <w:r>
        <w:t xml:space="preserve"> (Accessed: 29/04/22).</w:t>
      </w:r>
    </w:p>
    <w:p w:rsidR="00F677E2" w:rsidRDefault="00F677E2" w:rsidP="006C110A">
      <w:pPr>
        <w:spacing w:after="240" w:line="360" w:lineRule="auto"/>
      </w:pPr>
      <w:r>
        <w:t xml:space="preserve">Natural England (2014) </w:t>
      </w:r>
      <w:r w:rsidRPr="00000EC9">
        <w:rPr>
          <w:i/>
        </w:rPr>
        <w:t>Landscape character area assessment 159: Lundy</w:t>
      </w:r>
      <w:r>
        <w:t xml:space="preserve">. Available at: </w:t>
      </w:r>
      <w:hyperlink r:id="rId34" w:history="1">
        <w:r w:rsidRPr="00C24504">
          <w:rPr>
            <w:rStyle w:val="Hyperlink"/>
          </w:rPr>
          <w:t>http://publications.naturalengland.org.uk/file/6668996183064576</w:t>
        </w:r>
      </w:hyperlink>
      <w:r>
        <w:t xml:space="preserve"> (Accessed: 04/04/22).</w:t>
      </w:r>
    </w:p>
    <w:p w:rsidR="00F677E2" w:rsidRDefault="00F677E2" w:rsidP="006C110A">
      <w:pPr>
        <w:spacing w:line="360" w:lineRule="auto"/>
      </w:pPr>
      <w:r>
        <w:t xml:space="preserve">Natural </w:t>
      </w:r>
      <w:proofErr w:type="spellStart"/>
      <w:r>
        <w:t>Resouces</w:t>
      </w:r>
      <w:proofErr w:type="spellEnd"/>
      <w:r>
        <w:t xml:space="preserve"> Wales (1999) </w:t>
      </w:r>
      <w:r>
        <w:rPr>
          <w:i/>
        </w:rPr>
        <w:t>Site of special scientific interest citation</w:t>
      </w:r>
      <w:r>
        <w:t xml:space="preserve">. Available at: </w:t>
      </w:r>
      <w:hyperlink r:id="rId35" w:history="1">
        <w:r w:rsidRPr="00751171">
          <w:rPr>
            <w:rStyle w:val="Hyperlink"/>
          </w:rPr>
          <w:t>https://naturalresources.wales/media/647921/SSSI_0629_Citation_EN00143db.pdf</w:t>
        </w:r>
      </w:hyperlink>
      <w:r>
        <w:t xml:space="preserve"> (Accessed: 29/04/22).</w:t>
      </w:r>
    </w:p>
    <w:p w:rsidR="00F677E2" w:rsidRPr="00F677E2" w:rsidRDefault="00F677E2" w:rsidP="00F677E2">
      <w:pPr>
        <w:spacing w:line="360" w:lineRule="auto"/>
        <w:rPr>
          <w:rFonts w:cstheme="minorHAnsi"/>
          <w:b/>
          <w:bCs/>
        </w:rPr>
      </w:pPr>
      <w:proofErr w:type="spellStart"/>
      <w:r>
        <w:rPr>
          <w:rFonts w:cstheme="minorHAnsi"/>
        </w:rPr>
        <w:t>Neeson</w:t>
      </w:r>
      <w:proofErr w:type="spellEnd"/>
      <w:r>
        <w:rPr>
          <w:rFonts w:cstheme="minorHAnsi"/>
        </w:rPr>
        <w:t xml:space="preserve">, J. M. (1996) </w:t>
      </w:r>
      <w:r w:rsidRPr="00F677E2">
        <w:rPr>
          <w:rFonts w:cstheme="minorHAnsi"/>
          <w:bCs/>
          <w:i/>
        </w:rPr>
        <w:t>Commoners:</w:t>
      </w:r>
      <w:r w:rsidRPr="00F677E2">
        <w:rPr>
          <w:rFonts w:cstheme="minorHAnsi"/>
          <w:b/>
          <w:bCs/>
          <w:i/>
        </w:rPr>
        <w:t> </w:t>
      </w:r>
      <w:r w:rsidRPr="00F677E2">
        <w:rPr>
          <w:rFonts w:cstheme="minorHAnsi"/>
          <w:i/>
        </w:rPr>
        <w:t>Common Right, Enclosure and Social Change in England, 1700-1820</w:t>
      </w:r>
      <w:r>
        <w:rPr>
          <w:rFonts w:cstheme="minorHAnsi"/>
          <w:i/>
        </w:rPr>
        <w:t>.</w:t>
      </w:r>
      <w:r>
        <w:rPr>
          <w:rFonts w:cstheme="minorHAnsi"/>
        </w:rPr>
        <w:t xml:space="preserve"> Cambridge University Press: </w:t>
      </w:r>
      <w:proofErr w:type="spellStart"/>
      <w:r>
        <w:rPr>
          <w:rFonts w:cstheme="minorHAnsi"/>
        </w:rPr>
        <w:t>Cambrdige</w:t>
      </w:r>
      <w:proofErr w:type="spellEnd"/>
      <w:r>
        <w:rPr>
          <w:rFonts w:cstheme="minorHAnsi"/>
        </w:rPr>
        <w:t>.</w:t>
      </w:r>
    </w:p>
    <w:p w:rsidR="00F677E2" w:rsidRDefault="00F677E2" w:rsidP="006C110A">
      <w:pPr>
        <w:spacing w:after="240" w:line="360" w:lineRule="auto"/>
      </w:pPr>
      <w:r>
        <w:t xml:space="preserve">Nicholas, C. (2022) </w:t>
      </w:r>
      <w:proofErr w:type="spellStart"/>
      <w:r>
        <w:rPr>
          <w:i/>
        </w:rPr>
        <w:t>Dartmore</w:t>
      </w:r>
      <w:proofErr w:type="spellEnd"/>
      <w:r>
        <w:rPr>
          <w:i/>
        </w:rPr>
        <w:t xml:space="preserve"> Granite</w:t>
      </w:r>
      <w:r>
        <w:t xml:space="preserve">. Available at: </w:t>
      </w:r>
      <w:hyperlink r:id="rId36" w:history="1">
        <w:r w:rsidRPr="00DB5DDC">
          <w:rPr>
            <w:rStyle w:val="Hyperlink"/>
          </w:rPr>
          <w:t>https://devoncc.sharepoint.com/sites/PublicDocs/Environment/_layouts/15/download.aspx?guestaccesstoken=Hf6ZFuZTm7a3Jf2uxKV56KgZ26TdUPf2j4WACp1sFFY%3d&amp;docid=0c80ff8a3a8444de2865c73f1040b2c57&amp;rev=1</w:t>
        </w:r>
      </w:hyperlink>
      <w:r>
        <w:t xml:space="preserve"> (Accessed: 04/04/22).</w:t>
      </w:r>
    </w:p>
    <w:p w:rsidR="00F677E2" w:rsidRPr="00292486" w:rsidRDefault="00F677E2" w:rsidP="006C110A">
      <w:pPr>
        <w:spacing w:after="240" w:line="360" w:lineRule="auto"/>
      </w:pPr>
      <w:r>
        <w:t xml:space="preserve">Norman, T. (2022) </w:t>
      </w:r>
      <w:r w:rsidRPr="00826B88">
        <w:rPr>
          <w:i/>
          <w:iCs/>
        </w:rPr>
        <w:t>Dinefwr Park &amp; Newton House</w:t>
      </w:r>
      <w:r>
        <w:rPr>
          <w:i/>
          <w:iCs/>
        </w:rPr>
        <w:t>.</w:t>
      </w:r>
      <w:r>
        <w:t xml:space="preserve"> Available at: </w:t>
      </w:r>
      <w:hyperlink r:id="rId37" w:history="1">
        <w:r w:rsidRPr="00775576">
          <w:rPr>
            <w:rStyle w:val="Hyperlink"/>
          </w:rPr>
          <w:t>https://www.llandeilo.org/pl_dinefwrpark.php</w:t>
        </w:r>
      </w:hyperlink>
      <w:r>
        <w:t xml:space="preserve"> (Accessed: 25/04/2022).</w:t>
      </w:r>
    </w:p>
    <w:p w:rsidR="00F677E2" w:rsidRPr="00976C24" w:rsidRDefault="00F677E2" w:rsidP="006C110A">
      <w:pPr>
        <w:spacing w:line="360" w:lineRule="auto"/>
      </w:pPr>
      <w:proofErr w:type="spellStart"/>
      <w:r>
        <w:lastRenderedPageBreak/>
        <w:t>Peterken</w:t>
      </w:r>
      <w:proofErr w:type="spellEnd"/>
      <w:r>
        <w:t xml:space="preserve">, G. F. (1993) </w:t>
      </w:r>
      <w:r>
        <w:rPr>
          <w:i/>
        </w:rPr>
        <w:t xml:space="preserve">Woodland Conservation and Management. </w:t>
      </w:r>
      <w:r w:rsidRPr="00976C24">
        <w:t>2</w:t>
      </w:r>
      <w:r w:rsidRPr="00976C24">
        <w:rPr>
          <w:vertAlign w:val="superscript"/>
        </w:rPr>
        <w:t>nd</w:t>
      </w:r>
      <w:r w:rsidRPr="00976C24">
        <w:t xml:space="preserve"> </w:t>
      </w:r>
      <w:proofErr w:type="spellStart"/>
      <w:r w:rsidRPr="00976C24">
        <w:t>Edn</w:t>
      </w:r>
      <w:proofErr w:type="spellEnd"/>
      <w:r w:rsidRPr="00976C24">
        <w:t>.</w:t>
      </w:r>
      <w:r>
        <w:rPr>
          <w:i/>
        </w:rPr>
        <w:t xml:space="preserve"> </w:t>
      </w:r>
      <w:r>
        <w:t>Chapman and Hall: London.</w:t>
      </w:r>
    </w:p>
    <w:p w:rsidR="00F677E2" w:rsidRPr="00826B88" w:rsidRDefault="00F677E2" w:rsidP="006C110A">
      <w:pPr>
        <w:spacing w:after="240" w:line="360" w:lineRule="auto"/>
      </w:pPr>
      <w:r>
        <w:t xml:space="preserve">Stephenson, P. (2022) </w:t>
      </w:r>
      <w:r>
        <w:rPr>
          <w:i/>
        </w:rPr>
        <w:t>Lundy Granite</w:t>
      </w:r>
      <w:r>
        <w:t xml:space="preserve">. Available at: </w:t>
      </w:r>
      <w:hyperlink r:id="rId38" w:history="1">
        <w:r w:rsidRPr="00DB5DDC">
          <w:rPr>
            <w:rStyle w:val="Hyperlink"/>
          </w:rPr>
          <w:t>https://devoncc.sharepoint.com/sites/PublicDocs/Environment/_layouts/15/guestaccess.aspx?guestaccesstoken=oqhZaOTeuSWefAbgjUPYxZY8zXE4T39toY5jghz7SSg%3d&amp;docid=0f5a3133f61d0469f93514c40ce064732&amp;rev=1</w:t>
        </w:r>
      </w:hyperlink>
      <w:r>
        <w:t xml:space="preserve"> (Accessed: 04/04/22).</w:t>
      </w:r>
    </w:p>
    <w:p w:rsidR="00F677E2" w:rsidRDefault="00F677E2" w:rsidP="006C110A">
      <w:pPr>
        <w:spacing w:line="360" w:lineRule="auto"/>
      </w:pPr>
      <w:r>
        <w:t xml:space="preserve">Williamson, T. (2016)’ Where we are with Wood-Pasture: Two Recent Books and the Current State of Research’, </w:t>
      </w:r>
      <w:r>
        <w:rPr>
          <w:i/>
        </w:rPr>
        <w:t>Landscapes</w:t>
      </w:r>
      <w:r>
        <w:t xml:space="preserve">, 17(1), pp.82-88. DOI: </w:t>
      </w:r>
      <w:hyperlink r:id="rId39" w:history="1">
        <w:r w:rsidRPr="007C6402">
          <w:rPr>
            <w:rStyle w:val="Hyperlink"/>
          </w:rPr>
          <w:t>10.1080/14662035.2016.1169040</w:t>
        </w:r>
      </w:hyperlink>
    </w:p>
    <w:p w:rsidR="000B4232" w:rsidRDefault="000B4232" w:rsidP="000B4232">
      <w:pPr>
        <w:spacing w:line="360" w:lineRule="auto"/>
      </w:pPr>
      <w:r w:rsidRPr="000A07F9">
        <w:t xml:space="preserve">Preston, L., </w:t>
      </w:r>
      <w:r>
        <w:t>and</w:t>
      </w:r>
      <w:r w:rsidRPr="000A07F9">
        <w:t xml:space="preserve"> Griffiths, A. (2004) </w:t>
      </w:r>
      <w:r>
        <w:t>‘</w:t>
      </w:r>
      <w:r w:rsidRPr="000A07F9">
        <w:t>Pedagogy of connections: Findings of a collaborative action research project in outdoor and environmental education</w:t>
      </w:r>
      <w:r>
        <w:t>’,</w:t>
      </w:r>
      <w:r w:rsidRPr="000A07F9">
        <w:t> </w:t>
      </w:r>
      <w:r w:rsidRPr="00524411">
        <w:rPr>
          <w:i/>
          <w:iCs/>
        </w:rPr>
        <w:t>Journal of Outdoor and Environmental Education, 8</w:t>
      </w:r>
      <w:r w:rsidRPr="000A07F9">
        <w:t xml:space="preserve">, </w:t>
      </w:r>
      <w:r>
        <w:t xml:space="preserve">pp. </w:t>
      </w:r>
      <w:r w:rsidRPr="000A07F9">
        <w:t>36-45</w:t>
      </w:r>
      <w:r>
        <w:t xml:space="preserve">. DOI: </w:t>
      </w:r>
      <w:hyperlink r:id="rId40" w:history="1">
        <w:r w:rsidRPr="000A07F9">
          <w:rPr>
            <w:rStyle w:val="Hyperlink"/>
          </w:rPr>
          <w:t>10.1007/BF03400802</w:t>
        </w:r>
      </w:hyperlink>
    </w:p>
    <w:p w:rsidR="00D323F6" w:rsidRPr="00116045" w:rsidRDefault="00D323F6" w:rsidP="00D323F6">
      <w:pPr>
        <w:spacing w:line="360" w:lineRule="auto"/>
      </w:pPr>
      <w:r w:rsidRPr="00116045">
        <w:t>Kolb, D. A</w:t>
      </w:r>
      <w:r w:rsidRPr="00524411">
        <w:rPr>
          <w:i/>
          <w:iCs/>
        </w:rPr>
        <w:t xml:space="preserve">. </w:t>
      </w:r>
      <w:r w:rsidRPr="00116045">
        <w:t>(1984)</w:t>
      </w:r>
      <w:r w:rsidRPr="00524411">
        <w:rPr>
          <w:i/>
          <w:iCs/>
        </w:rPr>
        <w:t xml:space="preserve"> Experiential </w:t>
      </w:r>
      <w:proofErr w:type="gramStart"/>
      <w:r w:rsidRPr="00524411">
        <w:rPr>
          <w:i/>
          <w:iCs/>
        </w:rPr>
        <w:t>Learning :</w:t>
      </w:r>
      <w:proofErr w:type="gramEnd"/>
      <w:r w:rsidRPr="00524411">
        <w:rPr>
          <w:i/>
          <w:iCs/>
        </w:rPr>
        <w:t xml:space="preserve"> Experience as the Source of Learning and Development</w:t>
      </w:r>
      <w:r w:rsidRPr="00116045">
        <w:t>. 1</w:t>
      </w:r>
      <w:r w:rsidRPr="00524411">
        <w:rPr>
          <w:vertAlign w:val="superscript"/>
        </w:rPr>
        <w:t>st</w:t>
      </w:r>
      <w:r w:rsidRPr="00116045">
        <w:t xml:space="preserve"> Ed. London: Prentice-Hall.</w:t>
      </w:r>
    </w:p>
    <w:p w:rsidR="00D323F6" w:rsidRDefault="00D323F6" w:rsidP="00D323F6">
      <w:pPr>
        <w:spacing w:line="360" w:lineRule="auto"/>
      </w:pPr>
      <w:r>
        <w:t>Peng, L-P. (2020) ‘</w:t>
      </w:r>
      <w:r w:rsidRPr="00F33933">
        <w:t xml:space="preserve">Understanding Human–Nature Connections </w:t>
      </w:r>
      <w:proofErr w:type="gramStart"/>
      <w:r w:rsidRPr="00F33933">
        <w:t>Through</w:t>
      </w:r>
      <w:proofErr w:type="gramEnd"/>
      <w:r w:rsidRPr="00F33933">
        <w:t xml:space="preserve"> Landscape Socialization</w:t>
      </w:r>
      <w:r>
        <w:t xml:space="preserve">’, </w:t>
      </w:r>
      <w:r w:rsidRPr="00524411">
        <w:rPr>
          <w:i/>
          <w:iCs/>
        </w:rPr>
        <w:t>International journal of Environmental Research</w:t>
      </w:r>
      <w:r>
        <w:t xml:space="preserve">, 17(20). DOI: </w:t>
      </w:r>
      <w:hyperlink r:id="rId41" w:history="1">
        <w:r w:rsidRPr="00F33933">
          <w:rPr>
            <w:rStyle w:val="Hyperlink"/>
          </w:rPr>
          <w:t>10.3390/ijerph17207593</w:t>
        </w:r>
      </w:hyperlink>
    </w:p>
    <w:p w:rsidR="00D323F6" w:rsidRDefault="00D323F6" w:rsidP="00D323F6">
      <w:pPr>
        <w:spacing w:line="360" w:lineRule="auto"/>
      </w:pPr>
      <w:r w:rsidRPr="00F33933">
        <w:t xml:space="preserve">Burt, R., &amp; Archer, J. M. (Eds.). (1994). </w:t>
      </w:r>
      <w:r w:rsidRPr="00524411">
        <w:rPr>
          <w:i/>
          <w:iCs/>
        </w:rPr>
        <w:t>Enclosure Acts: Sexuality, Property, and Culture in Early Modern England</w:t>
      </w:r>
      <w:r w:rsidRPr="00F33933">
        <w:t xml:space="preserve">. Cornell University Press. </w:t>
      </w:r>
    </w:p>
    <w:p w:rsidR="00C87F4B" w:rsidRPr="00116045" w:rsidRDefault="00C87F4B" w:rsidP="00C87F4B">
      <w:pPr>
        <w:spacing w:line="360" w:lineRule="auto"/>
      </w:pPr>
      <w:r>
        <w:t>Langley,</w:t>
      </w:r>
      <w:r w:rsidRPr="00116045">
        <w:t xml:space="preserve"> C.</w:t>
      </w:r>
      <w:r>
        <w:t xml:space="preserve"> M</w:t>
      </w:r>
      <w:r w:rsidRPr="00116045">
        <w:t xml:space="preserve">. (2013) ‘Storied landscapes makes us (Modern) Human: Landscape socialisation in the Palaeolithic and consequences for the archaeological record’, </w:t>
      </w:r>
      <w:r w:rsidRPr="00524411">
        <w:rPr>
          <w:i/>
          <w:iCs/>
        </w:rPr>
        <w:t>Journal of Anthropological Archaeology</w:t>
      </w:r>
      <w:r w:rsidRPr="00116045">
        <w:t>, 32(4), pp. 614-629. DOI: 10.1016/j.jaa.2013.10.001</w:t>
      </w:r>
    </w:p>
    <w:p w:rsidR="006C110A" w:rsidRDefault="006C110A" w:rsidP="006C110A">
      <w:pPr>
        <w:spacing w:line="360" w:lineRule="auto"/>
        <w:rPr>
          <w:rFonts w:asciiTheme="majorHAnsi" w:eastAsiaTheme="majorEastAsia" w:hAnsiTheme="majorHAnsi" w:cstheme="majorBidi"/>
          <w:color w:val="2E74B5" w:themeColor="accent1" w:themeShade="BF"/>
          <w:sz w:val="32"/>
          <w:szCs w:val="32"/>
        </w:rPr>
      </w:pPr>
      <w:r>
        <w:br w:type="page"/>
      </w:r>
    </w:p>
    <w:p w:rsidR="006C110A" w:rsidRDefault="006C110A" w:rsidP="006C110A">
      <w:pPr>
        <w:pStyle w:val="Heading1"/>
        <w:spacing w:line="360" w:lineRule="auto"/>
      </w:pPr>
      <w:r>
        <w:lastRenderedPageBreak/>
        <w:t>Appendix</w:t>
      </w:r>
    </w:p>
    <w:p w:rsidR="006C110A" w:rsidRDefault="006C110A" w:rsidP="006C110A">
      <w:pPr>
        <w:spacing w:line="360" w:lineRule="auto"/>
      </w:pPr>
      <w:r>
        <w:t>Appendix 1: New 18</w:t>
      </w:r>
      <w:r w:rsidRPr="009004FB">
        <w:rPr>
          <w:vertAlign w:val="superscript"/>
        </w:rPr>
        <w:t>th</w:t>
      </w:r>
      <w:r>
        <w:t xml:space="preserve"> century landscape preferences </w:t>
      </w:r>
      <w:r w:rsidR="009E6E25">
        <w:t>[Photo taken at Dinefwr by Dominic Hole on 28</w:t>
      </w:r>
      <w:r w:rsidR="009E6E25" w:rsidRPr="009E6E25">
        <w:rPr>
          <w:vertAlign w:val="superscript"/>
        </w:rPr>
        <w:t>th</w:t>
      </w:r>
      <w:r w:rsidR="009E6E25">
        <w:t xml:space="preserve"> February 2022]</w:t>
      </w:r>
      <w:r>
        <w:rPr>
          <w:noProof/>
        </w:rPr>
        <w:drawing>
          <wp:inline distT="0" distB="0" distL="0" distR="0" wp14:anchorId="18A172C5" wp14:editId="04BCA7FE">
            <wp:extent cx="6210300" cy="4660308"/>
            <wp:effectExtent l="0" t="0" r="0" b="6985"/>
            <wp:docPr id="14" name="Picture 14" descr="C:\Users\domgo_000\Downloads\IMG_657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domgo_000\Downloads\IMG_6572.jpe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6210300" cy="4660308"/>
                    </a:xfrm>
                    <a:prstGeom prst="rect">
                      <a:avLst/>
                    </a:prstGeom>
                    <a:noFill/>
                    <a:ln>
                      <a:noFill/>
                    </a:ln>
                  </pic:spPr>
                </pic:pic>
              </a:graphicData>
            </a:graphic>
          </wp:inline>
        </w:drawing>
      </w:r>
    </w:p>
    <w:p w:rsidR="006C110A" w:rsidRDefault="006C110A" w:rsidP="006C110A">
      <w:pPr>
        <w:spacing w:line="360" w:lineRule="auto"/>
      </w:pPr>
    </w:p>
    <w:p w:rsidR="006C110A" w:rsidRDefault="006C110A" w:rsidP="006C110A">
      <w:pPr>
        <w:spacing w:line="360" w:lineRule="auto"/>
      </w:pPr>
    </w:p>
    <w:p w:rsidR="006C110A" w:rsidRDefault="006C110A" w:rsidP="006C110A">
      <w:pPr>
        <w:spacing w:line="360" w:lineRule="auto"/>
      </w:pPr>
    </w:p>
    <w:p w:rsidR="006C110A" w:rsidRDefault="006C110A" w:rsidP="006C110A">
      <w:pPr>
        <w:spacing w:line="360" w:lineRule="auto"/>
      </w:pPr>
    </w:p>
    <w:p w:rsidR="006C110A" w:rsidRDefault="006C110A" w:rsidP="006C110A">
      <w:pPr>
        <w:spacing w:line="360" w:lineRule="auto"/>
      </w:pPr>
    </w:p>
    <w:p w:rsidR="006C110A" w:rsidRDefault="006C110A" w:rsidP="006C110A">
      <w:pPr>
        <w:spacing w:line="360" w:lineRule="auto"/>
      </w:pPr>
    </w:p>
    <w:p w:rsidR="006C110A" w:rsidRDefault="006C110A" w:rsidP="006C110A">
      <w:pPr>
        <w:spacing w:line="360" w:lineRule="auto"/>
      </w:pPr>
    </w:p>
    <w:p w:rsidR="006C110A" w:rsidRDefault="006C110A" w:rsidP="006C110A">
      <w:pPr>
        <w:spacing w:line="360" w:lineRule="auto"/>
      </w:pPr>
    </w:p>
    <w:p w:rsidR="006C110A" w:rsidRDefault="006C110A" w:rsidP="006C110A">
      <w:pPr>
        <w:spacing w:line="360" w:lineRule="auto"/>
      </w:pPr>
    </w:p>
    <w:p w:rsidR="006C110A" w:rsidRDefault="006C110A" w:rsidP="006C110A">
      <w:pPr>
        <w:spacing w:line="360" w:lineRule="auto"/>
      </w:pPr>
    </w:p>
    <w:p w:rsidR="006C110A" w:rsidRDefault="006C110A" w:rsidP="006C110A">
      <w:pPr>
        <w:spacing w:line="360" w:lineRule="auto"/>
      </w:pPr>
    </w:p>
    <w:p w:rsidR="006C110A" w:rsidRDefault="006C110A" w:rsidP="006C110A">
      <w:pPr>
        <w:spacing w:line="360" w:lineRule="auto"/>
      </w:pPr>
    </w:p>
    <w:p w:rsidR="006C110A" w:rsidRDefault="006C110A" w:rsidP="006C110A">
      <w:pPr>
        <w:spacing w:line="360" w:lineRule="auto"/>
      </w:pPr>
    </w:p>
    <w:p w:rsidR="00D97F89" w:rsidRDefault="00D97F89" w:rsidP="006C110A">
      <w:pPr>
        <w:spacing w:line="360" w:lineRule="auto"/>
      </w:pPr>
    </w:p>
    <w:p w:rsidR="006C110A" w:rsidRDefault="006C110A" w:rsidP="006C110A">
      <w:pPr>
        <w:spacing w:line="360" w:lineRule="auto"/>
      </w:pPr>
      <w:r>
        <w:t>Appendix 2: Pre-18</w:t>
      </w:r>
      <w:r w:rsidRPr="009004FB">
        <w:rPr>
          <w:vertAlign w:val="superscript"/>
        </w:rPr>
        <w:t>th</w:t>
      </w:r>
      <w:r>
        <w:t xml:space="preserve"> century landscape</w:t>
      </w:r>
      <w:r w:rsidR="009E6E25">
        <w:t xml:space="preserve"> </w:t>
      </w:r>
      <w:r w:rsidR="009E6E25">
        <w:t>[Photo taken at Dinefwr by Dominic Hole on 28</w:t>
      </w:r>
      <w:r w:rsidR="009E6E25" w:rsidRPr="009E6E25">
        <w:rPr>
          <w:vertAlign w:val="superscript"/>
        </w:rPr>
        <w:t>th</w:t>
      </w:r>
      <w:r w:rsidR="009E6E25">
        <w:t xml:space="preserve"> February 2022]</w:t>
      </w:r>
    </w:p>
    <w:p w:rsidR="006C110A" w:rsidRDefault="006C110A" w:rsidP="006C110A">
      <w:pPr>
        <w:spacing w:line="360" w:lineRule="auto"/>
      </w:pPr>
      <w:r>
        <w:rPr>
          <w:noProof/>
        </w:rPr>
        <w:drawing>
          <wp:inline distT="0" distB="0" distL="0" distR="0" wp14:anchorId="54856622" wp14:editId="1CABFC4C">
            <wp:extent cx="6047125" cy="8059479"/>
            <wp:effectExtent l="0" t="0" r="0" b="0"/>
            <wp:docPr id="13" name="Picture 13" descr="C:\Users\domgo_000\Downloads\IMG_657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domgo_000\Downloads\IMG_6570.jpe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6064241" cy="8082291"/>
                    </a:xfrm>
                    <a:prstGeom prst="rect">
                      <a:avLst/>
                    </a:prstGeom>
                    <a:noFill/>
                    <a:ln>
                      <a:noFill/>
                    </a:ln>
                  </pic:spPr>
                </pic:pic>
              </a:graphicData>
            </a:graphic>
          </wp:inline>
        </w:drawing>
      </w:r>
    </w:p>
    <w:p w:rsidR="006C110A" w:rsidRDefault="006C110A" w:rsidP="006C110A">
      <w:pPr>
        <w:spacing w:line="360" w:lineRule="auto"/>
      </w:pPr>
    </w:p>
    <w:p w:rsidR="006C110A" w:rsidRDefault="006C110A" w:rsidP="006C110A">
      <w:pPr>
        <w:spacing w:line="360" w:lineRule="auto"/>
      </w:pPr>
      <w:r>
        <w:t>Appendix 3: Llandeilo Flags</w:t>
      </w:r>
      <w:r w:rsidR="009E6E25">
        <w:t xml:space="preserve"> </w:t>
      </w:r>
      <w:r w:rsidR="009E6E25">
        <w:t>[Photo taken at Dinefwr by Dominic Hole on 28</w:t>
      </w:r>
      <w:r w:rsidR="009E6E25" w:rsidRPr="009E6E25">
        <w:rPr>
          <w:vertAlign w:val="superscript"/>
        </w:rPr>
        <w:t>th</w:t>
      </w:r>
      <w:r w:rsidR="009E6E25">
        <w:t xml:space="preserve"> February 2022]</w:t>
      </w:r>
    </w:p>
    <w:p w:rsidR="006C110A" w:rsidRDefault="006C110A" w:rsidP="006C110A">
      <w:pPr>
        <w:spacing w:line="360" w:lineRule="auto"/>
      </w:pPr>
      <w:r>
        <w:rPr>
          <w:noProof/>
        </w:rPr>
        <w:drawing>
          <wp:inline distT="0" distB="0" distL="0" distR="0" wp14:anchorId="0CFAB033" wp14:editId="08465E09">
            <wp:extent cx="6239090" cy="8315325"/>
            <wp:effectExtent l="0" t="0" r="9525" b="0"/>
            <wp:docPr id="8" name="Picture 8" descr="C:\Users\domgo_000\Downloads\IMG_654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domgo_000\Downloads\IMG_6549.jpe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6246568" cy="8325292"/>
                    </a:xfrm>
                    <a:prstGeom prst="rect">
                      <a:avLst/>
                    </a:prstGeom>
                    <a:noFill/>
                    <a:ln>
                      <a:noFill/>
                    </a:ln>
                  </pic:spPr>
                </pic:pic>
              </a:graphicData>
            </a:graphic>
          </wp:inline>
        </w:drawing>
      </w:r>
    </w:p>
    <w:p w:rsidR="006C110A" w:rsidRDefault="006C110A" w:rsidP="006C110A">
      <w:pPr>
        <w:spacing w:line="360" w:lineRule="auto"/>
      </w:pPr>
    </w:p>
    <w:p w:rsidR="006C110A" w:rsidRDefault="006C110A" w:rsidP="006C110A">
      <w:pPr>
        <w:spacing w:line="360" w:lineRule="auto"/>
      </w:pPr>
    </w:p>
    <w:p w:rsidR="006C110A" w:rsidRDefault="006C110A" w:rsidP="006C110A">
      <w:pPr>
        <w:spacing w:line="360" w:lineRule="auto"/>
      </w:pPr>
      <w:r>
        <w:t>Appendix 4: Tree planting legacy</w:t>
      </w:r>
      <w:r w:rsidR="009E6E25">
        <w:t xml:space="preserve"> </w:t>
      </w:r>
      <w:r w:rsidR="009E6E25">
        <w:t>[Photo taken at Dinefwr by Dominic Hole on 28</w:t>
      </w:r>
      <w:r w:rsidR="009E6E25" w:rsidRPr="009E6E25">
        <w:rPr>
          <w:vertAlign w:val="superscript"/>
        </w:rPr>
        <w:t>th</w:t>
      </w:r>
      <w:r w:rsidR="009E6E25">
        <w:t xml:space="preserve"> February 2022]</w:t>
      </w:r>
    </w:p>
    <w:p w:rsidR="006C110A" w:rsidRDefault="006C110A" w:rsidP="006C110A">
      <w:pPr>
        <w:spacing w:line="360" w:lineRule="auto"/>
      </w:pPr>
      <w:r>
        <w:rPr>
          <w:noProof/>
        </w:rPr>
        <w:drawing>
          <wp:inline distT="0" distB="0" distL="0" distR="0" wp14:anchorId="0E923A04" wp14:editId="1AC86E84">
            <wp:extent cx="6229350" cy="4674604"/>
            <wp:effectExtent l="0" t="0" r="0" b="0"/>
            <wp:docPr id="15" name="Picture 15" descr="C:\Users\domgo_000\Downloads\IMG_658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domgo_000\Downloads\IMG_6583.jpe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6242040" cy="4684127"/>
                    </a:xfrm>
                    <a:prstGeom prst="rect">
                      <a:avLst/>
                    </a:prstGeom>
                    <a:noFill/>
                    <a:ln>
                      <a:noFill/>
                    </a:ln>
                  </pic:spPr>
                </pic:pic>
              </a:graphicData>
            </a:graphic>
          </wp:inline>
        </w:drawing>
      </w:r>
    </w:p>
    <w:p w:rsidR="006C110A" w:rsidRDefault="006C110A" w:rsidP="006C110A">
      <w:pPr>
        <w:spacing w:line="360" w:lineRule="auto"/>
      </w:pPr>
      <w:r>
        <w:lastRenderedPageBreak/>
        <w:t>Appendix 5: Roman Fort</w:t>
      </w:r>
      <w:r w:rsidR="009E6E25">
        <w:t xml:space="preserve"> </w:t>
      </w:r>
      <w:r w:rsidR="009E6E25">
        <w:t>[Photo taken at Dinefwr by Dominic Hole on 28</w:t>
      </w:r>
      <w:r w:rsidR="009E6E25" w:rsidRPr="009E6E25">
        <w:rPr>
          <w:vertAlign w:val="superscript"/>
        </w:rPr>
        <w:t>th</w:t>
      </w:r>
      <w:r w:rsidR="009E6E25">
        <w:t xml:space="preserve"> February 2022]</w:t>
      </w:r>
      <w:r>
        <w:rPr>
          <w:noProof/>
        </w:rPr>
        <w:drawing>
          <wp:inline distT="0" distB="0" distL="0" distR="0" wp14:anchorId="1644873C" wp14:editId="5E04D4FF">
            <wp:extent cx="6467784" cy="8620125"/>
            <wp:effectExtent l="0" t="0" r="9525" b="0"/>
            <wp:docPr id="12" name="Picture 12" descr="C:\Users\domgo_000\Downloads\IMG_656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domgo_000\Downloads\IMG_6564.jpe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6471977" cy="8625714"/>
                    </a:xfrm>
                    <a:prstGeom prst="rect">
                      <a:avLst/>
                    </a:prstGeom>
                    <a:noFill/>
                    <a:ln>
                      <a:noFill/>
                    </a:ln>
                  </pic:spPr>
                </pic:pic>
              </a:graphicData>
            </a:graphic>
          </wp:inline>
        </w:drawing>
      </w:r>
    </w:p>
    <w:p w:rsidR="00CE158B" w:rsidRDefault="006C110A" w:rsidP="006C110A">
      <w:pPr>
        <w:spacing w:line="360" w:lineRule="auto"/>
      </w:pPr>
      <w:r>
        <w:lastRenderedPageBreak/>
        <w:t>Appendix 6: Use of Newton House as WWII hospital</w:t>
      </w:r>
      <w:r w:rsidR="009E6E25">
        <w:t xml:space="preserve"> </w:t>
      </w:r>
      <w:r w:rsidR="009E6E25">
        <w:t>[Photo taken at Dinefwr by Dominic Hole on 28</w:t>
      </w:r>
      <w:r w:rsidR="009E6E25" w:rsidRPr="009E6E25">
        <w:rPr>
          <w:vertAlign w:val="superscript"/>
        </w:rPr>
        <w:t>th</w:t>
      </w:r>
      <w:r w:rsidR="009E6E25">
        <w:t xml:space="preserve"> February 2022]</w:t>
      </w:r>
      <w:r>
        <w:rPr>
          <w:noProof/>
        </w:rPr>
        <w:drawing>
          <wp:inline distT="0" distB="0" distL="0" distR="0" wp14:anchorId="7A6C306C" wp14:editId="238A8DC1">
            <wp:extent cx="6139034" cy="8181975"/>
            <wp:effectExtent l="0" t="0" r="0" b="0"/>
            <wp:docPr id="11" name="Picture 11" descr="C:\Users\domgo_000\Downloads\IMG_655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domgo_000\Downloads\IMG_6558.jpeg"/>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6148372" cy="8194420"/>
                    </a:xfrm>
                    <a:prstGeom prst="rect">
                      <a:avLst/>
                    </a:prstGeom>
                    <a:noFill/>
                    <a:ln>
                      <a:noFill/>
                    </a:ln>
                  </pic:spPr>
                </pic:pic>
              </a:graphicData>
            </a:graphic>
          </wp:inline>
        </w:drawing>
      </w:r>
      <w:bookmarkStart w:id="0" w:name="_GoBack"/>
      <w:bookmarkEnd w:id="0"/>
    </w:p>
    <w:sectPr w:rsidR="00CE158B">
      <w:footerReference w:type="default" r:id="rId4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65EBE" w:rsidRDefault="00B65EBE" w:rsidP="006C110A">
      <w:r>
        <w:separator/>
      </w:r>
    </w:p>
  </w:endnote>
  <w:endnote w:type="continuationSeparator" w:id="0">
    <w:p w:rsidR="00B65EBE" w:rsidRDefault="00B65EBE" w:rsidP="006C11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28420670"/>
      <w:docPartObj>
        <w:docPartGallery w:val="Page Numbers (Bottom of Page)"/>
        <w:docPartUnique/>
      </w:docPartObj>
    </w:sdtPr>
    <w:sdtEndPr>
      <w:rPr>
        <w:noProof/>
      </w:rPr>
    </w:sdtEndPr>
    <w:sdtContent>
      <w:p w:rsidR="00CE158B" w:rsidRDefault="00CE158B">
        <w:pPr>
          <w:pStyle w:val="Footer"/>
          <w:jc w:val="right"/>
        </w:pPr>
        <w:r>
          <w:fldChar w:fldCharType="begin"/>
        </w:r>
        <w:r>
          <w:instrText xml:space="preserve"> PAGE   \* MERGEFORMAT </w:instrText>
        </w:r>
        <w:r>
          <w:fldChar w:fldCharType="separate"/>
        </w:r>
        <w:r w:rsidR="009E6E25">
          <w:rPr>
            <w:noProof/>
          </w:rPr>
          <w:t>26</w:t>
        </w:r>
        <w:r>
          <w:rPr>
            <w:noProof/>
          </w:rPr>
          <w:fldChar w:fldCharType="end"/>
        </w:r>
      </w:p>
    </w:sdtContent>
  </w:sdt>
  <w:p w:rsidR="00CE158B" w:rsidRDefault="00CE158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65EBE" w:rsidRDefault="00B65EBE" w:rsidP="006C110A">
      <w:r>
        <w:separator/>
      </w:r>
    </w:p>
  </w:footnote>
  <w:footnote w:type="continuationSeparator" w:id="0">
    <w:p w:rsidR="00B65EBE" w:rsidRDefault="00B65EBE" w:rsidP="006C110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10A"/>
    <w:rsid w:val="00016BB9"/>
    <w:rsid w:val="000347DC"/>
    <w:rsid w:val="00090083"/>
    <w:rsid w:val="000B4232"/>
    <w:rsid w:val="000D7004"/>
    <w:rsid w:val="00164B45"/>
    <w:rsid w:val="001832D7"/>
    <w:rsid w:val="00186694"/>
    <w:rsid w:val="00207711"/>
    <w:rsid w:val="00314DE6"/>
    <w:rsid w:val="003F7350"/>
    <w:rsid w:val="00667D4C"/>
    <w:rsid w:val="006C110A"/>
    <w:rsid w:val="006C5645"/>
    <w:rsid w:val="00753CE8"/>
    <w:rsid w:val="007B28A8"/>
    <w:rsid w:val="00804023"/>
    <w:rsid w:val="00896C56"/>
    <w:rsid w:val="00914FF3"/>
    <w:rsid w:val="00947BA4"/>
    <w:rsid w:val="00952BED"/>
    <w:rsid w:val="009879D5"/>
    <w:rsid w:val="009E0787"/>
    <w:rsid w:val="009E6E25"/>
    <w:rsid w:val="009F7660"/>
    <w:rsid w:val="00A07FD6"/>
    <w:rsid w:val="00A82548"/>
    <w:rsid w:val="00B43C60"/>
    <w:rsid w:val="00B63115"/>
    <w:rsid w:val="00B65EBE"/>
    <w:rsid w:val="00B91234"/>
    <w:rsid w:val="00C425BC"/>
    <w:rsid w:val="00C8015E"/>
    <w:rsid w:val="00C87F4B"/>
    <w:rsid w:val="00CE158B"/>
    <w:rsid w:val="00D1247D"/>
    <w:rsid w:val="00D323F6"/>
    <w:rsid w:val="00D46981"/>
    <w:rsid w:val="00D97F89"/>
    <w:rsid w:val="00DF3DD7"/>
    <w:rsid w:val="00E04847"/>
    <w:rsid w:val="00E94274"/>
    <w:rsid w:val="00F677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AAEC4664-A3A5-4381-8267-9AED95523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110A"/>
    <w:pPr>
      <w:spacing w:after="0" w:line="240" w:lineRule="auto"/>
    </w:pPr>
    <w:rPr>
      <w:rFonts w:eastAsiaTheme="minorEastAsia"/>
      <w:lang w:eastAsia="en-GB"/>
    </w:rPr>
  </w:style>
  <w:style w:type="paragraph" w:styleId="Heading1">
    <w:name w:val="heading 1"/>
    <w:basedOn w:val="Normal"/>
    <w:next w:val="Normal"/>
    <w:link w:val="Heading1Char"/>
    <w:uiPriority w:val="9"/>
    <w:qFormat/>
    <w:rsid w:val="006C110A"/>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C110A"/>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uiPriority w:val="9"/>
    <w:semiHidden/>
    <w:unhideWhenUsed/>
    <w:qFormat/>
    <w:rsid w:val="006C110A"/>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110A"/>
    <w:rPr>
      <w:rFonts w:asciiTheme="majorHAnsi" w:eastAsiaTheme="majorEastAsia" w:hAnsiTheme="majorHAnsi" w:cstheme="majorBidi"/>
      <w:color w:val="2E74B5" w:themeColor="accent1" w:themeShade="BF"/>
      <w:sz w:val="32"/>
      <w:szCs w:val="32"/>
      <w:lang w:eastAsia="en-GB"/>
    </w:rPr>
  </w:style>
  <w:style w:type="character" w:customStyle="1" w:styleId="Heading2Char">
    <w:name w:val="Heading 2 Char"/>
    <w:basedOn w:val="DefaultParagraphFont"/>
    <w:link w:val="Heading2"/>
    <w:uiPriority w:val="9"/>
    <w:rsid w:val="006C110A"/>
    <w:rPr>
      <w:rFonts w:asciiTheme="majorHAnsi" w:eastAsiaTheme="majorEastAsia" w:hAnsiTheme="majorHAnsi" w:cstheme="majorBidi"/>
      <w:color w:val="2E74B5" w:themeColor="accent1" w:themeShade="BF"/>
      <w:sz w:val="26"/>
      <w:szCs w:val="26"/>
      <w:lang w:eastAsia="en-GB"/>
    </w:rPr>
  </w:style>
  <w:style w:type="character" w:styleId="Hyperlink">
    <w:name w:val="Hyperlink"/>
    <w:basedOn w:val="DefaultParagraphFont"/>
    <w:uiPriority w:val="99"/>
    <w:unhideWhenUsed/>
    <w:rsid w:val="006C110A"/>
    <w:rPr>
      <w:color w:val="0563C1" w:themeColor="hyperlink"/>
      <w:u w:val="single"/>
    </w:rPr>
  </w:style>
  <w:style w:type="paragraph" w:styleId="Caption">
    <w:name w:val="caption"/>
    <w:basedOn w:val="Normal"/>
    <w:next w:val="Normal"/>
    <w:uiPriority w:val="35"/>
    <w:semiHidden/>
    <w:unhideWhenUsed/>
    <w:qFormat/>
    <w:rsid w:val="006C110A"/>
    <w:pPr>
      <w:spacing w:after="200"/>
    </w:pPr>
    <w:rPr>
      <w:i/>
      <w:iCs/>
      <w:color w:val="44546A" w:themeColor="text2"/>
      <w:sz w:val="18"/>
      <w:szCs w:val="18"/>
    </w:rPr>
  </w:style>
  <w:style w:type="paragraph" w:styleId="Header">
    <w:name w:val="header"/>
    <w:basedOn w:val="Normal"/>
    <w:link w:val="HeaderChar"/>
    <w:uiPriority w:val="99"/>
    <w:unhideWhenUsed/>
    <w:rsid w:val="006C110A"/>
    <w:pPr>
      <w:tabs>
        <w:tab w:val="center" w:pos="4513"/>
        <w:tab w:val="right" w:pos="9026"/>
      </w:tabs>
    </w:pPr>
  </w:style>
  <w:style w:type="character" w:customStyle="1" w:styleId="HeaderChar">
    <w:name w:val="Header Char"/>
    <w:basedOn w:val="DefaultParagraphFont"/>
    <w:link w:val="Header"/>
    <w:uiPriority w:val="99"/>
    <w:rsid w:val="006C110A"/>
    <w:rPr>
      <w:rFonts w:eastAsiaTheme="minorEastAsia"/>
      <w:lang w:eastAsia="en-GB"/>
    </w:rPr>
  </w:style>
  <w:style w:type="paragraph" w:styleId="Footer">
    <w:name w:val="footer"/>
    <w:basedOn w:val="Normal"/>
    <w:link w:val="FooterChar"/>
    <w:uiPriority w:val="99"/>
    <w:unhideWhenUsed/>
    <w:rsid w:val="006C110A"/>
    <w:pPr>
      <w:tabs>
        <w:tab w:val="center" w:pos="4513"/>
        <w:tab w:val="right" w:pos="9026"/>
      </w:tabs>
    </w:pPr>
  </w:style>
  <w:style w:type="character" w:customStyle="1" w:styleId="FooterChar">
    <w:name w:val="Footer Char"/>
    <w:basedOn w:val="DefaultParagraphFont"/>
    <w:link w:val="Footer"/>
    <w:uiPriority w:val="99"/>
    <w:rsid w:val="006C110A"/>
    <w:rPr>
      <w:rFonts w:eastAsiaTheme="minorEastAsia"/>
      <w:lang w:eastAsia="en-GB"/>
    </w:rPr>
  </w:style>
  <w:style w:type="character" w:customStyle="1" w:styleId="Heading4Char">
    <w:name w:val="Heading 4 Char"/>
    <w:basedOn w:val="DefaultParagraphFont"/>
    <w:link w:val="Heading4"/>
    <w:uiPriority w:val="9"/>
    <w:semiHidden/>
    <w:rsid w:val="006C110A"/>
    <w:rPr>
      <w:rFonts w:asciiTheme="majorHAnsi" w:eastAsiaTheme="majorEastAsia" w:hAnsiTheme="majorHAnsi" w:cstheme="majorBidi"/>
      <w:i/>
      <w:iCs/>
      <w:color w:val="2E74B5" w:themeColor="accent1" w:themeShade="BF"/>
      <w:lang w:eastAsia="en-GB"/>
    </w:rPr>
  </w:style>
  <w:style w:type="paragraph" w:customStyle="1" w:styleId="BodyText1">
    <w:name w:val="Body Text1"/>
    <w:basedOn w:val="Normal"/>
    <w:rsid w:val="006C110A"/>
    <w:pPr>
      <w:tabs>
        <w:tab w:val="left" w:pos="720"/>
        <w:tab w:val="left" w:pos="1440"/>
      </w:tabs>
    </w:pPr>
    <w:rPr>
      <w:rFonts w:ascii="CG Times (WN)" w:eastAsia="Times New Roman" w:hAnsi="CG Times (WN)" w:cs="Times New Roman"/>
      <w:sz w:val="24"/>
      <w:szCs w:val="20"/>
      <w:lang w:eastAsia="en-US"/>
    </w:rPr>
  </w:style>
  <w:style w:type="paragraph" w:styleId="ListParagraph">
    <w:name w:val="List Paragraph"/>
    <w:basedOn w:val="Normal"/>
    <w:uiPriority w:val="34"/>
    <w:qFormat/>
    <w:rsid w:val="00186694"/>
    <w:pPr>
      <w:ind w:left="720"/>
      <w:contextualSpacing/>
    </w:pPr>
  </w:style>
  <w:style w:type="character" w:styleId="FollowedHyperlink">
    <w:name w:val="FollowedHyperlink"/>
    <w:basedOn w:val="DefaultParagraphFont"/>
    <w:uiPriority w:val="99"/>
    <w:semiHidden/>
    <w:unhideWhenUsed/>
    <w:rsid w:val="00D323F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3862275">
      <w:bodyDiv w:val="1"/>
      <w:marLeft w:val="0"/>
      <w:marRight w:val="0"/>
      <w:marTop w:val="0"/>
      <w:marBottom w:val="0"/>
      <w:divBdr>
        <w:top w:val="none" w:sz="0" w:space="0" w:color="auto"/>
        <w:left w:val="none" w:sz="0" w:space="0" w:color="auto"/>
        <w:bottom w:val="none" w:sz="0" w:space="0" w:color="auto"/>
        <w:right w:val="none" w:sz="0" w:space="0" w:color="auto"/>
      </w:divBdr>
    </w:div>
    <w:div w:id="2082214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png"/><Relationship Id="rId26" Type="http://schemas.openxmlformats.org/officeDocument/2006/relationships/hyperlink" Target="http://publications.naturalengland.org.uk/file/6580875894456320" TargetMode="External"/><Relationship Id="rId39" Type="http://schemas.openxmlformats.org/officeDocument/2006/relationships/hyperlink" Target="https://doi.org/10.1080/14662035.2016.1169040" TargetMode="External"/><Relationship Id="rId3" Type="http://schemas.openxmlformats.org/officeDocument/2006/relationships/webSettings" Target="webSettings.xml"/><Relationship Id="rId21" Type="http://schemas.openxmlformats.org/officeDocument/2006/relationships/image" Target="media/image15.png"/><Relationship Id="rId34" Type="http://schemas.openxmlformats.org/officeDocument/2006/relationships/hyperlink" Target="http://publications.naturalengland.org.uk/file/6668996183064576" TargetMode="External"/><Relationship Id="rId42" Type="http://schemas.openxmlformats.org/officeDocument/2006/relationships/image" Target="media/image16.jpeg"/><Relationship Id="rId47" Type="http://schemas.openxmlformats.org/officeDocument/2006/relationships/image" Target="media/image21.jpeg"/><Relationship Id="rId50" Type="http://schemas.openxmlformats.org/officeDocument/2006/relationships/theme" Target="theme/theme1.xml"/><Relationship Id="rId7" Type="http://schemas.openxmlformats.org/officeDocument/2006/relationships/image" Target="cid:image001.png@01D0EA4A.2BD679A0" TargetMode="External"/><Relationship Id="rId12" Type="http://schemas.openxmlformats.org/officeDocument/2006/relationships/image" Target="media/image6.jpeg"/><Relationship Id="rId17" Type="http://schemas.openxmlformats.org/officeDocument/2006/relationships/image" Target="media/image11.png"/><Relationship Id="rId25" Type="http://schemas.openxmlformats.org/officeDocument/2006/relationships/hyperlink" Target="https://www.gov.uk/government/publications/marine-conservation-zone-2013-designation-lundy" TargetMode="External"/><Relationship Id="rId33" Type="http://schemas.openxmlformats.org/officeDocument/2006/relationships/hyperlink" Target="https://www.nationaltrustcollections.org.uk/object/869192" TargetMode="External"/><Relationship Id="rId38" Type="http://schemas.openxmlformats.org/officeDocument/2006/relationships/hyperlink" Target="https://devoncc.sharepoint.com/sites/PublicDocs/Environment/_layouts/15/guestaccess.aspx?guestaccesstoken=oqhZaOTeuSWefAbgjUPYxZY8zXE4T39toY5jghz7SSg%3d&amp;docid=0f5a3133f61d0469f93514c40ce064732&amp;rev=1" TargetMode="External"/><Relationship Id="rId46" Type="http://schemas.openxmlformats.org/officeDocument/2006/relationships/image" Target="media/image20.jpeg"/><Relationship Id="rId2" Type="http://schemas.openxmlformats.org/officeDocument/2006/relationships/settings" Target="setting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hyperlink" Target="https://www.nationaltrust.org.uk/dinefwr/features/newton-house-at-dinefwr" TargetMode="External"/><Relationship Id="rId41" Type="http://schemas.openxmlformats.org/officeDocument/2006/relationships/hyperlink" Target="https://doi.org/10.3390/ijerph17207593"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5.jpeg"/><Relationship Id="rId24" Type="http://schemas.openxmlformats.org/officeDocument/2006/relationships/hyperlink" Target="https://doi.org/10.1146/annurev.ecolsys.35.021103.105725" TargetMode="External"/><Relationship Id="rId32" Type="http://schemas.openxmlformats.org/officeDocument/2006/relationships/hyperlink" Target="https://www.nationaltrust.org.uk/dinefwr" TargetMode="External"/><Relationship Id="rId37" Type="http://schemas.openxmlformats.org/officeDocument/2006/relationships/hyperlink" Target="https://www.llandeilo.org/pl_dinefwrpark.php" TargetMode="External"/><Relationship Id="rId40" Type="http://schemas.openxmlformats.org/officeDocument/2006/relationships/hyperlink" Target="https://doi.org/10.1007/BF03400802" TargetMode="External"/><Relationship Id="rId45" Type="http://schemas.openxmlformats.org/officeDocument/2006/relationships/image" Target="media/image19.jpeg"/><Relationship Id="rId5" Type="http://schemas.openxmlformats.org/officeDocument/2006/relationships/endnotes" Target="endnotes.xml"/><Relationship Id="rId15" Type="http://schemas.openxmlformats.org/officeDocument/2006/relationships/image" Target="media/image9.jpeg"/><Relationship Id="rId23" Type="http://schemas.openxmlformats.org/officeDocument/2006/relationships/hyperlink" Target="https://doi-org.ezproxy.uwtsd.ac.uk/10.1080/01433768.2017.1322269" TargetMode="External"/><Relationship Id="rId28" Type="http://schemas.openxmlformats.org/officeDocument/2006/relationships/hyperlink" Target="https://www.landmarktrust.org.uk/globalassets/lundy_marine_management_plan_2017.pdf" TargetMode="External"/><Relationship Id="rId36" Type="http://schemas.openxmlformats.org/officeDocument/2006/relationships/hyperlink" Target="https://devoncc.sharepoint.com/sites/PublicDocs/Environment/_layouts/15/download.aspx?guestaccesstoken=Hf6ZFuZTm7a3Jf2uxKV56KgZ26TdUPf2j4WACp1sFFY%3d&amp;docid=0c80ff8a3a8444de2865c73f1040b2c57&amp;rev=1" TargetMode="External"/><Relationship Id="rId49"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image" Target="media/image13.png"/><Relationship Id="rId31" Type="http://schemas.openxmlformats.org/officeDocument/2006/relationships/hyperlink" Target="https://www.nationaltrust.org.uk/dinefwr/features/a-living-link-to-our-distant-past" TargetMode="External"/><Relationship Id="rId44" Type="http://schemas.openxmlformats.org/officeDocument/2006/relationships/image" Target="media/image18.jpeg"/><Relationship Id="rId4" Type="http://schemas.openxmlformats.org/officeDocument/2006/relationships/footnotes" Target="footnote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hyperlink" Target="https://lfs-resources.s3.amazonaws.com/j6/LFS_Journal_Vol_6_Part_5.pdf" TargetMode="External"/><Relationship Id="rId27" Type="http://schemas.openxmlformats.org/officeDocument/2006/relationships/hyperlink" Target="https://dyfedarchaeology.org.uk/HLC/HLCTowy/area/area195.htm" TargetMode="External"/><Relationship Id="rId30" Type="http://schemas.openxmlformats.org/officeDocument/2006/relationships/hyperlink" Target="https://www.nationaltrust.org.uk/dinefwr/features/dinefwr-park" TargetMode="External"/><Relationship Id="rId35" Type="http://schemas.openxmlformats.org/officeDocument/2006/relationships/hyperlink" Target="https://naturalresources.wales/media/647921/SSSI_0629_Citation_EN00143db.pdf" TargetMode="External"/><Relationship Id="rId43" Type="http://schemas.openxmlformats.org/officeDocument/2006/relationships/image" Target="media/image17.jpeg"/><Relationship Id="rId48" Type="http://schemas.openxmlformats.org/officeDocument/2006/relationships/footer" Target="footer1.xm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Times New Roman-Arial">
      <a:majorFont>
        <a:latin typeface="Times New Roman" panose="02020603050405020304"/>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panose="020B0604020202020204"/>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264</TotalTime>
  <Pages>26</Pages>
  <Words>4343</Words>
  <Characters>25021</Characters>
  <Application>Microsoft Office Word</Application>
  <DocSecurity>0</DocSecurity>
  <Lines>625</Lines>
  <Paragraphs>199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Dominic Hole</dc:creator>
  <cp:keywords/>
  <dc:description/>
  <cp:lastModifiedBy>Dominic Hole</cp:lastModifiedBy>
  <cp:revision>20</cp:revision>
  <dcterms:created xsi:type="dcterms:W3CDTF">2022-04-28T23:01:00Z</dcterms:created>
  <dcterms:modified xsi:type="dcterms:W3CDTF">2022-04-29T13:24:00Z</dcterms:modified>
</cp:coreProperties>
</file>