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A3778" w:rsidRPr="001A3778" w:rsidRDefault="001A3778" w:rsidP="001A3778">
      <w:pPr>
        <w:spacing w:line="360" w:lineRule="auto"/>
        <w:jc w:val="center"/>
        <w:rPr>
          <w:rFonts w:ascii="Times New Roman" w:hAnsi="Times New Roman" w:cs="Times New Roman"/>
          <w:sz w:val="28"/>
          <w:u w:val="single"/>
        </w:rPr>
      </w:pPr>
      <w:r w:rsidRPr="001A3778">
        <w:rPr>
          <w:rFonts w:ascii="Times New Roman" w:hAnsi="Times New Roman" w:cs="Times New Roman"/>
          <w:sz w:val="28"/>
          <w:u w:val="single"/>
        </w:rPr>
        <w:t>An Essay on One Main Strength and Weakness of Herodotus as a Historian</w:t>
      </w:r>
    </w:p>
    <w:p w:rsidR="001A3778" w:rsidRPr="001A3778" w:rsidRDefault="001A3778" w:rsidP="001A3778">
      <w:pPr>
        <w:spacing w:line="360" w:lineRule="auto"/>
        <w:rPr>
          <w:rFonts w:ascii="Times New Roman" w:hAnsi="Times New Roman" w:cs="Times New Roman"/>
          <w:sz w:val="24"/>
        </w:rPr>
      </w:pPr>
      <w:r>
        <w:rPr>
          <w:rFonts w:ascii="Times New Roman" w:hAnsi="Times New Roman" w:cs="Times New Roman"/>
          <w:sz w:val="24"/>
        </w:rPr>
        <w:t>Herodotus is known as either</w:t>
      </w:r>
      <w:r w:rsidRPr="001A3778">
        <w:rPr>
          <w:rFonts w:ascii="Times New Roman" w:hAnsi="Times New Roman" w:cs="Times New Roman"/>
          <w:sz w:val="24"/>
        </w:rPr>
        <w:t xml:space="preserve"> the father of history</w:t>
      </w:r>
      <w:r>
        <w:rPr>
          <w:rFonts w:ascii="Times New Roman" w:hAnsi="Times New Roman" w:cs="Times New Roman"/>
          <w:sz w:val="24"/>
        </w:rPr>
        <w:t>,</w:t>
      </w:r>
      <w:r w:rsidRPr="001A3778">
        <w:rPr>
          <w:rFonts w:ascii="Times New Roman" w:hAnsi="Times New Roman" w:cs="Times New Roman"/>
          <w:sz w:val="24"/>
        </w:rPr>
        <w:t xml:space="preserve"> which was bestowed to him by Cicero</w:t>
      </w:r>
      <w:r>
        <w:rPr>
          <w:rFonts w:ascii="Times New Roman" w:hAnsi="Times New Roman" w:cs="Times New Roman"/>
          <w:sz w:val="24"/>
        </w:rPr>
        <w:t>,</w:t>
      </w:r>
      <w:r w:rsidRPr="001A3778">
        <w:rPr>
          <w:rFonts w:ascii="Times New Roman" w:hAnsi="Times New Roman" w:cs="Times New Roman"/>
          <w:sz w:val="24"/>
        </w:rPr>
        <w:t xml:space="preserve"> </w:t>
      </w:r>
      <w:r>
        <w:rPr>
          <w:rFonts w:ascii="Times New Roman" w:hAnsi="Times New Roman" w:cs="Times New Roman"/>
          <w:sz w:val="24"/>
        </w:rPr>
        <w:t>but</w:t>
      </w:r>
      <w:r w:rsidRPr="001A3778">
        <w:rPr>
          <w:rFonts w:ascii="Times New Roman" w:hAnsi="Times New Roman" w:cs="Times New Roman"/>
          <w:sz w:val="24"/>
        </w:rPr>
        <w:t xml:space="preserve"> also the father of lies. In this essay I will be exploring one strength and weakness of Herodotus as a historian. I shall begin by looking at his strength being that he included more fanciful elements of history that a historian by modern standards would not, I shall then mov</w:t>
      </w:r>
      <w:r>
        <w:rPr>
          <w:rFonts w:ascii="Times New Roman" w:hAnsi="Times New Roman" w:cs="Times New Roman"/>
          <w:sz w:val="24"/>
        </w:rPr>
        <w:t>e onto the weakness which is that he at no point within his Histories offers a clear-cut reasoning for why he feels the events he writes are noteworthy</w:t>
      </w:r>
      <w:r w:rsidRPr="001A3778">
        <w:rPr>
          <w:rFonts w:ascii="Times New Roman" w:hAnsi="Times New Roman" w:cs="Times New Roman"/>
          <w:sz w:val="24"/>
        </w:rPr>
        <w:t>.</w:t>
      </w:r>
    </w:p>
    <w:p w:rsidR="001A3778" w:rsidRPr="001A3778" w:rsidRDefault="001A3778" w:rsidP="001A3778">
      <w:pPr>
        <w:spacing w:line="360" w:lineRule="auto"/>
        <w:rPr>
          <w:rFonts w:ascii="Times New Roman" w:hAnsi="Times New Roman" w:cs="Times New Roman"/>
          <w:sz w:val="24"/>
          <w:szCs w:val="24"/>
        </w:rPr>
      </w:pPr>
      <w:r>
        <w:rPr>
          <w:rFonts w:ascii="Times New Roman" w:hAnsi="Times New Roman" w:cs="Times New Roman"/>
          <w:sz w:val="24"/>
          <w:szCs w:val="24"/>
        </w:rPr>
        <w:t>The</w:t>
      </w:r>
      <w:r w:rsidRPr="001A3778">
        <w:rPr>
          <w:rFonts w:ascii="Times New Roman" w:hAnsi="Times New Roman" w:cs="Times New Roman"/>
          <w:sz w:val="24"/>
          <w:szCs w:val="24"/>
        </w:rPr>
        <w:t xml:space="preserve"> strength of Herod</w:t>
      </w:r>
      <w:r>
        <w:rPr>
          <w:rFonts w:ascii="Times New Roman" w:hAnsi="Times New Roman" w:cs="Times New Roman"/>
          <w:sz w:val="24"/>
          <w:szCs w:val="24"/>
        </w:rPr>
        <w:t>o</w:t>
      </w:r>
      <w:r w:rsidRPr="001A3778">
        <w:rPr>
          <w:rFonts w:ascii="Times New Roman" w:hAnsi="Times New Roman" w:cs="Times New Roman"/>
          <w:sz w:val="24"/>
          <w:szCs w:val="24"/>
        </w:rPr>
        <w:t xml:space="preserve">tus as a historian I will put forward is that his </w:t>
      </w:r>
      <w:r>
        <w:rPr>
          <w:rFonts w:ascii="Times New Roman" w:hAnsi="Times New Roman" w:cs="Times New Roman"/>
          <w:sz w:val="24"/>
          <w:szCs w:val="24"/>
        </w:rPr>
        <w:t xml:space="preserve">Histories tell </w:t>
      </w:r>
      <w:r w:rsidRPr="001A3778">
        <w:rPr>
          <w:rFonts w:ascii="Times New Roman" w:hAnsi="Times New Roman" w:cs="Times New Roman"/>
          <w:sz w:val="24"/>
          <w:szCs w:val="24"/>
        </w:rPr>
        <w:t>colour</w:t>
      </w:r>
      <w:r>
        <w:rPr>
          <w:rFonts w:ascii="Times New Roman" w:hAnsi="Times New Roman" w:cs="Times New Roman"/>
          <w:sz w:val="24"/>
          <w:szCs w:val="24"/>
        </w:rPr>
        <w:t>ful and exotic stories</w:t>
      </w:r>
      <w:r w:rsidRPr="001A3778">
        <w:rPr>
          <w:rFonts w:ascii="Times New Roman" w:hAnsi="Times New Roman" w:cs="Times New Roman"/>
          <w:sz w:val="24"/>
          <w:szCs w:val="24"/>
        </w:rPr>
        <w:t>, although they do seem fictions to us they are actually a conscious decision to include them and they have kept people debating his work for centuries. Between the events of history that Herodotus conveys to us throughout his works, these tangents aren’t just falsehoods that should be dismissed as naivety on Herodotus’ part accepting everything people tell him but it is in fact Herodotus giving us an insight into the myth and lore of the past ensuring that the fanciful not only the factual are remembered and recorded in his work.  In her paper “Proverbial Wisdom in Herodotus” Susan O. Shapiro substantiates this claim by saying that “Herodotus’ frequent use of proverbs and other wisdom expressions helps to make his Histories more colourful and</w:t>
      </w:r>
      <w:r>
        <w:rPr>
          <w:rFonts w:ascii="Times New Roman" w:hAnsi="Times New Roman" w:cs="Times New Roman"/>
          <w:sz w:val="24"/>
          <w:szCs w:val="24"/>
        </w:rPr>
        <w:t xml:space="preserve"> g</w:t>
      </w:r>
      <w:r w:rsidRPr="001A3778">
        <w:rPr>
          <w:rFonts w:ascii="Times New Roman" w:hAnsi="Times New Roman" w:cs="Times New Roman"/>
          <w:sz w:val="24"/>
          <w:szCs w:val="24"/>
        </w:rPr>
        <w:t>ives us insight into the folk wisdom of the past.”</w:t>
      </w:r>
      <w:r w:rsidRPr="001A3778">
        <w:rPr>
          <w:rStyle w:val="FootnoteReference"/>
          <w:rFonts w:ascii="Times New Roman" w:hAnsi="Times New Roman" w:cs="Times New Roman"/>
          <w:sz w:val="24"/>
          <w:szCs w:val="24"/>
        </w:rPr>
        <w:footnoteReference w:id="2"/>
      </w:r>
      <w:r w:rsidRPr="001A3778">
        <w:rPr>
          <w:rFonts w:ascii="Times New Roman" w:hAnsi="Times New Roman" w:cs="Times New Roman"/>
          <w:sz w:val="24"/>
          <w:szCs w:val="24"/>
        </w:rPr>
        <w:t xml:space="preserve"> For ex</w:t>
      </w:r>
      <w:r>
        <w:rPr>
          <w:rFonts w:ascii="Times New Roman" w:hAnsi="Times New Roman" w:cs="Times New Roman"/>
          <w:sz w:val="24"/>
          <w:szCs w:val="24"/>
        </w:rPr>
        <w:t>ample the tale of the g</w:t>
      </w:r>
      <w:r w:rsidRPr="001A3778">
        <w:rPr>
          <w:rFonts w:ascii="Times New Roman" w:hAnsi="Times New Roman" w:cs="Times New Roman"/>
          <w:sz w:val="24"/>
          <w:szCs w:val="24"/>
        </w:rPr>
        <w:t>old</w:t>
      </w:r>
      <w:r>
        <w:rPr>
          <w:rFonts w:ascii="Times New Roman" w:hAnsi="Times New Roman" w:cs="Times New Roman"/>
          <w:sz w:val="24"/>
          <w:szCs w:val="24"/>
        </w:rPr>
        <w:t xml:space="preserve"> digging ants from Pactyica which were tamed by the city of Caspatyrus</w:t>
      </w:r>
      <w:r w:rsidRPr="001A3778">
        <w:rPr>
          <w:rFonts w:ascii="Times New Roman" w:hAnsi="Times New Roman" w:cs="Times New Roman"/>
          <w:sz w:val="24"/>
          <w:szCs w:val="24"/>
        </w:rPr>
        <w:t xml:space="preserve"> and used in a nearby desert to kick up gold for the men to collect.</w:t>
      </w:r>
      <w:r w:rsidRPr="001A3778">
        <w:rPr>
          <w:rStyle w:val="FootnoteReference"/>
          <w:rFonts w:ascii="Times New Roman" w:hAnsi="Times New Roman" w:cs="Times New Roman"/>
          <w:sz w:val="24"/>
          <w:szCs w:val="24"/>
        </w:rPr>
        <w:footnoteReference w:id="3"/>
      </w:r>
      <w:r w:rsidRPr="001A3778">
        <w:rPr>
          <w:rFonts w:ascii="Times New Roman" w:hAnsi="Times New Roman" w:cs="Times New Roman"/>
          <w:sz w:val="24"/>
          <w:szCs w:val="24"/>
        </w:rPr>
        <w:t xml:space="preserve"> Without Herodotus’ inclusion of this tale in his book we would have no knowledge of this; since its telling around 2500 years ago it has been the topic of great discussion, mostly ridicule, but has now been proven to be real. A group of explorers using the information provided about them “bigger than a fox, though not so big as a dog”</w:t>
      </w:r>
      <w:r w:rsidRPr="001A3778">
        <w:rPr>
          <w:rStyle w:val="FootnoteReference"/>
          <w:rFonts w:ascii="Times New Roman" w:hAnsi="Times New Roman" w:cs="Times New Roman"/>
          <w:sz w:val="24"/>
          <w:szCs w:val="24"/>
        </w:rPr>
        <w:footnoteReference w:id="4"/>
      </w:r>
      <w:r w:rsidRPr="001A3778">
        <w:rPr>
          <w:rFonts w:ascii="Times New Roman" w:hAnsi="Times New Roman" w:cs="Times New Roman"/>
          <w:sz w:val="24"/>
          <w:szCs w:val="24"/>
        </w:rPr>
        <w:t xml:space="preserve"> spoke to the indigenous people who collect gold dust from the ground marmots dig up</w:t>
      </w:r>
      <w:r w:rsidRPr="001A3778">
        <w:rPr>
          <w:rStyle w:val="FootnoteReference"/>
          <w:rFonts w:ascii="Times New Roman" w:hAnsi="Times New Roman" w:cs="Times New Roman"/>
          <w:sz w:val="24"/>
          <w:szCs w:val="24"/>
        </w:rPr>
        <w:footnoteReference w:id="5"/>
      </w:r>
      <w:r w:rsidRPr="001A3778">
        <w:rPr>
          <w:rFonts w:ascii="Times New Roman" w:hAnsi="Times New Roman" w:cs="Times New Roman"/>
          <w:sz w:val="24"/>
          <w:szCs w:val="24"/>
        </w:rPr>
        <w:t>. In “The Ants’ Gold” Peissel says that it could have been a miscommunication as the word for marmot and mountain and are very similar in Persian.</w:t>
      </w:r>
      <w:r w:rsidRPr="001A3778">
        <w:rPr>
          <w:rStyle w:val="FootnoteReference"/>
          <w:rFonts w:ascii="Times New Roman" w:hAnsi="Times New Roman" w:cs="Times New Roman"/>
          <w:sz w:val="24"/>
          <w:szCs w:val="24"/>
        </w:rPr>
        <w:footnoteReference w:id="6"/>
      </w:r>
      <w:r w:rsidRPr="001A3778">
        <w:rPr>
          <w:rFonts w:ascii="Times New Roman" w:hAnsi="Times New Roman" w:cs="Times New Roman"/>
          <w:sz w:val="24"/>
          <w:szCs w:val="24"/>
        </w:rPr>
        <w:t xml:space="preserve"> With these two pieces of information, one from Herodotus and the second from the indigenous people we can now make the connection that this group of people in the Himalayas have been farming gold in this fashion for over 2500 years using the same techniques as described in Herodotus; and this is why I believe the inclusion of “folk </w:t>
      </w:r>
      <w:r w:rsidRPr="001A3778">
        <w:rPr>
          <w:rFonts w:ascii="Times New Roman" w:hAnsi="Times New Roman" w:cs="Times New Roman"/>
          <w:sz w:val="24"/>
          <w:szCs w:val="24"/>
        </w:rPr>
        <w:lastRenderedPageBreak/>
        <w:t>wisdom” is a strength as it gives us the information necessary to allow us form these links to the past and form a more complete picture of history.</w:t>
      </w:r>
    </w:p>
    <w:p w:rsidR="001A3778" w:rsidRPr="001A3778" w:rsidRDefault="001A3778" w:rsidP="001A3778">
      <w:pPr>
        <w:spacing w:line="360" w:lineRule="auto"/>
        <w:rPr>
          <w:rFonts w:ascii="Times New Roman" w:hAnsi="Times New Roman" w:cs="Times New Roman"/>
          <w:sz w:val="24"/>
        </w:rPr>
      </w:pPr>
      <w:r w:rsidRPr="001A3778">
        <w:rPr>
          <w:rFonts w:ascii="Times New Roman" w:hAnsi="Times New Roman" w:cs="Times New Roman"/>
          <w:sz w:val="24"/>
        </w:rPr>
        <w:t>An important question a historian should consider is what lessons can we as people learn from the events of the past; the weakness with Herodotus is that he never writes his own views on what we can learn from his work, some of the figures within his work reminisce on past events in their own past and reflect on them however we cannot be sure if they express their own opinions on this or it is Herodotus simply projecting, the fact that this is left ambiguous in itself is a weakness. Grethlein compares this to Thucydides work which when he says “alas, unlike his successor Thucydides, the pater historiae does not provide us with an explicit methodological reflection on the usefulness of his work”</w:t>
      </w:r>
      <w:r>
        <w:rPr>
          <w:rStyle w:val="FootnoteReference"/>
          <w:rFonts w:ascii="Times New Roman" w:hAnsi="Times New Roman" w:cs="Times New Roman"/>
          <w:sz w:val="24"/>
        </w:rPr>
        <w:footnoteReference w:id="7"/>
      </w:r>
      <w:r>
        <w:rPr>
          <w:rFonts w:ascii="Times New Roman" w:hAnsi="Times New Roman" w:cs="Times New Roman"/>
          <w:sz w:val="24"/>
        </w:rPr>
        <w:t>. Grethlein also uses the comparison between events that crop up multiple times and they “can either mirror or throw into relief through contrast the historians activity” which he believes is the closest we get to an indirect commentary</w:t>
      </w:r>
      <w:r>
        <w:rPr>
          <w:rStyle w:val="FootnoteReference"/>
          <w:rFonts w:ascii="Times New Roman" w:hAnsi="Times New Roman" w:cs="Times New Roman"/>
          <w:sz w:val="24"/>
        </w:rPr>
        <w:footnoteReference w:id="8"/>
      </w:r>
      <w:r>
        <w:rPr>
          <w:rFonts w:ascii="Times New Roman" w:hAnsi="Times New Roman" w:cs="Times New Roman"/>
          <w:sz w:val="24"/>
        </w:rPr>
        <w:t>. This ambiguity is what leads me to reason that the lack of clarity is a weakness in Herodotus’ writing.</w:t>
      </w:r>
    </w:p>
    <w:p w:rsidR="001A3778" w:rsidRPr="001A3778" w:rsidRDefault="001A3778" w:rsidP="001A3778">
      <w:pPr>
        <w:spacing w:line="360" w:lineRule="auto"/>
        <w:rPr>
          <w:rFonts w:ascii="Times New Roman" w:hAnsi="Times New Roman" w:cs="Times New Roman"/>
          <w:sz w:val="24"/>
        </w:rPr>
      </w:pPr>
      <w:r w:rsidRPr="001A3778">
        <w:rPr>
          <w:rFonts w:ascii="Times New Roman" w:hAnsi="Times New Roman" w:cs="Times New Roman"/>
          <w:sz w:val="24"/>
        </w:rPr>
        <w:t>Herodotus as a historian as a historian has many strengths and weaknesses some of which I have gone over in this essay and others such as he wrote about events before his time and on hearsay which I have not. I believe that the pros to Herodotus as a historian outweigh the cons, he may not be perfect by the standards that we have set out for modern day historians but as the father of history he is one of the best sources that we have.</w:t>
      </w:r>
    </w:p>
    <w:p w:rsidR="001A3778" w:rsidRPr="001A3778" w:rsidRDefault="001A3778" w:rsidP="001A3778"/>
    <w:p w:rsidR="001A3778" w:rsidRPr="001A3778" w:rsidRDefault="001A3778" w:rsidP="001A3778"/>
    <w:p w:rsidR="001A3778" w:rsidRPr="001A3778" w:rsidRDefault="001A3778" w:rsidP="001A3778"/>
    <w:p w:rsidR="001A3778" w:rsidRPr="001A3778" w:rsidRDefault="001A3778" w:rsidP="001A3778"/>
    <w:p w:rsidR="001A3778" w:rsidRPr="001A3778" w:rsidRDefault="001A3778" w:rsidP="001A3778"/>
    <w:p w:rsidR="001A3778" w:rsidRDefault="001A3778" w:rsidP="001A3778"/>
    <w:p w:rsidR="001A3778" w:rsidRDefault="001A3778" w:rsidP="001A3778">
      <w:pPr>
        <w:tabs>
          <w:tab w:val="left" w:pos="2618"/>
        </w:tabs>
      </w:pPr>
      <w:r>
        <w:tab/>
      </w:r>
    </w:p>
    <w:p w:rsidR="001A3778" w:rsidRDefault="001A3778">
      <w:r>
        <w:br w:type="page"/>
      </w:r>
    </w:p>
    <w:p w:rsidR="00570686" w:rsidRDefault="001A3778" w:rsidP="001A3778">
      <w:pPr>
        <w:tabs>
          <w:tab w:val="left" w:pos="2618"/>
        </w:tabs>
        <w:spacing w:line="360" w:lineRule="auto"/>
        <w:rPr>
          <w:rFonts w:ascii="Times New Roman" w:hAnsi="Times New Roman" w:cs="Times New Roman"/>
          <w:sz w:val="24"/>
        </w:rPr>
      </w:pPr>
      <w:r>
        <w:rPr>
          <w:rFonts w:ascii="Times New Roman" w:hAnsi="Times New Roman" w:cs="Times New Roman"/>
          <w:sz w:val="24"/>
        </w:rPr>
        <w:lastRenderedPageBreak/>
        <w:t>Bibliography</w:t>
      </w:r>
    </w:p>
    <w:p w:rsidR="001A3778" w:rsidRPr="00FF5EEC" w:rsidRDefault="001A3778" w:rsidP="001A3778">
      <w:pPr>
        <w:pStyle w:val="ListParagraph"/>
        <w:numPr>
          <w:ilvl w:val="0"/>
          <w:numId w:val="1"/>
        </w:numPr>
        <w:rPr>
          <w:rFonts w:ascii="Times New Roman" w:hAnsi="Times New Roman" w:cs="Times New Roman"/>
          <w:sz w:val="24"/>
          <w:szCs w:val="24"/>
        </w:rPr>
      </w:pPr>
      <w:r w:rsidRPr="00FF5EEC">
        <w:rPr>
          <w:rFonts w:ascii="Times New Roman" w:hAnsi="Times New Roman" w:cs="Times New Roman"/>
          <w:sz w:val="24"/>
          <w:szCs w:val="24"/>
        </w:rPr>
        <w:t xml:space="preserve">Simons, M. (1996), </w:t>
      </w:r>
      <w:r w:rsidRPr="00FF5EEC">
        <w:rPr>
          <w:rFonts w:ascii="Times New Roman" w:hAnsi="Times New Roman" w:cs="Times New Roman"/>
          <w:i/>
          <w:sz w:val="24"/>
          <w:szCs w:val="24"/>
        </w:rPr>
        <w:t>Himalayas Offer Clue to Legend of Gold-Digging ‘Ants’,</w:t>
      </w:r>
      <w:r w:rsidRPr="00FF5EEC">
        <w:rPr>
          <w:rFonts w:ascii="Times New Roman" w:hAnsi="Times New Roman" w:cs="Times New Roman"/>
          <w:sz w:val="24"/>
          <w:szCs w:val="24"/>
        </w:rPr>
        <w:t xml:space="preserve"> </w:t>
      </w:r>
      <w:hyperlink r:id="rId8" w:history="1">
        <w:r w:rsidRPr="00FF5EEC">
          <w:rPr>
            <w:rStyle w:val="Hyperlink"/>
            <w:rFonts w:ascii="Times New Roman" w:hAnsi="Times New Roman" w:cs="Times New Roman"/>
            <w:color w:val="auto"/>
            <w:sz w:val="24"/>
            <w:szCs w:val="24"/>
            <w:u w:val="none"/>
          </w:rPr>
          <w:t>https://www.nytimes.com/1996/11/25/world/himalayas-offer-clue-to-legend-of-gold-digging-ants.html</w:t>
        </w:r>
      </w:hyperlink>
      <w:r w:rsidRPr="00FF5EEC">
        <w:rPr>
          <w:rFonts w:ascii="Times New Roman" w:hAnsi="Times New Roman" w:cs="Times New Roman"/>
          <w:sz w:val="24"/>
          <w:szCs w:val="24"/>
        </w:rPr>
        <w:t xml:space="preserve"> (13/02/2019)</w:t>
      </w:r>
    </w:p>
    <w:p w:rsidR="001A3778" w:rsidRPr="00FF5EEC" w:rsidRDefault="001A3778" w:rsidP="001A3778">
      <w:pPr>
        <w:pStyle w:val="ListParagraph"/>
        <w:numPr>
          <w:ilvl w:val="0"/>
          <w:numId w:val="1"/>
        </w:numPr>
        <w:rPr>
          <w:rFonts w:ascii="Times New Roman" w:hAnsi="Times New Roman" w:cs="Times New Roman"/>
          <w:sz w:val="24"/>
          <w:szCs w:val="24"/>
          <w:shd w:val="clear" w:color="auto" w:fill="FFFFFF"/>
        </w:rPr>
      </w:pPr>
      <w:r w:rsidRPr="00FF5EEC">
        <w:rPr>
          <w:rFonts w:ascii="Times New Roman" w:hAnsi="Times New Roman" w:cs="Times New Roman"/>
          <w:sz w:val="24"/>
          <w:szCs w:val="24"/>
          <w:shd w:val="clear" w:color="auto" w:fill="FFFFFF"/>
        </w:rPr>
        <w:t xml:space="preserve">Peissel, M (1984) </w:t>
      </w:r>
      <w:r w:rsidRPr="00FF5EEC">
        <w:rPr>
          <w:rFonts w:ascii="Times New Roman" w:hAnsi="Times New Roman" w:cs="Times New Roman"/>
          <w:i/>
          <w:sz w:val="24"/>
          <w:szCs w:val="24"/>
          <w:shd w:val="clear" w:color="auto" w:fill="FFFFFF"/>
        </w:rPr>
        <w:t>The Ants' Gold: The Discovery of the Greek El Dorado in the Himalayas</w:t>
      </w:r>
      <w:r w:rsidRPr="00FF5EEC">
        <w:rPr>
          <w:rFonts w:ascii="Times New Roman" w:hAnsi="Times New Roman" w:cs="Times New Roman"/>
          <w:sz w:val="24"/>
          <w:szCs w:val="24"/>
          <w:shd w:val="clear" w:color="auto" w:fill="FFFFFF"/>
        </w:rPr>
        <w:t xml:space="preserve">. Collins, </w:t>
      </w:r>
    </w:p>
    <w:p w:rsidR="001A3778" w:rsidRPr="00FF5EEC" w:rsidRDefault="001A3778" w:rsidP="001A3778">
      <w:pPr>
        <w:pStyle w:val="ListParagraph"/>
        <w:numPr>
          <w:ilvl w:val="0"/>
          <w:numId w:val="1"/>
        </w:numPr>
        <w:rPr>
          <w:rFonts w:ascii="Times New Roman" w:hAnsi="Times New Roman" w:cs="Times New Roman"/>
          <w:sz w:val="24"/>
          <w:szCs w:val="24"/>
          <w:shd w:val="clear" w:color="auto" w:fill="FFFFFF"/>
        </w:rPr>
      </w:pPr>
      <w:r w:rsidRPr="00FF5EEC">
        <w:rPr>
          <w:rFonts w:ascii="Times New Roman" w:hAnsi="Times New Roman" w:cs="Times New Roman"/>
          <w:sz w:val="24"/>
          <w:szCs w:val="24"/>
          <w:shd w:val="clear" w:color="auto" w:fill="FFFFFF"/>
        </w:rPr>
        <w:t>Shapiro, Susan O. “Proverbial Wisdom in Herodotus.” </w:t>
      </w:r>
      <w:r w:rsidRPr="00FF5EEC">
        <w:rPr>
          <w:rFonts w:ascii="Times New Roman" w:hAnsi="Times New Roman" w:cs="Times New Roman"/>
          <w:i/>
          <w:iCs/>
          <w:sz w:val="24"/>
          <w:szCs w:val="24"/>
          <w:shd w:val="clear" w:color="auto" w:fill="FFFFFF"/>
        </w:rPr>
        <w:t>Transactions of the American Philological Association (1974-)</w:t>
      </w:r>
      <w:r w:rsidRPr="00FF5EEC">
        <w:rPr>
          <w:rFonts w:ascii="Times New Roman" w:hAnsi="Times New Roman" w:cs="Times New Roman"/>
          <w:sz w:val="24"/>
          <w:szCs w:val="24"/>
          <w:shd w:val="clear" w:color="auto" w:fill="FFFFFF"/>
        </w:rPr>
        <w:t>, vol. 130, 2000, pp. 89–118.</w:t>
      </w:r>
    </w:p>
    <w:p w:rsidR="001A3778" w:rsidRPr="00FF5EEC" w:rsidRDefault="001A3778" w:rsidP="001A3778">
      <w:pPr>
        <w:pStyle w:val="ListParagraph"/>
        <w:numPr>
          <w:ilvl w:val="0"/>
          <w:numId w:val="1"/>
        </w:numPr>
        <w:rPr>
          <w:rFonts w:ascii="Times New Roman" w:hAnsi="Times New Roman" w:cs="Times New Roman"/>
          <w:sz w:val="24"/>
          <w:szCs w:val="24"/>
          <w:shd w:val="clear" w:color="auto" w:fill="FFFFFF"/>
        </w:rPr>
      </w:pPr>
      <w:r w:rsidRPr="00FF5EEC">
        <w:rPr>
          <w:rFonts w:ascii="Times New Roman" w:hAnsi="Times New Roman" w:cs="Times New Roman"/>
          <w:sz w:val="24"/>
          <w:szCs w:val="24"/>
          <w:shd w:val="clear" w:color="auto" w:fill="FFFFFF"/>
        </w:rPr>
        <w:t xml:space="preserve">Rawlinson, G. (1996) </w:t>
      </w:r>
      <w:r w:rsidRPr="00FF5EEC">
        <w:rPr>
          <w:rFonts w:ascii="Times New Roman" w:hAnsi="Times New Roman" w:cs="Times New Roman"/>
          <w:i/>
          <w:sz w:val="24"/>
          <w:szCs w:val="24"/>
          <w:shd w:val="clear" w:color="auto" w:fill="FFFFFF"/>
        </w:rPr>
        <w:t>Herdotus Histories.</w:t>
      </w:r>
      <w:r w:rsidRPr="00FF5EEC">
        <w:rPr>
          <w:rFonts w:ascii="Times New Roman" w:hAnsi="Times New Roman" w:cs="Times New Roman"/>
          <w:sz w:val="24"/>
          <w:szCs w:val="24"/>
          <w:shd w:val="clear" w:color="auto" w:fill="FFFFFF"/>
        </w:rPr>
        <w:t xml:space="preserve"> Hertfordshire: Wordsworth Editions Limited.</w:t>
      </w:r>
    </w:p>
    <w:p w:rsidR="001A3778" w:rsidRPr="00FF5EEC" w:rsidRDefault="001A3778" w:rsidP="001A3778">
      <w:pPr>
        <w:pStyle w:val="ListParagraph"/>
        <w:numPr>
          <w:ilvl w:val="0"/>
          <w:numId w:val="1"/>
        </w:numPr>
        <w:rPr>
          <w:rFonts w:ascii="Times New Roman" w:hAnsi="Times New Roman" w:cs="Times New Roman"/>
          <w:sz w:val="24"/>
          <w:szCs w:val="24"/>
          <w:shd w:val="clear" w:color="auto" w:fill="FFFFFF"/>
        </w:rPr>
      </w:pPr>
      <w:r w:rsidRPr="00FF5EEC">
        <w:rPr>
          <w:rFonts w:ascii="Times New Roman" w:hAnsi="Times New Roman" w:cs="Times New Roman"/>
          <w:sz w:val="24"/>
          <w:szCs w:val="24"/>
          <w:shd w:val="clear" w:color="auto" w:fill="FFFFFF"/>
        </w:rPr>
        <w:t xml:space="preserve">Grethlein, J. </w:t>
      </w:r>
      <w:r w:rsidRPr="00FF5EEC">
        <w:rPr>
          <w:rFonts w:ascii="Times New Roman" w:hAnsi="Times New Roman" w:cs="Times New Roman"/>
          <w:i/>
          <w:sz w:val="24"/>
          <w:szCs w:val="24"/>
          <w:shd w:val="clear" w:color="auto" w:fill="FFFFFF"/>
        </w:rPr>
        <w:t>How Not to Do History: Xerxes in Herodotus Histories</w:t>
      </w:r>
      <w:r w:rsidRPr="00FF5EEC">
        <w:rPr>
          <w:rFonts w:ascii="Times New Roman" w:hAnsi="Times New Roman" w:cs="Times New Roman"/>
          <w:sz w:val="24"/>
          <w:szCs w:val="24"/>
          <w:shd w:val="clear" w:color="auto" w:fill="FFFFFF"/>
        </w:rPr>
        <w:t>. </w:t>
      </w:r>
      <w:r w:rsidRPr="00FF5EEC">
        <w:rPr>
          <w:rFonts w:ascii="Times New Roman" w:hAnsi="Times New Roman" w:cs="Times New Roman"/>
          <w:i/>
          <w:iCs/>
          <w:sz w:val="24"/>
          <w:szCs w:val="24"/>
          <w:shd w:val="clear" w:color="auto" w:fill="FFFFFF"/>
        </w:rPr>
        <w:t>The American Journal of Philology</w:t>
      </w:r>
      <w:r w:rsidRPr="00FF5EEC">
        <w:rPr>
          <w:rFonts w:ascii="Times New Roman" w:hAnsi="Times New Roman" w:cs="Times New Roman"/>
          <w:sz w:val="24"/>
          <w:szCs w:val="24"/>
          <w:shd w:val="clear" w:color="auto" w:fill="FFFFFF"/>
        </w:rPr>
        <w:t>, vol. 130, no. 2, 2009, pp. 195–218.</w:t>
      </w:r>
    </w:p>
    <w:p w:rsidR="001A3778" w:rsidRPr="001A3778" w:rsidRDefault="001A3778" w:rsidP="001A3778">
      <w:pPr>
        <w:tabs>
          <w:tab w:val="left" w:pos="2618"/>
        </w:tabs>
        <w:spacing w:line="360" w:lineRule="auto"/>
        <w:rPr>
          <w:rFonts w:ascii="Times New Roman" w:hAnsi="Times New Roman" w:cs="Times New Roman"/>
          <w:sz w:val="24"/>
        </w:rPr>
      </w:pPr>
    </w:p>
    <w:sectPr w:rsidR="001A3778" w:rsidRPr="001A3778" w:rsidSect="009B2DA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47374" w:rsidRDefault="00247374" w:rsidP="001A3778">
      <w:pPr>
        <w:spacing w:after="0" w:line="240" w:lineRule="auto"/>
      </w:pPr>
      <w:r>
        <w:separator/>
      </w:r>
    </w:p>
  </w:endnote>
  <w:endnote w:type="continuationSeparator" w:id="1">
    <w:p w:rsidR="00247374" w:rsidRDefault="00247374" w:rsidP="001A377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47374" w:rsidRDefault="00247374" w:rsidP="001A3778">
      <w:pPr>
        <w:spacing w:after="0" w:line="240" w:lineRule="auto"/>
      </w:pPr>
      <w:r>
        <w:separator/>
      </w:r>
    </w:p>
  </w:footnote>
  <w:footnote w:type="continuationSeparator" w:id="1">
    <w:p w:rsidR="00247374" w:rsidRDefault="00247374" w:rsidP="001A3778">
      <w:pPr>
        <w:spacing w:after="0" w:line="240" w:lineRule="auto"/>
      </w:pPr>
      <w:r>
        <w:continuationSeparator/>
      </w:r>
    </w:p>
  </w:footnote>
  <w:footnote w:id="2">
    <w:p w:rsidR="001A3778" w:rsidRPr="001A3778" w:rsidRDefault="001A3778">
      <w:pPr>
        <w:pStyle w:val="FootnoteText"/>
        <w:rPr>
          <w:rFonts w:ascii="Times New Roman" w:hAnsi="Times New Roman" w:cs="Times New Roman"/>
        </w:rPr>
      </w:pPr>
      <w:r w:rsidRPr="001A3778">
        <w:rPr>
          <w:rStyle w:val="FootnoteReference"/>
          <w:rFonts w:ascii="Times New Roman" w:hAnsi="Times New Roman" w:cs="Times New Roman"/>
        </w:rPr>
        <w:footnoteRef/>
      </w:r>
      <w:r w:rsidRPr="001A3778">
        <w:rPr>
          <w:rFonts w:ascii="Times New Roman" w:hAnsi="Times New Roman" w:cs="Times New Roman"/>
        </w:rPr>
        <w:t xml:space="preserve"> Shapiro, 2000, p.89</w:t>
      </w:r>
    </w:p>
  </w:footnote>
  <w:footnote w:id="3">
    <w:p w:rsidR="001A3778" w:rsidRPr="001A3778" w:rsidRDefault="001A3778">
      <w:pPr>
        <w:pStyle w:val="FootnoteText"/>
        <w:rPr>
          <w:rFonts w:ascii="Times New Roman" w:hAnsi="Times New Roman" w:cs="Times New Roman"/>
        </w:rPr>
      </w:pPr>
      <w:r w:rsidRPr="001A3778">
        <w:rPr>
          <w:rStyle w:val="FootnoteReference"/>
          <w:rFonts w:ascii="Times New Roman" w:hAnsi="Times New Roman" w:cs="Times New Roman"/>
        </w:rPr>
        <w:footnoteRef/>
      </w:r>
      <w:r w:rsidRPr="001A3778">
        <w:rPr>
          <w:rFonts w:ascii="Times New Roman" w:hAnsi="Times New Roman" w:cs="Times New Roman"/>
        </w:rPr>
        <w:t xml:space="preserve"> Herodotus, 425BC</w:t>
      </w:r>
    </w:p>
  </w:footnote>
  <w:footnote w:id="4">
    <w:p w:rsidR="001A3778" w:rsidRPr="001A3778" w:rsidRDefault="001A3778">
      <w:pPr>
        <w:pStyle w:val="FootnoteText"/>
        <w:rPr>
          <w:rFonts w:ascii="Times New Roman" w:hAnsi="Times New Roman" w:cs="Times New Roman"/>
        </w:rPr>
      </w:pPr>
      <w:r w:rsidRPr="001A3778">
        <w:rPr>
          <w:rStyle w:val="FootnoteReference"/>
          <w:rFonts w:ascii="Times New Roman" w:hAnsi="Times New Roman" w:cs="Times New Roman"/>
        </w:rPr>
        <w:footnoteRef/>
      </w:r>
      <w:r w:rsidRPr="001A3778">
        <w:rPr>
          <w:rFonts w:ascii="Times New Roman" w:hAnsi="Times New Roman" w:cs="Times New Roman"/>
        </w:rPr>
        <w:t xml:space="preserve"> Herodotus, 425BC</w:t>
      </w:r>
    </w:p>
  </w:footnote>
  <w:footnote w:id="5">
    <w:p w:rsidR="001A3778" w:rsidRPr="001A3778" w:rsidRDefault="001A3778">
      <w:pPr>
        <w:pStyle w:val="FootnoteText"/>
        <w:rPr>
          <w:rFonts w:ascii="Times New Roman" w:hAnsi="Times New Roman" w:cs="Times New Roman"/>
        </w:rPr>
      </w:pPr>
      <w:r w:rsidRPr="001A3778">
        <w:rPr>
          <w:rStyle w:val="FootnoteReference"/>
          <w:rFonts w:ascii="Times New Roman" w:hAnsi="Times New Roman" w:cs="Times New Roman"/>
        </w:rPr>
        <w:footnoteRef/>
      </w:r>
      <w:r w:rsidRPr="001A3778">
        <w:rPr>
          <w:rFonts w:ascii="Times New Roman" w:hAnsi="Times New Roman" w:cs="Times New Roman"/>
        </w:rPr>
        <w:t xml:space="preserve"> Simons/The New York Times, 1996</w:t>
      </w:r>
    </w:p>
  </w:footnote>
  <w:footnote w:id="6">
    <w:p w:rsidR="001A3778" w:rsidRDefault="001A3778">
      <w:pPr>
        <w:pStyle w:val="FootnoteText"/>
      </w:pPr>
      <w:r w:rsidRPr="001A3778">
        <w:rPr>
          <w:rStyle w:val="FootnoteReference"/>
          <w:rFonts w:ascii="Times New Roman" w:hAnsi="Times New Roman" w:cs="Times New Roman"/>
        </w:rPr>
        <w:footnoteRef/>
      </w:r>
      <w:r w:rsidRPr="001A3778">
        <w:rPr>
          <w:rFonts w:ascii="Times New Roman" w:hAnsi="Times New Roman" w:cs="Times New Roman"/>
        </w:rPr>
        <w:t xml:space="preserve"> Peissel, 1984</w:t>
      </w:r>
    </w:p>
  </w:footnote>
  <w:footnote w:id="7">
    <w:p w:rsidR="001A3778" w:rsidRDefault="001A3778">
      <w:pPr>
        <w:pStyle w:val="FootnoteText"/>
      </w:pPr>
      <w:r>
        <w:rPr>
          <w:rStyle w:val="FootnoteReference"/>
        </w:rPr>
        <w:footnoteRef/>
      </w:r>
      <w:r>
        <w:t xml:space="preserve"> </w:t>
      </w:r>
      <w:r w:rsidRPr="001A3778">
        <w:rPr>
          <w:rFonts w:ascii="Times New Roman" w:hAnsi="Times New Roman" w:cs="Times New Roman"/>
        </w:rPr>
        <w:t>Grethlein, 2009, p.2</w:t>
      </w:r>
    </w:p>
  </w:footnote>
  <w:footnote w:id="8">
    <w:p w:rsidR="001A3778" w:rsidRDefault="001A3778">
      <w:pPr>
        <w:pStyle w:val="FootnoteText"/>
      </w:pPr>
      <w:r>
        <w:rPr>
          <w:rStyle w:val="FootnoteReference"/>
        </w:rPr>
        <w:footnoteRef/>
      </w:r>
      <w:r>
        <w:t xml:space="preserve"> </w:t>
      </w:r>
      <w:r w:rsidRPr="001A3778">
        <w:rPr>
          <w:rFonts w:ascii="Times New Roman" w:hAnsi="Times New Roman" w:cs="Times New Roman"/>
        </w:rPr>
        <w:t>Grethlein, 2009, p.2</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CD55F6"/>
    <w:multiLevelType w:val="hybridMultilevel"/>
    <w:tmpl w:val="578C0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1A3778"/>
    <w:rsid w:val="001A3778"/>
    <w:rsid w:val="00247374"/>
    <w:rsid w:val="002D5B98"/>
    <w:rsid w:val="006C63AC"/>
    <w:rsid w:val="009B2D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2DA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A377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A3778"/>
    <w:rPr>
      <w:sz w:val="20"/>
      <w:szCs w:val="20"/>
    </w:rPr>
  </w:style>
  <w:style w:type="character" w:styleId="FootnoteReference">
    <w:name w:val="footnote reference"/>
    <w:basedOn w:val="DefaultParagraphFont"/>
    <w:uiPriority w:val="99"/>
    <w:semiHidden/>
    <w:unhideWhenUsed/>
    <w:rsid w:val="001A3778"/>
    <w:rPr>
      <w:vertAlign w:val="superscript"/>
    </w:rPr>
  </w:style>
  <w:style w:type="character" w:styleId="Hyperlink">
    <w:name w:val="Hyperlink"/>
    <w:basedOn w:val="DefaultParagraphFont"/>
    <w:uiPriority w:val="99"/>
    <w:unhideWhenUsed/>
    <w:rsid w:val="001A3778"/>
    <w:rPr>
      <w:color w:val="0000FF" w:themeColor="hyperlink"/>
      <w:u w:val="single"/>
    </w:rPr>
  </w:style>
  <w:style w:type="paragraph" w:styleId="ListParagraph">
    <w:name w:val="List Paragraph"/>
    <w:basedOn w:val="Normal"/>
    <w:uiPriority w:val="34"/>
    <w:qFormat/>
    <w:rsid w:val="001A3778"/>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1996/11/25/world/himalayas-offer-clue-to-legend-of-gold-digging-ant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55DD7C-645C-4CA5-9A18-8786FDD955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3</Pages>
  <Words>748</Words>
  <Characters>4267</Characters>
  <Application>Microsoft Office Word</Application>
  <DocSecurity>0</DocSecurity>
  <Lines>35</Lines>
  <Paragraphs>10</Paragraphs>
  <ScaleCrop>false</ScaleCrop>
  <Company/>
  <LinksUpToDate>false</LinksUpToDate>
  <CharactersWithSpaces>5005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Watkin</dc:creator>
  <cp:lastModifiedBy>Watkin</cp:lastModifiedBy>
  <cp:revision>1</cp:revision>
  <dcterms:created xsi:type="dcterms:W3CDTF">2019-02-15T13:40:00Z</dcterms:created>
  <dcterms:modified xsi:type="dcterms:W3CDTF">2019-02-15T17:19:00Z</dcterms:modified>
</cp:coreProperties>
</file>