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88892" w14:textId="77777777" w:rsidR="006B721D" w:rsidRDefault="006B721D" w:rsidP="006B721D">
      <w:pPr>
        <w:jc w:val="center"/>
        <w:rPr>
          <w:rFonts w:ascii="Arial" w:hAnsi="Arial" w:cs="Arial"/>
          <w:b/>
          <w:bCs/>
          <w:sz w:val="28"/>
          <w:szCs w:val="28"/>
        </w:rPr>
      </w:pPr>
    </w:p>
    <w:p w14:paraId="5092DF28" w14:textId="77777777" w:rsidR="006B721D" w:rsidRDefault="006B721D" w:rsidP="006B721D">
      <w:pPr>
        <w:jc w:val="center"/>
        <w:rPr>
          <w:rFonts w:ascii="Arial" w:hAnsi="Arial" w:cs="Arial"/>
          <w:b/>
          <w:bCs/>
          <w:sz w:val="28"/>
          <w:szCs w:val="28"/>
        </w:rPr>
      </w:pPr>
    </w:p>
    <w:p w14:paraId="5383F451" w14:textId="0EC71C29" w:rsidR="006B721D" w:rsidRDefault="00EF7BC5" w:rsidP="006B721D">
      <w:pPr>
        <w:jc w:val="center"/>
        <w:rPr>
          <w:rFonts w:ascii="Arial" w:hAnsi="Arial" w:cs="Arial"/>
          <w:b/>
          <w:bCs/>
          <w:sz w:val="28"/>
          <w:szCs w:val="28"/>
        </w:rPr>
      </w:pPr>
      <w:r>
        <w:rPr>
          <w:rFonts w:ascii="Arial" w:hAnsi="Arial" w:cs="Arial"/>
          <w:b/>
          <w:bCs/>
          <w:sz w:val="28"/>
          <w:szCs w:val="28"/>
        </w:rPr>
        <w:t>Report</w:t>
      </w:r>
    </w:p>
    <w:p w14:paraId="32B6BC88" w14:textId="77777777" w:rsidR="006B721D" w:rsidRDefault="006B721D" w:rsidP="006B721D">
      <w:pPr>
        <w:jc w:val="center"/>
        <w:rPr>
          <w:rFonts w:ascii="Arial" w:hAnsi="Arial" w:cs="Arial"/>
          <w:b/>
          <w:bCs/>
          <w:sz w:val="28"/>
          <w:szCs w:val="28"/>
        </w:rPr>
      </w:pPr>
    </w:p>
    <w:p w14:paraId="61086663" w14:textId="60EBC318" w:rsidR="006B721D" w:rsidRDefault="006B721D" w:rsidP="006B721D">
      <w:pPr>
        <w:jc w:val="center"/>
        <w:rPr>
          <w:rFonts w:ascii="Arial" w:hAnsi="Arial" w:cs="Arial"/>
          <w:b/>
          <w:bCs/>
          <w:sz w:val="28"/>
          <w:szCs w:val="28"/>
        </w:rPr>
      </w:pPr>
      <w:r>
        <w:rPr>
          <w:rFonts w:ascii="Arial" w:hAnsi="Arial" w:cs="Arial"/>
          <w:b/>
          <w:bCs/>
          <w:sz w:val="28"/>
          <w:szCs w:val="28"/>
        </w:rPr>
        <w:t xml:space="preserve">Management &amp; </w:t>
      </w:r>
      <w:proofErr w:type="spellStart"/>
      <w:r>
        <w:rPr>
          <w:rFonts w:ascii="Arial" w:hAnsi="Arial" w:cs="Arial"/>
          <w:b/>
          <w:bCs/>
          <w:sz w:val="28"/>
          <w:szCs w:val="28"/>
        </w:rPr>
        <w:t>Organisational</w:t>
      </w:r>
      <w:proofErr w:type="spellEnd"/>
      <w:r>
        <w:rPr>
          <w:rFonts w:ascii="Arial" w:hAnsi="Arial" w:cs="Arial"/>
          <w:b/>
          <w:bCs/>
          <w:sz w:val="28"/>
          <w:szCs w:val="28"/>
        </w:rPr>
        <w:t xml:space="preserve"> </w:t>
      </w:r>
      <w:proofErr w:type="spellStart"/>
      <w:r>
        <w:rPr>
          <w:rFonts w:ascii="Arial" w:hAnsi="Arial" w:cs="Arial"/>
          <w:b/>
          <w:bCs/>
          <w:sz w:val="28"/>
          <w:szCs w:val="28"/>
        </w:rPr>
        <w:t>Behaviour</w:t>
      </w:r>
      <w:proofErr w:type="spellEnd"/>
    </w:p>
    <w:p w14:paraId="4FA869ED" w14:textId="1547BF46" w:rsidR="006B721D" w:rsidRDefault="006B721D" w:rsidP="006B721D">
      <w:pPr>
        <w:jc w:val="center"/>
        <w:rPr>
          <w:rFonts w:ascii="Arial" w:hAnsi="Arial" w:cs="Arial"/>
          <w:b/>
          <w:bCs/>
          <w:sz w:val="28"/>
          <w:szCs w:val="28"/>
        </w:rPr>
      </w:pPr>
      <w:r>
        <w:rPr>
          <w:rFonts w:ascii="Arial" w:hAnsi="Arial" w:cs="Arial"/>
          <w:b/>
          <w:bCs/>
          <w:sz w:val="28"/>
          <w:szCs w:val="28"/>
        </w:rPr>
        <w:t>BMIH5004</w:t>
      </w:r>
    </w:p>
    <w:p w14:paraId="604C14E1" w14:textId="61C9E0E4" w:rsidR="006B721D" w:rsidRDefault="006B721D" w:rsidP="006B721D">
      <w:pPr>
        <w:rPr>
          <w:rFonts w:ascii="Arial" w:hAnsi="Arial" w:cs="Arial"/>
          <w:b/>
          <w:bCs/>
          <w:sz w:val="28"/>
          <w:szCs w:val="28"/>
        </w:rPr>
      </w:pPr>
    </w:p>
    <w:p w14:paraId="18C56CE9" w14:textId="68EFF791" w:rsidR="006B721D" w:rsidRDefault="006B721D" w:rsidP="006B721D">
      <w:pPr>
        <w:rPr>
          <w:rFonts w:ascii="Arial" w:hAnsi="Arial" w:cs="Arial"/>
          <w:b/>
          <w:bCs/>
          <w:sz w:val="28"/>
          <w:szCs w:val="28"/>
        </w:rPr>
      </w:pPr>
    </w:p>
    <w:p w14:paraId="113C45F0" w14:textId="77777777" w:rsidR="006B721D" w:rsidRDefault="006B721D" w:rsidP="006B721D">
      <w:pPr>
        <w:rPr>
          <w:rFonts w:ascii="Arial" w:hAnsi="Arial" w:cs="Arial"/>
          <w:b/>
          <w:bCs/>
          <w:sz w:val="28"/>
          <w:szCs w:val="28"/>
        </w:rPr>
      </w:pPr>
    </w:p>
    <w:p w14:paraId="3B21AE97" w14:textId="77777777" w:rsidR="006B721D" w:rsidRDefault="006B721D" w:rsidP="006B721D">
      <w:pPr>
        <w:rPr>
          <w:rFonts w:ascii="Arial" w:hAnsi="Arial" w:cs="Arial"/>
          <w:b/>
          <w:bCs/>
          <w:sz w:val="28"/>
          <w:szCs w:val="28"/>
        </w:rPr>
      </w:pPr>
    </w:p>
    <w:p w14:paraId="5598EAA8" w14:textId="77777777" w:rsidR="006B721D" w:rsidRDefault="006B721D" w:rsidP="006B721D">
      <w:pPr>
        <w:rPr>
          <w:rFonts w:ascii="Arial" w:hAnsi="Arial" w:cs="Arial"/>
          <w:b/>
          <w:bCs/>
          <w:sz w:val="28"/>
          <w:szCs w:val="28"/>
        </w:rPr>
      </w:pPr>
    </w:p>
    <w:p w14:paraId="58F9561B" w14:textId="1633A04A" w:rsidR="006B721D" w:rsidRDefault="006B721D" w:rsidP="006B721D">
      <w:pPr>
        <w:rPr>
          <w:rFonts w:ascii="Arial" w:hAnsi="Arial" w:cs="Arial"/>
          <w:b/>
          <w:bCs/>
          <w:sz w:val="28"/>
          <w:szCs w:val="28"/>
        </w:rPr>
      </w:pPr>
      <w:r>
        <w:rPr>
          <w:rFonts w:ascii="Arial" w:hAnsi="Arial" w:cs="Arial"/>
          <w:b/>
          <w:bCs/>
          <w:sz w:val="28"/>
          <w:szCs w:val="28"/>
        </w:rPr>
        <w:t>Lecturer:</w:t>
      </w:r>
    </w:p>
    <w:p w14:paraId="2C0880E3" w14:textId="37414640" w:rsidR="006B721D" w:rsidRDefault="006B721D" w:rsidP="006B721D">
      <w:pPr>
        <w:rPr>
          <w:rFonts w:ascii="Arial" w:hAnsi="Arial" w:cs="Arial"/>
          <w:b/>
          <w:bCs/>
          <w:sz w:val="28"/>
          <w:szCs w:val="28"/>
        </w:rPr>
      </w:pPr>
      <w:r>
        <w:rPr>
          <w:rFonts w:ascii="Arial" w:hAnsi="Arial" w:cs="Arial"/>
          <w:b/>
          <w:bCs/>
          <w:sz w:val="28"/>
          <w:szCs w:val="28"/>
        </w:rPr>
        <w:t>Daniel Payne</w:t>
      </w:r>
    </w:p>
    <w:p w14:paraId="6FC354C9" w14:textId="666F1C93" w:rsidR="006B721D" w:rsidRDefault="006B721D" w:rsidP="006B721D">
      <w:pPr>
        <w:rPr>
          <w:rFonts w:ascii="Arial" w:hAnsi="Arial" w:cs="Arial"/>
          <w:b/>
          <w:bCs/>
          <w:sz w:val="28"/>
          <w:szCs w:val="28"/>
        </w:rPr>
      </w:pPr>
    </w:p>
    <w:p w14:paraId="4FA822AC" w14:textId="0046F036" w:rsidR="006B721D" w:rsidRDefault="006B721D" w:rsidP="006B721D">
      <w:pPr>
        <w:rPr>
          <w:rFonts w:ascii="Arial" w:hAnsi="Arial" w:cs="Arial"/>
          <w:b/>
          <w:bCs/>
          <w:sz w:val="28"/>
          <w:szCs w:val="28"/>
        </w:rPr>
      </w:pPr>
    </w:p>
    <w:p w14:paraId="3C7A0549" w14:textId="302987CE" w:rsidR="006B721D" w:rsidRDefault="006B721D" w:rsidP="006B721D">
      <w:pPr>
        <w:rPr>
          <w:rFonts w:ascii="Arial" w:hAnsi="Arial" w:cs="Arial"/>
          <w:b/>
          <w:bCs/>
          <w:sz w:val="28"/>
          <w:szCs w:val="28"/>
        </w:rPr>
      </w:pPr>
    </w:p>
    <w:p w14:paraId="444BBA3C" w14:textId="283465D1" w:rsidR="006B721D" w:rsidRDefault="006B721D" w:rsidP="006B721D">
      <w:pPr>
        <w:rPr>
          <w:rFonts w:ascii="Arial" w:hAnsi="Arial" w:cs="Arial"/>
          <w:b/>
          <w:bCs/>
          <w:sz w:val="28"/>
          <w:szCs w:val="28"/>
        </w:rPr>
      </w:pPr>
    </w:p>
    <w:p w14:paraId="7D32CA7B" w14:textId="58DEE417" w:rsidR="006B721D" w:rsidRDefault="006B721D" w:rsidP="006B721D">
      <w:pPr>
        <w:jc w:val="right"/>
        <w:rPr>
          <w:rFonts w:ascii="Arial" w:hAnsi="Arial" w:cs="Arial"/>
          <w:b/>
          <w:bCs/>
          <w:sz w:val="28"/>
          <w:szCs w:val="28"/>
        </w:rPr>
      </w:pPr>
      <w:r>
        <w:rPr>
          <w:rFonts w:ascii="Arial" w:hAnsi="Arial" w:cs="Arial"/>
          <w:b/>
          <w:bCs/>
          <w:sz w:val="28"/>
          <w:szCs w:val="28"/>
        </w:rPr>
        <w:t>Student name:</w:t>
      </w:r>
    </w:p>
    <w:p w14:paraId="79E139F7" w14:textId="6A59AAB7" w:rsidR="006B721D" w:rsidRDefault="006B721D" w:rsidP="006B721D">
      <w:pPr>
        <w:jc w:val="right"/>
        <w:rPr>
          <w:rFonts w:ascii="Arial" w:hAnsi="Arial" w:cs="Arial"/>
          <w:b/>
          <w:bCs/>
          <w:sz w:val="28"/>
          <w:szCs w:val="28"/>
        </w:rPr>
      </w:pPr>
      <w:proofErr w:type="spellStart"/>
      <w:r>
        <w:rPr>
          <w:rFonts w:ascii="Arial" w:hAnsi="Arial" w:cs="Arial"/>
          <w:b/>
          <w:bCs/>
          <w:sz w:val="28"/>
          <w:szCs w:val="28"/>
        </w:rPr>
        <w:t>Nisipeanu</w:t>
      </w:r>
      <w:proofErr w:type="spellEnd"/>
      <w:r>
        <w:rPr>
          <w:rFonts w:ascii="Arial" w:hAnsi="Arial" w:cs="Arial"/>
          <w:b/>
          <w:bCs/>
          <w:sz w:val="28"/>
          <w:szCs w:val="28"/>
        </w:rPr>
        <w:t xml:space="preserve"> </w:t>
      </w:r>
      <w:proofErr w:type="spellStart"/>
      <w:r>
        <w:rPr>
          <w:rFonts w:ascii="Arial" w:hAnsi="Arial" w:cs="Arial"/>
          <w:b/>
          <w:bCs/>
          <w:sz w:val="28"/>
          <w:szCs w:val="28"/>
        </w:rPr>
        <w:t>Denisa</w:t>
      </w:r>
      <w:proofErr w:type="spellEnd"/>
      <w:r>
        <w:rPr>
          <w:rFonts w:ascii="Arial" w:hAnsi="Arial" w:cs="Arial"/>
          <w:b/>
          <w:bCs/>
          <w:sz w:val="28"/>
          <w:szCs w:val="28"/>
        </w:rPr>
        <w:t xml:space="preserve"> Elena</w:t>
      </w:r>
    </w:p>
    <w:p w14:paraId="0CF73162" w14:textId="7AD7CC0C" w:rsidR="006B721D" w:rsidRDefault="006B721D" w:rsidP="006B721D">
      <w:pPr>
        <w:jc w:val="right"/>
        <w:rPr>
          <w:rFonts w:ascii="Arial" w:hAnsi="Arial" w:cs="Arial"/>
          <w:b/>
          <w:bCs/>
          <w:sz w:val="28"/>
          <w:szCs w:val="28"/>
        </w:rPr>
      </w:pPr>
      <w:r>
        <w:rPr>
          <w:rFonts w:ascii="Arial" w:hAnsi="Arial" w:cs="Arial"/>
          <w:b/>
          <w:bCs/>
          <w:sz w:val="28"/>
          <w:szCs w:val="28"/>
        </w:rPr>
        <w:t>22</w:t>
      </w:r>
      <w:r w:rsidR="0040082B">
        <w:rPr>
          <w:rFonts w:ascii="Arial" w:hAnsi="Arial" w:cs="Arial"/>
          <w:b/>
          <w:bCs/>
          <w:sz w:val="28"/>
          <w:szCs w:val="28"/>
        </w:rPr>
        <w:t>34127</w:t>
      </w:r>
    </w:p>
    <w:p w14:paraId="43BBD8E7" w14:textId="187CE92B" w:rsidR="0040082B" w:rsidRDefault="0040082B" w:rsidP="006B721D">
      <w:pPr>
        <w:jc w:val="right"/>
        <w:rPr>
          <w:rFonts w:ascii="Arial" w:hAnsi="Arial" w:cs="Arial"/>
          <w:b/>
          <w:bCs/>
          <w:sz w:val="28"/>
          <w:szCs w:val="28"/>
        </w:rPr>
      </w:pPr>
    </w:p>
    <w:p w14:paraId="0B09C288" w14:textId="10789FD2" w:rsidR="0040082B" w:rsidRDefault="0040082B" w:rsidP="006B721D">
      <w:pPr>
        <w:jc w:val="right"/>
        <w:rPr>
          <w:rFonts w:ascii="Arial" w:hAnsi="Arial" w:cs="Arial"/>
          <w:b/>
          <w:bCs/>
          <w:sz w:val="28"/>
          <w:szCs w:val="28"/>
        </w:rPr>
      </w:pPr>
    </w:p>
    <w:p w14:paraId="7E97E88B" w14:textId="24C1119C" w:rsidR="0040082B" w:rsidRDefault="0040082B" w:rsidP="006B721D">
      <w:pPr>
        <w:jc w:val="right"/>
        <w:rPr>
          <w:rFonts w:ascii="Arial" w:hAnsi="Arial" w:cs="Arial"/>
          <w:b/>
          <w:bCs/>
          <w:sz w:val="28"/>
          <w:szCs w:val="28"/>
        </w:rPr>
      </w:pPr>
    </w:p>
    <w:p w14:paraId="1DCD63EB" w14:textId="6B7EE478" w:rsidR="0040082B" w:rsidRDefault="0040082B" w:rsidP="006B721D">
      <w:pPr>
        <w:jc w:val="right"/>
        <w:rPr>
          <w:rFonts w:ascii="Arial" w:hAnsi="Arial" w:cs="Arial"/>
          <w:b/>
          <w:bCs/>
          <w:sz w:val="28"/>
          <w:szCs w:val="28"/>
        </w:rPr>
      </w:pPr>
    </w:p>
    <w:p w14:paraId="7E0FAEF9" w14:textId="3AB88F80" w:rsidR="0040082B" w:rsidRDefault="0040082B" w:rsidP="006B721D">
      <w:pPr>
        <w:jc w:val="right"/>
        <w:rPr>
          <w:rFonts w:ascii="Arial" w:hAnsi="Arial" w:cs="Arial"/>
          <w:b/>
          <w:bCs/>
          <w:sz w:val="28"/>
          <w:szCs w:val="28"/>
        </w:rPr>
      </w:pPr>
    </w:p>
    <w:p w14:paraId="1154D808"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Executive Summary</w:t>
      </w:r>
    </w:p>
    <w:p w14:paraId="7EF06FF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This report thoroughly examines Wyndham Hotels &amp; Resorts, focusing on its long-term strategies, recent change initiatives,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culture. Wyndham is an established brand in the tourism sector, operating nearly 9,000 hotels worldwide. The company employs a </w:t>
      </w:r>
      <w:proofErr w:type="spellStart"/>
      <w:r>
        <w:rPr>
          <w:rFonts w:ascii="Arial" w:eastAsia="Calibri" w:hAnsi="Arial" w:cs="Arial"/>
          <w:sz w:val="24"/>
          <w:szCs w:val="24"/>
        </w:rPr>
        <w:t>decentralised</w:t>
      </w:r>
      <w:proofErr w:type="spellEnd"/>
      <w:r>
        <w:rPr>
          <w:rFonts w:ascii="Arial" w:eastAsia="Calibri" w:hAnsi="Arial" w:cs="Arial"/>
          <w:sz w:val="24"/>
          <w:szCs w:val="24"/>
        </w:rPr>
        <w:t xml:space="preserve"> franchise management system and a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corporate structure. This hybrid model allows the company to preserve brand consistency while providing franchisees with operational flexibility. Handy and Schein's frameworks reveal a balanced approach that supports teamwork and individual empowerment, </w:t>
      </w:r>
      <w:proofErr w:type="spellStart"/>
      <w:r>
        <w:rPr>
          <w:rFonts w:ascii="Arial" w:eastAsia="Calibri" w:hAnsi="Arial" w:cs="Arial"/>
          <w:sz w:val="24"/>
          <w:szCs w:val="24"/>
        </w:rPr>
        <w:t>emphasising</w:t>
      </w:r>
      <w:proofErr w:type="spellEnd"/>
      <w:r>
        <w:rPr>
          <w:rFonts w:ascii="Arial" w:eastAsia="Calibri" w:hAnsi="Arial" w:cs="Arial"/>
          <w:sz w:val="24"/>
          <w:szCs w:val="24"/>
        </w:rPr>
        <w:t xml:space="preserve"> customer service and employee engagement in the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at Wyndham.</w:t>
      </w:r>
    </w:p>
    <w:p w14:paraId="690528E1"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report evaluates Wyndham's most recent strategic initiatives, such as implementing sustainability practices to mitigate environmental impact and the introduction of the ECHO Suites Extended Stay brand. Wyndham's adaptability to market expectations and dedication to corporate social responsibility are </w:t>
      </w:r>
      <w:proofErr w:type="spellStart"/>
      <w:r>
        <w:rPr>
          <w:rFonts w:ascii="Arial" w:eastAsia="Calibri" w:hAnsi="Arial" w:cs="Arial"/>
          <w:sz w:val="24"/>
          <w:szCs w:val="24"/>
        </w:rPr>
        <w:t>emphasised</w:t>
      </w:r>
      <w:proofErr w:type="spellEnd"/>
      <w:r>
        <w:rPr>
          <w:rFonts w:ascii="Arial" w:eastAsia="Calibri" w:hAnsi="Arial" w:cs="Arial"/>
          <w:sz w:val="24"/>
          <w:szCs w:val="24"/>
        </w:rPr>
        <w:t xml:space="preserve"> by these initiatives, which were </w:t>
      </w:r>
      <w:proofErr w:type="spellStart"/>
      <w:r>
        <w:rPr>
          <w:rFonts w:ascii="Arial" w:eastAsia="Calibri" w:hAnsi="Arial" w:cs="Arial"/>
          <w:sz w:val="24"/>
          <w:szCs w:val="24"/>
        </w:rPr>
        <w:t>analysed</w:t>
      </w:r>
      <w:proofErr w:type="spellEnd"/>
      <w:r>
        <w:rPr>
          <w:rFonts w:ascii="Arial" w:eastAsia="Calibri" w:hAnsi="Arial" w:cs="Arial"/>
          <w:sz w:val="24"/>
          <w:szCs w:val="24"/>
        </w:rPr>
        <w:t xml:space="preserve"> using Lewin's change model. Furthermore, its focus on digital innovation and franchise expansion underscores Wyndham's emphasis on customer relationship management and its alignment with global trends.</w:t>
      </w:r>
    </w:p>
    <w:p w14:paraId="05FE3634"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should </w:t>
      </w:r>
      <w:proofErr w:type="spellStart"/>
      <w:r>
        <w:rPr>
          <w:rFonts w:ascii="Arial" w:eastAsia="Calibri" w:hAnsi="Arial" w:cs="Arial"/>
          <w:sz w:val="24"/>
          <w:szCs w:val="24"/>
        </w:rPr>
        <w:t>prioritise</w:t>
      </w:r>
      <w:proofErr w:type="spellEnd"/>
      <w:r>
        <w:rPr>
          <w:rFonts w:ascii="Arial" w:eastAsia="Calibri" w:hAnsi="Arial" w:cs="Arial"/>
          <w:sz w:val="24"/>
          <w:szCs w:val="24"/>
        </w:rPr>
        <w:t xml:space="preserve"> integrating service and project management to </w:t>
      </w:r>
      <w:proofErr w:type="spellStart"/>
      <w:r>
        <w:rPr>
          <w:rFonts w:ascii="Arial" w:eastAsia="Calibri" w:hAnsi="Arial" w:cs="Arial"/>
          <w:sz w:val="24"/>
          <w:szCs w:val="24"/>
        </w:rPr>
        <w:t>optimise</w:t>
      </w:r>
      <w:proofErr w:type="spellEnd"/>
      <w:r>
        <w:rPr>
          <w:rFonts w:ascii="Arial" w:eastAsia="Calibri" w:hAnsi="Arial" w:cs="Arial"/>
          <w:sz w:val="24"/>
          <w:szCs w:val="24"/>
        </w:rPr>
        <w:t xml:space="preserve"> operational efficiency, expand digital engagement through CRM systems, and further develop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through employee empowerment. These strategies enhance Wyndham's adaptability and market position in a rapidly changing industry. The report underscores the significance of strategic agility and continuous improvement, enabling Wyndham to remain competitive and adapt to evolving customer expectations.</w:t>
      </w:r>
    </w:p>
    <w:p w14:paraId="0472230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9B6E85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68FB08F2"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01931B7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2FF9A43" w14:textId="77777777" w:rsidR="00BD162D" w:rsidRDefault="00BD162D" w:rsidP="00BD162D">
      <w:pPr>
        <w:spacing w:line="360" w:lineRule="auto"/>
        <w:jc w:val="both"/>
        <w:rPr>
          <w:rFonts w:ascii="Arial" w:eastAsia="Calibri" w:hAnsi="Arial" w:cs="Arial"/>
          <w:b/>
          <w:bCs/>
          <w:sz w:val="24"/>
          <w:szCs w:val="24"/>
        </w:rPr>
      </w:pPr>
    </w:p>
    <w:p w14:paraId="03922949" w14:textId="13F7C2FA"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Table of Contents</w:t>
      </w:r>
    </w:p>
    <w:p w14:paraId="194682B5"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Executive Summary</w:t>
      </w:r>
    </w:p>
    <w:p w14:paraId="411106AB"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Introduction</w:t>
      </w:r>
    </w:p>
    <w:p w14:paraId="4539AF6F" w14:textId="4A5C4F2C"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Organi</w:t>
      </w:r>
      <w:r>
        <w:rPr>
          <w:rFonts w:ascii="Arial" w:eastAsia="Calibri" w:hAnsi="Arial" w:cs="Arial"/>
          <w:b/>
          <w:bCs/>
          <w:sz w:val="24"/>
          <w:szCs w:val="24"/>
        </w:rPr>
        <w:t>z</w:t>
      </w:r>
      <w:r>
        <w:rPr>
          <w:rFonts w:ascii="Arial" w:eastAsia="Calibri" w:hAnsi="Arial" w:cs="Arial"/>
          <w:b/>
          <w:bCs/>
          <w:sz w:val="24"/>
          <w:szCs w:val="24"/>
        </w:rPr>
        <w:t>ational Structure, Culture, and Goals</w:t>
      </w:r>
    </w:p>
    <w:p w14:paraId="510C1528" w14:textId="39094EB5"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3.1 </w:t>
      </w:r>
      <w:r>
        <w:rPr>
          <w:rFonts w:ascii="Arial" w:eastAsia="Calibri" w:hAnsi="Arial" w:cs="Arial"/>
          <w:b/>
          <w:bCs/>
          <w:sz w:val="24"/>
          <w:szCs w:val="24"/>
        </w:rPr>
        <w:t>Organi</w:t>
      </w:r>
      <w:r>
        <w:rPr>
          <w:rFonts w:ascii="Arial" w:eastAsia="Calibri" w:hAnsi="Arial" w:cs="Arial"/>
          <w:b/>
          <w:bCs/>
          <w:sz w:val="24"/>
          <w:szCs w:val="24"/>
        </w:rPr>
        <w:t>z</w:t>
      </w:r>
      <w:r>
        <w:rPr>
          <w:rFonts w:ascii="Arial" w:eastAsia="Calibri" w:hAnsi="Arial" w:cs="Arial"/>
          <w:b/>
          <w:bCs/>
          <w:sz w:val="24"/>
          <w:szCs w:val="24"/>
        </w:rPr>
        <w:t>ational Structure</w:t>
      </w:r>
    </w:p>
    <w:p w14:paraId="57948595" w14:textId="3D477123"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3.2 </w:t>
      </w:r>
      <w:r>
        <w:rPr>
          <w:rFonts w:ascii="Arial" w:eastAsia="Calibri" w:hAnsi="Arial" w:cs="Arial"/>
          <w:b/>
          <w:bCs/>
          <w:sz w:val="24"/>
          <w:szCs w:val="24"/>
        </w:rPr>
        <w:t>Organi</w:t>
      </w:r>
      <w:r>
        <w:rPr>
          <w:rFonts w:ascii="Arial" w:eastAsia="Calibri" w:hAnsi="Arial" w:cs="Arial"/>
          <w:b/>
          <w:bCs/>
          <w:sz w:val="24"/>
          <w:szCs w:val="24"/>
        </w:rPr>
        <w:t>z</w:t>
      </w:r>
      <w:r>
        <w:rPr>
          <w:rFonts w:ascii="Arial" w:eastAsia="Calibri" w:hAnsi="Arial" w:cs="Arial"/>
          <w:b/>
          <w:bCs/>
          <w:sz w:val="24"/>
          <w:szCs w:val="24"/>
        </w:rPr>
        <w:t>ational Culture</w:t>
      </w:r>
    </w:p>
    <w:p w14:paraId="77D58E1A" w14:textId="77777777" w:rsidR="00BD162D" w:rsidRDefault="00BD162D" w:rsidP="00BD162D">
      <w:pPr>
        <w:spacing w:line="360" w:lineRule="auto"/>
        <w:ind w:left="720"/>
        <w:jc w:val="both"/>
        <w:rPr>
          <w:rFonts w:ascii="Arial" w:eastAsia="Calibri" w:hAnsi="Arial" w:cs="Arial"/>
          <w:sz w:val="24"/>
          <w:szCs w:val="24"/>
        </w:rPr>
      </w:pPr>
      <w:r>
        <w:rPr>
          <w:rFonts w:ascii="Arial" w:eastAsia="Calibri" w:hAnsi="Arial" w:cs="Arial"/>
          <w:sz w:val="24"/>
          <w:szCs w:val="24"/>
        </w:rPr>
        <w:t xml:space="preserve">3.3 </w:t>
      </w:r>
      <w:r>
        <w:rPr>
          <w:rFonts w:ascii="Arial" w:eastAsia="Calibri" w:hAnsi="Arial" w:cs="Arial"/>
          <w:b/>
          <w:bCs/>
          <w:sz w:val="24"/>
          <w:szCs w:val="24"/>
        </w:rPr>
        <w:t>Goals at Corporate and Individual Hotel Levels</w:t>
      </w:r>
    </w:p>
    <w:p w14:paraId="56B967A4"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Recent Change Initiatives</w:t>
      </w:r>
    </w:p>
    <w:p w14:paraId="21C9E382"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4.1 </w:t>
      </w:r>
      <w:r>
        <w:rPr>
          <w:rFonts w:ascii="Arial" w:eastAsia="Calibri" w:hAnsi="Arial" w:cs="Arial"/>
          <w:b/>
          <w:bCs/>
          <w:sz w:val="24"/>
          <w:szCs w:val="24"/>
        </w:rPr>
        <w:t>Description of Recent Initiatives</w:t>
      </w:r>
    </w:p>
    <w:p w14:paraId="5929BF67"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4.2 </w:t>
      </w:r>
      <w:r>
        <w:rPr>
          <w:rFonts w:ascii="Arial" w:eastAsia="Calibri" w:hAnsi="Arial" w:cs="Arial"/>
          <w:b/>
          <w:bCs/>
          <w:sz w:val="24"/>
          <w:szCs w:val="24"/>
        </w:rPr>
        <w:t>Impact of Change Initiatives</w:t>
      </w:r>
    </w:p>
    <w:p w14:paraId="31A0AFB4"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4.3 </w:t>
      </w:r>
      <w:r>
        <w:rPr>
          <w:rFonts w:ascii="Arial" w:eastAsia="Calibri" w:hAnsi="Arial" w:cs="Arial"/>
          <w:b/>
          <w:bCs/>
          <w:sz w:val="24"/>
          <w:szCs w:val="24"/>
        </w:rPr>
        <w:t>Change Management Effectiveness</w:t>
      </w:r>
    </w:p>
    <w:p w14:paraId="7C816BB2"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Strategic Direction</w:t>
      </w:r>
    </w:p>
    <w:p w14:paraId="0C0D8DAB" w14:textId="77777777" w:rsidR="00BD162D" w:rsidRDefault="00BD162D" w:rsidP="00BD162D">
      <w:pPr>
        <w:spacing w:line="360" w:lineRule="auto"/>
        <w:ind w:left="720"/>
        <w:jc w:val="both"/>
        <w:rPr>
          <w:rFonts w:ascii="Arial" w:eastAsia="Calibri" w:hAnsi="Arial" w:cs="Arial"/>
          <w:b/>
          <w:bCs/>
          <w:sz w:val="24"/>
          <w:szCs w:val="24"/>
        </w:rPr>
      </w:pPr>
      <w:r>
        <w:rPr>
          <w:rFonts w:ascii="Arial" w:eastAsia="Calibri" w:hAnsi="Arial" w:cs="Arial"/>
          <w:sz w:val="24"/>
          <w:szCs w:val="24"/>
        </w:rPr>
        <w:t xml:space="preserve">5.1 </w:t>
      </w:r>
      <w:r>
        <w:rPr>
          <w:rFonts w:ascii="Arial" w:eastAsia="Calibri" w:hAnsi="Arial" w:cs="Arial"/>
          <w:b/>
          <w:bCs/>
          <w:sz w:val="24"/>
          <w:szCs w:val="24"/>
        </w:rPr>
        <w:t>Examination of Strategic Direction</w:t>
      </w:r>
    </w:p>
    <w:p w14:paraId="7F00924A" w14:textId="77777777" w:rsidR="00BD162D" w:rsidRDefault="00BD162D" w:rsidP="00BD162D">
      <w:pPr>
        <w:spacing w:line="360" w:lineRule="auto"/>
        <w:ind w:left="720"/>
        <w:jc w:val="both"/>
        <w:rPr>
          <w:rFonts w:ascii="Arial" w:eastAsia="Calibri" w:hAnsi="Arial" w:cs="Arial"/>
          <w:sz w:val="24"/>
          <w:szCs w:val="24"/>
        </w:rPr>
      </w:pPr>
      <w:r>
        <w:rPr>
          <w:rFonts w:ascii="Arial" w:eastAsia="Calibri" w:hAnsi="Arial" w:cs="Arial"/>
          <w:sz w:val="24"/>
          <w:szCs w:val="24"/>
        </w:rPr>
        <w:t xml:space="preserve">5.2 </w:t>
      </w:r>
      <w:r>
        <w:rPr>
          <w:rFonts w:ascii="Arial" w:eastAsia="Calibri" w:hAnsi="Arial" w:cs="Arial"/>
          <w:b/>
          <w:bCs/>
          <w:sz w:val="24"/>
          <w:szCs w:val="24"/>
        </w:rPr>
        <w:t>Strategies for Achieving Long-Term Objectives</w:t>
      </w:r>
    </w:p>
    <w:p w14:paraId="53F9116D"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Recommendations</w:t>
      </w:r>
    </w:p>
    <w:p w14:paraId="151E55D9" w14:textId="77777777" w:rsidR="00BD162D" w:rsidRDefault="00BD162D" w:rsidP="00BD162D">
      <w:pPr>
        <w:numPr>
          <w:ilvl w:val="0"/>
          <w:numId w:val="1"/>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Conclusion</w:t>
      </w:r>
      <w:r>
        <w:rPr>
          <w:rFonts w:ascii="Arial" w:eastAsia="Calibri" w:hAnsi="Arial" w:cs="Arial"/>
          <w:sz w:val="24"/>
          <w:szCs w:val="24"/>
        </w:rPr>
        <w:br/>
      </w:r>
    </w:p>
    <w:p w14:paraId="47D011B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4456A7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610F7F2"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404CDA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752C8E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E90E15C" w14:textId="52562785" w:rsidR="00BD162D" w:rsidRP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 </w:t>
      </w:r>
      <w:r>
        <w:rPr>
          <w:rFonts w:ascii="Arial" w:eastAsia="Calibri" w:hAnsi="Arial" w:cs="Arial"/>
          <w:b/>
          <w:bCs/>
          <w:sz w:val="24"/>
          <w:szCs w:val="24"/>
        </w:rPr>
        <w:t>1. Introduction</w:t>
      </w:r>
    </w:p>
    <w:p w14:paraId="272268A8"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Wyndham Hotels &amp; Resorts is a leading hospitality company </w:t>
      </w:r>
      <w:proofErr w:type="spellStart"/>
      <w:r>
        <w:rPr>
          <w:rFonts w:ascii="Arial" w:eastAsia="Calibri" w:hAnsi="Arial" w:cs="Arial"/>
          <w:sz w:val="24"/>
          <w:szCs w:val="24"/>
        </w:rPr>
        <w:t>recognised</w:t>
      </w:r>
      <w:proofErr w:type="spellEnd"/>
      <w:r>
        <w:rPr>
          <w:rFonts w:ascii="Arial" w:eastAsia="Calibri" w:hAnsi="Arial" w:cs="Arial"/>
          <w:sz w:val="24"/>
          <w:szCs w:val="24"/>
        </w:rPr>
        <w:t xml:space="preserve"> for its extensive portfolio of properties and strong presence across various market segments. Wyndham operates in over 95 countries with nearly 9,000 hotels, sustaining a significant presence in the global hospitality sector through a combination of franchise and corporate-owned establishments. This strategic approach allows Wyndham to provide a spectrum of economical and luxurious accommodations, addressing various </w:t>
      </w:r>
      <w:proofErr w:type="spellStart"/>
      <w:r>
        <w:rPr>
          <w:rFonts w:ascii="Arial" w:eastAsia="Calibri" w:hAnsi="Arial" w:cs="Arial"/>
          <w:sz w:val="24"/>
          <w:szCs w:val="24"/>
        </w:rPr>
        <w:t>traveller</w:t>
      </w:r>
      <w:proofErr w:type="spellEnd"/>
      <w:r>
        <w:rPr>
          <w:rFonts w:ascii="Arial" w:eastAsia="Calibri" w:hAnsi="Arial" w:cs="Arial"/>
          <w:sz w:val="24"/>
          <w:szCs w:val="24"/>
        </w:rPr>
        <w:t xml:space="preserve"> requirements and preferences.</w:t>
      </w:r>
    </w:p>
    <w:p w14:paraId="6E15AD86"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This report critically evaluates 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corporate culture, most recent transformation initiatives, and strategic direction. The report aims to explain how Wyndham addresses international brand standards with regional adaptability to address changing market demands and improve operational efficiency.</w:t>
      </w:r>
    </w:p>
    <w:p w14:paraId="50AEEC3C"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The report encompasses several key areas: an examination of 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culture, an assessment of recent initiatives related to change management, an analysis of strategic direction, and a series of recommendations for further progress. Through a structured assessment, the report offers an in-depth analysis of Wyndham's strategies and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practices within a competitive industry. </w:t>
      </w:r>
    </w:p>
    <w:p w14:paraId="61A98BB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 xml:space="preserve"> </w:t>
      </w:r>
    </w:p>
    <w:p w14:paraId="4060F398"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 Organizational Structure, Culture, and Goals</w:t>
      </w:r>
    </w:p>
    <w:p w14:paraId="626DF67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2.1 Organizational Structure</w:t>
      </w:r>
    </w:p>
    <w:p w14:paraId="2EFB219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employs a sophisticated and adaptable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that integrates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and </w:t>
      </w:r>
      <w:proofErr w:type="spellStart"/>
      <w:r>
        <w:rPr>
          <w:rFonts w:ascii="Arial" w:eastAsia="Calibri" w:hAnsi="Arial" w:cs="Arial"/>
          <w:sz w:val="24"/>
          <w:szCs w:val="24"/>
        </w:rPr>
        <w:t>decentralised</w:t>
      </w:r>
      <w:proofErr w:type="spellEnd"/>
      <w:r>
        <w:rPr>
          <w:rFonts w:ascii="Arial" w:eastAsia="Calibri" w:hAnsi="Arial" w:cs="Arial"/>
          <w:sz w:val="24"/>
          <w:szCs w:val="24"/>
        </w:rPr>
        <w:t xml:space="preserve"> systems to balance strategic alignment and local responsiveness. </w:t>
      </w:r>
      <w:proofErr w:type="spellStart"/>
      <w:r>
        <w:rPr>
          <w:rFonts w:ascii="Arial" w:eastAsia="Calibri" w:hAnsi="Arial" w:cs="Arial"/>
          <w:sz w:val="24"/>
          <w:szCs w:val="24"/>
        </w:rPr>
        <w:t>Kosová</w:t>
      </w:r>
      <w:proofErr w:type="spellEnd"/>
      <w:r>
        <w:rPr>
          <w:rFonts w:ascii="Arial" w:eastAsia="Calibri" w:hAnsi="Arial" w:cs="Arial"/>
          <w:sz w:val="24"/>
          <w:szCs w:val="24"/>
        </w:rPr>
        <w:t xml:space="preserve">, Lafontaine, and </w:t>
      </w:r>
      <w:proofErr w:type="spellStart"/>
      <w:r>
        <w:rPr>
          <w:rFonts w:ascii="Arial" w:eastAsia="Calibri" w:hAnsi="Arial" w:cs="Arial"/>
          <w:sz w:val="24"/>
          <w:szCs w:val="24"/>
        </w:rPr>
        <w:t>Perrigot's</w:t>
      </w:r>
      <w:proofErr w:type="spellEnd"/>
      <w:r>
        <w:rPr>
          <w:rFonts w:ascii="Arial" w:eastAsia="Calibri" w:hAnsi="Arial" w:cs="Arial"/>
          <w:sz w:val="24"/>
          <w:szCs w:val="24"/>
        </w:rPr>
        <w:t xml:space="preserve"> (2010) study indicates that the company </w:t>
      </w:r>
      <w:proofErr w:type="spellStart"/>
      <w:r>
        <w:rPr>
          <w:rFonts w:ascii="Arial" w:eastAsia="Calibri" w:hAnsi="Arial" w:cs="Arial"/>
          <w:sz w:val="24"/>
          <w:szCs w:val="24"/>
        </w:rPr>
        <w:t>utilises</w:t>
      </w:r>
      <w:proofErr w:type="spellEnd"/>
      <w:r>
        <w:rPr>
          <w:rFonts w:ascii="Arial" w:eastAsia="Calibri" w:hAnsi="Arial" w:cs="Arial"/>
          <w:sz w:val="24"/>
          <w:szCs w:val="24"/>
        </w:rPr>
        <w:t xml:space="preserve"> a combination of franchised and corporately managed hotels, enabling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control over branding and standards of operation while permitting franchisees operational independence. This framework corresponds with Mintzberg’s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elements, where the strategic apex (corporate headquarters) sets overall policies, while franchise units operate as semi-autonomous cores. </w:t>
      </w:r>
      <w:r>
        <w:rPr>
          <w:rFonts w:ascii="Arial" w:eastAsia="Calibri" w:hAnsi="Arial" w:cs="Arial"/>
          <w:sz w:val="24"/>
          <w:szCs w:val="24"/>
        </w:rPr>
        <w:br/>
      </w:r>
    </w:p>
    <w:p w14:paraId="2F94404B" w14:textId="4E36FFAB"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Wyndham employs a hierarchical structure that enables corporate management to supervise company standards, marketing, and planning while local managers concentrate on daily hotel operations (Slattery and Clark, 1988). This hierarchical distinction between corporate and operational units enables the effective execution of tactical choices and a responsive adjustment to local market demands. </w:t>
      </w:r>
      <w:proofErr w:type="spellStart"/>
      <w:r>
        <w:rPr>
          <w:rFonts w:ascii="Arial" w:eastAsia="Calibri" w:hAnsi="Arial" w:cs="Arial"/>
          <w:sz w:val="24"/>
          <w:szCs w:val="24"/>
        </w:rPr>
        <w:t>Tavitiyaman</w:t>
      </w:r>
      <w:proofErr w:type="spellEnd"/>
      <w:r>
        <w:rPr>
          <w:rFonts w:ascii="Arial" w:eastAsia="Calibri" w:hAnsi="Arial" w:cs="Arial"/>
          <w:sz w:val="24"/>
          <w:szCs w:val="24"/>
        </w:rPr>
        <w:t xml:space="preserve"> et al. (2012) assert that this structure improves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performance by </w:t>
      </w:r>
      <w:proofErr w:type="spellStart"/>
      <w:r>
        <w:rPr>
          <w:rFonts w:ascii="Arial" w:eastAsia="Calibri" w:hAnsi="Arial" w:cs="Arial"/>
          <w:sz w:val="24"/>
          <w:szCs w:val="24"/>
        </w:rPr>
        <w:t>synchronising</w:t>
      </w:r>
      <w:proofErr w:type="spellEnd"/>
      <w:r>
        <w:rPr>
          <w:rFonts w:ascii="Arial" w:eastAsia="Calibri" w:hAnsi="Arial" w:cs="Arial"/>
          <w:sz w:val="24"/>
          <w:szCs w:val="24"/>
        </w:rPr>
        <w:t xml:space="preserve"> competitive strategies with adaptable yet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controls.</w:t>
      </w:r>
    </w:p>
    <w:p w14:paraId="65733EA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This dual strategy provides Wyndham considerable benefits, especially in preserving uniformity throughout its global brand while promoting local flexibility. Nonetheless, as Glaser, </w:t>
      </w:r>
      <w:proofErr w:type="spellStart"/>
      <w:r>
        <w:rPr>
          <w:rFonts w:ascii="Arial" w:eastAsia="Calibri" w:hAnsi="Arial" w:cs="Arial"/>
          <w:sz w:val="24"/>
          <w:szCs w:val="24"/>
        </w:rPr>
        <w:t>Jirsaek</w:t>
      </w:r>
      <w:proofErr w:type="spellEnd"/>
      <w:r>
        <w:rPr>
          <w:rFonts w:ascii="Arial" w:eastAsia="Calibri" w:hAnsi="Arial" w:cs="Arial"/>
          <w:sz w:val="24"/>
          <w:szCs w:val="24"/>
        </w:rPr>
        <w:t xml:space="preserve">, and </w:t>
      </w:r>
      <w:proofErr w:type="spellStart"/>
      <w:r>
        <w:rPr>
          <w:rFonts w:ascii="Arial" w:eastAsia="Calibri" w:hAnsi="Arial" w:cs="Arial"/>
          <w:sz w:val="24"/>
          <w:szCs w:val="24"/>
        </w:rPr>
        <w:t>Windsperger</w:t>
      </w:r>
      <w:proofErr w:type="spellEnd"/>
      <w:r>
        <w:rPr>
          <w:rFonts w:ascii="Arial" w:eastAsia="Calibri" w:hAnsi="Arial" w:cs="Arial"/>
          <w:sz w:val="24"/>
          <w:szCs w:val="24"/>
        </w:rPr>
        <w:t xml:space="preserve"> (2020) observe, this model may result in complications regarding coordination and communication, particularly when reconciling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decision-making with franchisee autonomy. Wyndham’s hybrid structure successfully reinforces its business strategy by integrating </w:t>
      </w:r>
      <w:proofErr w:type="spellStart"/>
      <w:r>
        <w:rPr>
          <w:rFonts w:ascii="Arial" w:eastAsia="Calibri" w:hAnsi="Arial" w:cs="Arial"/>
          <w:sz w:val="24"/>
          <w:szCs w:val="24"/>
        </w:rPr>
        <w:t>centralised</w:t>
      </w:r>
      <w:proofErr w:type="spellEnd"/>
      <w:r>
        <w:rPr>
          <w:rFonts w:ascii="Arial" w:eastAsia="Calibri" w:hAnsi="Arial" w:cs="Arial"/>
          <w:sz w:val="24"/>
          <w:szCs w:val="24"/>
        </w:rPr>
        <w:t xml:space="preserve"> management with regional flexibility, which improves its brand identity and customer service quality across various locations despite potential challenges. </w:t>
      </w:r>
    </w:p>
    <w:p w14:paraId="1137A2D4"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2.2 Organizational Culture</w:t>
      </w:r>
    </w:p>
    <w:p w14:paraId="1E6E52CB"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corporate culture is </w:t>
      </w:r>
      <w:proofErr w:type="spellStart"/>
      <w:r>
        <w:rPr>
          <w:rFonts w:ascii="Arial" w:eastAsia="Calibri" w:hAnsi="Arial" w:cs="Arial"/>
          <w:sz w:val="24"/>
          <w:szCs w:val="24"/>
        </w:rPr>
        <w:t>characterised</w:t>
      </w:r>
      <w:proofErr w:type="spellEnd"/>
      <w:r>
        <w:rPr>
          <w:rFonts w:ascii="Arial" w:eastAsia="Calibri" w:hAnsi="Arial" w:cs="Arial"/>
          <w:sz w:val="24"/>
          <w:szCs w:val="24"/>
        </w:rPr>
        <w:t xml:space="preserve"> by an explicit focus on customer service and staff involvement, supported by a combination of </w:t>
      </w:r>
      <w:proofErr w:type="spellStart"/>
      <w:r>
        <w:rPr>
          <w:rFonts w:ascii="Arial" w:eastAsia="Calibri" w:hAnsi="Arial" w:cs="Arial"/>
          <w:sz w:val="24"/>
          <w:szCs w:val="24"/>
        </w:rPr>
        <w:t>Handy's</w:t>
      </w:r>
      <w:proofErr w:type="spellEnd"/>
      <w:r>
        <w:rPr>
          <w:rFonts w:ascii="Arial" w:eastAsia="Calibri" w:hAnsi="Arial" w:cs="Arial"/>
          <w:sz w:val="24"/>
          <w:szCs w:val="24"/>
        </w:rPr>
        <w:t xml:space="preserve"> task and person culture types. This dual goal of collaboration and individual empowerment corresponds with </w:t>
      </w:r>
      <w:proofErr w:type="spellStart"/>
      <w:r>
        <w:rPr>
          <w:rFonts w:ascii="Arial" w:eastAsia="Calibri" w:hAnsi="Arial" w:cs="Arial"/>
          <w:sz w:val="24"/>
          <w:szCs w:val="24"/>
        </w:rPr>
        <w:t>Handy's</w:t>
      </w:r>
      <w:proofErr w:type="spellEnd"/>
      <w:r>
        <w:rPr>
          <w:rFonts w:ascii="Arial" w:eastAsia="Calibri" w:hAnsi="Arial" w:cs="Arial"/>
          <w:sz w:val="24"/>
          <w:szCs w:val="24"/>
        </w:rPr>
        <w:t xml:space="preserve"> theory, which classifies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based on power distribution and technical focus (Handy, 2009). Wyndham's dedication to a customer-centric strategy is evident in initiatives focusing on employee welfare and job satisfaction, fostering a supportive work environment that improves service delivery (</w:t>
      </w:r>
      <w:proofErr w:type="spellStart"/>
      <w:r>
        <w:rPr>
          <w:rFonts w:ascii="Arial" w:eastAsia="Calibri" w:hAnsi="Arial" w:cs="Arial"/>
          <w:sz w:val="24"/>
          <w:szCs w:val="24"/>
        </w:rPr>
        <w:t>Heis</w:t>
      </w:r>
      <w:proofErr w:type="spellEnd"/>
      <w:r>
        <w:rPr>
          <w:rFonts w:ascii="Arial" w:eastAsia="Calibri" w:hAnsi="Arial" w:cs="Arial"/>
          <w:sz w:val="24"/>
          <w:szCs w:val="24"/>
        </w:rPr>
        <w:t>, 2006).</w:t>
      </w:r>
    </w:p>
    <w:p w14:paraId="3BF78D3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According to Schein’s model of culture, Wyndham’s fundamental principles are integrated within its espoused values and foundational assumptions, highlighting hospitality excellence and community involvement [(Schein, 2024)]. This cultural framework shapes employee conduct and inspires them to maintain elevated standards, as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practices consistently bolster a collective dedication to quality and customer service. </w:t>
      </w:r>
    </w:p>
    <w:p w14:paraId="096AFCEE" w14:textId="73451305"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lastRenderedPageBreak/>
        <w:t>Adopting flexible work policies exemplifies Wyndham's adaptive culture, generating a supportive environment that supports the demands of employees (</w:t>
      </w:r>
      <w:proofErr w:type="spellStart"/>
      <w:r>
        <w:rPr>
          <w:rFonts w:ascii="Arial" w:eastAsia="Calibri" w:hAnsi="Arial" w:cs="Arial"/>
          <w:sz w:val="24"/>
          <w:szCs w:val="24"/>
        </w:rPr>
        <w:t>Youn</w:t>
      </w:r>
      <w:proofErr w:type="spellEnd"/>
      <w:r>
        <w:rPr>
          <w:rFonts w:ascii="Arial" w:eastAsia="Calibri" w:hAnsi="Arial" w:cs="Arial"/>
          <w:sz w:val="24"/>
          <w:szCs w:val="24"/>
        </w:rPr>
        <w:t xml:space="preserve"> and Kim, 2022).</w:t>
      </w:r>
    </w:p>
    <w:p w14:paraId="6875FF5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The congruence of Wyndham’s culture with its strategic objectives is manifested in its dual branding strategy, which promotes operational coherence and cultural uniformity across its diverse brands (</w:t>
      </w:r>
      <w:proofErr w:type="spellStart"/>
      <w:r>
        <w:rPr>
          <w:rFonts w:ascii="Arial" w:eastAsia="Calibri" w:hAnsi="Arial" w:cs="Arial"/>
          <w:sz w:val="24"/>
          <w:szCs w:val="24"/>
        </w:rPr>
        <w:t>Ronzoni</w:t>
      </w:r>
      <w:proofErr w:type="spellEnd"/>
      <w:r>
        <w:rPr>
          <w:rFonts w:ascii="Arial" w:eastAsia="Calibri" w:hAnsi="Arial" w:cs="Arial"/>
          <w:sz w:val="24"/>
          <w:szCs w:val="24"/>
        </w:rPr>
        <w:t xml:space="preserve"> et al., 2018). This culture presents challenges, especially in combining local cultural norms with preserving brand standards. Wyndham enhances its global brand reputation and improves employee retention and customer loyalty by building a collective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identity that appreciates corporate and local cultural aspects (Martínez et al., 2014). </w:t>
      </w:r>
    </w:p>
    <w:p w14:paraId="11D288E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54D9B70A"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2.3 Goals at Corporate and Individual Hotel Levels</w:t>
      </w:r>
    </w:p>
    <w:p w14:paraId="3F4FE747"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corporate objectives focus on sustainable growth, customer satisfaction, and employee engagement. Hsieh (2012) observes that Wyndham is dedicated to ecological responsibility by incorporating eco-friendly practices across its properties. At the individual hotel level, Wyndham aims to improve guest experiences via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service and local </w:t>
      </w:r>
      <w:proofErr w:type="spellStart"/>
      <w:r>
        <w:rPr>
          <w:rFonts w:ascii="Arial" w:eastAsia="Calibri" w:hAnsi="Arial" w:cs="Arial"/>
          <w:sz w:val="24"/>
          <w:szCs w:val="24"/>
        </w:rPr>
        <w:t>customisation</w:t>
      </w:r>
      <w:proofErr w:type="spellEnd"/>
      <w:r>
        <w:rPr>
          <w:rFonts w:ascii="Arial" w:eastAsia="Calibri" w:hAnsi="Arial" w:cs="Arial"/>
          <w:sz w:val="24"/>
          <w:szCs w:val="24"/>
        </w:rPr>
        <w:t xml:space="preserve"> facilitated by adaptable operational frameworks. This strategy demonstrates the company's simultaneous emphasis on corporate objectives and </w:t>
      </w:r>
      <w:proofErr w:type="spellStart"/>
      <w:r>
        <w:rPr>
          <w:rFonts w:ascii="Arial" w:eastAsia="Calibri" w:hAnsi="Arial" w:cs="Arial"/>
          <w:sz w:val="24"/>
          <w:szCs w:val="24"/>
        </w:rPr>
        <w:t>localised</w:t>
      </w:r>
      <w:proofErr w:type="spellEnd"/>
      <w:r>
        <w:rPr>
          <w:rFonts w:ascii="Arial" w:eastAsia="Calibri" w:hAnsi="Arial" w:cs="Arial"/>
          <w:sz w:val="24"/>
          <w:szCs w:val="24"/>
        </w:rPr>
        <w:t xml:space="preserve"> customer requirements, guaranteeing that each property corresponds with overall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aims while addressing particular market needs.</w:t>
      </w:r>
    </w:p>
    <w:p w14:paraId="7768772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culture, and objectives are strategically managed to balance consistent global branding with local adaptability. Wyndham's hybrid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and ingrained cultural values enable it to align corporate goals with individual hotel requirements, cultivating a consistent and flexible brand identity throughout its global portfolio. </w:t>
      </w:r>
    </w:p>
    <w:p w14:paraId="48B4F648" w14:textId="77777777" w:rsidR="00BD162D" w:rsidRDefault="00BD162D" w:rsidP="00BD162D">
      <w:pPr>
        <w:spacing w:line="360" w:lineRule="auto"/>
        <w:jc w:val="both"/>
        <w:rPr>
          <w:rFonts w:ascii="Arial" w:eastAsia="Calibri" w:hAnsi="Arial" w:cs="Arial"/>
          <w:sz w:val="24"/>
          <w:szCs w:val="24"/>
        </w:rPr>
      </w:pPr>
    </w:p>
    <w:p w14:paraId="3001960D" w14:textId="77777777" w:rsidR="00BD162D" w:rsidRDefault="00BD162D" w:rsidP="00BD162D">
      <w:pPr>
        <w:spacing w:line="360" w:lineRule="auto"/>
        <w:jc w:val="both"/>
        <w:rPr>
          <w:rFonts w:ascii="Arial" w:eastAsia="Calibri" w:hAnsi="Arial" w:cs="Arial"/>
          <w:sz w:val="24"/>
          <w:szCs w:val="24"/>
        </w:rPr>
      </w:pPr>
    </w:p>
    <w:p w14:paraId="1F4FCE6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br/>
      </w:r>
    </w:p>
    <w:p w14:paraId="7DB0876E" w14:textId="64D37581"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3. Recent Change Initiatives</w:t>
      </w:r>
    </w:p>
    <w:p w14:paraId="78488CDB"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3.1 Description of Recent Initiatives</w:t>
      </w:r>
    </w:p>
    <w:p w14:paraId="12509E2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has recently implemented notable change initiatives, especially in expanding its extended-stay segment and promoting sustainability efforts. The launch of ECHO Suites Extended Stay by Wyndham® represents a significant development, as it is the company’s fastest-growing brand designed to meet the increasing demand for extended-stay accommodations (Wyndham, 2024). ECHO Suites provides home-like amenities, including full kitchens and spacious living areas for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needing extended accommodations. This expansion corresponds with the broader industry trend of accommodating guests who desire flexibility and enhanced in-room amenities, indicating a strategic shift to attract a new customer demographic (Chen, 2015). </w:t>
      </w:r>
      <w:r>
        <w:rPr>
          <w:rFonts w:ascii="Arial" w:eastAsia="Calibri" w:hAnsi="Arial" w:cs="Arial"/>
          <w:sz w:val="24"/>
          <w:szCs w:val="24"/>
        </w:rPr>
        <w:br/>
        <w:t>Wyndham has strengthened its dedication to environmental sustainability by adopting eco-friendly practices across its properties, including energy-efficient systems and waste-reduction strategies. These practices align with Wyndham's corporate social responsibility objectives and address the expectations of environmentally conscious guests (</w:t>
      </w:r>
      <w:proofErr w:type="spellStart"/>
      <w:r>
        <w:rPr>
          <w:rFonts w:ascii="Arial" w:eastAsia="Calibri" w:hAnsi="Arial" w:cs="Arial"/>
          <w:sz w:val="24"/>
          <w:szCs w:val="24"/>
        </w:rPr>
        <w:t>Eskerod</w:t>
      </w:r>
      <w:proofErr w:type="spellEnd"/>
      <w:r>
        <w:rPr>
          <w:rFonts w:ascii="Arial" w:eastAsia="Calibri" w:hAnsi="Arial" w:cs="Arial"/>
          <w:sz w:val="24"/>
          <w:szCs w:val="24"/>
        </w:rPr>
        <w:t xml:space="preserve"> et al., 2019). Wyndham's strategy reflects broader trends in the hotel industry as companies increasingly adopt eco-innovations to lower operational costs and enhance customer loyalty (Kang et al., 2012).</w:t>
      </w:r>
    </w:p>
    <w:p w14:paraId="39D0FE7D"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Wyndham’s process, </w:t>
      </w:r>
      <w:proofErr w:type="spellStart"/>
      <w:r>
        <w:rPr>
          <w:rFonts w:ascii="Arial" w:eastAsia="Calibri" w:hAnsi="Arial" w:cs="Arial"/>
          <w:sz w:val="24"/>
          <w:szCs w:val="24"/>
        </w:rPr>
        <w:t>analysed</w:t>
      </w:r>
      <w:proofErr w:type="spellEnd"/>
      <w:r>
        <w:rPr>
          <w:rFonts w:ascii="Arial" w:eastAsia="Calibri" w:hAnsi="Arial" w:cs="Arial"/>
          <w:sz w:val="24"/>
          <w:szCs w:val="24"/>
        </w:rPr>
        <w:t xml:space="preserve"> through Lewin's change model, consists of three phases: unfreezing, which involved </w:t>
      </w:r>
      <w:proofErr w:type="spellStart"/>
      <w:r>
        <w:rPr>
          <w:rFonts w:ascii="Arial" w:eastAsia="Calibri" w:hAnsi="Arial" w:cs="Arial"/>
          <w:sz w:val="24"/>
          <w:szCs w:val="24"/>
        </w:rPr>
        <w:t>recognising</w:t>
      </w:r>
      <w:proofErr w:type="spellEnd"/>
      <w:r>
        <w:rPr>
          <w:rFonts w:ascii="Arial" w:eastAsia="Calibri" w:hAnsi="Arial" w:cs="Arial"/>
          <w:sz w:val="24"/>
          <w:szCs w:val="24"/>
        </w:rPr>
        <w:t xml:space="preserve"> the necessity for a presence in the extended-stay market and enhanced sustainability; changing, </w:t>
      </w:r>
      <w:proofErr w:type="spellStart"/>
      <w:r>
        <w:rPr>
          <w:rFonts w:ascii="Arial" w:eastAsia="Calibri" w:hAnsi="Arial" w:cs="Arial"/>
          <w:sz w:val="24"/>
          <w:szCs w:val="24"/>
        </w:rPr>
        <w:t>characterised</w:t>
      </w:r>
      <w:proofErr w:type="spellEnd"/>
      <w:r>
        <w:rPr>
          <w:rFonts w:ascii="Arial" w:eastAsia="Calibri" w:hAnsi="Arial" w:cs="Arial"/>
          <w:sz w:val="24"/>
          <w:szCs w:val="24"/>
        </w:rPr>
        <w:t xml:space="preserve"> by the introduction of the ECHO Suites brand and the implementation of sustainable operational practices; and refreezing, achieved via employee training and the integration of new operational standards (Chan, 2021). This systematic method promotes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consistency and </w:t>
      </w:r>
      <w:proofErr w:type="spellStart"/>
      <w:r>
        <w:rPr>
          <w:rFonts w:ascii="Arial" w:eastAsia="Calibri" w:hAnsi="Arial" w:cs="Arial"/>
          <w:sz w:val="24"/>
          <w:szCs w:val="24"/>
        </w:rPr>
        <w:t>minimises</w:t>
      </w:r>
      <w:proofErr w:type="spellEnd"/>
      <w:r>
        <w:rPr>
          <w:rFonts w:ascii="Arial" w:eastAsia="Calibri" w:hAnsi="Arial" w:cs="Arial"/>
          <w:sz w:val="24"/>
          <w:szCs w:val="24"/>
        </w:rPr>
        <w:t xml:space="preserve"> resistance through the progressive implementation of changes. </w:t>
      </w:r>
    </w:p>
    <w:p w14:paraId="21BFC89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2DAA03EF" w14:textId="77777777" w:rsidR="00940E2C" w:rsidRDefault="00940E2C" w:rsidP="00BD162D">
      <w:pPr>
        <w:spacing w:line="360" w:lineRule="auto"/>
        <w:jc w:val="both"/>
        <w:rPr>
          <w:rFonts w:ascii="Arial" w:eastAsia="Calibri" w:hAnsi="Arial" w:cs="Arial"/>
          <w:b/>
          <w:bCs/>
          <w:sz w:val="24"/>
          <w:szCs w:val="24"/>
        </w:rPr>
      </w:pPr>
    </w:p>
    <w:p w14:paraId="4F08BC58" w14:textId="77777777" w:rsidR="00940E2C" w:rsidRDefault="00940E2C" w:rsidP="00BD162D">
      <w:pPr>
        <w:spacing w:line="360" w:lineRule="auto"/>
        <w:jc w:val="both"/>
        <w:rPr>
          <w:rFonts w:ascii="Arial" w:eastAsia="Calibri" w:hAnsi="Arial" w:cs="Arial"/>
          <w:b/>
          <w:bCs/>
          <w:sz w:val="24"/>
          <w:szCs w:val="24"/>
        </w:rPr>
      </w:pPr>
    </w:p>
    <w:p w14:paraId="557F381F" w14:textId="6E65B61F"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3.2 Impact of Change Initiatives</w:t>
      </w:r>
    </w:p>
    <w:p w14:paraId="0C98F35A"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recent changes implemented by Wyndham have led to positive outcomes, facilitating growth and improving efficiency in operations. The expansion into the extended-stay market has enabled Wyndham to attract a new segment of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leading to increased occupancy rates and revenues (Wyndham, 2024). Sustainable practices have contributed to the company's reputation among environmentally conscious </w:t>
      </w:r>
      <w:proofErr w:type="spellStart"/>
      <w:r>
        <w:rPr>
          <w:rFonts w:ascii="Arial" w:eastAsia="Calibri" w:hAnsi="Arial" w:cs="Arial"/>
          <w:sz w:val="24"/>
          <w:szCs w:val="24"/>
        </w:rPr>
        <w:t>travellers</w:t>
      </w:r>
      <w:proofErr w:type="spellEnd"/>
      <w:r>
        <w:rPr>
          <w:rFonts w:ascii="Arial" w:eastAsia="Calibri" w:hAnsi="Arial" w:cs="Arial"/>
          <w:sz w:val="24"/>
          <w:szCs w:val="24"/>
        </w:rPr>
        <w:t xml:space="preserve"> and reduced operational expenses through energy savings (Menezes and </w:t>
      </w:r>
      <w:proofErr w:type="spellStart"/>
      <w:r>
        <w:rPr>
          <w:rFonts w:ascii="Arial" w:eastAsia="Calibri" w:hAnsi="Arial" w:cs="Arial"/>
          <w:sz w:val="24"/>
          <w:szCs w:val="24"/>
        </w:rPr>
        <w:t>Cavagnaro</w:t>
      </w:r>
      <w:proofErr w:type="spellEnd"/>
      <w:r>
        <w:rPr>
          <w:rFonts w:ascii="Arial" w:eastAsia="Calibri" w:hAnsi="Arial" w:cs="Arial"/>
          <w:sz w:val="24"/>
          <w:szCs w:val="24"/>
        </w:rPr>
        <w:t xml:space="preserve">, 2021). </w:t>
      </w:r>
      <w:r>
        <w:rPr>
          <w:rFonts w:ascii="Arial" w:eastAsia="Calibri" w:hAnsi="Arial" w:cs="Arial"/>
          <w:sz w:val="24"/>
          <w:szCs w:val="24"/>
        </w:rPr>
        <w:br/>
        <w:t xml:space="preserve">Despite the success, challenges in implementing these changes, including employee adaptation and potential resistance, necessitated careful management. Resistance theories, exemplified by Ford and Ford’s (2012) model, highlight the importance of employee engagement and transparent communication in mitigating resistance and promoting adaptation (Ford and Ford, 2012). Wyndham addressed these concerns by providing comprehensive training for employees and highlighting the long-term benefits of the changes, which contributed to maintaining operational flexibility and staff morale. </w:t>
      </w:r>
    </w:p>
    <w:p w14:paraId="62BC815C"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74BB9311" w14:textId="77777777"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t>3.3 Change Management Effectiveness</w:t>
      </w:r>
    </w:p>
    <w:p w14:paraId="5B05DB8D"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Wyndham's change management strategy has proven effective and is mainly attributable to robust leadership support, clear communication, and active employee participation. Leadership was essential in ensuring a seamless transition and aligning the workforce with new initiatives, including sustainability and extended-stay offerings. These strategies are crucial for securing employee support and facilitating the sustained success of these changes. Continuous feedback from employees and stakeholders can enhance these initiatives by identifying further areas for improvement and sustaining ongoing engagement (Kang et al., 2012).</w:t>
      </w:r>
    </w:p>
    <w:p w14:paraId="0AC48B1D" w14:textId="77777777" w:rsidR="00BD162D" w:rsidRDefault="00BD162D" w:rsidP="00BD162D">
      <w:pPr>
        <w:spacing w:after="0" w:line="360" w:lineRule="auto"/>
        <w:jc w:val="both"/>
        <w:rPr>
          <w:rFonts w:ascii="Arial" w:eastAsia="Calibri" w:hAnsi="Arial" w:cs="Arial"/>
          <w:sz w:val="24"/>
          <w:szCs w:val="24"/>
        </w:rPr>
      </w:pPr>
      <w:r>
        <w:rPr>
          <w:rFonts w:ascii="Arial" w:eastAsia="Calibri" w:hAnsi="Arial" w:cs="Arial"/>
          <w:sz w:val="24"/>
          <w:szCs w:val="24"/>
        </w:rPr>
        <w:t xml:space="preserve">Wyndham employs a structured approach and ongoing investment in employee and operational development, showcasing a solid change management process that enables effective adaptation to the changing demands of the hospitality industry. </w:t>
      </w:r>
    </w:p>
    <w:p w14:paraId="765A8AE6" w14:textId="77777777" w:rsidR="00940E2C" w:rsidRDefault="00940E2C" w:rsidP="00BD162D">
      <w:pPr>
        <w:spacing w:line="360" w:lineRule="auto"/>
        <w:jc w:val="both"/>
        <w:rPr>
          <w:rFonts w:ascii="Arial" w:eastAsia="Calibri" w:hAnsi="Arial" w:cs="Arial"/>
          <w:b/>
          <w:bCs/>
          <w:sz w:val="24"/>
          <w:szCs w:val="24"/>
        </w:rPr>
      </w:pPr>
    </w:p>
    <w:p w14:paraId="40F685A4" w14:textId="77777777" w:rsidR="00940E2C" w:rsidRDefault="00940E2C" w:rsidP="00BD162D">
      <w:pPr>
        <w:spacing w:line="360" w:lineRule="auto"/>
        <w:jc w:val="both"/>
        <w:rPr>
          <w:rFonts w:ascii="Arial" w:eastAsia="Calibri" w:hAnsi="Arial" w:cs="Arial"/>
          <w:b/>
          <w:bCs/>
          <w:sz w:val="24"/>
          <w:szCs w:val="24"/>
        </w:rPr>
      </w:pPr>
    </w:p>
    <w:p w14:paraId="311997AD" w14:textId="0A8F9291"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4.2 Strategies for Achieving Long-Term Objectives</w:t>
      </w:r>
    </w:p>
    <w:p w14:paraId="3DDC8DE8"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uses various strategies to achieve its long-term goals, focusing on market growth and digital innovation. Wyndham has achieved global expansion through its franchising model, sustaining a substantial portfolio of brands across diverse market segments. This strategy enables Wyndham to maintain a relatively asset-light framework; </w:t>
      </w:r>
      <w:proofErr w:type="spellStart"/>
      <w:r>
        <w:rPr>
          <w:rFonts w:ascii="Arial" w:eastAsia="Calibri" w:hAnsi="Arial" w:cs="Arial"/>
          <w:sz w:val="24"/>
          <w:szCs w:val="24"/>
        </w:rPr>
        <w:t>minimising</w:t>
      </w:r>
      <w:proofErr w:type="spellEnd"/>
      <w:r>
        <w:rPr>
          <w:rFonts w:ascii="Arial" w:eastAsia="Calibri" w:hAnsi="Arial" w:cs="Arial"/>
          <w:sz w:val="24"/>
          <w:szCs w:val="24"/>
        </w:rPr>
        <w:t xml:space="preserve"> capital investment needs while boosting global brand visibility (</w:t>
      </w:r>
      <w:proofErr w:type="spellStart"/>
      <w:r>
        <w:rPr>
          <w:rFonts w:ascii="Arial" w:eastAsia="Calibri" w:hAnsi="Arial" w:cs="Arial"/>
          <w:sz w:val="24"/>
          <w:szCs w:val="24"/>
        </w:rPr>
        <w:t>Krupskyi</w:t>
      </w:r>
      <w:proofErr w:type="spellEnd"/>
      <w:r>
        <w:rPr>
          <w:rFonts w:ascii="Arial" w:eastAsia="Calibri" w:hAnsi="Arial" w:cs="Arial"/>
          <w:sz w:val="24"/>
          <w:szCs w:val="24"/>
        </w:rPr>
        <w:t xml:space="preserve"> et al., 2017). This model supports Wyndham's strategy to enter emerging markets more flexibly and efficiently by </w:t>
      </w:r>
      <w:proofErr w:type="spellStart"/>
      <w:r>
        <w:rPr>
          <w:rFonts w:ascii="Arial" w:eastAsia="Calibri" w:hAnsi="Arial" w:cs="Arial"/>
          <w:sz w:val="24"/>
          <w:szCs w:val="24"/>
        </w:rPr>
        <w:t>utilising</w:t>
      </w:r>
      <w:proofErr w:type="spellEnd"/>
      <w:r>
        <w:rPr>
          <w:rFonts w:ascii="Arial" w:eastAsia="Calibri" w:hAnsi="Arial" w:cs="Arial"/>
          <w:sz w:val="24"/>
          <w:szCs w:val="24"/>
        </w:rPr>
        <w:t xml:space="preserve"> local market knowledge via franchisees (Chen and </w:t>
      </w:r>
      <w:proofErr w:type="spellStart"/>
      <w:r>
        <w:rPr>
          <w:rFonts w:ascii="Arial" w:eastAsia="Calibri" w:hAnsi="Arial" w:cs="Arial"/>
          <w:sz w:val="24"/>
          <w:szCs w:val="24"/>
        </w:rPr>
        <w:t>Dimou</w:t>
      </w:r>
      <w:proofErr w:type="spellEnd"/>
      <w:r>
        <w:rPr>
          <w:rFonts w:ascii="Arial" w:eastAsia="Calibri" w:hAnsi="Arial" w:cs="Arial"/>
          <w:sz w:val="24"/>
          <w:szCs w:val="24"/>
        </w:rPr>
        <w:t>, 2005).</w:t>
      </w:r>
    </w:p>
    <w:p w14:paraId="513CD0C0"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has executed comprehensive digital marketing and customer network strategies, improving engagement and brand loyalty. Digital innovations, including Search Engine </w:t>
      </w:r>
      <w:proofErr w:type="spellStart"/>
      <w:r>
        <w:rPr>
          <w:rFonts w:ascii="Arial" w:eastAsia="Calibri" w:hAnsi="Arial" w:cs="Arial"/>
          <w:sz w:val="24"/>
          <w:szCs w:val="24"/>
        </w:rPr>
        <w:t>Optimisation</w:t>
      </w:r>
      <w:proofErr w:type="spellEnd"/>
      <w:r>
        <w:rPr>
          <w:rFonts w:ascii="Arial" w:eastAsia="Calibri" w:hAnsi="Arial" w:cs="Arial"/>
          <w:sz w:val="24"/>
          <w:szCs w:val="24"/>
        </w:rPr>
        <w:t xml:space="preserve"> (SEO) and social media strategies, enable Wyndham to effectively reach a broader audience while improving the guest experience through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interactions and the management of online reviews (</w:t>
      </w:r>
      <w:proofErr w:type="spellStart"/>
      <w:r>
        <w:rPr>
          <w:rFonts w:ascii="Arial" w:eastAsia="Calibri" w:hAnsi="Arial" w:cs="Arial"/>
          <w:sz w:val="24"/>
          <w:szCs w:val="24"/>
        </w:rPr>
        <w:t>Dieguez</w:t>
      </w:r>
      <w:proofErr w:type="spellEnd"/>
      <w:r>
        <w:rPr>
          <w:rFonts w:ascii="Arial" w:eastAsia="Calibri" w:hAnsi="Arial" w:cs="Arial"/>
          <w:sz w:val="24"/>
          <w:szCs w:val="24"/>
        </w:rPr>
        <w:t xml:space="preserve"> et al., 2021). Wyndham's implementation of digital revenue management systems facilitates efficient decision-making and </w:t>
      </w:r>
      <w:proofErr w:type="spellStart"/>
      <w:r>
        <w:rPr>
          <w:rFonts w:ascii="Arial" w:eastAsia="Calibri" w:hAnsi="Arial" w:cs="Arial"/>
          <w:sz w:val="24"/>
          <w:szCs w:val="24"/>
        </w:rPr>
        <w:t>optimised</w:t>
      </w:r>
      <w:proofErr w:type="spellEnd"/>
      <w:r>
        <w:rPr>
          <w:rFonts w:ascii="Arial" w:eastAsia="Calibri" w:hAnsi="Arial" w:cs="Arial"/>
          <w:sz w:val="24"/>
          <w:szCs w:val="24"/>
        </w:rPr>
        <w:t xml:space="preserve"> pricing strategies, which are essential for sustaining competitive positioning in a rapidly changing digital environment (</w:t>
      </w:r>
      <w:proofErr w:type="spellStart"/>
      <w:r>
        <w:rPr>
          <w:rFonts w:ascii="Arial" w:eastAsia="Calibri" w:hAnsi="Arial" w:cs="Arial"/>
          <w:sz w:val="24"/>
          <w:szCs w:val="24"/>
        </w:rPr>
        <w:t>Alrawadieh</w:t>
      </w:r>
      <w:proofErr w:type="spellEnd"/>
      <w:r>
        <w:rPr>
          <w:rFonts w:ascii="Arial" w:eastAsia="Calibri" w:hAnsi="Arial" w:cs="Arial"/>
          <w:sz w:val="24"/>
          <w:szCs w:val="24"/>
        </w:rPr>
        <w:t xml:space="preserve"> et al., 2020).</w:t>
      </w:r>
    </w:p>
    <w:p w14:paraId="25213CEE"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The economic feasibility of these strategies is demonstrated by Wyndham's robust brand presence and financial results. The franchising model facilitates scalability and reduces financial risk, while digital innovations correspond with consumer trends </w:t>
      </w:r>
      <w:proofErr w:type="spellStart"/>
      <w:r>
        <w:rPr>
          <w:rFonts w:ascii="Arial" w:eastAsia="Calibri" w:hAnsi="Arial" w:cs="Arial"/>
          <w:sz w:val="24"/>
          <w:szCs w:val="24"/>
        </w:rPr>
        <w:t>favouring</w:t>
      </w:r>
      <w:proofErr w:type="spellEnd"/>
      <w:r>
        <w:rPr>
          <w:rFonts w:ascii="Arial" w:eastAsia="Calibri" w:hAnsi="Arial" w:cs="Arial"/>
          <w:sz w:val="24"/>
          <w:szCs w:val="24"/>
        </w:rPr>
        <w:t xml:space="preserve"> online engagement and </w:t>
      </w:r>
      <w:proofErr w:type="spellStart"/>
      <w:r>
        <w:rPr>
          <w:rFonts w:ascii="Arial" w:eastAsia="Calibri" w:hAnsi="Arial" w:cs="Arial"/>
          <w:sz w:val="24"/>
          <w:szCs w:val="24"/>
        </w:rPr>
        <w:t>personalised</w:t>
      </w:r>
      <w:proofErr w:type="spellEnd"/>
      <w:r>
        <w:rPr>
          <w:rFonts w:ascii="Arial" w:eastAsia="Calibri" w:hAnsi="Arial" w:cs="Arial"/>
          <w:sz w:val="24"/>
          <w:szCs w:val="24"/>
        </w:rPr>
        <w:t xml:space="preserve"> service. The strategies are underpinned by effective resource allocation, with Wyndham </w:t>
      </w:r>
      <w:proofErr w:type="spellStart"/>
      <w:r>
        <w:rPr>
          <w:rFonts w:ascii="Arial" w:eastAsia="Calibri" w:hAnsi="Arial" w:cs="Arial"/>
          <w:sz w:val="24"/>
          <w:szCs w:val="24"/>
        </w:rPr>
        <w:t>focussing</w:t>
      </w:r>
      <w:proofErr w:type="spellEnd"/>
      <w:r>
        <w:rPr>
          <w:rFonts w:ascii="Arial" w:eastAsia="Calibri" w:hAnsi="Arial" w:cs="Arial"/>
          <w:sz w:val="24"/>
          <w:szCs w:val="24"/>
        </w:rPr>
        <w:t xml:space="preserve"> on technology and franchisee support, aligning with its corporate objectives of sustainable growth and global expansion. </w:t>
      </w:r>
    </w:p>
    <w:p w14:paraId="072B2E83"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67FDFDC7" w14:textId="77777777" w:rsidR="007335D8" w:rsidRDefault="007335D8" w:rsidP="00BD162D">
      <w:pPr>
        <w:spacing w:line="360" w:lineRule="auto"/>
        <w:jc w:val="both"/>
        <w:rPr>
          <w:rFonts w:ascii="Arial" w:eastAsia="Calibri" w:hAnsi="Arial" w:cs="Arial"/>
          <w:b/>
          <w:bCs/>
          <w:sz w:val="24"/>
          <w:szCs w:val="24"/>
        </w:rPr>
      </w:pPr>
    </w:p>
    <w:p w14:paraId="3DB37AFD" w14:textId="77777777" w:rsidR="007335D8" w:rsidRDefault="007335D8" w:rsidP="00BD162D">
      <w:pPr>
        <w:spacing w:line="360" w:lineRule="auto"/>
        <w:jc w:val="both"/>
        <w:rPr>
          <w:rFonts w:ascii="Arial" w:eastAsia="Calibri" w:hAnsi="Arial" w:cs="Arial"/>
          <w:b/>
          <w:bCs/>
          <w:sz w:val="24"/>
          <w:szCs w:val="24"/>
        </w:rPr>
      </w:pPr>
    </w:p>
    <w:p w14:paraId="7CA08E67" w14:textId="77777777" w:rsidR="007335D8" w:rsidRDefault="007335D8" w:rsidP="00BD162D">
      <w:pPr>
        <w:spacing w:line="360" w:lineRule="auto"/>
        <w:jc w:val="both"/>
        <w:rPr>
          <w:rFonts w:ascii="Arial" w:eastAsia="Calibri" w:hAnsi="Arial" w:cs="Arial"/>
          <w:b/>
          <w:bCs/>
          <w:sz w:val="24"/>
          <w:szCs w:val="24"/>
        </w:rPr>
      </w:pPr>
    </w:p>
    <w:p w14:paraId="034865F5" w14:textId="77777777" w:rsidR="007335D8" w:rsidRDefault="007335D8" w:rsidP="00BD162D">
      <w:pPr>
        <w:spacing w:line="360" w:lineRule="auto"/>
        <w:jc w:val="both"/>
        <w:rPr>
          <w:rFonts w:ascii="Arial" w:eastAsia="Calibri" w:hAnsi="Arial" w:cs="Arial"/>
          <w:b/>
          <w:bCs/>
          <w:sz w:val="24"/>
          <w:szCs w:val="24"/>
        </w:rPr>
      </w:pPr>
    </w:p>
    <w:p w14:paraId="1EA405F9" w14:textId="36840F36" w:rsidR="00BD162D" w:rsidRDefault="00BD162D" w:rsidP="00BD162D">
      <w:pPr>
        <w:spacing w:line="360" w:lineRule="auto"/>
        <w:jc w:val="both"/>
        <w:rPr>
          <w:rFonts w:ascii="Arial" w:eastAsia="Calibri" w:hAnsi="Arial" w:cs="Arial"/>
          <w:b/>
          <w:bCs/>
          <w:sz w:val="24"/>
          <w:szCs w:val="24"/>
        </w:rPr>
      </w:pPr>
      <w:r>
        <w:rPr>
          <w:rFonts w:ascii="Arial" w:eastAsia="Calibri" w:hAnsi="Arial" w:cs="Arial"/>
          <w:b/>
          <w:bCs/>
          <w:sz w:val="24"/>
          <w:szCs w:val="24"/>
        </w:rPr>
        <w:lastRenderedPageBreak/>
        <w:t>5. Recommendations</w:t>
      </w:r>
    </w:p>
    <w:p w14:paraId="1585E5A5"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Wyndham Hotels &amp; Resorts may consider implementing the following recommendations to improve its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operational efficiency, and strategic focus:</w:t>
      </w:r>
    </w:p>
    <w:p w14:paraId="4CC7A9A8" w14:textId="77777777" w:rsidR="00BD162D" w:rsidRDefault="00BD162D" w:rsidP="00BD162D">
      <w:pPr>
        <w:numPr>
          <w:ilvl w:val="0"/>
          <w:numId w:val="2"/>
        </w:numPr>
        <w:spacing w:before="100" w:beforeAutospacing="1" w:after="0" w:line="360" w:lineRule="auto"/>
        <w:jc w:val="both"/>
        <w:rPr>
          <w:rFonts w:ascii="Arial" w:eastAsia="Calibri" w:hAnsi="Arial" w:cs="Arial"/>
          <w:sz w:val="24"/>
          <w:szCs w:val="24"/>
        </w:rPr>
      </w:pPr>
      <w:r>
        <w:rPr>
          <w:rFonts w:ascii="Arial" w:eastAsia="Calibri" w:hAnsi="Arial" w:cs="Arial"/>
          <w:b/>
          <w:bCs/>
          <w:sz w:val="24"/>
          <w:szCs w:val="24"/>
        </w:rPr>
        <w:t>Strengthen Organizational Culture</w:t>
      </w:r>
      <w:r>
        <w:rPr>
          <w:rFonts w:ascii="Arial" w:eastAsia="Calibri" w:hAnsi="Arial" w:cs="Arial"/>
          <w:sz w:val="24"/>
          <w:szCs w:val="24"/>
        </w:rPr>
        <w:t xml:space="preserve">: Wyndham must </w:t>
      </w:r>
      <w:proofErr w:type="spellStart"/>
      <w:r>
        <w:rPr>
          <w:rFonts w:ascii="Arial" w:eastAsia="Calibri" w:hAnsi="Arial" w:cs="Arial"/>
          <w:sz w:val="24"/>
          <w:szCs w:val="24"/>
        </w:rPr>
        <w:t>prioritise</w:t>
      </w:r>
      <w:proofErr w:type="spellEnd"/>
      <w:r>
        <w:rPr>
          <w:rFonts w:ascii="Arial" w:eastAsia="Calibri" w:hAnsi="Arial" w:cs="Arial"/>
          <w:sz w:val="24"/>
          <w:szCs w:val="24"/>
        </w:rPr>
        <w:t xml:space="preserve"> employee empowerment and cultivate an inclusive culture that ensures staff feel valued and motivated to contribute. Empowering leadership enhances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commitment and voice </w:t>
      </w:r>
      <w:proofErr w:type="spellStart"/>
      <w:r>
        <w:rPr>
          <w:rFonts w:ascii="Arial" w:eastAsia="Calibri" w:hAnsi="Arial" w:cs="Arial"/>
          <w:sz w:val="24"/>
          <w:szCs w:val="24"/>
        </w:rPr>
        <w:t>behaviour</w:t>
      </w:r>
      <w:proofErr w:type="spellEnd"/>
      <w:r>
        <w:rPr>
          <w:rFonts w:ascii="Arial" w:eastAsia="Calibri" w:hAnsi="Arial" w:cs="Arial"/>
          <w:sz w:val="24"/>
          <w:szCs w:val="24"/>
        </w:rPr>
        <w:t>, resulting in proactive problem-solving and improved customer service (</w:t>
      </w:r>
      <w:proofErr w:type="spellStart"/>
      <w:r>
        <w:rPr>
          <w:rFonts w:ascii="Arial" w:eastAsia="Calibri" w:hAnsi="Arial" w:cs="Arial"/>
          <w:sz w:val="24"/>
          <w:szCs w:val="24"/>
        </w:rPr>
        <w:t>Raub</w:t>
      </w:r>
      <w:proofErr w:type="spellEnd"/>
      <w:r>
        <w:rPr>
          <w:rFonts w:ascii="Arial" w:eastAsia="Calibri" w:hAnsi="Arial" w:cs="Arial"/>
          <w:sz w:val="24"/>
          <w:szCs w:val="24"/>
        </w:rPr>
        <w:t xml:space="preserve"> and Robert, 2013).</w:t>
      </w:r>
    </w:p>
    <w:p w14:paraId="22C46D25" w14:textId="77777777" w:rsidR="00BD162D" w:rsidRDefault="00BD162D" w:rsidP="00BD162D">
      <w:pPr>
        <w:spacing w:after="0" w:line="360" w:lineRule="auto"/>
        <w:ind w:left="720"/>
        <w:jc w:val="both"/>
        <w:rPr>
          <w:rFonts w:ascii="Arial" w:eastAsia="Calibri" w:hAnsi="Arial" w:cs="Arial"/>
          <w:sz w:val="24"/>
          <w:szCs w:val="24"/>
        </w:rPr>
      </w:pPr>
      <w:r>
        <w:rPr>
          <w:rFonts w:ascii="Arial" w:eastAsia="Calibri" w:hAnsi="Arial" w:cs="Arial"/>
          <w:sz w:val="24"/>
          <w:szCs w:val="24"/>
        </w:rPr>
        <w:t>This would entail implementing training programs focused on leadership skills at all managerial levels and creating feedback mechanisms for frontline staff, which HR would review quarterly.</w:t>
      </w:r>
    </w:p>
    <w:p w14:paraId="649BF97C" w14:textId="77777777" w:rsidR="00BD162D" w:rsidRDefault="00BD162D" w:rsidP="00BD162D">
      <w:pPr>
        <w:numPr>
          <w:ilvl w:val="0"/>
          <w:numId w:val="2"/>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Enhance Operational Efficiency</w:t>
      </w:r>
      <w:r>
        <w:rPr>
          <w:rFonts w:ascii="Arial" w:eastAsia="Calibri" w:hAnsi="Arial" w:cs="Arial"/>
          <w:sz w:val="24"/>
          <w:szCs w:val="24"/>
        </w:rPr>
        <w:t xml:space="preserve">: Wyndham has the potential to improve efficiency by integrating service and project management cultures. This method involves supervising changes as </w:t>
      </w:r>
      <w:proofErr w:type="spellStart"/>
      <w:r>
        <w:rPr>
          <w:rFonts w:ascii="Arial" w:eastAsia="Calibri" w:hAnsi="Arial" w:cs="Arial"/>
          <w:sz w:val="24"/>
          <w:szCs w:val="24"/>
        </w:rPr>
        <w:t>organised</w:t>
      </w:r>
      <w:proofErr w:type="spellEnd"/>
      <w:r>
        <w:rPr>
          <w:rFonts w:ascii="Arial" w:eastAsia="Calibri" w:hAnsi="Arial" w:cs="Arial"/>
          <w:sz w:val="24"/>
          <w:szCs w:val="24"/>
        </w:rPr>
        <w:t xml:space="preserve"> projects are integrated into routine operations, promoting innovation and adaptability to market fluctuations (Sinclair and Sinclair, 2009). Implementation requires dedicated project management teams in more significant properties to spearhead initiatives, subject to bi-annual reviews by corporations for process </w:t>
      </w:r>
      <w:proofErr w:type="spellStart"/>
      <w:r>
        <w:rPr>
          <w:rFonts w:ascii="Arial" w:eastAsia="Calibri" w:hAnsi="Arial" w:cs="Arial"/>
          <w:sz w:val="24"/>
          <w:szCs w:val="24"/>
        </w:rPr>
        <w:t>optimisation</w:t>
      </w:r>
      <w:proofErr w:type="spellEnd"/>
      <w:r>
        <w:rPr>
          <w:rFonts w:ascii="Arial" w:eastAsia="Calibri" w:hAnsi="Arial" w:cs="Arial"/>
          <w:sz w:val="24"/>
          <w:szCs w:val="24"/>
        </w:rPr>
        <w:t>.</w:t>
      </w:r>
    </w:p>
    <w:p w14:paraId="4EBEEA1B" w14:textId="77777777" w:rsidR="00BD162D" w:rsidRDefault="00BD162D" w:rsidP="00BD162D">
      <w:pPr>
        <w:numPr>
          <w:ilvl w:val="0"/>
          <w:numId w:val="2"/>
        </w:numPr>
        <w:spacing w:before="100" w:beforeAutospacing="1" w:line="360" w:lineRule="auto"/>
        <w:jc w:val="both"/>
        <w:rPr>
          <w:rFonts w:ascii="Arial" w:eastAsia="Calibri" w:hAnsi="Arial" w:cs="Arial"/>
          <w:sz w:val="24"/>
          <w:szCs w:val="24"/>
        </w:rPr>
      </w:pPr>
      <w:r>
        <w:rPr>
          <w:rFonts w:ascii="Arial" w:eastAsia="Calibri" w:hAnsi="Arial" w:cs="Arial"/>
          <w:b/>
          <w:bCs/>
          <w:sz w:val="24"/>
          <w:szCs w:val="24"/>
        </w:rPr>
        <w:t>Focus on Digital and Customer Relationship Management</w:t>
      </w:r>
      <w:r>
        <w:rPr>
          <w:rFonts w:ascii="Arial" w:eastAsia="Calibri" w:hAnsi="Arial" w:cs="Arial"/>
          <w:sz w:val="24"/>
          <w:szCs w:val="24"/>
        </w:rPr>
        <w:t xml:space="preserve">: Implementing a robust Customer Relationship Management (CRM) system enhances customer engagement and satisfaction by </w:t>
      </w:r>
      <w:proofErr w:type="spellStart"/>
      <w:r>
        <w:rPr>
          <w:rFonts w:ascii="Arial" w:eastAsia="Calibri" w:hAnsi="Arial" w:cs="Arial"/>
          <w:sz w:val="24"/>
          <w:szCs w:val="24"/>
        </w:rPr>
        <w:t>personalising</w:t>
      </w:r>
      <w:proofErr w:type="spellEnd"/>
      <w:r>
        <w:rPr>
          <w:rFonts w:ascii="Arial" w:eastAsia="Calibri" w:hAnsi="Arial" w:cs="Arial"/>
          <w:sz w:val="24"/>
          <w:szCs w:val="24"/>
        </w:rPr>
        <w:t xml:space="preserve"> guest experiences, which is essential for sustaining a competitive advantage (Rahimi and </w:t>
      </w:r>
      <w:proofErr w:type="spellStart"/>
      <w:r>
        <w:rPr>
          <w:rFonts w:ascii="Arial" w:eastAsia="Calibri" w:hAnsi="Arial" w:cs="Arial"/>
          <w:sz w:val="24"/>
          <w:szCs w:val="24"/>
        </w:rPr>
        <w:t>Günlü</w:t>
      </w:r>
      <w:proofErr w:type="spellEnd"/>
      <w:r>
        <w:rPr>
          <w:rFonts w:ascii="Arial" w:eastAsia="Calibri" w:hAnsi="Arial" w:cs="Arial"/>
          <w:sz w:val="24"/>
          <w:szCs w:val="24"/>
        </w:rPr>
        <w:t>, 2016). Wyndham should allocate resources for CRM integration across all properties, measuring success through increased customer retention rates and feedback scores, which will be reviewed annually.</w:t>
      </w:r>
    </w:p>
    <w:p w14:paraId="0D27E268" w14:textId="77777777" w:rsidR="00BD162D" w:rsidRDefault="00BD162D" w:rsidP="00BD162D">
      <w:pPr>
        <w:spacing w:line="360" w:lineRule="auto"/>
        <w:ind w:left="360"/>
        <w:jc w:val="both"/>
        <w:rPr>
          <w:rFonts w:ascii="Arial" w:eastAsia="Calibri" w:hAnsi="Arial" w:cs="Arial"/>
          <w:sz w:val="24"/>
          <w:szCs w:val="24"/>
        </w:rPr>
      </w:pPr>
      <w:r>
        <w:rPr>
          <w:rFonts w:ascii="Arial" w:eastAsia="Calibri" w:hAnsi="Arial" w:cs="Arial"/>
          <w:sz w:val="24"/>
          <w:szCs w:val="24"/>
        </w:rPr>
        <w:t xml:space="preserve"> </w:t>
      </w:r>
    </w:p>
    <w:p w14:paraId="4E256607" w14:textId="77777777" w:rsidR="00BD162D" w:rsidRDefault="00BD162D" w:rsidP="00BD162D">
      <w:pPr>
        <w:spacing w:after="100" w:afterAutospacing="1" w:line="360" w:lineRule="auto"/>
        <w:ind w:left="360"/>
        <w:jc w:val="both"/>
        <w:outlineLvl w:val="2"/>
        <w:rPr>
          <w:rFonts w:ascii="Arial" w:eastAsia="Times New Roman" w:hAnsi="Arial" w:cs="Arial"/>
          <w:b/>
          <w:bCs/>
          <w:sz w:val="24"/>
          <w:szCs w:val="24"/>
        </w:rPr>
      </w:pPr>
      <w:r>
        <w:rPr>
          <w:rFonts w:ascii="Arial" w:hAnsi="Arial" w:cs="Arial"/>
          <w:b/>
          <w:bCs/>
          <w:sz w:val="24"/>
          <w:szCs w:val="24"/>
        </w:rPr>
        <w:t>6. Conclusion</w:t>
      </w:r>
    </w:p>
    <w:p w14:paraId="3FA922D1" w14:textId="77777777" w:rsidR="00940E2C" w:rsidRDefault="00BD162D" w:rsidP="00BD162D">
      <w:pPr>
        <w:spacing w:after="0" w:line="360" w:lineRule="auto"/>
        <w:jc w:val="both"/>
        <w:rPr>
          <w:rFonts w:ascii="Arial" w:hAnsi="Arial" w:cs="Arial"/>
          <w:sz w:val="24"/>
          <w:szCs w:val="24"/>
        </w:rPr>
      </w:pPr>
      <w:r>
        <w:rPr>
          <w:rFonts w:ascii="Arial" w:hAnsi="Arial" w:cs="Arial"/>
          <w:sz w:val="24"/>
          <w:szCs w:val="24"/>
        </w:rPr>
        <w:lastRenderedPageBreak/>
        <w:t xml:space="preserve">Wyndham Hotels &amp; Resorts employs a robust </w:t>
      </w:r>
      <w:proofErr w:type="spellStart"/>
      <w:r>
        <w:rPr>
          <w:rFonts w:ascii="Arial" w:hAnsi="Arial" w:cs="Arial"/>
          <w:sz w:val="24"/>
          <w:szCs w:val="24"/>
        </w:rPr>
        <w:t>organisational</w:t>
      </w:r>
      <w:proofErr w:type="spellEnd"/>
      <w:r>
        <w:rPr>
          <w:rFonts w:ascii="Arial" w:hAnsi="Arial" w:cs="Arial"/>
          <w:sz w:val="24"/>
          <w:szCs w:val="24"/>
        </w:rPr>
        <w:t xml:space="preserve"> structure that integrates </w:t>
      </w:r>
      <w:proofErr w:type="spellStart"/>
      <w:r>
        <w:rPr>
          <w:rFonts w:ascii="Arial" w:hAnsi="Arial" w:cs="Arial"/>
          <w:sz w:val="24"/>
          <w:szCs w:val="24"/>
        </w:rPr>
        <w:t>centralised</w:t>
      </w:r>
      <w:proofErr w:type="spellEnd"/>
      <w:r>
        <w:rPr>
          <w:rFonts w:ascii="Arial" w:hAnsi="Arial" w:cs="Arial"/>
          <w:sz w:val="24"/>
          <w:szCs w:val="24"/>
        </w:rPr>
        <w:t xml:space="preserve"> control with franchisee autonomy, ensuring brand consistency while allowing for local adaptation. The </w:t>
      </w:r>
      <w:proofErr w:type="spellStart"/>
      <w:r>
        <w:rPr>
          <w:rFonts w:ascii="Arial" w:hAnsi="Arial" w:cs="Arial"/>
          <w:sz w:val="24"/>
          <w:szCs w:val="24"/>
        </w:rPr>
        <w:t>organisational</w:t>
      </w:r>
      <w:proofErr w:type="spellEnd"/>
      <w:r>
        <w:rPr>
          <w:rFonts w:ascii="Arial" w:hAnsi="Arial" w:cs="Arial"/>
          <w:sz w:val="24"/>
          <w:szCs w:val="24"/>
        </w:rPr>
        <w:t xml:space="preserve"> culture </w:t>
      </w:r>
      <w:proofErr w:type="spellStart"/>
      <w:r>
        <w:rPr>
          <w:rFonts w:ascii="Arial" w:hAnsi="Arial" w:cs="Arial"/>
          <w:sz w:val="24"/>
          <w:szCs w:val="24"/>
        </w:rPr>
        <w:t>prioritises</w:t>
      </w:r>
      <w:proofErr w:type="spellEnd"/>
      <w:r>
        <w:rPr>
          <w:rFonts w:ascii="Arial" w:hAnsi="Arial" w:cs="Arial"/>
          <w:sz w:val="24"/>
          <w:szCs w:val="24"/>
        </w:rPr>
        <w:t xml:space="preserve"> employee engagement and customer service, enhancing operational efficiency and guest satisfaction. </w:t>
      </w:r>
    </w:p>
    <w:p w14:paraId="0BC807DE" w14:textId="4C71AA90" w:rsidR="00BD162D" w:rsidRDefault="00BD162D" w:rsidP="00BD162D">
      <w:pPr>
        <w:spacing w:after="0" w:line="360" w:lineRule="auto"/>
        <w:jc w:val="both"/>
        <w:rPr>
          <w:rFonts w:ascii="Arial" w:hAnsi="Arial" w:cs="Arial"/>
          <w:sz w:val="24"/>
          <w:szCs w:val="24"/>
        </w:rPr>
      </w:pPr>
      <w:r>
        <w:rPr>
          <w:rFonts w:ascii="Arial" w:hAnsi="Arial" w:cs="Arial"/>
          <w:sz w:val="24"/>
          <w:szCs w:val="24"/>
        </w:rPr>
        <w:t>Recent initiatives, such as introducing the ECHO Suites brand and sustainability efforts, demonstrate Wyndham's dedication to innovation and adaptability to market demands. The company's emphasis on digital marketing and franchising expansion enhances its competitive position on a global scale.</w:t>
      </w:r>
    </w:p>
    <w:p w14:paraId="13E283A7" w14:textId="77777777" w:rsidR="00BD162D" w:rsidRDefault="00BD162D" w:rsidP="00BD162D">
      <w:pPr>
        <w:spacing w:after="0" w:line="360" w:lineRule="auto"/>
        <w:jc w:val="both"/>
        <w:rPr>
          <w:rFonts w:ascii="Arial" w:hAnsi="Arial" w:cs="Arial"/>
          <w:sz w:val="24"/>
          <w:szCs w:val="24"/>
        </w:rPr>
      </w:pPr>
      <w:r>
        <w:rPr>
          <w:rFonts w:ascii="Arial" w:hAnsi="Arial" w:cs="Arial"/>
          <w:sz w:val="24"/>
          <w:szCs w:val="24"/>
        </w:rPr>
        <w:t xml:space="preserve">Given the rapid evolution of market dynamics and customer expectations, the findings highlight the necessity for ongoing adaptation within the hospitality industry. Wyndham's focus on agility and </w:t>
      </w:r>
      <w:proofErr w:type="spellStart"/>
      <w:r>
        <w:rPr>
          <w:rFonts w:ascii="Arial" w:hAnsi="Arial" w:cs="Arial"/>
          <w:sz w:val="24"/>
          <w:szCs w:val="24"/>
        </w:rPr>
        <w:t>prioritising</w:t>
      </w:r>
      <w:proofErr w:type="spellEnd"/>
      <w:r>
        <w:rPr>
          <w:rFonts w:ascii="Arial" w:hAnsi="Arial" w:cs="Arial"/>
          <w:sz w:val="24"/>
          <w:szCs w:val="24"/>
        </w:rPr>
        <w:t xml:space="preserve"> cultural and operational enhancements positions the company to sustain growth and retain industry relevance amid competitive pressures. </w:t>
      </w:r>
    </w:p>
    <w:p w14:paraId="73E15364" w14:textId="77777777" w:rsidR="00BD162D" w:rsidRDefault="00BD162D" w:rsidP="00BD162D">
      <w:pPr>
        <w:spacing w:after="100" w:afterAutospacing="1" w:line="360" w:lineRule="auto"/>
        <w:jc w:val="both"/>
        <w:rPr>
          <w:rFonts w:ascii="Arial" w:hAnsi="Arial" w:cs="Arial"/>
          <w:sz w:val="24"/>
          <w:szCs w:val="24"/>
        </w:rPr>
      </w:pPr>
      <w:r>
        <w:rPr>
          <w:rFonts w:ascii="Arial" w:hAnsi="Arial" w:cs="Arial"/>
          <w:sz w:val="24"/>
          <w:szCs w:val="24"/>
        </w:rPr>
        <w:t xml:space="preserve"> </w:t>
      </w:r>
    </w:p>
    <w:p w14:paraId="2649063C" w14:textId="77777777" w:rsidR="00BD162D" w:rsidRDefault="00BD162D" w:rsidP="00BD162D">
      <w:pPr>
        <w:spacing w:line="360" w:lineRule="auto"/>
        <w:jc w:val="both"/>
        <w:rPr>
          <w:rFonts w:ascii="Arial" w:eastAsia="Calibri" w:hAnsi="Arial" w:cs="Arial"/>
          <w:kern w:val="2"/>
          <w:sz w:val="24"/>
          <w:szCs w:val="24"/>
        </w:rPr>
      </w:pPr>
      <w:r>
        <w:rPr>
          <w:rFonts w:ascii="Arial" w:eastAsia="Calibri" w:hAnsi="Arial" w:cs="Arial"/>
          <w:sz w:val="24"/>
          <w:szCs w:val="24"/>
        </w:rPr>
        <w:t>Reference list</w:t>
      </w:r>
    </w:p>
    <w:p w14:paraId="5A80FCA5"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Alrawadieh</w:t>
      </w:r>
      <w:proofErr w:type="spellEnd"/>
      <w:r>
        <w:rPr>
          <w:rFonts w:ascii="Arial" w:hAnsi="Arial" w:cs="Arial"/>
        </w:rPr>
        <w:t xml:space="preserve">, Z., </w:t>
      </w:r>
      <w:proofErr w:type="spellStart"/>
      <w:r>
        <w:rPr>
          <w:rFonts w:ascii="Arial" w:hAnsi="Arial" w:cs="Arial"/>
        </w:rPr>
        <w:t>Alrawadieh</w:t>
      </w:r>
      <w:proofErr w:type="spellEnd"/>
      <w:r>
        <w:rPr>
          <w:rFonts w:ascii="Arial" w:hAnsi="Arial" w:cs="Arial"/>
        </w:rPr>
        <w:t xml:space="preserve">, Z. and Cetin, G., 2021. Digital transformation and revenue management: Evidence from the hotel industry. </w:t>
      </w:r>
      <w:r>
        <w:rPr>
          <w:rFonts w:ascii="Arial" w:hAnsi="Arial" w:cs="Arial"/>
          <w:i/>
          <w:iCs/>
        </w:rPr>
        <w:t>Tourism Economics</w:t>
      </w:r>
      <w:r>
        <w:rPr>
          <w:rFonts w:ascii="Arial" w:hAnsi="Arial" w:cs="Arial"/>
        </w:rPr>
        <w:t xml:space="preserve">, </w:t>
      </w:r>
      <w:r>
        <w:rPr>
          <w:rFonts w:ascii="Arial" w:hAnsi="Arial" w:cs="Arial"/>
          <w:i/>
          <w:iCs/>
        </w:rPr>
        <w:t>27</w:t>
      </w:r>
      <w:r>
        <w:rPr>
          <w:rFonts w:ascii="Arial" w:hAnsi="Arial" w:cs="Arial"/>
        </w:rPr>
        <w:t xml:space="preserve">(2), pp.328-345. </w:t>
      </w:r>
      <w:hyperlink r:id="rId5" w:history="1">
        <w:r>
          <w:rPr>
            <w:rStyle w:val="16"/>
            <w:rFonts w:ascii="Arial" w:hAnsi="Arial" w:cs="Arial"/>
          </w:rPr>
          <w:t>https://doi-org.ezproxy.uwtsd.ac.uk/10.1177/1354816620901928</w:t>
        </w:r>
      </w:hyperlink>
      <w:r>
        <w:rPr>
          <w:rFonts w:ascii="Arial" w:hAnsi="Arial" w:cs="Arial"/>
        </w:rPr>
        <w:t xml:space="preserve"> </w:t>
      </w:r>
    </w:p>
    <w:p w14:paraId="21691F68"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CHAN, E.S.W., 2021. Why do hotels find reducing their carbon footprint difficult? </w:t>
      </w:r>
      <w:r>
        <w:rPr>
          <w:rFonts w:ascii="Arial" w:hAnsi="Arial" w:cs="Arial"/>
          <w:i/>
          <w:iCs/>
        </w:rPr>
        <w:t xml:space="preserve">International Journal of Contemporary Hospitality Management, </w:t>
      </w:r>
      <w:r>
        <w:rPr>
          <w:rFonts w:ascii="Arial" w:hAnsi="Arial" w:cs="Arial"/>
        </w:rPr>
        <w:t xml:space="preserve">33(5), pp. 1646-1667. </w:t>
      </w:r>
      <w:hyperlink r:id="rId6" w:history="1">
        <w:r>
          <w:rPr>
            <w:rStyle w:val="16"/>
            <w:rFonts w:ascii="Arial" w:hAnsi="Arial" w:cs="Arial"/>
          </w:rPr>
          <w:t>https://www.proquest.com/scholarly-journals/why-do-hotels-find-reducing-their-carbon/docview/2548933071/se-2?accountid=130472</w:t>
        </w:r>
      </w:hyperlink>
    </w:p>
    <w:p w14:paraId="58E6ADF9"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Chen, J., and </w:t>
      </w:r>
      <w:proofErr w:type="spellStart"/>
      <w:r>
        <w:rPr>
          <w:rFonts w:ascii="Arial" w:hAnsi="Arial" w:cs="Arial"/>
        </w:rPr>
        <w:t>Dimou</w:t>
      </w:r>
      <w:proofErr w:type="spellEnd"/>
      <w:r>
        <w:rPr>
          <w:rFonts w:ascii="Arial" w:hAnsi="Arial" w:cs="Arial"/>
        </w:rPr>
        <w:t xml:space="preserve">, I., 2005. Expansion strategy of international hotel firms. </w:t>
      </w:r>
      <w:r>
        <w:rPr>
          <w:rFonts w:ascii="Arial" w:hAnsi="Arial" w:cs="Arial"/>
          <w:i/>
          <w:iCs/>
        </w:rPr>
        <w:t>Journal of Business Research</w:t>
      </w:r>
      <w:r>
        <w:rPr>
          <w:rFonts w:ascii="Arial" w:hAnsi="Arial" w:cs="Arial"/>
        </w:rPr>
        <w:t>, 58, pp. 1730-1740.</w:t>
      </w:r>
      <w:hyperlink r:id="rId7" w:history="1">
        <w:r>
          <w:rPr>
            <w:rStyle w:val="16"/>
            <w:rFonts w:ascii="Arial" w:hAnsi="Arial" w:cs="Arial"/>
          </w:rPr>
          <w:t>https://doi.org/10.1016/J.JBUSRES.2004.11.001</w:t>
        </w:r>
      </w:hyperlink>
      <w:r>
        <w:rPr>
          <w:rFonts w:ascii="Arial" w:hAnsi="Arial" w:cs="Arial"/>
        </w:rPr>
        <w:t xml:space="preserve">. </w:t>
      </w:r>
    </w:p>
    <w:p w14:paraId="24AD1774"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Chen, R., 2015. From sustainability to customer loyalty: A case of full-service hotels’ guests. </w:t>
      </w:r>
      <w:r>
        <w:rPr>
          <w:rFonts w:ascii="Arial" w:hAnsi="Arial" w:cs="Arial"/>
          <w:i/>
          <w:iCs/>
        </w:rPr>
        <w:t>Journal of Retailing and Consumer Services</w:t>
      </w:r>
      <w:r>
        <w:rPr>
          <w:rFonts w:ascii="Arial" w:hAnsi="Arial" w:cs="Arial"/>
        </w:rPr>
        <w:t xml:space="preserve">, 22, pp. 261-265. </w:t>
      </w:r>
      <w:hyperlink r:id="rId8" w:history="1">
        <w:r>
          <w:rPr>
            <w:rStyle w:val="16"/>
            <w:rFonts w:ascii="Arial" w:hAnsi="Arial" w:cs="Arial"/>
          </w:rPr>
          <w:t>https://doi.org/10.1016/J.JRETCONSER.2014.08.007</w:t>
        </w:r>
      </w:hyperlink>
      <w:r>
        <w:rPr>
          <w:rFonts w:ascii="Arial" w:hAnsi="Arial" w:cs="Arial"/>
        </w:rPr>
        <w:t xml:space="preserve">. </w:t>
      </w:r>
    </w:p>
    <w:p w14:paraId="1F69897F"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lastRenderedPageBreak/>
        <w:t>Dieguez</w:t>
      </w:r>
      <w:proofErr w:type="spellEnd"/>
      <w:r>
        <w:rPr>
          <w:rFonts w:ascii="Arial" w:hAnsi="Arial" w:cs="Arial"/>
        </w:rPr>
        <w:t xml:space="preserve">, T., Ly, N.T., Ferreira, L.P. and da Silva, F.J.G., 2022. Digital customer network strategy influences the Hotel Business. In </w:t>
      </w:r>
      <w:r>
        <w:rPr>
          <w:rFonts w:ascii="Arial" w:hAnsi="Arial" w:cs="Arial"/>
          <w:i/>
          <w:iCs/>
        </w:rPr>
        <w:t>Innovations in industrial engineering</w:t>
      </w:r>
      <w:r>
        <w:rPr>
          <w:rFonts w:ascii="Arial" w:hAnsi="Arial" w:cs="Arial"/>
        </w:rPr>
        <w:t xml:space="preserve"> (pp. 420-431). </w:t>
      </w:r>
      <w:hyperlink r:id="rId9" w:anchor="page=431" w:history="1">
        <w:r>
          <w:rPr>
            <w:rStyle w:val="16"/>
            <w:rFonts w:ascii="Arial" w:hAnsi="Arial" w:cs="Arial"/>
          </w:rPr>
          <w:t>https://www.academia.edu/download/97026035/978-3-030-78170-5.pdf#page=431</w:t>
        </w:r>
      </w:hyperlink>
      <w:r>
        <w:rPr>
          <w:rFonts w:ascii="Arial" w:hAnsi="Arial" w:cs="Arial"/>
        </w:rPr>
        <w:t xml:space="preserve"> </w:t>
      </w:r>
    </w:p>
    <w:p w14:paraId="2ECC8423"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Eskerod</w:t>
      </w:r>
      <w:proofErr w:type="spellEnd"/>
      <w:r>
        <w:rPr>
          <w:rFonts w:ascii="Arial" w:hAnsi="Arial" w:cs="Arial"/>
        </w:rPr>
        <w:t xml:space="preserve">, P., </w:t>
      </w:r>
      <w:proofErr w:type="spellStart"/>
      <w:r>
        <w:rPr>
          <w:rFonts w:ascii="Arial" w:hAnsi="Arial" w:cs="Arial"/>
        </w:rPr>
        <w:t>Hollensen</w:t>
      </w:r>
      <w:proofErr w:type="spellEnd"/>
      <w:r>
        <w:rPr>
          <w:rFonts w:ascii="Arial" w:hAnsi="Arial" w:cs="Arial"/>
        </w:rPr>
        <w:t xml:space="preserve">, S., Morales-Contreras, M., and Arteaga-Ortiz, J., 2019. Drivers for Pursuing Sustainability through IoT Technology within High-End Hotels—An Exploratory Study. </w:t>
      </w:r>
      <w:r>
        <w:rPr>
          <w:rFonts w:ascii="Arial" w:hAnsi="Arial" w:cs="Arial"/>
          <w:i/>
          <w:iCs/>
        </w:rPr>
        <w:t>Sustainability</w:t>
      </w:r>
      <w:r>
        <w:rPr>
          <w:rFonts w:ascii="Arial" w:hAnsi="Arial" w:cs="Arial"/>
        </w:rPr>
        <w:t xml:space="preserve">. </w:t>
      </w:r>
      <w:hyperlink r:id="rId10" w:history="1">
        <w:r>
          <w:rPr>
            <w:rStyle w:val="16"/>
            <w:rFonts w:ascii="Arial" w:hAnsi="Arial" w:cs="Arial"/>
          </w:rPr>
          <w:t>https://doi.org/10.3390/su11195372</w:t>
        </w:r>
      </w:hyperlink>
      <w:r>
        <w:rPr>
          <w:rFonts w:ascii="Arial" w:hAnsi="Arial" w:cs="Arial"/>
        </w:rPr>
        <w:t xml:space="preserve">. </w:t>
      </w:r>
    </w:p>
    <w:p w14:paraId="76F5F2A0"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Ford, J.D. and Ford, L.W., 2012. The leadership of organization change: A view from recent empirical evidence. In </w:t>
      </w:r>
      <w:r>
        <w:rPr>
          <w:rFonts w:ascii="Arial" w:hAnsi="Arial" w:cs="Arial"/>
          <w:i/>
          <w:iCs/>
        </w:rPr>
        <w:t>Research in organizational change and development</w:t>
      </w:r>
      <w:r>
        <w:rPr>
          <w:rFonts w:ascii="Arial" w:hAnsi="Arial" w:cs="Arial"/>
        </w:rPr>
        <w:t xml:space="preserve"> (Vol. 20, pp. 1-36). Emerald Group Publishing Limited. </w:t>
      </w:r>
      <w:hyperlink r:id="rId11" w:history="1">
        <w:r>
          <w:rPr>
            <w:rStyle w:val="16"/>
            <w:rFonts w:ascii="Arial" w:hAnsi="Arial" w:cs="Arial"/>
          </w:rPr>
          <w:t>https://www.researchgate.net/profile/Laurie-Ford/publication/235283003_The_Leadership_of_Organization_Change_A_View_from_Recent_Empirical_Evidence/links/53f38c160cf2155be34fa90a/The-Leadership-of-Organization-Change-A-View-from-Recent-Empirical-Evidence.pdf</w:t>
        </w:r>
      </w:hyperlink>
      <w:r>
        <w:rPr>
          <w:rFonts w:ascii="Arial" w:hAnsi="Arial" w:cs="Arial"/>
        </w:rPr>
        <w:t xml:space="preserve">  </w:t>
      </w:r>
    </w:p>
    <w:p w14:paraId="5469E20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Glaser, M., </w:t>
      </w:r>
      <w:proofErr w:type="spellStart"/>
      <w:r>
        <w:rPr>
          <w:rFonts w:ascii="Arial" w:eastAsia="Calibri" w:hAnsi="Arial" w:cs="Arial"/>
          <w:sz w:val="24"/>
          <w:szCs w:val="24"/>
        </w:rPr>
        <w:t>Jirasek</w:t>
      </w:r>
      <w:proofErr w:type="spellEnd"/>
      <w:r>
        <w:rPr>
          <w:rFonts w:ascii="Arial" w:eastAsia="Calibri" w:hAnsi="Arial" w:cs="Arial"/>
          <w:sz w:val="24"/>
          <w:szCs w:val="24"/>
        </w:rPr>
        <w:t xml:space="preserve">, M. and </w:t>
      </w:r>
      <w:proofErr w:type="spellStart"/>
      <w:r>
        <w:rPr>
          <w:rFonts w:ascii="Arial" w:eastAsia="Calibri" w:hAnsi="Arial" w:cs="Arial"/>
          <w:sz w:val="24"/>
          <w:szCs w:val="24"/>
        </w:rPr>
        <w:t>Windsperger</w:t>
      </w:r>
      <w:proofErr w:type="spellEnd"/>
      <w:r>
        <w:rPr>
          <w:rFonts w:ascii="Arial" w:eastAsia="Calibri" w:hAnsi="Arial" w:cs="Arial"/>
          <w:sz w:val="24"/>
          <w:szCs w:val="24"/>
        </w:rPr>
        <w:t xml:space="preserve">, J., 2020. Ownership structure of franchise chains: Trade-off between adaptation and control. </w:t>
      </w:r>
      <w:r>
        <w:rPr>
          <w:rFonts w:ascii="Arial" w:eastAsia="Calibri" w:hAnsi="Arial" w:cs="Arial"/>
          <w:i/>
          <w:iCs/>
          <w:sz w:val="24"/>
          <w:szCs w:val="24"/>
        </w:rPr>
        <w:t>International Journal of the Economics of Business</w:t>
      </w:r>
      <w:r>
        <w:rPr>
          <w:rFonts w:ascii="Arial" w:eastAsia="Calibri" w:hAnsi="Arial" w:cs="Arial"/>
          <w:sz w:val="24"/>
          <w:szCs w:val="24"/>
        </w:rPr>
        <w:t xml:space="preserve">, </w:t>
      </w:r>
      <w:r>
        <w:rPr>
          <w:rFonts w:ascii="Arial" w:eastAsia="Calibri" w:hAnsi="Arial" w:cs="Arial"/>
          <w:i/>
          <w:iCs/>
          <w:sz w:val="24"/>
          <w:szCs w:val="24"/>
        </w:rPr>
        <w:t>27</w:t>
      </w:r>
      <w:r>
        <w:rPr>
          <w:rFonts w:ascii="Arial" w:eastAsia="Calibri" w:hAnsi="Arial" w:cs="Arial"/>
          <w:sz w:val="24"/>
          <w:szCs w:val="24"/>
        </w:rPr>
        <w:t xml:space="preserve">(3), pp.357-375. </w:t>
      </w:r>
      <w:hyperlink r:id="rId12" w:history="1">
        <w:r>
          <w:rPr>
            <w:rStyle w:val="16"/>
            <w:rFonts w:ascii="Arial" w:eastAsia="Calibri" w:hAnsi="Arial" w:cs="Arial"/>
            <w:sz w:val="24"/>
            <w:szCs w:val="24"/>
          </w:rPr>
          <w:t>https://doi.org/10.1080/13571516.2020.1718460</w:t>
        </w:r>
      </w:hyperlink>
      <w:r>
        <w:rPr>
          <w:rFonts w:ascii="Arial" w:eastAsia="Calibri" w:hAnsi="Arial" w:cs="Arial"/>
          <w:sz w:val="24"/>
          <w:szCs w:val="24"/>
        </w:rPr>
        <w:t xml:space="preserve"> </w:t>
      </w:r>
    </w:p>
    <w:p w14:paraId="7D10203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Handy, C 2009, Gods of </w:t>
      </w:r>
      <w:proofErr w:type="gramStart"/>
      <w:r>
        <w:rPr>
          <w:rFonts w:ascii="Arial" w:eastAsia="Calibri" w:hAnsi="Arial" w:cs="Arial"/>
          <w:sz w:val="24"/>
          <w:szCs w:val="24"/>
        </w:rPr>
        <w:t>Management :</w:t>
      </w:r>
      <w:proofErr w:type="gramEnd"/>
      <w:r>
        <w:rPr>
          <w:rFonts w:ascii="Arial" w:eastAsia="Calibri" w:hAnsi="Arial" w:cs="Arial"/>
          <w:sz w:val="24"/>
          <w:szCs w:val="24"/>
        </w:rPr>
        <w:t xml:space="preserve"> The Changing Work of </w:t>
      </w:r>
      <w:proofErr w:type="spellStart"/>
      <w:r>
        <w:rPr>
          <w:rFonts w:ascii="Arial" w:eastAsia="Calibri" w:hAnsi="Arial" w:cs="Arial"/>
          <w:sz w:val="24"/>
          <w:szCs w:val="24"/>
        </w:rPr>
        <w:t>Organisations</w:t>
      </w:r>
      <w:proofErr w:type="spellEnd"/>
      <w:r>
        <w:rPr>
          <w:rFonts w:ascii="Arial" w:eastAsia="Calibri" w:hAnsi="Arial" w:cs="Arial"/>
          <w:sz w:val="24"/>
          <w:szCs w:val="24"/>
        </w:rPr>
        <w:t xml:space="preserve">, Souvenir Press, London. </w:t>
      </w:r>
      <w:hyperlink r:id="rId13" w:history="1">
        <w:r>
          <w:rPr>
            <w:rStyle w:val="16"/>
            <w:rFonts w:ascii="Arial" w:eastAsia="Calibri" w:hAnsi="Arial" w:cs="Arial"/>
            <w:sz w:val="24"/>
            <w:szCs w:val="24"/>
          </w:rPr>
          <w:t>https://ebookcentral.proquest.com/lib/trinity/detail.action?docID=710394</w:t>
        </w:r>
      </w:hyperlink>
      <w:r>
        <w:rPr>
          <w:rFonts w:ascii="Arial" w:eastAsia="Calibri" w:hAnsi="Arial" w:cs="Arial"/>
          <w:sz w:val="24"/>
          <w:szCs w:val="24"/>
        </w:rPr>
        <w:t xml:space="preserve"> </w:t>
      </w:r>
    </w:p>
    <w:p w14:paraId="6EB00437"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Heis</w:t>
      </w:r>
      <w:proofErr w:type="spellEnd"/>
      <w:r>
        <w:rPr>
          <w:rFonts w:ascii="Arial" w:eastAsia="Calibri" w:hAnsi="Arial" w:cs="Arial"/>
          <w:sz w:val="24"/>
          <w:szCs w:val="24"/>
        </w:rPr>
        <w:t xml:space="preserve">, S., 2006. What's your </w:t>
      </w:r>
      <w:proofErr w:type="gramStart"/>
      <w:r>
        <w:rPr>
          <w:rFonts w:ascii="Arial" w:eastAsia="Calibri" w:hAnsi="Arial" w:cs="Arial"/>
          <w:sz w:val="24"/>
          <w:szCs w:val="24"/>
        </w:rPr>
        <w:t>request?:</w:t>
      </w:r>
      <w:proofErr w:type="gramEnd"/>
      <w:r>
        <w:rPr>
          <w:rFonts w:ascii="Arial" w:eastAsia="Calibri" w:hAnsi="Arial" w:cs="Arial"/>
          <w:sz w:val="24"/>
          <w:szCs w:val="24"/>
        </w:rPr>
        <w:t xml:space="preserve"> Wyndham International's answer for transforming culture and enriching employees' experience. </w:t>
      </w:r>
      <w:r>
        <w:rPr>
          <w:rFonts w:ascii="Arial" w:eastAsia="Calibri" w:hAnsi="Arial" w:cs="Arial"/>
          <w:i/>
          <w:iCs/>
          <w:sz w:val="24"/>
          <w:szCs w:val="24"/>
        </w:rPr>
        <w:t>Journal of Organizational Excellence</w:t>
      </w:r>
      <w:r>
        <w:rPr>
          <w:rFonts w:ascii="Arial" w:eastAsia="Calibri" w:hAnsi="Arial" w:cs="Arial"/>
          <w:sz w:val="24"/>
          <w:szCs w:val="24"/>
        </w:rPr>
        <w:t xml:space="preserve">, 25, pp. 47-55. </w:t>
      </w:r>
      <w:hyperlink r:id="rId14" w:history="1">
        <w:r>
          <w:rPr>
            <w:rStyle w:val="16"/>
            <w:rFonts w:ascii="Arial" w:eastAsia="Calibri" w:hAnsi="Arial" w:cs="Arial"/>
            <w:sz w:val="24"/>
            <w:szCs w:val="24"/>
          </w:rPr>
          <w:t>https://doi.org/10.1002/JOE.20089</w:t>
        </w:r>
      </w:hyperlink>
      <w:r>
        <w:rPr>
          <w:rFonts w:ascii="Arial" w:eastAsia="Calibri" w:hAnsi="Arial" w:cs="Arial"/>
          <w:sz w:val="24"/>
          <w:szCs w:val="24"/>
        </w:rPr>
        <w:t xml:space="preserve">. </w:t>
      </w:r>
    </w:p>
    <w:p w14:paraId="719E9B1A"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Hsieh, Y., 2012. Hotel companies' environmental policies and practices: a content analysis of their web pages. </w:t>
      </w:r>
      <w:r>
        <w:rPr>
          <w:rFonts w:ascii="Arial" w:eastAsia="Calibri" w:hAnsi="Arial" w:cs="Arial"/>
          <w:i/>
          <w:iCs/>
          <w:sz w:val="24"/>
          <w:szCs w:val="24"/>
        </w:rPr>
        <w:t xml:space="preserve">International Journal of Contemporary Hospitality Management, </w:t>
      </w:r>
      <w:r>
        <w:rPr>
          <w:rFonts w:ascii="Arial" w:eastAsia="Calibri" w:hAnsi="Arial" w:cs="Arial"/>
          <w:sz w:val="24"/>
          <w:szCs w:val="24"/>
        </w:rPr>
        <w:t xml:space="preserve">24(1), pp. 97-121. </w:t>
      </w:r>
      <w:hyperlink r:id="rId15" w:history="1">
        <w:r>
          <w:rPr>
            <w:rStyle w:val="16"/>
            <w:rFonts w:ascii="Arial" w:eastAsia="Calibri" w:hAnsi="Arial" w:cs="Arial"/>
            <w:sz w:val="24"/>
            <w:szCs w:val="24"/>
          </w:rPr>
          <w:t>https://www.proquest.com/scholarly-journals/hotel-companies-environmental-policies-practices/docview/918503899/se-2?accountid=130472</w:t>
        </w:r>
      </w:hyperlink>
      <w:r>
        <w:rPr>
          <w:rFonts w:ascii="Arial" w:eastAsia="Calibri" w:hAnsi="Arial" w:cs="Arial"/>
          <w:sz w:val="24"/>
          <w:szCs w:val="24"/>
        </w:rPr>
        <w:t xml:space="preserve">  </w:t>
      </w:r>
    </w:p>
    <w:p w14:paraId="6CB12EA7"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Kang, K., Stein, L., </w:t>
      </w:r>
      <w:proofErr w:type="spellStart"/>
      <w:r>
        <w:rPr>
          <w:rFonts w:ascii="Arial" w:hAnsi="Arial" w:cs="Arial"/>
        </w:rPr>
        <w:t>Heo</w:t>
      </w:r>
      <w:proofErr w:type="spellEnd"/>
      <w:r>
        <w:rPr>
          <w:rFonts w:ascii="Arial" w:hAnsi="Arial" w:cs="Arial"/>
        </w:rPr>
        <w:t xml:space="preserve">, C., and Lee, S., 2012. Consumers' willingness to pay for green initiatives of the hotel industry. </w:t>
      </w:r>
      <w:r>
        <w:rPr>
          <w:rFonts w:ascii="Arial" w:hAnsi="Arial" w:cs="Arial"/>
          <w:i/>
          <w:iCs/>
        </w:rPr>
        <w:t>International Journal of Hospitality Management</w:t>
      </w:r>
      <w:r>
        <w:rPr>
          <w:rFonts w:ascii="Arial" w:hAnsi="Arial" w:cs="Arial"/>
        </w:rPr>
        <w:t xml:space="preserve">, 31, pp. 564-572. </w:t>
      </w:r>
      <w:hyperlink r:id="rId16" w:history="1">
        <w:r>
          <w:rPr>
            <w:rStyle w:val="16"/>
            <w:rFonts w:ascii="Arial" w:hAnsi="Arial" w:cs="Arial"/>
          </w:rPr>
          <w:t>https://doi.org/10.1016/J.IJHM.2011.08.001</w:t>
        </w:r>
      </w:hyperlink>
      <w:r>
        <w:rPr>
          <w:rFonts w:ascii="Arial" w:hAnsi="Arial" w:cs="Arial"/>
        </w:rPr>
        <w:t xml:space="preserve">. </w:t>
      </w:r>
    </w:p>
    <w:p w14:paraId="6457A065"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Kosová</w:t>
      </w:r>
      <w:proofErr w:type="spellEnd"/>
      <w:r>
        <w:rPr>
          <w:rFonts w:ascii="Arial" w:eastAsia="Calibri" w:hAnsi="Arial" w:cs="Arial"/>
          <w:sz w:val="24"/>
          <w:szCs w:val="24"/>
        </w:rPr>
        <w:t xml:space="preserve">, R., Lafontaine, F., and </w:t>
      </w:r>
      <w:proofErr w:type="spellStart"/>
      <w:r>
        <w:rPr>
          <w:rFonts w:ascii="Arial" w:eastAsia="Calibri" w:hAnsi="Arial" w:cs="Arial"/>
          <w:sz w:val="24"/>
          <w:szCs w:val="24"/>
        </w:rPr>
        <w:t>Perrigot</w:t>
      </w:r>
      <w:proofErr w:type="spellEnd"/>
      <w:r>
        <w:rPr>
          <w:rFonts w:ascii="Arial" w:eastAsia="Calibri" w:hAnsi="Arial" w:cs="Arial"/>
          <w:sz w:val="24"/>
          <w:szCs w:val="24"/>
        </w:rPr>
        <w:t xml:space="preserve">, R., 2010.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Form and Performance: Evidence from the Hotel Industry. </w:t>
      </w:r>
      <w:r>
        <w:rPr>
          <w:rFonts w:ascii="Arial" w:eastAsia="Calibri" w:hAnsi="Arial" w:cs="Arial"/>
          <w:i/>
          <w:iCs/>
          <w:sz w:val="24"/>
          <w:szCs w:val="24"/>
        </w:rPr>
        <w:t>Review of Economics and Statistics</w:t>
      </w:r>
      <w:r>
        <w:rPr>
          <w:rFonts w:ascii="Arial" w:eastAsia="Calibri" w:hAnsi="Arial" w:cs="Arial"/>
          <w:sz w:val="24"/>
          <w:szCs w:val="24"/>
        </w:rPr>
        <w:t xml:space="preserve">, 95, pp. 1303-1323. </w:t>
      </w:r>
      <w:hyperlink r:id="rId17" w:history="1">
        <w:r>
          <w:rPr>
            <w:rStyle w:val="16"/>
            <w:rFonts w:ascii="Arial" w:eastAsia="Calibri" w:hAnsi="Arial" w:cs="Arial"/>
            <w:sz w:val="24"/>
            <w:szCs w:val="24"/>
          </w:rPr>
          <w:t>https://doi.org/10.2139/ssrn.1034082</w:t>
        </w:r>
      </w:hyperlink>
      <w:r>
        <w:rPr>
          <w:rFonts w:ascii="Arial" w:eastAsia="Calibri" w:hAnsi="Arial" w:cs="Arial"/>
          <w:sz w:val="24"/>
          <w:szCs w:val="24"/>
        </w:rPr>
        <w:t xml:space="preserve">.  </w:t>
      </w:r>
    </w:p>
    <w:p w14:paraId="10B139E8"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Krupskyi</w:t>
      </w:r>
      <w:proofErr w:type="spellEnd"/>
      <w:r>
        <w:rPr>
          <w:rFonts w:ascii="Arial" w:hAnsi="Arial" w:cs="Arial"/>
        </w:rPr>
        <w:t xml:space="preserve">, O., </w:t>
      </w:r>
      <w:proofErr w:type="spellStart"/>
      <w:r>
        <w:rPr>
          <w:rFonts w:ascii="Arial" w:hAnsi="Arial" w:cs="Arial"/>
        </w:rPr>
        <w:t>Stukalo</w:t>
      </w:r>
      <w:proofErr w:type="spellEnd"/>
      <w:r>
        <w:rPr>
          <w:rFonts w:ascii="Arial" w:hAnsi="Arial" w:cs="Arial"/>
        </w:rPr>
        <w:t xml:space="preserve">, N., </w:t>
      </w:r>
      <w:proofErr w:type="spellStart"/>
      <w:r>
        <w:rPr>
          <w:rFonts w:ascii="Arial" w:hAnsi="Arial" w:cs="Arial"/>
        </w:rPr>
        <w:t>Krasnikova</w:t>
      </w:r>
      <w:proofErr w:type="spellEnd"/>
      <w:r>
        <w:rPr>
          <w:rFonts w:ascii="Arial" w:hAnsi="Arial" w:cs="Arial"/>
        </w:rPr>
        <w:t xml:space="preserve">, N., and </w:t>
      </w:r>
      <w:proofErr w:type="spellStart"/>
      <w:r>
        <w:rPr>
          <w:rFonts w:ascii="Arial" w:hAnsi="Arial" w:cs="Arial"/>
        </w:rPr>
        <w:t>Falko</w:t>
      </w:r>
      <w:proofErr w:type="spellEnd"/>
      <w:r>
        <w:rPr>
          <w:rFonts w:ascii="Arial" w:hAnsi="Arial" w:cs="Arial"/>
        </w:rPr>
        <w:t xml:space="preserve">, Y., 2017. Franchising Model for Expansion of the International Travel Business. </w:t>
      </w:r>
      <w:r>
        <w:rPr>
          <w:rFonts w:ascii="Arial" w:hAnsi="Arial" w:cs="Arial"/>
          <w:i/>
          <w:iCs/>
        </w:rPr>
        <w:t>Journal of Economics</w:t>
      </w:r>
      <w:r>
        <w:rPr>
          <w:rFonts w:ascii="Arial" w:hAnsi="Arial" w:cs="Arial"/>
        </w:rPr>
        <w:t xml:space="preserve">. </w:t>
      </w:r>
      <w:hyperlink r:id="rId18" w:history="1">
        <w:r>
          <w:rPr>
            <w:rStyle w:val="16"/>
            <w:rFonts w:ascii="Arial" w:hAnsi="Arial" w:cs="Arial"/>
          </w:rPr>
          <w:t>https://doi.org/10.21511/PPM.15(4-1).2017.07</w:t>
        </w:r>
      </w:hyperlink>
      <w:r>
        <w:rPr>
          <w:rFonts w:ascii="Arial" w:hAnsi="Arial" w:cs="Arial"/>
        </w:rPr>
        <w:t xml:space="preserve">. </w:t>
      </w:r>
    </w:p>
    <w:p w14:paraId="7A072C61"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Martínez, P., Pérez, A., and Bosque, I., 2014. Exploring the Role of CSR in the Organizational Identity of Hospitality Companies: A Case from the Spanish Tourism Industry. </w:t>
      </w:r>
      <w:r>
        <w:rPr>
          <w:rFonts w:ascii="Arial" w:eastAsia="Calibri" w:hAnsi="Arial" w:cs="Arial"/>
          <w:i/>
          <w:iCs/>
          <w:sz w:val="24"/>
          <w:szCs w:val="24"/>
        </w:rPr>
        <w:t>Journal of Business Ethics</w:t>
      </w:r>
      <w:r>
        <w:rPr>
          <w:rFonts w:ascii="Arial" w:eastAsia="Calibri" w:hAnsi="Arial" w:cs="Arial"/>
          <w:sz w:val="24"/>
          <w:szCs w:val="24"/>
        </w:rPr>
        <w:t xml:space="preserve">, 124, pp. 47-66. </w:t>
      </w:r>
      <w:hyperlink r:id="rId19" w:history="1">
        <w:r>
          <w:rPr>
            <w:rStyle w:val="16"/>
            <w:rFonts w:ascii="Arial" w:eastAsia="Calibri" w:hAnsi="Arial" w:cs="Arial"/>
            <w:sz w:val="24"/>
            <w:szCs w:val="24"/>
          </w:rPr>
          <w:t>https://doi.org/10.1007/S10551-013-1857-1</w:t>
        </w:r>
      </w:hyperlink>
      <w:r>
        <w:rPr>
          <w:rFonts w:ascii="Arial" w:eastAsia="Calibri" w:hAnsi="Arial" w:cs="Arial"/>
          <w:sz w:val="24"/>
          <w:szCs w:val="24"/>
        </w:rPr>
        <w:t xml:space="preserve">.  </w:t>
      </w:r>
    </w:p>
    <w:p w14:paraId="003E80CD"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Menezes, V.O. and </w:t>
      </w:r>
      <w:proofErr w:type="spellStart"/>
      <w:r>
        <w:rPr>
          <w:rFonts w:ascii="Arial" w:hAnsi="Arial" w:cs="Arial"/>
        </w:rPr>
        <w:t>Cavagnaro</w:t>
      </w:r>
      <w:proofErr w:type="spellEnd"/>
      <w:r>
        <w:rPr>
          <w:rFonts w:ascii="Arial" w:hAnsi="Arial" w:cs="Arial"/>
        </w:rPr>
        <w:t xml:space="preserve">, E., 2021. Communicating Sustainable Initiatives in the Hotel Industry: The Case of the Hotel Jakarta Amsterdam. In </w:t>
      </w:r>
      <w:r>
        <w:rPr>
          <w:rFonts w:ascii="Arial" w:hAnsi="Arial" w:cs="Arial"/>
          <w:i/>
          <w:iCs/>
        </w:rPr>
        <w:t>Handbook of Research on the Role of Tourism in Achieving Sustainable Development Goals</w:t>
      </w:r>
      <w:r>
        <w:rPr>
          <w:rFonts w:ascii="Arial" w:hAnsi="Arial" w:cs="Arial"/>
        </w:rPr>
        <w:t xml:space="preserve"> (pp. 224-234). </w:t>
      </w:r>
      <w:hyperlink r:id="rId20" w:history="1">
        <w:r>
          <w:rPr>
            <w:rStyle w:val="16"/>
            <w:rFonts w:ascii="Arial" w:hAnsi="Arial" w:cs="Arial"/>
          </w:rPr>
          <w:t>https://www.academia.edu/download/66892574/Menezes_Cavagnaro_2021_Communicating_Sustainable_Initiatives_in_the_Hotel_Industry.pdf</w:t>
        </w:r>
      </w:hyperlink>
      <w:r>
        <w:rPr>
          <w:rFonts w:ascii="Arial" w:hAnsi="Arial" w:cs="Arial"/>
        </w:rPr>
        <w:t xml:space="preserve"> </w:t>
      </w:r>
    </w:p>
    <w:p w14:paraId="78DFD9D0"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RAHIMI, R. and GUNLU, E., 2016. Implementing Customer Relationship Management (CRM) in hotel industry from </w:t>
      </w:r>
      <w:proofErr w:type="spellStart"/>
      <w:r>
        <w:rPr>
          <w:rFonts w:ascii="Arial" w:hAnsi="Arial" w:cs="Arial"/>
        </w:rPr>
        <w:t>organisational</w:t>
      </w:r>
      <w:proofErr w:type="spellEnd"/>
      <w:r>
        <w:rPr>
          <w:rFonts w:ascii="Arial" w:hAnsi="Arial" w:cs="Arial"/>
        </w:rPr>
        <w:t xml:space="preserve"> culture perspective: Case of a chain hotel in the UK. </w:t>
      </w:r>
      <w:r>
        <w:rPr>
          <w:rFonts w:ascii="Arial" w:hAnsi="Arial" w:cs="Arial"/>
          <w:i/>
          <w:iCs/>
        </w:rPr>
        <w:t xml:space="preserve">International Journal of Contemporary Hospitality Management, </w:t>
      </w:r>
      <w:r>
        <w:rPr>
          <w:rFonts w:ascii="Arial" w:hAnsi="Arial" w:cs="Arial"/>
        </w:rPr>
        <w:t xml:space="preserve">28(1), pp. 89-112. </w:t>
      </w:r>
      <w:hyperlink r:id="rId21" w:history="1">
        <w:r>
          <w:rPr>
            <w:rStyle w:val="16"/>
            <w:rFonts w:ascii="Arial" w:hAnsi="Arial" w:cs="Arial"/>
          </w:rPr>
          <w:t>https://www.proquest.com/scholarly-journals/implementing-customer-relationship-management-crm/docview/1752974493/se-2?accountid=130472</w:t>
        </w:r>
      </w:hyperlink>
      <w:r>
        <w:rPr>
          <w:rFonts w:ascii="Arial" w:hAnsi="Arial" w:cs="Arial"/>
        </w:rPr>
        <w:t xml:space="preserve"> </w:t>
      </w:r>
    </w:p>
    <w:p w14:paraId="3EB3FA3F" w14:textId="77777777" w:rsidR="00BD162D" w:rsidRDefault="00BD162D" w:rsidP="00BD162D">
      <w:pPr>
        <w:pStyle w:val="NormalWeb"/>
        <w:numPr>
          <w:ilvl w:val="0"/>
          <w:numId w:val="3"/>
        </w:numPr>
        <w:spacing w:line="360" w:lineRule="auto"/>
        <w:rPr>
          <w:rFonts w:ascii="Arial" w:hAnsi="Arial" w:cs="Arial"/>
        </w:rPr>
      </w:pPr>
      <w:proofErr w:type="spellStart"/>
      <w:r>
        <w:rPr>
          <w:rFonts w:ascii="Arial" w:hAnsi="Arial" w:cs="Arial"/>
        </w:rPr>
        <w:t>Raub</w:t>
      </w:r>
      <w:proofErr w:type="spellEnd"/>
      <w:r>
        <w:rPr>
          <w:rFonts w:ascii="Arial" w:hAnsi="Arial" w:cs="Arial"/>
        </w:rPr>
        <w:t xml:space="preserve">, S., and Robert, C., 2013. Empowerment, Organizational Commitment, and Voice Behavior in the Hospitality Industry. </w:t>
      </w:r>
      <w:r>
        <w:rPr>
          <w:rFonts w:ascii="Arial" w:hAnsi="Arial" w:cs="Arial"/>
          <w:i/>
          <w:iCs/>
        </w:rPr>
        <w:t>Cornell Hospitality Quarterly</w:t>
      </w:r>
      <w:r>
        <w:rPr>
          <w:rFonts w:ascii="Arial" w:hAnsi="Arial" w:cs="Arial"/>
        </w:rPr>
        <w:t xml:space="preserve">, 54, pp. 136 - 148. </w:t>
      </w:r>
      <w:hyperlink r:id="rId22" w:history="1">
        <w:r>
          <w:rPr>
            <w:rStyle w:val="16"/>
            <w:rFonts w:ascii="Arial" w:hAnsi="Arial" w:cs="Arial"/>
          </w:rPr>
          <w:t>https://doi.org/10.1177/1938965512457240</w:t>
        </w:r>
      </w:hyperlink>
      <w:r>
        <w:rPr>
          <w:rFonts w:ascii="Arial" w:hAnsi="Arial" w:cs="Arial"/>
        </w:rPr>
        <w:t xml:space="preserve">. </w:t>
      </w:r>
    </w:p>
    <w:p w14:paraId="19942A84"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lastRenderedPageBreak/>
        <w:t xml:space="preserve">RONZONI, G., TORRES, E. and KANG, J., 2018. Dual branding: a case study of Wyndham. </w:t>
      </w:r>
      <w:r>
        <w:rPr>
          <w:rFonts w:ascii="Arial" w:eastAsia="Calibri" w:hAnsi="Arial" w:cs="Arial"/>
          <w:i/>
          <w:iCs/>
          <w:sz w:val="24"/>
          <w:szCs w:val="24"/>
        </w:rPr>
        <w:t xml:space="preserve">Journal of Hospitality and Tourism Insights, </w:t>
      </w:r>
      <w:r>
        <w:rPr>
          <w:rFonts w:ascii="Arial" w:eastAsia="Calibri" w:hAnsi="Arial" w:cs="Arial"/>
          <w:sz w:val="24"/>
          <w:szCs w:val="24"/>
        </w:rPr>
        <w:t xml:space="preserve">1(3), pp. 240-257. </w:t>
      </w:r>
      <w:hyperlink r:id="rId23" w:history="1">
        <w:r>
          <w:rPr>
            <w:rStyle w:val="16"/>
            <w:rFonts w:ascii="Arial" w:eastAsia="Calibri" w:hAnsi="Arial" w:cs="Arial"/>
            <w:sz w:val="24"/>
            <w:szCs w:val="24"/>
          </w:rPr>
          <w:t>https://www.proquest.com/scholarly-journals/dual-branding-case-study-wyndham/docview/2447267607/se-2?accountid=130472</w:t>
        </w:r>
      </w:hyperlink>
      <w:r>
        <w:rPr>
          <w:rFonts w:ascii="Arial" w:eastAsia="Calibri" w:hAnsi="Arial" w:cs="Arial"/>
          <w:sz w:val="24"/>
          <w:szCs w:val="24"/>
        </w:rPr>
        <w:t xml:space="preserve"> </w:t>
      </w:r>
    </w:p>
    <w:p w14:paraId="642FC572"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Schein, E.H., 2010.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culture and leadership. Jossey-Bass. </w:t>
      </w:r>
      <w:hyperlink r:id="rId24" w:history="1">
        <w:r>
          <w:rPr>
            <w:rStyle w:val="16"/>
            <w:rFonts w:ascii="Arial" w:eastAsia="Calibri" w:hAnsi="Arial" w:cs="Arial"/>
            <w:sz w:val="24"/>
            <w:szCs w:val="24"/>
          </w:rPr>
          <w:t>https://librarysearch.uwtsd.ac.uk/permalink/44WHELF_UWTSD/tj3s4p/alma99100107681002421</w:t>
        </w:r>
      </w:hyperlink>
      <w:r>
        <w:rPr>
          <w:rFonts w:ascii="Arial" w:eastAsia="Calibri" w:hAnsi="Arial" w:cs="Arial"/>
          <w:sz w:val="24"/>
          <w:szCs w:val="24"/>
        </w:rPr>
        <w:t xml:space="preserve"> </w:t>
      </w:r>
    </w:p>
    <w:p w14:paraId="17B688CC"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Sinclair, M., and Sinclair, C., 2009. Improving Hotel Efficiency Through Integration of Service and Project Management Cultures. </w:t>
      </w:r>
      <w:r>
        <w:rPr>
          <w:rFonts w:ascii="Arial" w:hAnsi="Arial" w:cs="Arial"/>
          <w:i/>
          <w:iCs/>
        </w:rPr>
        <w:t>International Journal of Hospitality &amp; Tourism Administration</w:t>
      </w:r>
      <w:r>
        <w:rPr>
          <w:rFonts w:ascii="Arial" w:hAnsi="Arial" w:cs="Arial"/>
        </w:rPr>
        <w:t xml:space="preserve">, 10, pp. 344 - 360. </w:t>
      </w:r>
      <w:hyperlink r:id="rId25" w:history="1">
        <w:r>
          <w:rPr>
            <w:rStyle w:val="16"/>
            <w:rFonts w:ascii="Arial" w:hAnsi="Arial" w:cs="Arial"/>
          </w:rPr>
          <w:t>https://doi.org/10.1080/15256480903337155</w:t>
        </w:r>
      </w:hyperlink>
      <w:r>
        <w:rPr>
          <w:rFonts w:ascii="Arial" w:hAnsi="Arial" w:cs="Arial"/>
        </w:rPr>
        <w:t xml:space="preserve">. </w:t>
      </w:r>
    </w:p>
    <w:p w14:paraId="50AAC08B"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Slattery, P. and Clark, A., 1988. Major variables in the corporate structure of hotel groups. </w:t>
      </w:r>
      <w:r>
        <w:rPr>
          <w:rFonts w:ascii="Arial" w:eastAsia="Calibri" w:hAnsi="Arial" w:cs="Arial"/>
          <w:i/>
          <w:iCs/>
          <w:sz w:val="24"/>
          <w:szCs w:val="24"/>
        </w:rPr>
        <w:t>International Journal of Hospitality Management</w:t>
      </w:r>
      <w:r>
        <w:rPr>
          <w:rFonts w:ascii="Arial" w:eastAsia="Calibri" w:hAnsi="Arial" w:cs="Arial"/>
          <w:sz w:val="24"/>
          <w:szCs w:val="24"/>
        </w:rPr>
        <w:t xml:space="preserve">, </w:t>
      </w:r>
      <w:r>
        <w:rPr>
          <w:rFonts w:ascii="Arial" w:eastAsia="Calibri" w:hAnsi="Arial" w:cs="Arial"/>
          <w:i/>
          <w:iCs/>
          <w:sz w:val="24"/>
          <w:szCs w:val="24"/>
        </w:rPr>
        <w:t>7</w:t>
      </w:r>
      <w:r>
        <w:rPr>
          <w:rFonts w:ascii="Arial" w:eastAsia="Calibri" w:hAnsi="Arial" w:cs="Arial"/>
          <w:sz w:val="24"/>
          <w:szCs w:val="24"/>
        </w:rPr>
        <w:t xml:space="preserve">(2), pp.117-130. </w:t>
      </w:r>
      <w:hyperlink r:id="rId26" w:history="1">
        <w:r>
          <w:rPr>
            <w:rStyle w:val="16"/>
            <w:rFonts w:ascii="Arial" w:eastAsia="Calibri" w:hAnsi="Arial" w:cs="Arial"/>
            <w:sz w:val="24"/>
            <w:szCs w:val="24"/>
          </w:rPr>
          <w:t>https://www.academia.edu/download/72201027/0278-4319_2888_2990033-320211011-1214-uc05ad.pdf</w:t>
        </w:r>
      </w:hyperlink>
      <w:r>
        <w:rPr>
          <w:rFonts w:ascii="Arial" w:eastAsia="Calibri" w:hAnsi="Arial" w:cs="Arial"/>
          <w:sz w:val="24"/>
          <w:szCs w:val="24"/>
        </w:rPr>
        <w:t xml:space="preserve"> </w:t>
      </w:r>
    </w:p>
    <w:p w14:paraId="41A96472" w14:textId="77777777" w:rsidR="00BD162D" w:rsidRDefault="00BD162D" w:rsidP="00BD162D">
      <w:pPr>
        <w:pStyle w:val="ListParagraph"/>
        <w:numPr>
          <w:ilvl w:val="0"/>
          <w:numId w:val="3"/>
        </w:numPr>
        <w:spacing w:line="360" w:lineRule="auto"/>
        <w:rPr>
          <w:rFonts w:ascii="Arial" w:eastAsia="Calibri" w:hAnsi="Arial" w:cs="Arial"/>
          <w:sz w:val="24"/>
          <w:szCs w:val="24"/>
        </w:rPr>
      </w:pPr>
      <w:r>
        <w:rPr>
          <w:rFonts w:ascii="Arial" w:eastAsia="Calibri" w:hAnsi="Arial" w:cs="Arial"/>
          <w:sz w:val="24"/>
          <w:szCs w:val="24"/>
        </w:rPr>
        <w:t xml:space="preserve">TAVITIYAMAN, P., HANQIN, Q.Z. and QU, H., 2012. The effect of competitive strategies and </w:t>
      </w:r>
      <w:proofErr w:type="spellStart"/>
      <w:r>
        <w:rPr>
          <w:rFonts w:ascii="Arial" w:eastAsia="Calibri" w:hAnsi="Arial" w:cs="Arial"/>
          <w:sz w:val="24"/>
          <w:szCs w:val="24"/>
        </w:rPr>
        <w:t>organisational</w:t>
      </w:r>
      <w:proofErr w:type="spellEnd"/>
      <w:r>
        <w:rPr>
          <w:rFonts w:ascii="Arial" w:eastAsia="Calibri" w:hAnsi="Arial" w:cs="Arial"/>
          <w:sz w:val="24"/>
          <w:szCs w:val="24"/>
        </w:rPr>
        <w:t xml:space="preserve"> structure on hotel performance. </w:t>
      </w:r>
      <w:r>
        <w:rPr>
          <w:rFonts w:ascii="Arial" w:eastAsia="Calibri" w:hAnsi="Arial" w:cs="Arial"/>
          <w:i/>
          <w:iCs/>
          <w:sz w:val="24"/>
          <w:szCs w:val="24"/>
        </w:rPr>
        <w:t xml:space="preserve">International Journal of Contemporary Hospitality Management, </w:t>
      </w:r>
      <w:r>
        <w:rPr>
          <w:rFonts w:ascii="Arial" w:eastAsia="Calibri" w:hAnsi="Arial" w:cs="Arial"/>
          <w:sz w:val="24"/>
          <w:szCs w:val="24"/>
        </w:rPr>
        <w:t xml:space="preserve">24(1), pp. 140-159. </w:t>
      </w:r>
      <w:hyperlink r:id="rId27" w:history="1">
        <w:r>
          <w:rPr>
            <w:rStyle w:val="16"/>
            <w:rFonts w:ascii="Arial" w:eastAsia="Calibri" w:hAnsi="Arial" w:cs="Arial"/>
            <w:sz w:val="24"/>
            <w:szCs w:val="24"/>
          </w:rPr>
          <w:t>https://www.proquest.com/scholarly-journals/effect-competitive-strategies-organizational/docview/918506034/se-2?accountid=130472</w:t>
        </w:r>
      </w:hyperlink>
      <w:r>
        <w:rPr>
          <w:rFonts w:ascii="Arial" w:eastAsia="Calibri" w:hAnsi="Arial" w:cs="Arial"/>
          <w:sz w:val="24"/>
          <w:szCs w:val="24"/>
        </w:rPr>
        <w:t xml:space="preserve"> </w:t>
      </w:r>
    </w:p>
    <w:p w14:paraId="1A7F3BFD" w14:textId="77777777" w:rsidR="00BD162D" w:rsidRDefault="00BD162D" w:rsidP="00BD162D">
      <w:pPr>
        <w:pStyle w:val="NormalWeb"/>
        <w:numPr>
          <w:ilvl w:val="0"/>
          <w:numId w:val="3"/>
        </w:numPr>
        <w:spacing w:line="360" w:lineRule="auto"/>
        <w:rPr>
          <w:rFonts w:ascii="Arial" w:hAnsi="Arial" w:cs="Arial"/>
        </w:rPr>
      </w:pPr>
      <w:r>
        <w:rPr>
          <w:rFonts w:ascii="Arial" w:hAnsi="Arial" w:cs="Arial"/>
        </w:rPr>
        <w:t xml:space="preserve">Wyndham Hotels &amp; Resorts, 2024. </w:t>
      </w:r>
      <w:r>
        <w:rPr>
          <w:rStyle w:val="15"/>
          <w:rFonts w:ascii="Arial" w:eastAsia="DengXian Light" w:hAnsi="Arial" w:cs="Arial"/>
        </w:rPr>
        <w:t>News and Events</w:t>
      </w:r>
      <w:r>
        <w:rPr>
          <w:rFonts w:ascii="Arial" w:hAnsi="Arial" w:cs="Arial"/>
        </w:rPr>
        <w:t xml:space="preserve">. </w:t>
      </w:r>
      <w:hyperlink r:id="rId28" w:history="1">
        <w:r>
          <w:rPr>
            <w:rStyle w:val="16"/>
            <w:rFonts w:ascii="Arial" w:eastAsia="DengXian Light" w:hAnsi="Arial" w:cs="Arial"/>
          </w:rPr>
          <w:t>https://development.wyndhamhotels.com/news-and-events/</w:t>
        </w:r>
      </w:hyperlink>
      <w:r>
        <w:rPr>
          <w:rFonts w:ascii="Arial" w:hAnsi="Arial" w:cs="Arial"/>
        </w:rPr>
        <w:t>.</w:t>
      </w:r>
    </w:p>
    <w:p w14:paraId="1E2D12D5" w14:textId="77777777" w:rsidR="00BD162D" w:rsidRDefault="00BD162D" w:rsidP="00BD162D">
      <w:pPr>
        <w:pStyle w:val="ListParagraph"/>
        <w:numPr>
          <w:ilvl w:val="0"/>
          <w:numId w:val="3"/>
        </w:numPr>
        <w:spacing w:line="360" w:lineRule="auto"/>
        <w:rPr>
          <w:rFonts w:ascii="Arial" w:eastAsia="Calibri" w:hAnsi="Arial" w:cs="Arial"/>
          <w:sz w:val="24"/>
          <w:szCs w:val="24"/>
        </w:rPr>
      </w:pPr>
      <w:proofErr w:type="spellStart"/>
      <w:r>
        <w:rPr>
          <w:rFonts w:ascii="Arial" w:eastAsia="Calibri" w:hAnsi="Arial" w:cs="Arial"/>
          <w:sz w:val="24"/>
          <w:szCs w:val="24"/>
        </w:rPr>
        <w:t>Youn</w:t>
      </w:r>
      <w:proofErr w:type="spellEnd"/>
      <w:r>
        <w:rPr>
          <w:rFonts w:ascii="Arial" w:eastAsia="Calibri" w:hAnsi="Arial" w:cs="Arial"/>
          <w:sz w:val="24"/>
          <w:szCs w:val="24"/>
        </w:rPr>
        <w:t xml:space="preserve">, H., and Kim, J., 2022. Corporate Social Responsibility and Hotel Employees’ Organizational Citizenship Behavior: The Roles of Organizational Pride and Meaningfulness of Work. </w:t>
      </w:r>
      <w:r>
        <w:rPr>
          <w:rFonts w:ascii="Arial" w:eastAsia="Calibri" w:hAnsi="Arial" w:cs="Arial"/>
          <w:i/>
          <w:iCs/>
          <w:sz w:val="24"/>
          <w:szCs w:val="24"/>
        </w:rPr>
        <w:t>Sustainability</w:t>
      </w:r>
      <w:r>
        <w:rPr>
          <w:rFonts w:ascii="Arial" w:eastAsia="Calibri" w:hAnsi="Arial" w:cs="Arial"/>
          <w:sz w:val="24"/>
          <w:szCs w:val="24"/>
        </w:rPr>
        <w:t xml:space="preserve">. </w:t>
      </w:r>
      <w:hyperlink r:id="rId29" w:history="1">
        <w:r>
          <w:rPr>
            <w:rStyle w:val="16"/>
            <w:rFonts w:ascii="Arial" w:eastAsia="Calibri" w:hAnsi="Arial" w:cs="Arial"/>
            <w:sz w:val="24"/>
            <w:szCs w:val="24"/>
          </w:rPr>
          <w:t>https://doi.org/10.3390/su14042428</w:t>
        </w:r>
      </w:hyperlink>
      <w:r>
        <w:rPr>
          <w:rFonts w:ascii="Arial" w:eastAsia="Calibri" w:hAnsi="Arial" w:cs="Arial"/>
          <w:sz w:val="24"/>
          <w:szCs w:val="24"/>
        </w:rPr>
        <w:t xml:space="preserve">. </w:t>
      </w:r>
    </w:p>
    <w:p w14:paraId="42383884" w14:textId="77777777"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01DCF035" w14:textId="588D572F" w:rsidR="00BD162D" w:rsidRDefault="00BD162D" w:rsidP="00BD162D">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41567D24" w14:textId="2E0BAA77" w:rsidR="002D505D" w:rsidRDefault="002D505D" w:rsidP="00BD162D">
      <w:pPr>
        <w:spacing w:line="360" w:lineRule="auto"/>
        <w:jc w:val="both"/>
        <w:rPr>
          <w:rFonts w:ascii="Arial" w:eastAsia="Calibri" w:hAnsi="Arial" w:cs="Arial"/>
          <w:sz w:val="24"/>
          <w:szCs w:val="24"/>
        </w:rPr>
      </w:pPr>
    </w:p>
    <w:p w14:paraId="10976FA6" w14:textId="1CA2F3AC" w:rsidR="002D505D" w:rsidRDefault="002D505D" w:rsidP="00BD162D">
      <w:pPr>
        <w:spacing w:line="360" w:lineRule="auto"/>
        <w:jc w:val="both"/>
        <w:rPr>
          <w:rFonts w:ascii="Arial" w:eastAsia="Calibri" w:hAnsi="Arial" w:cs="Arial"/>
          <w:sz w:val="24"/>
          <w:szCs w:val="24"/>
        </w:rPr>
      </w:pPr>
    </w:p>
    <w:p w14:paraId="326AC216" w14:textId="44A48D19" w:rsidR="002D505D" w:rsidRDefault="002D505D" w:rsidP="00BD162D">
      <w:pPr>
        <w:spacing w:line="360" w:lineRule="auto"/>
        <w:jc w:val="both"/>
        <w:rPr>
          <w:rFonts w:ascii="Arial" w:eastAsia="Calibri" w:hAnsi="Arial" w:cs="Arial"/>
          <w:sz w:val="24"/>
          <w:szCs w:val="24"/>
        </w:rPr>
      </w:pPr>
    </w:p>
    <w:p w14:paraId="77C5E061" w14:textId="7D3DE371" w:rsidR="002D505D" w:rsidRDefault="002D505D" w:rsidP="00BD162D">
      <w:pPr>
        <w:spacing w:line="360" w:lineRule="auto"/>
        <w:jc w:val="both"/>
        <w:rPr>
          <w:rFonts w:ascii="Arial" w:eastAsia="Calibri" w:hAnsi="Arial" w:cs="Arial"/>
          <w:sz w:val="24"/>
          <w:szCs w:val="24"/>
        </w:rPr>
      </w:pPr>
    </w:p>
    <w:p w14:paraId="4A4B7025" w14:textId="40827F89"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t>I confirm that I have not presented any AI generated text as my own work.</w:t>
      </w:r>
    </w:p>
    <w:p w14:paraId="69637AB7" w14:textId="19DE6C64"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t>I confirm I have copies of my drafts, notes, and other resources I used before, and after the use of AI tools which I may be asked to provide in evidence.</w:t>
      </w:r>
    </w:p>
    <w:p w14:paraId="38651201" w14:textId="21ABEE45" w:rsidR="002D505D" w:rsidRDefault="002D505D" w:rsidP="00BD162D">
      <w:pPr>
        <w:spacing w:line="360" w:lineRule="auto"/>
        <w:jc w:val="both"/>
        <w:rPr>
          <w:rFonts w:ascii="Arial" w:eastAsia="Calibri" w:hAnsi="Arial" w:cs="Arial"/>
          <w:sz w:val="24"/>
          <w:szCs w:val="24"/>
        </w:rPr>
      </w:pPr>
      <w:r>
        <w:rPr>
          <w:rFonts w:ascii="Arial" w:eastAsia="Calibri" w:hAnsi="Arial" w:cs="Arial"/>
          <w:sz w:val="24"/>
          <w:szCs w:val="24"/>
        </w:rPr>
        <w:t>I acknowledge the use of Grammarly App and Microsoft Word on 07</w:t>
      </w:r>
      <w:r w:rsidRPr="002D505D">
        <w:rPr>
          <w:rFonts w:ascii="Arial" w:eastAsia="Calibri" w:hAnsi="Arial" w:cs="Arial"/>
          <w:sz w:val="24"/>
          <w:szCs w:val="24"/>
          <w:vertAlign w:val="superscript"/>
        </w:rPr>
        <w:t>th</w:t>
      </w:r>
      <w:r>
        <w:rPr>
          <w:rFonts w:ascii="Arial" w:eastAsia="Calibri" w:hAnsi="Arial" w:cs="Arial"/>
          <w:sz w:val="24"/>
          <w:szCs w:val="24"/>
        </w:rPr>
        <w:t xml:space="preserve"> November 2024 and 08</w:t>
      </w:r>
      <w:r w:rsidRPr="002D505D">
        <w:rPr>
          <w:rFonts w:ascii="Arial" w:eastAsia="Calibri" w:hAnsi="Arial" w:cs="Arial"/>
          <w:sz w:val="24"/>
          <w:szCs w:val="24"/>
          <w:vertAlign w:val="superscript"/>
        </w:rPr>
        <w:t>th</w:t>
      </w:r>
      <w:r>
        <w:rPr>
          <w:rFonts w:ascii="Arial" w:eastAsia="Calibri" w:hAnsi="Arial" w:cs="Arial"/>
          <w:sz w:val="24"/>
          <w:szCs w:val="24"/>
        </w:rPr>
        <w:t xml:space="preserve"> November 2024 to check my grammar.</w:t>
      </w:r>
    </w:p>
    <w:p w14:paraId="556603E1" w14:textId="45AFBB89" w:rsidR="0040082B" w:rsidRDefault="0040082B" w:rsidP="0040082B">
      <w:pPr>
        <w:rPr>
          <w:rFonts w:ascii="Arial" w:hAnsi="Arial" w:cs="Arial"/>
          <w:b/>
          <w:bCs/>
          <w:sz w:val="28"/>
          <w:szCs w:val="28"/>
        </w:rPr>
      </w:pPr>
    </w:p>
    <w:p w14:paraId="01BA46B9" w14:textId="6237D36A" w:rsidR="0040082B" w:rsidRDefault="0040082B" w:rsidP="006B721D">
      <w:pPr>
        <w:jc w:val="right"/>
        <w:rPr>
          <w:rFonts w:ascii="Arial" w:hAnsi="Arial" w:cs="Arial"/>
          <w:b/>
          <w:bCs/>
          <w:sz w:val="28"/>
          <w:szCs w:val="28"/>
        </w:rPr>
      </w:pPr>
    </w:p>
    <w:p w14:paraId="12B669CC" w14:textId="7B056AE2" w:rsidR="0040082B" w:rsidRDefault="0040082B" w:rsidP="006B721D">
      <w:pPr>
        <w:jc w:val="right"/>
        <w:rPr>
          <w:rFonts w:ascii="Arial" w:hAnsi="Arial" w:cs="Arial"/>
          <w:b/>
          <w:bCs/>
          <w:sz w:val="28"/>
          <w:szCs w:val="28"/>
        </w:rPr>
      </w:pPr>
    </w:p>
    <w:p w14:paraId="5E50B06E" w14:textId="77777777" w:rsidR="002D505D" w:rsidRDefault="002D505D" w:rsidP="0040082B">
      <w:pPr>
        <w:rPr>
          <w:rFonts w:ascii="Arial" w:hAnsi="Arial" w:cs="Arial"/>
          <w:b/>
          <w:bCs/>
          <w:sz w:val="28"/>
          <w:szCs w:val="28"/>
        </w:rPr>
      </w:pPr>
    </w:p>
    <w:p w14:paraId="7D90A956" w14:textId="77777777" w:rsidR="0040082B" w:rsidRPr="006B721D" w:rsidRDefault="0040082B" w:rsidP="006B721D">
      <w:pPr>
        <w:jc w:val="right"/>
        <w:rPr>
          <w:rFonts w:ascii="Arial" w:hAnsi="Arial" w:cs="Arial"/>
          <w:b/>
          <w:bCs/>
          <w:sz w:val="28"/>
          <w:szCs w:val="28"/>
        </w:rPr>
      </w:pPr>
    </w:p>
    <w:sectPr w:rsidR="0040082B" w:rsidRPr="006B72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73834"/>
    <w:multiLevelType w:val="multilevel"/>
    <w:tmpl w:val="DF60F50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655402B4"/>
    <w:multiLevelType w:val="multilevel"/>
    <w:tmpl w:val="E9F6047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6D773240"/>
    <w:multiLevelType w:val="multilevel"/>
    <w:tmpl w:val="1DCA58B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045"/>
    <w:rsid w:val="002D505D"/>
    <w:rsid w:val="0040082B"/>
    <w:rsid w:val="005A3045"/>
    <w:rsid w:val="006B721D"/>
    <w:rsid w:val="007335D8"/>
    <w:rsid w:val="00940E2C"/>
    <w:rsid w:val="00A21B7C"/>
    <w:rsid w:val="00B1115B"/>
    <w:rsid w:val="00BD162D"/>
    <w:rsid w:val="00CE1721"/>
    <w:rsid w:val="00ED2FFB"/>
    <w:rsid w:val="00EF7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257C6"/>
  <w15:chartTrackingRefBased/>
  <w15:docId w15:val="{BC2DA3D6-9DA0-4A49-B6F8-6159475C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62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BD162D"/>
    <w:pPr>
      <w:spacing w:before="100" w:beforeAutospacing="1" w:line="256" w:lineRule="auto"/>
      <w:ind w:left="720"/>
      <w:contextualSpacing/>
    </w:pPr>
    <w:rPr>
      <w:rFonts w:ascii="Calibri" w:eastAsia="Times New Roman" w:hAnsi="Calibri" w:cs="Times New Roman"/>
      <w:kern w:val="2"/>
    </w:rPr>
  </w:style>
  <w:style w:type="character" w:customStyle="1" w:styleId="15">
    <w:name w:val="15"/>
    <w:basedOn w:val="DefaultParagraphFont"/>
    <w:rsid w:val="00BD162D"/>
    <w:rPr>
      <w:rFonts w:ascii="Calibri" w:hAnsi="Calibri" w:cs="Calibri" w:hint="default"/>
      <w:i/>
      <w:iCs/>
    </w:rPr>
  </w:style>
  <w:style w:type="character" w:customStyle="1" w:styleId="16">
    <w:name w:val="16"/>
    <w:basedOn w:val="DefaultParagraphFont"/>
    <w:rsid w:val="00BD162D"/>
    <w:rPr>
      <w:rFonts w:ascii="Calibri" w:hAnsi="Calibri" w:cs="Calibri" w:hint="default"/>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4.08.007" TargetMode="External"/><Relationship Id="rId13" Type="http://schemas.openxmlformats.org/officeDocument/2006/relationships/hyperlink" Target="https://ebookcentral.proquest.com/lib/trinity/detail.action?docID=710394" TargetMode="External"/><Relationship Id="rId18" Type="http://schemas.openxmlformats.org/officeDocument/2006/relationships/hyperlink" Target="https://doi.org/10.21511/PPM.15(4-1).2017.07" TargetMode="External"/><Relationship Id="rId26" Type="http://schemas.openxmlformats.org/officeDocument/2006/relationships/hyperlink" Target="https://www.academia.edu/download/72201027/0278-4319_2888_2990033-320211011-1214-uc05ad.pdf" TargetMode="External"/><Relationship Id="rId3" Type="http://schemas.openxmlformats.org/officeDocument/2006/relationships/settings" Target="settings.xml"/><Relationship Id="rId21" Type="http://schemas.openxmlformats.org/officeDocument/2006/relationships/hyperlink" Target="https://www.proquest.com/scholarly-journals/implementing-customer-relationship-management-crm/docview/1752974493/se-2?accountid=130472" TargetMode="External"/><Relationship Id="rId7" Type="http://schemas.openxmlformats.org/officeDocument/2006/relationships/hyperlink" Target="https://doi.org/10.1016/J.JBUSRES.2004.11.001" TargetMode="External"/><Relationship Id="rId12" Type="http://schemas.openxmlformats.org/officeDocument/2006/relationships/hyperlink" Target="https://doi.org/10.1080/13571516.2020.1718460" TargetMode="External"/><Relationship Id="rId17" Type="http://schemas.openxmlformats.org/officeDocument/2006/relationships/hyperlink" Target="https://doi.org/10.2139/ssrn.1034082" TargetMode="External"/><Relationship Id="rId25" Type="http://schemas.openxmlformats.org/officeDocument/2006/relationships/hyperlink" Target="https://doi.org/10.1080/15256480903337155" TargetMode="External"/><Relationship Id="rId2" Type="http://schemas.openxmlformats.org/officeDocument/2006/relationships/styles" Target="styles.xml"/><Relationship Id="rId16" Type="http://schemas.openxmlformats.org/officeDocument/2006/relationships/hyperlink" Target="https://doi.org/10.1016/J.IJHM.2011.08.001" TargetMode="External"/><Relationship Id="rId20" Type="http://schemas.openxmlformats.org/officeDocument/2006/relationships/hyperlink" Target="https://www.academia.edu/download/66892574/Menezes_Cavagnaro_2021_Communicating_Sustainable_Initiatives_in_the_Hotel_Industry.pdf" TargetMode="External"/><Relationship Id="rId29" Type="http://schemas.openxmlformats.org/officeDocument/2006/relationships/hyperlink" Target="https://doi.org/10.3390/su14042428" TargetMode="External"/><Relationship Id="rId1" Type="http://schemas.openxmlformats.org/officeDocument/2006/relationships/numbering" Target="numbering.xml"/><Relationship Id="rId6" Type="http://schemas.openxmlformats.org/officeDocument/2006/relationships/hyperlink" Target="https://www.proquest.com/scholarly-journals/why-do-hotels-find-reducing-their-carbon/docview/2548933071/se-2?accountid=130472" TargetMode="External"/><Relationship Id="rId11" Type="http://schemas.openxmlformats.org/officeDocument/2006/relationships/hyperlink" Target="https://www.researchgate.net/profile/Laurie-Ford/publication/235283003_The_Leadership_of_Organization_Change_A_View_from_Recent_Empirical_Evidence/links/53f38c160cf2155be34fa90a/The-Leadership-of-Organization-Change-A-View-from-Recent-Empirical-Evidence.pdf" TargetMode="External"/><Relationship Id="rId24" Type="http://schemas.openxmlformats.org/officeDocument/2006/relationships/hyperlink" Target="https://librarysearch.uwtsd.ac.uk/permalink/44WHELF_UWTSD/tj3s4p/alma99100107681002421" TargetMode="External"/><Relationship Id="rId5" Type="http://schemas.openxmlformats.org/officeDocument/2006/relationships/hyperlink" Target="https://doi-org.ezproxy.uwtsd.ac.uk/10.1177/1354816620901928" TargetMode="External"/><Relationship Id="rId15" Type="http://schemas.openxmlformats.org/officeDocument/2006/relationships/hyperlink" Target="https://www.proquest.com/scholarly-journals/hotel-companies-environmental-policies-practices/docview/918503899/se-2?accountid=130472" TargetMode="External"/><Relationship Id="rId23" Type="http://schemas.openxmlformats.org/officeDocument/2006/relationships/hyperlink" Target="https://www.proquest.com/scholarly-journals/dual-branding-case-study-wyndham/docview/2447267607/se-2?accountid=130472" TargetMode="External"/><Relationship Id="rId28" Type="http://schemas.openxmlformats.org/officeDocument/2006/relationships/hyperlink" Target="https://development.wyndhamhotels.com/news-and-events/" TargetMode="External"/><Relationship Id="rId10" Type="http://schemas.openxmlformats.org/officeDocument/2006/relationships/hyperlink" Target="https://doi.org/10.3390/su11195372" TargetMode="External"/><Relationship Id="rId19" Type="http://schemas.openxmlformats.org/officeDocument/2006/relationships/hyperlink" Target="https://doi.org/10.1007/S10551-013-1857-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home\Downloads\Wyndhams%20Hotel%20MOB%20Done.docx" TargetMode="External"/><Relationship Id="rId14" Type="http://schemas.openxmlformats.org/officeDocument/2006/relationships/hyperlink" Target="https://doi.org/10.1002/JOE.20089" TargetMode="External"/><Relationship Id="rId22" Type="http://schemas.openxmlformats.org/officeDocument/2006/relationships/hyperlink" Target="https://doi.org/10.1177/1938965512457240" TargetMode="External"/><Relationship Id="rId27" Type="http://schemas.openxmlformats.org/officeDocument/2006/relationships/hyperlink" Target="https://www.proquest.com/scholarly-journals/effect-competitive-strategies-organizational/docview/918506034/se-2?accountid=13047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15</Pages>
  <Words>3913</Words>
  <Characters>22310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10</cp:revision>
  <dcterms:created xsi:type="dcterms:W3CDTF">2024-11-08T19:32:00Z</dcterms:created>
  <dcterms:modified xsi:type="dcterms:W3CDTF">2024-11-08T22:37:00Z</dcterms:modified>
</cp:coreProperties>
</file>