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both"/>
        <w:rPr>
          <w:color w:val="auto"/>
        </w:rPr>
      </w:pPr>
    </w:p>
    <w:p>
      <w:pPr>
        <w:pStyle w:val="10"/>
        <w:rPr>
          <w:color w:val="auto"/>
          <w:u w:val="none"/>
        </w:rPr>
      </w:pPr>
      <w:r>
        <w:rPr>
          <w:color w:val="auto"/>
          <w:u w:val="none"/>
        </w:rPr>
        <w:t xml:space="preserve">Marketing Management Assessment 2 </w:t>
      </w: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bookmarkStart w:id="11" w:name="_GoBack"/>
      <w:bookmarkEnd w:id="11"/>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both"/>
        <w:rPr>
          <w:rFonts w:ascii="Times New Roman" w:hAnsi="Times New Roman" w:eastAsiaTheme="minorHAnsi" w:cstheme="minorBidi"/>
          <w:color w:val="auto"/>
          <w:sz w:val="24"/>
          <w:szCs w:val="22"/>
          <w:lang w:val="en-GB"/>
        </w:rPr>
      </w:pPr>
    </w:p>
    <w:p>
      <w:pPr>
        <w:rPr>
          <w:rFonts w:ascii="Times New Roman" w:hAnsi="Times New Roman" w:eastAsiaTheme="minorHAnsi" w:cstheme="minorBidi"/>
          <w:color w:val="auto"/>
          <w:sz w:val="24"/>
          <w:szCs w:val="22"/>
          <w:lang w:val="en-GB"/>
        </w:rPr>
      </w:pPr>
    </w:p>
    <w:p>
      <w:pP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center"/>
        <w:rPr>
          <w:rFonts w:ascii="Times New Roman" w:hAnsi="Times New Roman" w:eastAsiaTheme="minorHAnsi" w:cstheme="minorBidi"/>
          <w:color w:val="auto"/>
          <w:sz w:val="24"/>
          <w:szCs w:val="22"/>
          <w:lang w:val="en-GB"/>
        </w:rPr>
      </w:pPr>
    </w:p>
    <w:p>
      <w:pPr>
        <w:pStyle w:val="20"/>
        <w:jc w:val="both"/>
        <w:rPr>
          <w:rFonts w:ascii="Times New Roman" w:hAnsi="Times New Roman" w:eastAsiaTheme="minorHAnsi" w:cstheme="minorBidi"/>
          <w:color w:val="auto"/>
          <w:sz w:val="24"/>
          <w:szCs w:val="22"/>
          <w:lang w:val="en-GB"/>
        </w:rPr>
      </w:pPr>
    </w:p>
    <w:p>
      <w:pPr>
        <w:pStyle w:val="20"/>
        <w:jc w:val="both"/>
        <w:rPr>
          <w:rFonts w:ascii="Times New Roman" w:hAnsi="Times New Roman" w:eastAsiaTheme="minorHAnsi" w:cstheme="minorBidi"/>
          <w:color w:val="auto"/>
          <w:sz w:val="24"/>
          <w:szCs w:val="22"/>
          <w:lang w:val="en-GB"/>
        </w:rPr>
      </w:pPr>
    </w:p>
    <w:p>
      <w:pPr>
        <w:rPr>
          <w:color w:val="auto"/>
          <w:lang w:val="en-GB"/>
        </w:rPr>
      </w:pPr>
    </w:p>
    <w:sdt>
      <w:sdtPr>
        <w:rPr>
          <w:rFonts w:ascii="Times New Roman" w:hAnsi="Times New Roman" w:eastAsiaTheme="minorHAnsi" w:cstheme="minorBidi"/>
          <w:color w:val="auto"/>
          <w:sz w:val="24"/>
          <w:szCs w:val="22"/>
          <w:lang w:val="en-GB"/>
        </w:rPr>
        <w:id w:val="-786967429"/>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pStyle w:val="20"/>
            <w:jc w:val="both"/>
            <w:rPr>
              <w:rFonts w:ascii="Times New Roman" w:hAnsi="Times New Roman" w:cs="Times New Roman"/>
              <w:b/>
              <w:bCs/>
              <w:color w:val="auto"/>
              <w:sz w:val="28"/>
              <w:szCs w:val="28"/>
              <w:u w:val="single"/>
              <w:lang w:val="en-GB"/>
            </w:rPr>
          </w:pPr>
          <w:r>
            <w:rPr>
              <w:rFonts w:ascii="Times New Roman" w:hAnsi="Times New Roman" w:cs="Times New Roman"/>
              <w:b/>
              <w:bCs/>
              <w:color w:val="auto"/>
              <w:sz w:val="28"/>
              <w:szCs w:val="28"/>
              <w:u w:val="single"/>
              <w:lang w:val="en-GB"/>
            </w:rPr>
            <w:t>Table of Contents</w:t>
          </w:r>
        </w:p>
        <w:p>
          <w:pPr>
            <w:pStyle w:val="11"/>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TOC \o "1-3" \h \z \u </w:instrText>
          </w:r>
          <w:r>
            <w:rPr>
              <w:color w:val="auto"/>
            </w:rPr>
            <w:fldChar w:fldCharType="separate"/>
          </w:r>
          <w:r>
            <w:rPr>
              <w:color w:val="auto"/>
            </w:rPr>
            <w:fldChar w:fldCharType="begin"/>
          </w:r>
          <w:r>
            <w:rPr>
              <w:color w:val="auto"/>
            </w:rPr>
            <w:instrText xml:space="preserve"> HYPERLINK \l "_Toc111904880" </w:instrText>
          </w:r>
          <w:r>
            <w:rPr>
              <w:color w:val="auto"/>
            </w:rPr>
            <w:fldChar w:fldCharType="separate"/>
          </w:r>
          <w:r>
            <w:rPr>
              <w:rStyle w:val="8"/>
              <w:color w:val="auto"/>
            </w:rPr>
            <w:t>Question A: Environmental Marketing Analysis</w:t>
          </w:r>
          <w:r>
            <w:rPr>
              <w:color w:val="auto"/>
            </w:rPr>
            <w:tab/>
          </w:r>
          <w:r>
            <w:rPr>
              <w:color w:val="auto"/>
            </w:rPr>
            <w:fldChar w:fldCharType="begin"/>
          </w:r>
          <w:r>
            <w:rPr>
              <w:color w:val="auto"/>
            </w:rPr>
            <w:instrText xml:space="preserve"> PAGEREF _Toc111904880 \h </w:instrText>
          </w:r>
          <w:r>
            <w:rPr>
              <w:color w:val="auto"/>
            </w:rPr>
            <w:fldChar w:fldCharType="separate"/>
          </w:r>
          <w:r>
            <w:rPr>
              <w:color w:val="auto"/>
            </w:rPr>
            <w:t>2</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"_Toc111904881" </w:instrText>
          </w:r>
          <w:r>
            <w:rPr>
              <w:color w:val="auto"/>
            </w:rPr>
            <w:fldChar w:fldCharType="separate"/>
          </w:r>
          <w:r>
            <w:rPr>
              <w:rStyle w:val="8"/>
              <w:color w:val="auto"/>
            </w:rPr>
            <w:t>Introduction</w:t>
          </w:r>
          <w:r>
            <w:rPr>
              <w:color w:val="auto"/>
            </w:rPr>
            <w:tab/>
          </w:r>
          <w:r>
            <w:rPr>
              <w:color w:val="auto"/>
            </w:rPr>
            <w:fldChar w:fldCharType="begin"/>
          </w:r>
          <w:r>
            <w:rPr>
              <w:color w:val="auto"/>
            </w:rPr>
            <w:instrText xml:space="preserve"> PAGEREF _Toc111904881 \h </w:instrText>
          </w:r>
          <w:r>
            <w:rPr>
              <w:color w:val="auto"/>
            </w:rPr>
            <w:fldChar w:fldCharType="separate"/>
          </w:r>
          <w:r>
            <w:rPr>
              <w:color w:val="auto"/>
            </w:rPr>
            <w:t>2</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"_Toc111904882" </w:instrText>
          </w:r>
          <w:r>
            <w:rPr>
              <w:color w:val="auto"/>
            </w:rPr>
            <w:fldChar w:fldCharType="separate"/>
          </w:r>
          <w:r>
            <w:rPr>
              <w:rStyle w:val="8"/>
              <w:color w:val="auto"/>
            </w:rPr>
            <w:t>Background of the Company</w:t>
          </w:r>
          <w:r>
            <w:rPr>
              <w:color w:val="auto"/>
            </w:rPr>
            <w:tab/>
          </w:r>
          <w:r>
            <w:rPr>
              <w:color w:val="auto"/>
            </w:rPr>
            <w:fldChar w:fldCharType="begin"/>
          </w:r>
          <w:r>
            <w:rPr>
              <w:color w:val="auto"/>
            </w:rPr>
            <w:instrText xml:space="preserve"> PAGEREF _Toc111904882 \h </w:instrText>
          </w:r>
          <w:r>
            <w:rPr>
              <w:color w:val="auto"/>
            </w:rPr>
            <w:fldChar w:fldCharType="separate"/>
          </w:r>
          <w:r>
            <w:rPr>
              <w:color w:val="auto"/>
            </w:rPr>
            <w:t>2</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"_Toc111904883" </w:instrText>
          </w:r>
          <w:r>
            <w:rPr>
              <w:color w:val="auto"/>
            </w:rPr>
            <w:fldChar w:fldCharType="separate"/>
          </w:r>
          <w:r>
            <w:rPr>
              <w:rStyle w:val="8"/>
              <w:color w:val="auto"/>
            </w:rPr>
            <w:t>PESTLE Factors</w:t>
          </w:r>
          <w:r>
            <w:rPr>
              <w:color w:val="auto"/>
            </w:rPr>
            <w:tab/>
          </w:r>
          <w:r>
            <w:rPr>
              <w:color w:val="auto"/>
            </w:rPr>
            <w:fldChar w:fldCharType="begin"/>
          </w:r>
          <w:r>
            <w:rPr>
              <w:color w:val="auto"/>
            </w:rPr>
            <w:instrText xml:space="preserve"> PAGEREF _Toc111904883 \h </w:instrText>
          </w:r>
          <w:r>
            <w:rPr>
              <w:color w:val="auto"/>
            </w:rPr>
            <w:fldChar w:fldCharType="separate"/>
          </w:r>
          <w:r>
            <w:rPr>
              <w:color w:val="auto"/>
            </w:rPr>
            <w:t>2</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"_Toc111904884" </w:instrText>
          </w:r>
          <w:r>
            <w:rPr>
              <w:color w:val="auto"/>
            </w:rPr>
            <w:fldChar w:fldCharType="separate"/>
          </w:r>
          <w:r>
            <w:rPr>
              <w:rStyle w:val="8"/>
              <w:color w:val="auto"/>
            </w:rPr>
            <w:t>Porter’s Five Forces Model</w:t>
          </w:r>
          <w:r>
            <w:rPr>
              <w:color w:val="auto"/>
            </w:rPr>
            <w:tab/>
          </w:r>
          <w:r>
            <w:rPr>
              <w:color w:val="auto"/>
            </w:rPr>
            <w:fldChar w:fldCharType="begin"/>
          </w:r>
          <w:r>
            <w:rPr>
              <w:color w:val="auto"/>
            </w:rPr>
            <w:instrText xml:space="preserve"> PAGEREF _Toc111904884 \h </w:instrText>
          </w:r>
          <w:r>
            <w:rPr>
              <w:color w:val="auto"/>
            </w:rPr>
            <w:fldChar w:fldCharType="separate"/>
          </w:r>
          <w:r>
            <w:rPr>
              <w:color w:val="auto"/>
            </w:rPr>
            <w:t>4</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"_Toc111904885" </w:instrText>
          </w:r>
          <w:r>
            <w:rPr>
              <w:color w:val="auto"/>
            </w:rPr>
            <w:fldChar w:fldCharType="separate"/>
          </w:r>
          <w:r>
            <w:rPr>
              <w:rStyle w:val="8"/>
              <w:color w:val="auto"/>
            </w:rPr>
            <w:t>SWOT Analysis</w:t>
          </w:r>
          <w:r>
            <w:rPr>
              <w:color w:val="auto"/>
            </w:rPr>
            <w:tab/>
          </w:r>
          <w:r>
            <w:rPr>
              <w:color w:val="auto"/>
            </w:rPr>
            <w:fldChar w:fldCharType="begin"/>
          </w:r>
          <w:r>
            <w:rPr>
              <w:color w:val="auto"/>
            </w:rPr>
            <w:instrText xml:space="preserve"> PAGEREF _Toc111904885 \h </w:instrText>
          </w:r>
          <w:r>
            <w:rPr>
              <w:color w:val="auto"/>
            </w:rPr>
            <w:fldChar w:fldCharType="separate"/>
          </w:r>
          <w:r>
            <w:rPr>
              <w:color w:val="auto"/>
            </w:rPr>
            <w:t>5</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"_Toc111904886" </w:instrText>
          </w:r>
          <w:r>
            <w:rPr>
              <w:color w:val="auto"/>
            </w:rPr>
            <w:fldChar w:fldCharType="separate"/>
          </w:r>
          <w:r>
            <w:rPr>
              <w:rStyle w:val="8"/>
              <w:color w:val="auto"/>
            </w:rPr>
            <w:t>STP of the Company</w:t>
          </w:r>
          <w:r>
            <w:rPr>
              <w:color w:val="auto"/>
            </w:rPr>
            <w:tab/>
          </w:r>
          <w:r>
            <w:rPr>
              <w:color w:val="auto"/>
            </w:rPr>
            <w:fldChar w:fldCharType="begin"/>
          </w:r>
          <w:r>
            <w:rPr>
              <w:color w:val="auto"/>
            </w:rPr>
            <w:instrText xml:space="preserve"> PAGEREF _Toc111904886 \h </w:instrText>
          </w:r>
          <w:r>
            <w:rPr>
              <w:color w:val="auto"/>
            </w:rPr>
            <w:fldChar w:fldCharType="separate"/>
          </w:r>
          <w:r>
            <w:rPr>
              <w:color w:val="auto"/>
            </w:rPr>
            <w:t>6</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"_Toc111904887" </w:instrText>
          </w:r>
          <w:r>
            <w:rPr>
              <w:color w:val="auto"/>
            </w:rPr>
            <w:fldChar w:fldCharType="separate"/>
          </w:r>
          <w:r>
            <w:rPr>
              <w:rStyle w:val="8"/>
              <w:color w:val="auto"/>
            </w:rPr>
            <w:t>Marketing Mix Strategies</w:t>
          </w:r>
          <w:r>
            <w:rPr>
              <w:color w:val="auto"/>
            </w:rPr>
            <w:tab/>
          </w:r>
          <w:r>
            <w:rPr>
              <w:color w:val="auto"/>
            </w:rPr>
            <w:fldChar w:fldCharType="begin"/>
          </w:r>
          <w:r>
            <w:rPr>
              <w:color w:val="auto"/>
            </w:rPr>
            <w:instrText xml:space="preserve"> PAGEREF _Toc111904887 \h </w:instrText>
          </w:r>
          <w:r>
            <w:rPr>
              <w:color w:val="auto"/>
            </w:rPr>
            <w:fldChar w:fldCharType="separate"/>
          </w:r>
          <w:r>
            <w:rPr>
              <w:color w:val="auto"/>
            </w:rPr>
            <w:t>7</w:t>
          </w:r>
          <w:r>
            <w:rPr>
              <w:color w:val="auto"/>
            </w:rPr>
            <w:fldChar w:fldCharType="end"/>
          </w:r>
          <w:r>
            <w:rPr>
              <w:color w:val="auto"/>
            </w:rPr>
            <w:fldChar w:fldCharType="end"/>
          </w:r>
        </w:p>
        <w:p>
          <w:pPr>
            <w:pStyle w:val="12"/>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"_Toc111904888" </w:instrText>
          </w:r>
          <w:r>
            <w:rPr>
              <w:color w:val="auto"/>
            </w:rPr>
            <w:fldChar w:fldCharType="separate"/>
          </w:r>
          <w:r>
            <w:rPr>
              <w:rStyle w:val="8"/>
              <w:color w:val="auto"/>
            </w:rPr>
            <w:t>Conclusion</w:t>
          </w:r>
          <w:r>
            <w:rPr>
              <w:color w:val="auto"/>
            </w:rPr>
            <w:tab/>
          </w:r>
          <w:r>
            <w:rPr>
              <w:color w:val="auto"/>
            </w:rPr>
            <w:fldChar w:fldCharType="begin"/>
          </w:r>
          <w:r>
            <w:rPr>
              <w:color w:val="auto"/>
            </w:rPr>
            <w:instrText xml:space="preserve"> PAGEREF _Toc111904888 \h </w:instrText>
          </w:r>
          <w:r>
            <w:rPr>
              <w:color w:val="auto"/>
            </w:rPr>
            <w:fldChar w:fldCharType="separate"/>
          </w:r>
          <w:r>
            <w:rPr>
              <w:color w:val="auto"/>
            </w:rPr>
            <w:t>8</w:t>
          </w:r>
          <w:r>
            <w:rPr>
              <w:color w:val="auto"/>
            </w:rPr>
            <w:fldChar w:fldCharType="end"/>
          </w:r>
          <w:r>
            <w:rPr>
              <w:color w:val="auto"/>
            </w:rPr>
            <w:fldChar w:fldCharType="end"/>
          </w:r>
        </w:p>
        <w:p>
          <w:pPr>
            <w:pStyle w:val="11"/>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"_Toc111904889" </w:instrText>
          </w:r>
          <w:r>
            <w:rPr>
              <w:color w:val="auto"/>
            </w:rPr>
            <w:fldChar w:fldCharType="separate"/>
          </w:r>
          <w:r>
            <w:rPr>
              <w:rStyle w:val="8"/>
              <w:color w:val="auto"/>
            </w:rPr>
            <w:t>Question B: Recommendations for Future</w:t>
          </w:r>
          <w:r>
            <w:rPr>
              <w:color w:val="auto"/>
            </w:rPr>
            <w:tab/>
          </w:r>
          <w:r>
            <w:rPr>
              <w:color w:val="auto"/>
            </w:rPr>
            <w:fldChar w:fldCharType="begin"/>
          </w:r>
          <w:r>
            <w:rPr>
              <w:color w:val="auto"/>
            </w:rPr>
            <w:instrText xml:space="preserve"> PAGEREF _Toc111904889 \h </w:instrText>
          </w:r>
          <w:r>
            <w:rPr>
              <w:color w:val="auto"/>
            </w:rPr>
            <w:fldChar w:fldCharType="separate"/>
          </w:r>
          <w:r>
            <w:rPr>
              <w:color w:val="auto"/>
            </w:rPr>
            <w:t>8</w:t>
          </w:r>
          <w:r>
            <w:rPr>
              <w:color w:val="auto"/>
            </w:rPr>
            <w:fldChar w:fldCharType="end"/>
          </w:r>
          <w:r>
            <w:rPr>
              <w:color w:val="auto"/>
            </w:rPr>
            <w:fldChar w:fldCharType="end"/>
          </w:r>
        </w:p>
        <w:p>
          <w:pPr>
            <w:pStyle w:val="11"/>
            <w:tabs>
              <w:tab w:val="right" w:leader="dot" w:pos="9016"/>
            </w:tabs>
            <w:rPr>
              <w:rFonts w:asciiTheme="minorHAnsi" w:hAnsiTheme="minorHAnsi" w:eastAsiaTheme="minorEastAsia"/>
              <w:color w:val="auto"/>
              <w:sz w:val="22"/>
              <w:lang w:val="en-IN" w:eastAsia="en-IN"/>
            </w:rPr>
          </w:pPr>
          <w:r>
            <w:rPr>
              <w:color w:val="auto"/>
            </w:rPr>
            <w:fldChar w:fldCharType="begin"/>
          </w:r>
          <w:r>
            <w:rPr>
              <w:color w:val="auto"/>
            </w:rPr>
            <w:instrText xml:space="preserve"> HYPERLINK \l "_Toc111904890" </w:instrText>
          </w:r>
          <w:r>
            <w:rPr>
              <w:color w:val="auto"/>
            </w:rPr>
            <w:fldChar w:fldCharType="separate"/>
          </w:r>
          <w:r>
            <w:rPr>
              <w:rStyle w:val="8"/>
              <w:color w:val="auto"/>
            </w:rPr>
            <w:t>Reference List</w:t>
          </w:r>
          <w:r>
            <w:rPr>
              <w:color w:val="auto"/>
            </w:rPr>
            <w:tab/>
          </w:r>
          <w:r>
            <w:rPr>
              <w:color w:val="auto"/>
            </w:rPr>
            <w:fldChar w:fldCharType="begin"/>
          </w:r>
          <w:r>
            <w:rPr>
              <w:color w:val="auto"/>
            </w:rPr>
            <w:instrText xml:space="preserve"> PAGEREF _Toc111904890 \h </w:instrText>
          </w:r>
          <w:r>
            <w:rPr>
              <w:color w:val="auto"/>
            </w:rPr>
            <w:fldChar w:fldCharType="separate"/>
          </w:r>
          <w:r>
            <w:rPr>
              <w:color w:val="auto"/>
            </w:rPr>
            <w:t>9</w:t>
          </w:r>
          <w:r>
            <w:rPr>
              <w:color w:val="auto"/>
            </w:rPr>
            <w:fldChar w:fldCharType="end"/>
          </w:r>
          <w:r>
            <w:rPr>
              <w:color w:val="auto"/>
            </w:rPr>
            <w:fldChar w:fldCharType="end"/>
          </w:r>
        </w:p>
        <w:p>
          <w:pPr>
            <w:rPr>
              <w:color w:val="auto"/>
            </w:rPr>
          </w:pPr>
          <w:r>
            <w:rPr>
              <w:b/>
              <w:bCs/>
              <w:color w:val="auto"/>
            </w:rPr>
            <w:fldChar w:fldCharType="end"/>
          </w:r>
        </w:p>
      </w:sdtContent>
    </w:sdt>
    <w:p>
      <w:pPr>
        <w:spacing w:line="259" w:lineRule="auto"/>
        <w:jc w:val="left"/>
        <w:rPr>
          <w:color w:val="auto"/>
        </w:rPr>
      </w:pPr>
      <w:r>
        <w:rPr>
          <w:color w:val="auto"/>
        </w:rPr>
        <w:br w:type="page"/>
      </w:r>
    </w:p>
    <w:p>
      <w:pPr>
        <w:pStyle w:val="2"/>
        <w:rPr>
          <w:color w:val="auto"/>
        </w:rPr>
      </w:pPr>
      <w:bookmarkStart w:id="0" w:name="_Toc111904880"/>
      <w:r>
        <w:rPr>
          <w:color w:val="auto"/>
        </w:rPr>
        <w:t>Question A: Environmental Marketing Analysis</w:t>
      </w:r>
      <w:bookmarkEnd w:id="0"/>
      <w:r>
        <w:rPr>
          <w:color w:val="auto"/>
        </w:rPr>
        <w:t xml:space="preserve"> </w:t>
      </w:r>
    </w:p>
    <w:p>
      <w:pPr>
        <w:pStyle w:val="3"/>
        <w:rPr>
          <w:color w:val="auto"/>
        </w:rPr>
      </w:pPr>
      <w:bookmarkStart w:id="1" w:name="_Toc111904881"/>
      <w:r>
        <w:rPr>
          <w:color w:val="auto"/>
        </w:rPr>
        <w:t>Introduction</w:t>
      </w:r>
      <w:bookmarkEnd w:id="1"/>
      <w:r>
        <w:rPr>
          <w:color w:val="auto"/>
        </w:rPr>
        <w:t xml:space="preserve"> </w:t>
      </w:r>
    </w:p>
    <w:p>
      <w:pPr>
        <w:rPr>
          <w:color w:val="auto"/>
        </w:rPr>
      </w:pPr>
      <w:r>
        <w:rPr>
          <w:color w:val="auto"/>
        </w:rPr>
        <w:t>This report has been encased with two important tasks with the first one focusing on environmental marketing analysis and the second one presenting futuristic recommendation for the company named Ford. The marketing management of a firm can only be assured after the effective analysis of business environment because it encompasses all the internal and external factors that drives and influences a firm’s marketing activities (</w:t>
      </w:r>
      <w:r>
        <w:rPr>
          <w:color w:val="auto"/>
          <w:shd w:val="clear" w:color="auto" w:fill="FFFFFF"/>
        </w:rPr>
        <w:t>Al-Surmi et al., 2020</w:t>
      </w:r>
      <w:r>
        <w:rPr>
          <w:color w:val="auto"/>
        </w:rPr>
        <w:t xml:space="preserve">). </w:t>
      </w:r>
    </w:p>
    <w:p>
      <w:pPr>
        <w:pStyle w:val="3"/>
        <w:rPr>
          <w:color w:val="auto"/>
        </w:rPr>
      </w:pPr>
      <w:bookmarkStart w:id="2" w:name="_Toc111904882"/>
      <w:r>
        <w:rPr>
          <w:color w:val="auto"/>
        </w:rPr>
        <w:t>Background of the Company</w:t>
      </w:r>
      <w:bookmarkEnd w:id="2"/>
      <w:r>
        <w:rPr>
          <w:color w:val="auto"/>
        </w:rPr>
        <w:t xml:space="preserve"> </w:t>
      </w:r>
    </w:p>
    <w:p>
      <w:pPr>
        <w:rPr>
          <w:color w:val="auto"/>
        </w:rPr>
      </w:pPr>
      <w:r>
        <w:rPr>
          <w:color w:val="auto"/>
        </w:rPr>
        <w:t>America’s Ford Motor Company or popularly known as Ford was established in the year of 1903 by Henry Ford and is known for selling automobile and commercial vehicles and luxury cars as well under a different brand (</w:t>
      </w:r>
      <w:r>
        <w:rPr>
          <w:color w:val="auto"/>
          <w:shd w:val="clear" w:color="auto" w:fill="FFFFFF"/>
        </w:rPr>
        <w:t>Ford.com, 2022</w:t>
      </w:r>
      <w:r>
        <w:rPr>
          <w:color w:val="auto"/>
        </w:rPr>
        <w:t>). Apart from having joint ventures with numerous companies around the world, Ford was also extensively popular for introducing methods used for large-scale manufacturing and ensuring the large-scale management of engineered manufacturing sequences. The company is extremely used to adapting and leading change which has allowed them to sustain themselves in the market for more than 117 years. The mission of Ford has always been to help build a better world where every individual has enough freedom to pursue their own dreams (</w:t>
      </w:r>
      <w:r>
        <w:rPr>
          <w:color w:val="auto"/>
          <w:shd w:val="clear" w:color="auto" w:fill="FFFFFF"/>
        </w:rPr>
        <w:t>Ford.com, 2022</w:t>
      </w:r>
      <w:r>
        <w:rPr>
          <w:color w:val="auto"/>
        </w:rPr>
        <w:t xml:space="preserve">). </w:t>
      </w:r>
    </w:p>
    <w:p>
      <w:pPr>
        <w:pStyle w:val="3"/>
        <w:rPr>
          <w:color w:val="auto"/>
        </w:rPr>
      </w:pPr>
      <w:bookmarkStart w:id="3" w:name="_Toc111904883"/>
      <w:r>
        <w:rPr>
          <w:color w:val="auto"/>
        </w:rPr>
        <w:t>PESTLE Factors</w:t>
      </w:r>
      <w:bookmarkEnd w:id="3"/>
      <w:r>
        <w:rPr>
          <w:color w:val="auto"/>
        </w:rPr>
        <w:t xml:space="preserve"> </w:t>
      </w:r>
    </w:p>
    <w:p>
      <w:pPr>
        <w:rPr>
          <w:b/>
          <w:bCs/>
          <w:i/>
          <w:iCs/>
          <w:color w:val="auto"/>
        </w:rPr>
      </w:pPr>
      <w:r>
        <w:rPr>
          <w:b/>
          <w:bCs/>
          <w:i/>
          <w:iCs/>
          <w:color w:val="auto"/>
        </w:rPr>
        <w:t xml:space="preserve">Political Forces </w:t>
      </w:r>
    </w:p>
    <w:p>
      <w:pPr>
        <w:rPr>
          <w:color w:val="auto"/>
        </w:rPr>
      </w:pPr>
      <w:r>
        <w:rPr>
          <w:color w:val="auto"/>
        </w:rPr>
        <w:t xml:space="preserve">The UK is known for its political stability, however, the finalisation of Brexit and the lockdown imposed due to the covid-19 pandemic caused havoc. According to </w:t>
      </w:r>
      <w:r>
        <w:rPr>
          <w:color w:val="auto"/>
          <w:lang w:val="en-IN" w:eastAsia="en-IN"/>
        </w:rPr>
        <w:t>Landler and Castle (2022)</w:t>
      </w:r>
      <w:r>
        <w:rPr>
          <w:color w:val="auto"/>
        </w:rPr>
        <w:t xml:space="preserve">, the scandals of the UK Prime Minister starting with Brexit, its economic burden in the country and the party scandal during the covid-19 pandemic left the country in turmoil. </w:t>
      </w:r>
      <w:r>
        <w:rPr>
          <w:color w:val="auto"/>
        </w:rPr>
        <w:t xml:space="preserve">Such events made the political climate extremely unstable in the country and the kind of allegiance that a company like Ford has towards any political party and their policies influences the formation of public perception against or in favour of them. This factor is unfavourable towards Ford </w:t>
      </w:r>
      <w:r>
        <w:rPr>
          <w:color w:val="auto"/>
        </w:rPr>
        <w:t xml:space="preserve">because with new Prime Minister or new political party in power, the existing laws might change and may affect business operations easily. </w:t>
      </w:r>
    </w:p>
    <w:p>
      <w:pPr>
        <w:rPr>
          <w:b/>
          <w:bCs/>
          <w:i/>
          <w:iCs/>
          <w:color w:val="auto"/>
        </w:rPr>
      </w:pPr>
      <w:r>
        <w:rPr>
          <w:b/>
          <w:bCs/>
          <w:i/>
          <w:iCs/>
          <w:color w:val="auto"/>
        </w:rPr>
        <w:t xml:space="preserve">Economic Forces </w:t>
      </w:r>
    </w:p>
    <w:p>
      <w:pPr>
        <w:rPr>
          <w:color w:val="auto"/>
        </w:rPr>
      </w:pPr>
      <w:r>
        <w:rPr>
          <w:color w:val="auto"/>
        </w:rPr>
        <w:t>UK has been hit with inflation rate of 10.1%, which is the highest in 40 years which was up from 9.4% in June 2022 with rising costs of energy and fuel being the major contributor (</w:t>
      </w:r>
      <w:r>
        <w:rPr>
          <w:color w:val="auto"/>
          <w:lang w:val="en-IN" w:eastAsia="en-IN"/>
        </w:rPr>
        <w:t>Ray, 2022</w:t>
      </w:r>
      <w:r>
        <w:rPr>
          <w:color w:val="auto"/>
        </w:rPr>
        <w:t xml:space="preserve">). The numbers have been higher than the economists forecasted and the annual inflation in food and non-alcoholic beverages amounting to 12.7% is also deemed as a major contributor. </w:t>
      </w:r>
      <w:r>
        <w:rPr>
          <w:color w:val="auto"/>
        </w:rPr>
        <w:t xml:space="preserve"> </w:t>
      </w:r>
    </w:p>
    <w:p>
      <w:pPr>
        <w:jc w:val="center"/>
        <w:rPr>
          <w:color w:val="auto"/>
        </w:rPr>
      </w:pPr>
      <w:r>
        <w:rPr>
          <w:color w:val="auto"/>
        </w:rPr>
        <w:drawing>
          <wp:inline distT="0" distB="0" distL="0" distR="0">
            <wp:extent cx="3190875"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3191320" cy="2743583"/>
                    </a:xfrm>
                    <a:prstGeom prst="rect">
                      <a:avLst/>
                    </a:prstGeom>
                  </pic:spPr>
                </pic:pic>
              </a:graphicData>
            </a:graphic>
          </wp:inline>
        </w:drawing>
      </w:r>
    </w:p>
    <w:p>
      <w:pPr>
        <w:jc w:val="center"/>
        <w:rPr>
          <w:b/>
          <w:bCs/>
          <w:i/>
          <w:iCs/>
          <w:color w:val="auto"/>
        </w:rPr>
      </w:pPr>
      <w:r>
        <w:rPr>
          <w:b/>
          <w:bCs/>
          <w:i/>
          <w:iCs/>
          <w:color w:val="auto"/>
        </w:rPr>
        <w:t xml:space="preserve">Figure 1: UK Inflation Rate  </w:t>
      </w:r>
    </w:p>
    <w:p>
      <w:pPr>
        <w:jc w:val="center"/>
        <w:rPr>
          <w:color w:val="auto"/>
        </w:rPr>
      </w:pPr>
      <w:r>
        <w:rPr>
          <w:color w:val="auto"/>
        </w:rPr>
        <w:t xml:space="preserve">(Source: </w:t>
      </w:r>
      <w:r>
        <w:rPr>
          <w:color w:val="auto"/>
          <w:lang w:val="en-IN" w:eastAsia="en-IN"/>
        </w:rPr>
        <w:t>Hannon, 2022</w:t>
      </w:r>
      <w:r>
        <w:rPr>
          <w:color w:val="auto"/>
        </w:rPr>
        <w:t>)</w:t>
      </w:r>
    </w:p>
    <w:p>
      <w:pPr>
        <w:rPr>
          <w:color w:val="auto"/>
        </w:rPr>
      </w:pPr>
      <w:r>
        <w:rPr>
          <w:color w:val="auto"/>
        </w:rPr>
        <w:t xml:space="preserve">The inflation rate being high indicates the constant need for Ford to purchase raw materials at a higher rate and the sell the final product at a significantly higher price, which would be difficult for the targeted customers to purchase effectively. This factor is unfavourable towards Ford </w:t>
      </w:r>
      <w:r>
        <w:rPr>
          <w:color w:val="auto"/>
        </w:rPr>
        <w:t xml:space="preserve">because it would not entail any major sales from the masses and would subsequently increase its operational costs. </w:t>
      </w:r>
    </w:p>
    <w:p>
      <w:pPr>
        <w:rPr>
          <w:b/>
          <w:bCs/>
          <w:i/>
          <w:iCs/>
          <w:color w:val="auto"/>
        </w:rPr>
      </w:pPr>
      <w:r>
        <w:rPr>
          <w:b/>
          <w:bCs/>
          <w:i/>
          <w:iCs/>
          <w:color w:val="auto"/>
        </w:rPr>
        <w:t xml:space="preserve">Social/Cultural Forces </w:t>
      </w:r>
    </w:p>
    <w:p>
      <w:pPr>
        <w:rPr>
          <w:color w:val="auto"/>
        </w:rPr>
      </w:pPr>
      <w:r>
        <w:rPr>
          <w:color w:val="auto"/>
        </w:rPr>
        <w:t xml:space="preserve">The occurrence of the covid-19 pandemic already reduced the personal disposable income of the </w:t>
      </w:r>
      <w:r>
        <w:rPr>
          <w:color w:val="auto"/>
        </w:rPr>
        <w:t>UK</w:t>
      </w:r>
      <w:r>
        <w:rPr>
          <w:color w:val="auto"/>
        </w:rPr>
        <w:t xml:space="preserve"> population and then came along the inflation that further induced a stagnant position in their purchasing habits (</w:t>
      </w:r>
      <w:r>
        <w:rPr>
          <w:color w:val="auto"/>
          <w:lang w:val="en-IN" w:eastAsia="en-IN"/>
        </w:rPr>
        <w:t>Hannon, 2022</w:t>
      </w:r>
      <w:r>
        <w:rPr>
          <w:color w:val="auto"/>
        </w:rPr>
        <w:t xml:space="preserve">). It prompted the population to stick to purchasing basic necessities instead of trying to afford any form of luxuries in life. The constant declined in financial stability also indicated that the socio-economic mobility of the masses. This factor is favourable towards Ford because of its ability to provide different pricing range products for different income groups. </w:t>
      </w:r>
    </w:p>
    <w:p>
      <w:pPr>
        <w:rPr>
          <w:b/>
          <w:bCs/>
          <w:i/>
          <w:iCs/>
          <w:color w:val="auto"/>
        </w:rPr>
      </w:pPr>
      <w:r>
        <w:rPr>
          <w:b/>
          <w:bCs/>
          <w:i/>
          <w:iCs/>
          <w:color w:val="auto"/>
        </w:rPr>
        <w:t xml:space="preserve">Technological Forces </w:t>
      </w:r>
    </w:p>
    <w:p>
      <w:pPr>
        <w:rPr>
          <w:color w:val="auto"/>
        </w:rPr>
      </w:pPr>
      <w:r>
        <w:rPr>
          <w:color w:val="auto"/>
        </w:rPr>
        <w:t>In terms of technological forces, the advancement spectrum is strong in the U</w:t>
      </w:r>
      <w:r>
        <w:rPr>
          <w:color w:val="auto"/>
        </w:rPr>
        <w:t xml:space="preserve">K because of London being the major financial and technological hub. </w:t>
      </w:r>
      <w:r>
        <w:rPr>
          <w:color w:val="auto"/>
        </w:rPr>
        <w:t xml:space="preserve">Even in the field of automobile, Tesla Motors </w:t>
      </w:r>
      <w:r>
        <w:rPr>
          <w:color w:val="auto"/>
        </w:rPr>
        <w:t xml:space="preserve">and numerous other European automobile companies </w:t>
      </w:r>
      <w:r>
        <w:rPr>
          <w:color w:val="auto"/>
        </w:rPr>
        <w:t xml:space="preserve">have been leading the way in terms of electric vehicles and posing tough competition to Ford. The type of vehicle and advancement that has been introduced by Tesla Motors </w:t>
      </w:r>
      <w:r>
        <w:rPr>
          <w:color w:val="auto"/>
        </w:rPr>
        <w:t>and European car companies</w:t>
      </w:r>
      <w:r>
        <w:rPr>
          <w:color w:val="auto"/>
        </w:rPr>
        <w:t xml:space="preserve"> is mostly disruptive in nature automobile market prompting other companies to understand the scope of EV as well (</w:t>
      </w:r>
      <w:r>
        <w:rPr>
          <w:color w:val="auto"/>
          <w:shd w:val="clear" w:color="auto" w:fill="FFFFFF"/>
        </w:rPr>
        <w:t>Gehrke and Reardon, 2022</w:t>
      </w:r>
      <w:r>
        <w:rPr>
          <w:color w:val="auto"/>
        </w:rPr>
        <w:t xml:space="preserve">). This factor is favourable towards Ford as it enables in exploring a new technology </w:t>
      </w:r>
      <w:r>
        <w:rPr>
          <w:color w:val="auto"/>
        </w:rPr>
        <w:t xml:space="preserve">and understand the potential of disruptive innovation or EV in the UK market. </w:t>
      </w:r>
    </w:p>
    <w:p>
      <w:pPr>
        <w:rPr>
          <w:b/>
          <w:bCs/>
          <w:i/>
          <w:iCs/>
          <w:color w:val="auto"/>
        </w:rPr>
      </w:pPr>
      <w:r>
        <w:rPr>
          <w:b/>
          <w:bCs/>
          <w:i/>
          <w:iCs/>
          <w:color w:val="auto"/>
        </w:rPr>
        <w:t xml:space="preserve">Legal Forces </w:t>
      </w:r>
    </w:p>
    <w:p>
      <w:pPr>
        <w:rPr>
          <w:color w:val="auto"/>
        </w:rPr>
      </w:pPr>
      <w:r>
        <w:rPr>
          <w:color w:val="auto"/>
        </w:rPr>
        <w:t>The legal forces of the UK are bounded by the laws and acts that have been formulated over the course of years and enhances the legal scope of the environment. Some of the notable laws that must be adhered to in the UK consists of ‘The Employment Act 1996’, ‘Equality Act 2010’, sick leaves, minimum wage, maternity and paternity leaves and more (</w:t>
      </w:r>
      <w:r>
        <w:rPr>
          <w:color w:val="auto"/>
          <w:shd w:val="clear" w:color="auto" w:fill="FFFFFF"/>
        </w:rPr>
        <w:t>Wu et al., 2020</w:t>
      </w:r>
      <w:r>
        <w:rPr>
          <w:color w:val="auto"/>
        </w:rPr>
        <w:t>). This force is unfavourable for Ford in terms of international business laws, competitive laws and mandatory taxation laws. On more than one occasion, Ford has had to pay higher amount of taxes for sustaining their business in the UK.</w:t>
      </w:r>
    </w:p>
    <w:p>
      <w:pPr>
        <w:rPr>
          <w:b/>
          <w:bCs/>
          <w:i/>
          <w:iCs/>
          <w:color w:val="auto"/>
        </w:rPr>
      </w:pPr>
      <w:r>
        <w:rPr>
          <w:b/>
          <w:bCs/>
          <w:i/>
          <w:iCs/>
          <w:color w:val="auto"/>
        </w:rPr>
        <w:t>Environmental Forces</w:t>
      </w:r>
    </w:p>
    <w:p>
      <w:pPr>
        <w:rPr>
          <w:b/>
          <w:bCs/>
          <w:i/>
          <w:iCs/>
          <w:color w:val="auto"/>
        </w:rPr>
      </w:pPr>
      <w:r>
        <w:rPr>
          <w:color w:val="auto"/>
        </w:rPr>
        <w:t>The existence of environmental scanning suggests being sustainable and having uniformity in eco-friendly process as the forces influencing a company’s operations. Ford has considered sustainability as a core part of the company’s operations with being the first company to start reporting on sustainability almost 2 decades ago depicting a link between the company strategy and their sustainable goals (</w:t>
      </w:r>
      <w:r>
        <w:rPr>
          <w:color w:val="auto"/>
          <w:lang w:eastAsia="en-IN"/>
        </w:rPr>
        <w:t>Ford.com, 2022</w:t>
      </w:r>
      <w:r>
        <w:rPr>
          <w:color w:val="auto"/>
        </w:rPr>
        <w:t xml:space="preserve">). This factor is favourable towards Ford because of its decades’ long commitment towards sustainability </w:t>
      </w:r>
      <w:r>
        <w:rPr>
          <w:color w:val="auto"/>
        </w:rPr>
        <w:t xml:space="preserve">and alignment with ‘The Environment Act 2021’, which acts as the new framework of UK’s environmental protection. </w:t>
      </w:r>
    </w:p>
    <w:p>
      <w:pPr>
        <w:pStyle w:val="3"/>
        <w:rPr>
          <w:color w:val="auto"/>
        </w:rPr>
      </w:pPr>
      <w:bookmarkStart w:id="4" w:name="_Toc111904884"/>
      <w:r>
        <w:rPr>
          <w:color w:val="auto"/>
        </w:rPr>
        <w:t>Porter’s Five Forces Model</w:t>
      </w:r>
      <w:bookmarkEnd w:id="4"/>
      <w:r>
        <w:rPr>
          <w:color w:val="auto"/>
        </w:rPr>
        <w:t xml:space="preserv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7"/>
        <w:gridCol w:w="7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 xml:space="preserve">Bargaining Power of the Buyers </w:t>
            </w:r>
          </w:p>
        </w:tc>
        <w:tc>
          <w:tcPr>
            <w:tcW w:w="0" w:type="auto"/>
          </w:tcPr>
          <w:p>
            <w:pPr>
              <w:spacing w:after="0"/>
              <w:rPr>
                <w:color w:val="auto"/>
              </w:rPr>
            </w:pPr>
            <w:r>
              <w:rPr>
                <w:color w:val="auto"/>
              </w:rPr>
              <w:t>Medium. It is because Ford has different product offerings for people belonging to different income groups. The products such as Figo, Aspire, EcoSport appeals to the lower income groups, products such as Endeavour, Mustang are for the upper income groups, and the middle-income groups always switch between the products offered to low income or high-income groups (</w:t>
            </w:r>
            <w:r>
              <w:rPr>
                <w:color w:val="auto"/>
                <w:shd w:val="clear" w:color="auto" w:fill="FFFFFF"/>
              </w:rPr>
              <w:t>Khot and Thiagarajan, 2019</w:t>
            </w:r>
            <w:r>
              <w:rPr>
                <w:color w:val="auto"/>
              </w:rPr>
              <w:t xml:space="preserve">). Thus, their budget or preferences can cause a medium effect on Ford’s operations.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 xml:space="preserve">Bargaining Power of the Suppliers </w:t>
            </w:r>
          </w:p>
        </w:tc>
        <w:tc>
          <w:tcPr>
            <w:tcW w:w="0" w:type="auto"/>
          </w:tcPr>
          <w:p>
            <w:pPr>
              <w:spacing w:after="0"/>
              <w:rPr>
                <w:color w:val="auto"/>
              </w:rPr>
            </w:pPr>
            <w:r>
              <w:rPr>
                <w:color w:val="auto"/>
              </w:rPr>
              <w:t>Low. With more than 100 years in existence, Ford has formed formidable relationships with suppliers across the world transcending geographical barriers. Some of the notable suppliers of Ford comprises of Flex-N-Gate, Autoliv, U-shin and more reduces the company’s dependence on single suppliers resulting in zero switching costs (</w:t>
            </w:r>
            <w:r>
              <w:rPr>
                <w:color w:val="auto"/>
                <w:shd w:val="clear" w:color="auto" w:fill="FFFFFF"/>
              </w:rPr>
              <w:t>Khot and Thiagarajan, 2019</w:t>
            </w:r>
            <w:r>
              <w:rPr>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Competitive Rivalry</w:t>
            </w:r>
          </w:p>
        </w:tc>
        <w:tc>
          <w:tcPr>
            <w:tcW w:w="0" w:type="auto"/>
          </w:tcPr>
          <w:p>
            <w:pPr>
              <w:spacing w:after="0"/>
              <w:rPr>
                <w:color w:val="auto"/>
              </w:rPr>
            </w:pPr>
            <w:r>
              <w:rPr>
                <w:color w:val="auto"/>
              </w:rPr>
              <w:t>High. It is because of the technological advancements and the companies immensely focusing on market penetration strategy. Some of the notable competitors of Ford comprises of Toyota, Honda. Hyundai, Chevrolet, General Motors and more (</w:t>
            </w:r>
            <w:r>
              <w:rPr>
                <w:color w:val="auto"/>
                <w:shd w:val="clear" w:color="auto" w:fill="FFFFFF"/>
              </w:rPr>
              <w:t>Nagy and Jámbor, 2018</w:t>
            </w:r>
            <w:r>
              <w:rPr>
                <w:color w:val="auto"/>
              </w:rPr>
              <w:t xml:space="preserve">). Also, being capital-intensive and with large upfront investments for sufficient infrastructure and distribution channels leading to extensive competition.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Threat of New Entrants</w:t>
            </w:r>
          </w:p>
        </w:tc>
        <w:tc>
          <w:tcPr>
            <w:tcW w:w="0" w:type="auto"/>
          </w:tcPr>
          <w:p>
            <w:pPr>
              <w:spacing w:after="0"/>
              <w:rPr>
                <w:color w:val="auto"/>
              </w:rPr>
            </w:pPr>
            <w:r>
              <w:rPr>
                <w:color w:val="auto"/>
              </w:rPr>
              <w:t>Low. It is mainly because of the entry barriers being high and the profitability chances being low for newly entering companies. The industry being both time and capital intensive enhances the existence of entry barriers for a potentially new company and immediately increases competitiveness (</w:t>
            </w:r>
            <w:r>
              <w:rPr>
                <w:color w:val="auto"/>
                <w:shd w:val="clear" w:color="auto" w:fill="FFFFFF"/>
              </w:rPr>
              <w:t>Nagy and Jámbor, 2018</w:t>
            </w:r>
            <w:r>
              <w:rPr>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Threat of Substitution</w:t>
            </w:r>
          </w:p>
        </w:tc>
        <w:tc>
          <w:tcPr>
            <w:tcW w:w="0" w:type="auto"/>
          </w:tcPr>
          <w:p>
            <w:pPr>
              <w:spacing w:after="0"/>
              <w:rPr>
                <w:color w:val="auto"/>
              </w:rPr>
            </w:pPr>
            <w:r>
              <w:rPr>
                <w:color w:val="auto"/>
              </w:rPr>
              <w:t>Medium. It is because Ford has catered significantly to different income groups of US consumers and majority of the customers do not have a decent substitute. However, with rising preferences towards the use of public transport or even electric vehicles out of concern for the environment makes it a minor challenge for highly fossil fuel dependent vehicle companies to sustain themselves (</w:t>
            </w:r>
            <w:r>
              <w:rPr>
                <w:color w:val="auto"/>
                <w:shd w:val="clear" w:color="auto" w:fill="FFFFFF"/>
              </w:rPr>
              <w:t>Gulzari et al., 2022</w:t>
            </w:r>
            <w:r>
              <w:rPr>
                <w:color w:val="auto"/>
              </w:rPr>
              <w:t xml:space="preserve">). </w:t>
            </w:r>
          </w:p>
        </w:tc>
      </w:tr>
    </w:tbl>
    <w:p>
      <w:pPr>
        <w:jc w:val="center"/>
        <w:rPr>
          <w:color w:val="auto"/>
        </w:rPr>
      </w:pPr>
    </w:p>
    <w:p>
      <w:pPr>
        <w:jc w:val="center"/>
        <w:rPr>
          <w:b/>
          <w:bCs/>
          <w:i/>
          <w:iCs/>
          <w:color w:val="auto"/>
        </w:rPr>
      </w:pPr>
      <w:r>
        <w:rPr>
          <w:b/>
          <w:bCs/>
          <w:i/>
          <w:iCs/>
          <w:color w:val="auto"/>
        </w:rPr>
        <w:t xml:space="preserve">Table 1: Porter’s Five Forces Analysis of Ford Motors </w:t>
      </w:r>
    </w:p>
    <w:p>
      <w:pPr>
        <w:jc w:val="center"/>
        <w:rPr>
          <w:color w:val="auto"/>
        </w:rPr>
      </w:pPr>
      <w:r>
        <w:rPr>
          <w:color w:val="auto"/>
        </w:rPr>
        <w:t xml:space="preserve">(Source: Created by the Learner) </w:t>
      </w:r>
    </w:p>
    <w:p>
      <w:pPr>
        <w:rPr>
          <w:color w:val="auto"/>
        </w:rPr>
      </w:pPr>
      <w:r>
        <w:rPr>
          <w:color w:val="auto"/>
        </w:rPr>
        <w:t xml:space="preserve">The use of the Porter’s five forces model indicated that the automobile industry is extremely competitive but at the same time, Ford has adjusted to enough changes and advancements over the years making them prone to better operations. </w:t>
      </w:r>
    </w:p>
    <w:p>
      <w:pPr>
        <w:pStyle w:val="3"/>
        <w:rPr>
          <w:color w:val="auto"/>
        </w:rPr>
      </w:pPr>
      <w:bookmarkStart w:id="5" w:name="_Toc111904885"/>
      <w:r>
        <w:rPr>
          <w:color w:val="auto"/>
        </w:rPr>
        <w:t>SWOT Analysis</w:t>
      </w:r>
      <w:bookmarkEnd w:id="5"/>
      <w:r>
        <w:rPr>
          <w:color w:val="auto"/>
        </w:rPr>
        <w:t xml:space="preserv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1"/>
        <w:gridCol w:w="4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b/>
                <w:bCs/>
                <w:color w:val="auto"/>
              </w:rPr>
            </w:pPr>
            <w:r>
              <w:rPr>
                <w:b/>
                <w:bCs/>
                <w:color w:val="auto"/>
              </w:rPr>
              <w:t xml:space="preserve">Strengths </w:t>
            </w:r>
          </w:p>
        </w:tc>
        <w:tc>
          <w:tcPr>
            <w:tcW w:w="0" w:type="auto"/>
          </w:tcPr>
          <w:p>
            <w:pPr>
              <w:spacing w:after="0"/>
              <w:rPr>
                <w:b/>
                <w:bCs/>
                <w:color w:val="auto"/>
              </w:rPr>
            </w:pPr>
            <w:r>
              <w:rPr>
                <w:b/>
                <w:bCs/>
                <w:color w:val="auto"/>
              </w:rPr>
              <w:t xml:space="preserve">Weaknesses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pStyle w:val="19"/>
              <w:numPr>
                <w:ilvl w:val="0"/>
                <w:numId w:val="1"/>
              </w:numPr>
              <w:spacing w:after="0"/>
              <w:rPr>
                <w:color w:val="auto"/>
              </w:rPr>
            </w:pPr>
            <w:r>
              <w:rPr>
                <w:color w:val="auto"/>
              </w:rPr>
              <w:t xml:space="preserve">The product variety and the ability to cater to different income groups strengthens sales stance. </w:t>
            </w:r>
          </w:p>
          <w:p>
            <w:pPr>
              <w:pStyle w:val="19"/>
              <w:numPr>
                <w:ilvl w:val="0"/>
                <w:numId w:val="1"/>
              </w:numPr>
              <w:spacing w:after="0"/>
              <w:rPr>
                <w:color w:val="auto"/>
              </w:rPr>
            </w:pPr>
            <w:r>
              <w:rPr>
                <w:color w:val="auto"/>
              </w:rPr>
              <w:t xml:space="preserve">Ford has a strong financial position with generating US$ 136.3 billion in revenue in 2021 </w:t>
            </w:r>
          </w:p>
          <w:p>
            <w:pPr>
              <w:pStyle w:val="19"/>
              <w:numPr>
                <w:ilvl w:val="0"/>
                <w:numId w:val="1"/>
              </w:numPr>
              <w:spacing w:after="0"/>
              <w:rPr>
                <w:color w:val="auto"/>
              </w:rPr>
            </w:pPr>
            <w:r>
              <w:rPr>
                <w:color w:val="auto"/>
              </w:rPr>
              <w:t xml:space="preserve">Ford has a strong dealership network consisting of almost 7500 dealers. </w:t>
            </w:r>
          </w:p>
        </w:tc>
        <w:tc>
          <w:tcPr>
            <w:tcW w:w="0" w:type="auto"/>
          </w:tcPr>
          <w:p>
            <w:pPr>
              <w:pStyle w:val="19"/>
              <w:numPr>
                <w:ilvl w:val="0"/>
                <w:numId w:val="1"/>
              </w:numPr>
              <w:spacing w:after="0"/>
              <w:rPr>
                <w:color w:val="auto"/>
              </w:rPr>
            </w:pPr>
            <w:r>
              <w:rPr>
                <w:color w:val="auto"/>
              </w:rPr>
              <w:t xml:space="preserve">Ford’s market share in the US fell from 14% in 2015 to 12.6% in 2021. </w:t>
            </w:r>
          </w:p>
          <w:p>
            <w:pPr>
              <w:pStyle w:val="19"/>
              <w:numPr>
                <w:ilvl w:val="0"/>
                <w:numId w:val="1"/>
              </w:numPr>
              <w:spacing w:after="0"/>
              <w:rPr>
                <w:color w:val="auto"/>
              </w:rPr>
            </w:pPr>
            <w:r>
              <w:rPr>
                <w:color w:val="auto"/>
              </w:rPr>
              <w:t xml:space="preserve">Ford has less production capability when compared to its prime competitors. </w:t>
            </w:r>
          </w:p>
          <w:p>
            <w:pPr>
              <w:pStyle w:val="19"/>
              <w:numPr>
                <w:ilvl w:val="0"/>
                <w:numId w:val="1"/>
              </w:numPr>
              <w:spacing w:after="0"/>
              <w:rPr>
                <w:color w:val="auto"/>
              </w:rPr>
            </w:pPr>
            <w:r>
              <w:rPr>
                <w:color w:val="auto"/>
              </w:rPr>
              <w:t>The company is extremely dependent on US and European markets instead of other emerging nations.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b/>
                <w:bCs/>
                <w:color w:val="auto"/>
              </w:rPr>
            </w:pPr>
            <w:r>
              <w:rPr>
                <w:b/>
                <w:bCs/>
                <w:color w:val="auto"/>
              </w:rPr>
              <w:t xml:space="preserve">Opportunities </w:t>
            </w:r>
          </w:p>
        </w:tc>
        <w:tc>
          <w:tcPr>
            <w:tcW w:w="0" w:type="auto"/>
          </w:tcPr>
          <w:p>
            <w:pPr>
              <w:spacing w:after="0"/>
              <w:rPr>
                <w:b/>
                <w:bCs/>
                <w:color w:val="auto"/>
              </w:rPr>
            </w:pPr>
            <w:r>
              <w:rPr>
                <w:b/>
                <w:bCs/>
                <w:color w:val="auto"/>
              </w:rPr>
              <w:t xml:space="preserve">Threats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pStyle w:val="19"/>
              <w:numPr>
                <w:ilvl w:val="0"/>
                <w:numId w:val="2"/>
              </w:numPr>
              <w:spacing w:after="0"/>
              <w:rPr>
                <w:color w:val="auto"/>
              </w:rPr>
            </w:pPr>
            <w:r>
              <w:rPr>
                <w:color w:val="auto"/>
              </w:rPr>
              <w:t xml:space="preserve">The inclusion of EV products and other associated technologies can easily boost the presence of Ford. </w:t>
            </w:r>
          </w:p>
          <w:p>
            <w:pPr>
              <w:pStyle w:val="19"/>
              <w:numPr>
                <w:ilvl w:val="0"/>
                <w:numId w:val="2"/>
              </w:numPr>
              <w:spacing w:after="0"/>
              <w:rPr>
                <w:color w:val="auto"/>
              </w:rPr>
            </w:pPr>
            <w:r>
              <w:rPr>
                <w:color w:val="auto"/>
              </w:rPr>
              <w:t xml:space="preserve">The expansion of operations onto emerging markets can also reduce the dependency of the firm on European markets. </w:t>
            </w:r>
          </w:p>
          <w:p>
            <w:pPr>
              <w:pStyle w:val="19"/>
              <w:numPr>
                <w:ilvl w:val="0"/>
                <w:numId w:val="2"/>
              </w:numPr>
              <w:spacing w:after="0"/>
              <w:rPr>
                <w:color w:val="auto"/>
              </w:rPr>
            </w:pPr>
            <w:r>
              <w:rPr>
                <w:color w:val="auto"/>
              </w:rPr>
              <w:t xml:space="preserve">The formation of partnership with app-based services such as Uber and Lyft can present new opportunities. </w:t>
            </w:r>
          </w:p>
        </w:tc>
        <w:tc>
          <w:tcPr>
            <w:tcW w:w="0" w:type="auto"/>
          </w:tcPr>
          <w:p>
            <w:pPr>
              <w:pStyle w:val="19"/>
              <w:numPr>
                <w:ilvl w:val="0"/>
                <w:numId w:val="2"/>
              </w:numPr>
              <w:spacing w:after="0"/>
              <w:rPr>
                <w:color w:val="auto"/>
              </w:rPr>
            </w:pPr>
            <w:r>
              <w:rPr>
                <w:color w:val="auto"/>
              </w:rPr>
              <w:t xml:space="preserve">The emergence of advanced technologies and disruptive innovation can cause Ford’s sales volume to decrease easily. </w:t>
            </w:r>
          </w:p>
          <w:p>
            <w:pPr>
              <w:pStyle w:val="19"/>
              <w:numPr>
                <w:ilvl w:val="0"/>
                <w:numId w:val="2"/>
              </w:numPr>
              <w:spacing w:after="0"/>
              <w:rPr>
                <w:color w:val="auto"/>
              </w:rPr>
            </w:pPr>
            <w:r>
              <w:rPr>
                <w:color w:val="auto"/>
              </w:rPr>
              <w:t xml:space="preserve">The growing presence of Japanese and German automobile companies have intensified the competition. </w:t>
            </w:r>
          </w:p>
          <w:p>
            <w:pPr>
              <w:pStyle w:val="19"/>
              <w:numPr>
                <w:ilvl w:val="0"/>
                <w:numId w:val="2"/>
              </w:numPr>
              <w:spacing w:after="0"/>
              <w:rPr>
                <w:color w:val="auto"/>
              </w:rPr>
            </w:pPr>
            <w:r>
              <w:rPr>
                <w:color w:val="auto"/>
              </w:rPr>
              <w:t xml:space="preserve">The environment scandals of other companies can easily change the market dynamics of Ford itself. </w:t>
            </w:r>
          </w:p>
        </w:tc>
      </w:tr>
    </w:tbl>
    <w:p>
      <w:pPr>
        <w:jc w:val="center"/>
        <w:rPr>
          <w:color w:val="auto"/>
        </w:rPr>
      </w:pPr>
    </w:p>
    <w:p>
      <w:pPr>
        <w:jc w:val="center"/>
        <w:rPr>
          <w:b/>
          <w:bCs/>
          <w:i/>
          <w:iCs/>
          <w:color w:val="auto"/>
        </w:rPr>
      </w:pPr>
      <w:r>
        <w:rPr>
          <w:b/>
          <w:bCs/>
          <w:i/>
          <w:iCs/>
          <w:color w:val="auto"/>
        </w:rPr>
        <w:t xml:space="preserve">Table 2: SWOT Analysis of Ford </w:t>
      </w:r>
    </w:p>
    <w:p>
      <w:pPr>
        <w:jc w:val="center"/>
        <w:rPr>
          <w:color w:val="auto"/>
        </w:rPr>
      </w:pPr>
      <w:r>
        <w:rPr>
          <w:color w:val="auto"/>
        </w:rPr>
        <w:t xml:space="preserve">(Source: </w:t>
      </w:r>
      <w:r>
        <w:rPr>
          <w:color w:val="auto"/>
          <w:shd w:val="clear" w:color="auto" w:fill="FFFFFF"/>
        </w:rPr>
        <w:t>Krishnan and Poorani, 2022</w:t>
      </w:r>
      <w:r>
        <w:rPr>
          <w:color w:val="auto"/>
        </w:rPr>
        <w:t>)</w:t>
      </w:r>
    </w:p>
    <w:p>
      <w:pPr>
        <w:rPr>
          <w:color w:val="auto"/>
        </w:rPr>
      </w:pPr>
      <w:r>
        <w:rPr>
          <w:color w:val="auto"/>
        </w:rPr>
        <w:t>Some of the key advantages of using SWOT analysis comprises of understanding the business better, addressing major weaknesses, develop business goals and significant strategies for achieving them and encourages the development of strategic thinking (</w:t>
      </w:r>
      <w:r>
        <w:rPr>
          <w:color w:val="auto"/>
          <w:shd w:val="clear" w:color="auto" w:fill="FFFFFF"/>
        </w:rPr>
        <w:t>Benzaghta et al., 2021)</w:t>
      </w:r>
      <w:r>
        <w:rPr>
          <w:color w:val="auto"/>
        </w:rPr>
        <w:t>. Meanwhile, some of the disadvantages of using SWOT analysis comprises of the lack of hierarchy leading to major problems, the existence of extensive structure leading to poor decision-making, the ability to become subjective without the correct information and more (</w:t>
      </w:r>
      <w:r>
        <w:rPr>
          <w:color w:val="auto"/>
          <w:shd w:val="clear" w:color="auto" w:fill="FFFFFF"/>
        </w:rPr>
        <w:t>Benzaghta et al., 2021)</w:t>
      </w:r>
      <w:r>
        <w:rPr>
          <w:color w:val="auto"/>
        </w:rPr>
        <w:t xml:space="preserve">. </w:t>
      </w:r>
    </w:p>
    <w:p>
      <w:pPr>
        <w:pStyle w:val="3"/>
        <w:rPr>
          <w:color w:val="auto"/>
        </w:rPr>
      </w:pPr>
      <w:bookmarkStart w:id="6" w:name="_Toc111904886"/>
      <w:r>
        <w:rPr>
          <w:color w:val="auto"/>
        </w:rPr>
        <w:t>STP of the Company</w:t>
      </w:r>
      <w:bookmarkEnd w:id="6"/>
    </w:p>
    <w:p>
      <w:pPr>
        <w:rPr>
          <w:b/>
          <w:bCs/>
          <w:i/>
          <w:iCs/>
          <w:color w:val="auto"/>
        </w:rPr>
      </w:pPr>
      <w:r>
        <w:rPr>
          <w:b/>
          <w:bCs/>
          <w:i/>
          <w:iCs/>
          <w:color w:val="auto"/>
        </w:rPr>
        <w:t>Segmentation</w:t>
      </w:r>
    </w:p>
    <w:p>
      <w:pPr>
        <w:rPr>
          <w:color w:val="auto"/>
        </w:rPr>
      </w:pPr>
      <w:r>
        <w:rPr>
          <w:color w:val="auto"/>
        </w:rPr>
        <w:t>Ford Motors is known for using a mix of psychographic, demographic and geographic segmentation method because it enables in significantly understanding the changing needs of the customers (</w:t>
      </w:r>
      <w:r>
        <w:rPr>
          <w:color w:val="auto"/>
          <w:shd w:val="clear" w:color="auto" w:fill="FFFFFF"/>
        </w:rPr>
        <w:t>McAlister and Sinha, 2021</w:t>
      </w:r>
      <w:r>
        <w:rPr>
          <w:color w:val="auto"/>
        </w:rPr>
        <w:t xml:space="preserve">). It is likely that Ford would be inclined towards continuing to use the similar segmentation process because of effectively understanding consumer preferences. </w:t>
      </w:r>
    </w:p>
    <w:p>
      <w:pPr>
        <w:rPr>
          <w:b/>
          <w:bCs/>
          <w:i/>
          <w:iCs/>
          <w:color w:val="auto"/>
        </w:rPr>
      </w:pPr>
      <w:r>
        <w:rPr>
          <w:b/>
          <w:bCs/>
          <w:i/>
          <w:iCs/>
          <w:color w:val="auto"/>
        </w:rPr>
        <w:t xml:space="preserve">Targeting </w:t>
      </w:r>
    </w:p>
    <w:p>
      <w:pPr>
        <w:rPr>
          <w:color w:val="auto"/>
        </w:rPr>
      </w:pPr>
      <w:r>
        <w:rPr>
          <w:color w:val="auto"/>
        </w:rPr>
        <w:t>Ford is known for using differentiated targeting strategy for gaining maximum acquaintance from its customers. The use of differentiated targeting strategy indicates the decision to identify and focus on primary target segments that add the most value to the brand (</w:t>
      </w:r>
      <w:r>
        <w:rPr>
          <w:color w:val="auto"/>
          <w:shd w:val="clear" w:color="auto" w:fill="FFFFFF"/>
        </w:rPr>
        <w:t>Arsova and Temjanovski, 2019</w:t>
      </w:r>
      <w:r>
        <w:rPr>
          <w:color w:val="auto"/>
        </w:rPr>
        <w:t xml:space="preserve">). Ford is likely to continue the use of this method as it has yielded sufficient sales for the brand. </w:t>
      </w:r>
    </w:p>
    <w:p>
      <w:pPr>
        <w:rPr>
          <w:b/>
          <w:bCs/>
          <w:i/>
          <w:iCs/>
          <w:color w:val="auto"/>
        </w:rPr>
      </w:pPr>
      <w:r>
        <w:rPr>
          <w:b/>
          <w:bCs/>
          <w:i/>
          <w:iCs/>
          <w:color w:val="auto"/>
        </w:rPr>
        <w:t xml:space="preserve">Positioning </w:t>
      </w:r>
    </w:p>
    <w:p>
      <w:pPr>
        <w:rPr>
          <w:color w:val="auto"/>
        </w:rPr>
      </w:pPr>
      <w:r>
        <w:rPr>
          <w:color w:val="auto"/>
        </w:rPr>
        <w:t>The positioning strategy used by Ford is benefit-based positioning because it allows the company to focus on a specific benefit of the product unique to the solution of the brand that also significantly adds value to the customers (</w:t>
      </w:r>
      <w:r>
        <w:rPr>
          <w:color w:val="auto"/>
          <w:shd w:val="clear" w:color="auto" w:fill="FFFFFF"/>
        </w:rPr>
        <w:t>McAlister and Sinha, 2021</w:t>
      </w:r>
      <w:r>
        <w:rPr>
          <w:color w:val="auto"/>
        </w:rPr>
        <w:t xml:space="preserve">). </w:t>
      </w:r>
    </w:p>
    <w:p>
      <w:pPr>
        <w:pStyle w:val="3"/>
        <w:rPr>
          <w:color w:val="auto"/>
        </w:rPr>
      </w:pPr>
      <w:bookmarkStart w:id="7" w:name="_Toc111904887"/>
      <w:r>
        <w:rPr>
          <w:color w:val="auto"/>
        </w:rPr>
        <w:t>Marketing Mix Strategies</w:t>
      </w:r>
      <w:bookmarkEnd w:id="7"/>
      <w:r>
        <w:rPr>
          <w:color w:val="auto"/>
        </w:rPr>
        <w:t xml:space="preserv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0"/>
        <w:gridCol w:w="8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 xml:space="preserve">Product </w:t>
            </w:r>
          </w:p>
        </w:tc>
        <w:tc>
          <w:tcPr>
            <w:tcW w:w="0" w:type="auto"/>
          </w:tcPr>
          <w:p>
            <w:pPr>
              <w:spacing w:after="0"/>
              <w:rPr>
                <w:color w:val="auto"/>
              </w:rPr>
            </w:pPr>
            <w:r>
              <w:rPr>
                <w:color w:val="auto"/>
              </w:rPr>
              <w:t xml:space="preserve">Ford is known for using corporate umbrella branding where the name ‘Ford Motors’ is the main identifier for the variety of products manufactured by the company. Ford is likely to continue using this product branding strategy in future as well. </w:t>
            </w:r>
          </w:p>
        </w:tc>
      </w:tr>
      <w:tr>
        <w:tc>
          <w:tcPr>
            <w:tcW w:w="0" w:type="auto"/>
          </w:tcPr>
          <w:p>
            <w:pPr>
              <w:spacing w:after="0"/>
              <w:rPr>
                <w:color w:val="auto"/>
              </w:rPr>
            </w:pPr>
            <w:r>
              <w:rPr>
                <w:color w:val="auto"/>
              </w:rPr>
              <w:t xml:space="preserve">Price </w:t>
            </w:r>
          </w:p>
        </w:tc>
        <w:tc>
          <w:tcPr>
            <w:tcW w:w="0" w:type="auto"/>
          </w:tcPr>
          <w:p>
            <w:pPr>
              <w:spacing w:after="0"/>
              <w:rPr>
                <w:color w:val="auto"/>
              </w:rPr>
            </w:pPr>
            <w:r>
              <w:rPr>
                <w:color w:val="auto"/>
              </w:rPr>
              <w:t>Ford has been extensive popular with the use of competitive pricing strategy which is also known as market-oriented pricing strategy. A company is known for strategically selecting price points for the goods and services that aligns with the competitor’s pricing in the market (</w:t>
            </w:r>
            <w:r>
              <w:rPr>
                <w:color w:val="auto"/>
                <w:shd w:val="clear" w:color="auto" w:fill="FFFFFF"/>
              </w:rPr>
              <w:t>Vlasic et al., 2019</w:t>
            </w:r>
            <w:r>
              <w:rPr>
                <w:color w:val="auto"/>
              </w:rPr>
              <w:t xml:space="preserve">). Often Ford also indulges in price skimming strategy to overcome the competition imposed by its competitors.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 xml:space="preserve">Place </w:t>
            </w:r>
          </w:p>
        </w:tc>
        <w:tc>
          <w:tcPr>
            <w:tcW w:w="0" w:type="auto"/>
          </w:tcPr>
          <w:p>
            <w:pPr>
              <w:spacing w:after="0"/>
              <w:rPr>
                <w:color w:val="auto"/>
              </w:rPr>
            </w:pPr>
            <w:r>
              <w:rPr>
                <w:color w:val="auto"/>
              </w:rPr>
              <w:t xml:space="preserve">Ford uses indirect distribution channel with focus on selective distribution and associates themselves with different dealers, creating a dealership network. It allows them to reach out to customers sufficiently.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spacing w:after="0"/>
              <w:rPr>
                <w:color w:val="auto"/>
              </w:rPr>
            </w:pPr>
            <w:r>
              <w:rPr>
                <w:color w:val="auto"/>
              </w:rPr>
              <w:t xml:space="preserve">Promotion </w:t>
            </w:r>
          </w:p>
        </w:tc>
        <w:tc>
          <w:tcPr>
            <w:tcW w:w="0" w:type="auto"/>
          </w:tcPr>
          <w:p>
            <w:pPr>
              <w:spacing w:after="0"/>
              <w:rPr>
                <w:color w:val="auto"/>
              </w:rPr>
            </w:pPr>
            <w:r>
              <w:rPr>
                <w:color w:val="auto"/>
              </w:rPr>
              <w:t xml:space="preserve">The promotional techniques used by Ford consists of advertising, direct marketing, digital marketing and more which would be continued in future as well. However, Ford is more likely to intensify the use of digital marketing in future. </w:t>
            </w:r>
          </w:p>
        </w:tc>
      </w:tr>
    </w:tbl>
    <w:p>
      <w:pPr>
        <w:jc w:val="center"/>
        <w:rPr>
          <w:color w:val="auto"/>
        </w:rPr>
      </w:pPr>
    </w:p>
    <w:p>
      <w:pPr>
        <w:jc w:val="center"/>
        <w:rPr>
          <w:b/>
          <w:bCs/>
          <w:i/>
          <w:iCs/>
          <w:color w:val="auto"/>
        </w:rPr>
      </w:pPr>
      <w:r>
        <w:rPr>
          <w:b/>
          <w:bCs/>
          <w:i/>
          <w:iCs/>
          <w:color w:val="auto"/>
        </w:rPr>
        <w:t xml:space="preserve">Table 3: Marketing Mix Strategies of Ford </w:t>
      </w:r>
    </w:p>
    <w:p>
      <w:pPr>
        <w:jc w:val="center"/>
        <w:rPr>
          <w:color w:val="auto"/>
        </w:rPr>
      </w:pPr>
      <w:r>
        <w:rPr>
          <w:color w:val="auto"/>
        </w:rPr>
        <w:t xml:space="preserve">(Source: </w:t>
      </w:r>
      <w:r>
        <w:rPr>
          <w:color w:val="auto"/>
          <w:shd w:val="clear" w:color="auto" w:fill="FFFFFF"/>
        </w:rPr>
        <w:t>Paul, 2018</w:t>
      </w:r>
      <w:r>
        <w:rPr>
          <w:color w:val="auto"/>
        </w:rPr>
        <w:t>)</w:t>
      </w:r>
    </w:p>
    <w:p>
      <w:pPr>
        <w:pStyle w:val="3"/>
        <w:rPr>
          <w:color w:val="auto"/>
        </w:rPr>
      </w:pPr>
      <w:bookmarkStart w:id="8" w:name="_Toc111904888"/>
      <w:r>
        <w:rPr>
          <w:color w:val="auto"/>
        </w:rPr>
        <w:t>Conclusion</w:t>
      </w:r>
      <w:bookmarkEnd w:id="8"/>
      <w:r>
        <w:rPr>
          <w:color w:val="auto"/>
        </w:rPr>
        <w:t xml:space="preserve"> </w:t>
      </w:r>
    </w:p>
    <w:p>
      <w:pPr>
        <w:rPr>
          <w:color w:val="auto"/>
        </w:rPr>
      </w:pPr>
      <w:r>
        <w:rPr>
          <w:color w:val="auto"/>
        </w:rPr>
        <w:t xml:space="preserve">This report shed light on the significance of understanding the internal and external factors of business environment prior to the formation of marketing strategies. The marketing plan framed by Ford now would take into consideration all the favourable and unfavourable forces while trying to acquaint with the customers sufficiently. </w:t>
      </w:r>
    </w:p>
    <w:p>
      <w:pPr>
        <w:pStyle w:val="2"/>
        <w:rPr>
          <w:color w:val="auto"/>
        </w:rPr>
      </w:pPr>
      <w:bookmarkStart w:id="9" w:name="_Toc111904889"/>
      <w:r>
        <w:rPr>
          <w:color w:val="auto"/>
        </w:rPr>
        <w:t>Question B: Recommendations for Future</w:t>
      </w:r>
      <w:bookmarkEnd w:id="9"/>
      <w:r>
        <w:rPr>
          <w:color w:val="auto"/>
        </w:rPr>
        <w:t xml:space="preserve"> </w:t>
      </w:r>
    </w:p>
    <w:p>
      <w:pPr>
        <w:rPr>
          <w:color w:val="auto"/>
        </w:rPr>
      </w:pPr>
      <w:r>
        <w:rPr>
          <w:color w:val="auto"/>
        </w:rPr>
        <w:t xml:space="preserve">The following recommendations would be crucial for Ford to gain a more futuristic outlook in their operations: </w:t>
      </w:r>
    </w:p>
    <w:p>
      <w:pPr>
        <w:pStyle w:val="19"/>
        <w:numPr>
          <w:ilvl w:val="0"/>
          <w:numId w:val="3"/>
        </w:numPr>
        <w:rPr>
          <w:color w:val="auto"/>
        </w:rPr>
      </w:pPr>
      <w:r>
        <w:rPr>
          <w:color w:val="auto"/>
        </w:rPr>
        <w:t xml:space="preserve">With consideration to Ansoff Matrix, the use of product development strategy would be crucial as new technologies are introduced in the market. Despite the availability of risks, it would be significant in gaining attention of the customers and in being innovative as well. </w:t>
      </w:r>
    </w:p>
    <w:p>
      <w:pPr>
        <w:pStyle w:val="19"/>
        <w:numPr>
          <w:ilvl w:val="0"/>
          <w:numId w:val="3"/>
        </w:numPr>
        <w:rPr>
          <w:color w:val="auto"/>
        </w:rPr>
      </w:pPr>
      <w:r>
        <w:rPr>
          <w:color w:val="auto"/>
        </w:rPr>
        <w:t xml:space="preserve">Given that Ford Motors is at the maturity stage of its product life cycle, the use of global market expansion strategy would be extremely feasible because it would allow the company to explore the potential of different emerging countries such as India, China and others. </w:t>
      </w:r>
    </w:p>
    <w:p>
      <w:pPr>
        <w:pStyle w:val="19"/>
        <w:numPr>
          <w:ilvl w:val="0"/>
          <w:numId w:val="3"/>
        </w:numPr>
        <w:rPr>
          <w:color w:val="auto"/>
        </w:rPr>
      </w:pPr>
      <w:r>
        <w:rPr>
          <w:color w:val="auto"/>
        </w:rPr>
        <w:t xml:space="preserve">Additionally, with the decreasing sales and market share of Ford in the UK, it is important to ensure the implementation of position defence strategy because it would permit in using customer loyalty and consumer awareness as a means of retaining position in the market. </w:t>
      </w:r>
    </w:p>
    <w:p>
      <w:pPr>
        <w:pStyle w:val="2"/>
        <w:rPr>
          <w:color w:val="auto"/>
        </w:rPr>
      </w:pPr>
    </w:p>
    <w:p>
      <w:pPr>
        <w:spacing w:line="259" w:lineRule="auto"/>
        <w:jc w:val="left"/>
        <w:rPr>
          <w:rFonts w:eastAsiaTheme="majorEastAsia" w:cstheme="majorBidi"/>
          <w:b/>
          <w:color w:val="auto"/>
          <w:szCs w:val="32"/>
        </w:rPr>
      </w:pPr>
      <w:r>
        <w:rPr>
          <w:color w:val="auto"/>
        </w:rPr>
        <w:br w:type="page"/>
      </w:r>
    </w:p>
    <w:p>
      <w:pPr>
        <w:pStyle w:val="2"/>
        <w:rPr>
          <w:color w:val="auto"/>
        </w:rPr>
      </w:pPr>
      <w:bookmarkStart w:id="10" w:name="_Toc111904890"/>
      <w:r>
        <w:rPr>
          <w:color w:val="auto"/>
        </w:rPr>
        <w:t>Reference List</w:t>
      </w:r>
      <w:bookmarkEnd w:id="10"/>
      <w:r>
        <w:rPr>
          <w:color w:val="auto"/>
        </w:rPr>
        <w:t xml:space="preserve"> </w:t>
      </w:r>
    </w:p>
    <w:p>
      <w:pPr>
        <w:rPr>
          <w:color w:val="auto"/>
          <w:shd w:val="clear" w:color="auto" w:fill="FFFFFF"/>
        </w:rPr>
      </w:pPr>
      <w:r>
        <w:rPr>
          <w:color w:val="auto"/>
          <w:shd w:val="clear" w:color="auto" w:fill="FFFFFF"/>
        </w:rPr>
        <w:t>Al-Surmi, A., Cao, G. and Duan, Y., 2020. The impact of aligning business, IT, and marketing strategies on firm performance. </w:t>
      </w:r>
      <w:r>
        <w:rPr>
          <w:i/>
          <w:iCs/>
          <w:color w:val="auto"/>
          <w:shd w:val="clear" w:color="auto" w:fill="FFFFFF"/>
        </w:rPr>
        <w:t>Industrial marketing management</w:t>
      </w:r>
      <w:r>
        <w:rPr>
          <w:color w:val="auto"/>
          <w:shd w:val="clear" w:color="auto" w:fill="FFFFFF"/>
        </w:rPr>
        <w:t>, </w:t>
      </w:r>
      <w:r>
        <w:rPr>
          <w:i/>
          <w:iCs/>
          <w:color w:val="auto"/>
          <w:shd w:val="clear" w:color="auto" w:fill="FFFFFF"/>
        </w:rPr>
        <w:t>84</w:t>
      </w:r>
      <w:r>
        <w:rPr>
          <w:color w:val="auto"/>
          <w:shd w:val="clear" w:color="auto" w:fill="FFFFFF"/>
        </w:rPr>
        <w:t>, pp.39-49.</w:t>
      </w:r>
    </w:p>
    <w:p>
      <w:pPr>
        <w:rPr>
          <w:color w:val="auto"/>
          <w:shd w:val="clear" w:color="auto" w:fill="FFFFFF"/>
        </w:rPr>
      </w:pPr>
      <w:r>
        <w:rPr>
          <w:color w:val="auto"/>
          <w:shd w:val="clear" w:color="auto" w:fill="FFFFFF"/>
        </w:rPr>
        <w:t>Arsova, M. and Temjanovski, R., 2019. Strategy for market segmentation and differentiation: contemporary marketing practice. </w:t>
      </w:r>
      <w:r>
        <w:rPr>
          <w:i/>
          <w:iCs/>
          <w:color w:val="auto"/>
          <w:shd w:val="clear" w:color="auto" w:fill="FFFFFF"/>
        </w:rPr>
        <w:t>Journal of Economics</w:t>
      </w:r>
      <w:r>
        <w:rPr>
          <w:color w:val="auto"/>
          <w:shd w:val="clear" w:color="auto" w:fill="FFFFFF"/>
        </w:rPr>
        <w:t>, </w:t>
      </w:r>
      <w:r>
        <w:rPr>
          <w:i/>
          <w:iCs/>
          <w:color w:val="auto"/>
          <w:shd w:val="clear" w:color="auto" w:fill="FFFFFF"/>
        </w:rPr>
        <w:t>4</w:t>
      </w:r>
      <w:r>
        <w:rPr>
          <w:color w:val="auto"/>
          <w:shd w:val="clear" w:color="auto" w:fill="FFFFFF"/>
        </w:rPr>
        <w:t>(1), pp.27-35.</w:t>
      </w:r>
    </w:p>
    <w:p>
      <w:pPr>
        <w:rPr>
          <w:i/>
          <w:iCs/>
          <w:color w:val="auto"/>
          <w:lang w:val="en-IN" w:eastAsia="en-IN"/>
        </w:rPr>
      </w:pPr>
      <w:r>
        <w:rPr>
          <w:color w:val="auto"/>
          <w:shd w:val="clear" w:color="auto" w:fill="FFFFFF"/>
        </w:rPr>
        <w:t>Benzaghta, M.A., Elwalda, A., Mousa, M.M., Erkan, I. and Rahman, M., 2021. SWOT analysis applications: An integrative literature review. </w:t>
      </w:r>
      <w:r>
        <w:rPr>
          <w:i/>
          <w:iCs/>
          <w:color w:val="auto"/>
          <w:shd w:val="clear" w:color="auto" w:fill="FFFFFF"/>
        </w:rPr>
        <w:t>Journal of Global Business Insights</w:t>
      </w:r>
      <w:r>
        <w:rPr>
          <w:color w:val="auto"/>
          <w:shd w:val="clear" w:color="auto" w:fill="FFFFFF"/>
        </w:rPr>
        <w:t>, </w:t>
      </w:r>
      <w:r>
        <w:rPr>
          <w:i/>
          <w:iCs/>
          <w:color w:val="auto"/>
          <w:shd w:val="clear" w:color="auto" w:fill="FFFFFF"/>
        </w:rPr>
        <w:t>6</w:t>
      </w:r>
      <w:r>
        <w:rPr>
          <w:color w:val="auto"/>
          <w:shd w:val="clear" w:color="auto" w:fill="FFFFFF"/>
        </w:rPr>
        <w:t>(1), pp.55-73.</w:t>
      </w:r>
    </w:p>
    <w:p>
      <w:pPr>
        <w:rPr>
          <w:color w:val="auto"/>
        </w:rPr>
      </w:pPr>
      <w:r>
        <w:rPr>
          <w:color w:val="auto"/>
          <w:shd w:val="clear" w:color="auto" w:fill="FFFFFF"/>
        </w:rPr>
        <w:t xml:space="preserve">Ford.com., 2022. </w:t>
      </w:r>
      <w:r>
        <w:rPr>
          <w:i/>
          <w:iCs/>
          <w:color w:val="auto"/>
          <w:shd w:val="clear" w:color="auto" w:fill="FFFFFF"/>
        </w:rPr>
        <w:t xml:space="preserve">About Us. </w:t>
      </w:r>
      <w:r>
        <w:rPr>
          <w:color w:val="auto"/>
          <w:shd w:val="clear" w:color="auto" w:fill="FFFFFF"/>
        </w:rPr>
        <w:t xml:space="preserve">[online] Available at: </w:t>
      </w:r>
      <w:r>
        <w:rPr>
          <w:color w:val="auto"/>
        </w:rPr>
        <w:fldChar w:fldCharType="begin"/>
      </w:r>
      <w:r>
        <w:rPr>
          <w:color w:val="auto"/>
        </w:rPr>
        <w:instrText xml:space="preserve"> HYPERLINK "https://corporate.ford.com/about.html" </w:instrText>
      </w:r>
      <w:r>
        <w:rPr>
          <w:color w:val="auto"/>
        </w:rPr>
        <w:fldChar w:fldCharType="separate"/>
      </w:r>
      <w:r>
        <w:rPr>
          <w:rStyle w:val="8"/>
          <w:color w:val="auto"/>
          <w:u w:val="none"/>
        </w:rPr>
        <w:t>https://corporate.ford.com/about.html</w:t>
      </w:r>
      <w:r>
        <w:rPr>
          <w:rStyle w:val="8"/>
          <w:color w:val="auto"/>
          <w:u w:val="none"/>
        </w:rPr>
        <w:fldChar w:fldCharType="end"/>
      </w:r>
      <w:r>
        <w:rPr>
          <w:color w:val="auto"/>
        </w:rPr>
        <w:t xml:space="preserve"> [Accessed 16</w:t>
      </w:r>
      <w:r>
        <w:rPr>
          <w:color w:val="auto"/>
          <w:vertAlign w:val="superscript"/>
        </w:rPr>
        <w:t>th</w:t>
      </w:r>
      <w:r>
        <w:rPr>
          <w:color w:val="auto"/>
        </w:rPr>
        <w:t xml:space="preserve"> August, 2022] </w:t>
      </w:r>
    </w:p>
    <w:p>
      <w:pPr>
        <w:rPr>
          <w:color w:val="auto"/>
        </w:rPr>
      </w:pPr>
      <w:r>
        <w:rPr>
          <w:color w:val="auto"/>
          <w:lang w:eastAsia="en-IN"/>
        </w:rPr>
        <w:t xml:space="preserve">Ford.com., 2022. </w:t>
      </w:r>
      <w:r>
        <w:rPr>
          <w:i/>
          <w:iCs/>
          <w:color w:val="auto"/>
          <w:lang w:eastAsia="en-IN"/>
        </w:rPr>
        <w:t>Environmental, Social, And Governance Overview</w:t>
      </w:r>
      <w:r>
        <w:rPr>
          <w:color w:val="auto"/>
          <w:lang w:eastAsia="en-IN"/>
        </w:rPr>
        <w:t xml:space="preserve">. </w:t>
      </w:r>
      <w:r>
        <w:rPr>
          <w:color w:val="auto"/>
          <w:shd w:val="clear" w:color="auto" w:fill="FFFFFF"/>
        </w:rPr>
        <w:t xml:space="preserve">[online] Available at: </w:t>
      </w:r>
      <w:r>
        <w:rPr>
          <w:color w:val="auto"/>
        </w:rPr>
        <w:fldChar w:fldCharType="begin"/>
      </w:r>
      <w:r>
        <w:rPr>
          <w:color w:val="auto"/>
        </w:rPr>
        <w:instrText xml:space="preserve"> HYPERLINK "https://shareholder.ford.com/investors/esg/default.aspx" </w:instrText>
      </w:r>
      <w:r>
        <w:rPr>
          <w:color w:val="auto"/>
        </w:rPr>
        <w:fldChar w:fldCharType="separate"/>
      </w:r>
      <w:r>
        <w:rPr>
          <w:rStyle w:val="8"/>
          <w:color w:val="auto"/>
          <w:u w:val="none"/>
        </w:rPr>
        <w:t>https://shareholder.ford.com/investors/esg/default.aspx</w:t>
      </w:r>
      <w:r>
        <w:rPr>
          <w:rStyle w:val="8"/>
          <w:color w:val="auto"/>
          <w:u w:val="none"/>
        </w:rPr>
        <w:fldChar w:fldCharType="end"/>
      </w:r>
      <w:r>
        <w:rPr>
          <w:color w:val="auto"/>
        </w:rPr>
        <w:t xml:space="preserve"> [Accessed 16</w:t>
      </w:r>
      <w:r>
        <w:rPr>
          <w:color w:val="auto"/>
          <w:vertAlign w:val="superscript"/>
        </w:rPr>
        <w:t>th</w:t>
      </w:r>
      <w:r>
        <w:rPr>
          <w:color w:val="auto"/>
        </w:rPr>
        <w:t xml:space="preserve"> August, 2022] </w:t>
      </w:r>
    </w:p>
    <w:p>
      <w:pPr>
        <w:rPr>
          <w:color w:val="auto"/>
        </w:rPr>
      </w:pPr>
      <w:r>
        <w:rPr>
          <w:color w:val="auto"/>
          <w:shd w:val="clear" w:color="auto" w:fill="FFFFFF"/>
        </w:rPr>
        <w:t xml:space="preserve">Ford.com., 2022. </w:t>
      </w:r>
      <w:r>
        <w:rPr>
          <w:i/>
          <w:iCs/>
          <w:color w:val="auto"/>
          <w:shd w:val="clear" w:color="auto" w:fill="FFFFFF"/>
        </w:rPr>
        <w:t xml:space="preserve">Purpose. </w:t>
      </w:r>
      <w:r>
        <w:rPr>
          <w:color w:val="auto"/>
          <w:shd w:val="clear" w:color="auto" w:fill="FFFFFF"/>
        </w:rPr>
        <w:t xml:space="preserve">[online] Available at: </w:t>
      </w:r>
      <w:r>
        <w:rPr>
          <w:color w:val="auto"/>
        </w:rPr>
        <w:fldChar w:fldCharType="begin"/>
      </w:r>
      <w:r>
        <w:rPr>
          <w:color w:val="auto"/>
        </w:rPr>
        <w:instrText xml:space="preserve"> HYPERLINK "https://corporate.ford.com/about/purpose.html" </w:instrText>
      </w:r>
      <w:r>
        <w:rPr>
          <w:color w:val="auto"/>
        </w:rPr>
        <w:fldChar w:fldCharType="separate"/>
      </w:r>
      <w:r>
        <w:rPr>
          <w:rStyle w:val="8"/>
          <w:color w:val="auto"/>
          <w:u w:val="none"/>
        </w:rPr>
        <w:t>https://corporate.ford.com/about/purpose.html</w:t>
      </w:r>
      <w:r>
        <w:rPr>
          <w:rStyle w:val="8"/>
          <w:color w:val="auto"/>
          <w:u w:val="none"/>
        </w:rPr>
        <w:fldChar w:fldCharType="end"/>
      </w:r>
      <w:r>
        <w:rPr>
          <w:color w:val="auto"/>
        </w:rPr>
        <w:t xml:space="preserve"> [Accessed 16</w:t>
      </w:r>
      <w:r>
        <w:rPr>
          <w:color w:val="auto"/>
          <w:vertAlign w:val="superscript"/>
        </w:rPr>
        <w:t>th</w:t>
      </w:r>
      <w:r>
        <w:rPr>
          <w:color w:val="auto"/>
        </w:rPr>
        <w:t xml:space="preserve"> August, 2022]</w:t>
      </w:r>
    </w:p>
    <w:p>
      <w:pPr>
        <w:rPr>
          <w:color w:val="auto"/>
          <w:shd w:val="clear" w:color="auto" w:fill="FFFFFF"/>
        </w:rPr>
      </w:pPr>
      <w:r>
        <w:rPr>
          <w:color w:val="auto"/>
          <w:shd w:val="clear" w:color="auto" w:fill="FFFFFF"/>
        </w:rPr>
        <w:t>Gehrke, S.R. and Reardon, T.G., 2022. Patterns and predictors of early electric vehicle adoption in Massachusetts. </w:t>
      </w:r>
      <w:r>
        <w:rPr>
          <w:i/>
          <w:iCs/>
          <w:color w:val="auto"/>
          <w:shd w:val="clear" w:color="auto" w:fill="FFFFFF"/>
        </w:rPr>
        <w:t>International Journal of Sustainable Transportation</w:t>
      </w:r>
      <w:r>
        <w:rPr>
          <w:color w:val="auto"/>
          <w:shd w:val="clear" w:color="auto" w:fill="FFFFFF"/>
        </w:rPr>
        <w:t>, </w:t>
      </w:r>
      <w:r>
        <w:rPr>
          <w:i/>
          <w:iCs/>
          <w:color w:val="auto"/>
          <w:shd w:val="clear" w:color="auto" w:fill="FFFFFF"/>
        </w:rPr>
        <w:t>16</w:t>
      </w:r>
      <w:r>
        <w:rPr>
          <w:color w:val="auto"/>
          <w:shd w:val="clear" w:color="auto" w:fill="FFFFFF"/>
        </w:rPr>
        <w:t>(6), pp.514-525.</w:t>
      </w:r>
    </w:p>
    <w:p>
      <w:pPr>
        <w:rPr>
          <w:color w:val="auto"/>
          <w:shd w:val="clear" w:color="auto" w:fill="FFFFFF"/>
        </w:rPr>
      </w:pPr>
      <w:r>
        <w:rPr>
          <w:color w:val="auto"/>
          <w:shd w:val="clear" w:color="auto" w:fill="FFFFFF"/>
        </w:rPr>
        <w:t>Gulzari, A., Wang, Y. and Prybutok, V., 2022. A green experience with eco-friendly cars: A young consumer electric vehicle rental behavioral model. </w:t>
      </w:r>
      <w:r>
        <w:rPr>
          <w:i/>
          <w:iCs/>
          <w:color w:val="auto"/>
          <w:shd w:val="clear" w:color="auto" w:fill="FFFFFF"/>
        </w:rPr>
        <w:t>Journal of Retailing and Consumer Services</w:t>
      </w:r>
      <w:r>
        <w:rPr>
          <w:color w:val="auto"/>
          <w:shd w:val="clear" w:color="auto" w:fill="FFFFFF"/>
        </w:rPr>
        <w:t>, </w:t>
      </w:r>
      <w:r>
        <w:rPr>
          <w:i/>
          <w:iCs/>
          <w:color w:val="auto"/>
          <w:shd w:val="clear" w:color="auto" w:fill="FFFFFF"/>
        </w:rPr>
        <w:t>65</w:t>
      </w:r>
      <w:r>
        <w:rPr>
          <w:color w:val="auto"/>
          <w:shd w:val="clear" w:color="auto" w:fill="FFFFFF"/>
        </w:rPr>
        <w:t>, p.102877.</w:t>
      </w:r>
    </w:p>
    <w:p>
      <w:pPr>
        <w:rPr>
          <w:i/>
          <w:iCs/>
          <w:color w:val="auto"/>
          <w:lang w:val="en-IN" w:eastAsia="en-IN"/>
        </w:rPr>
      </w:pPr>
      <w:r>
        <w:rPr>
          <w:color w:val="auto"/>
          <w:lang w:val="en-IN" w:eastAsia="en-IN"/>
        </w:rPr>
        <w:t xml:space="preserve">Hannon, P., 2022. </w:t>
      </w:r>
      <w:r>
        <w:rPr>
          <w:i/>
          <w:iCs/>
          <w:color w:val="auto"/>
          <w:lang w:val="en-IN" w:eastAsia="en-IN"/>
        </w:rPr>
        <w:t xml:space="preserve">U.K. Inflation Tops 10%, Underlining Gloomy Outlook for Europe. </w:t>
      </w:r>
      <w:r>
        <w:rPr>
          <w:color w:val="auto"/>
          <w:lang w:val="en-IN"/>
        </w:rPr>
        <w:t xml:space="preserve">[online] Available at: </w:t>
      </w:r>
      <w:r>
        <w:rPr>
          <w:color w:val="auto"/>
        </w:rPr>
        <w:fldChar w:fldCharType="begin"/>
      </w:r>
      <w:r>
        <w:rPr>
          <w:color w:val="auto"/>
        </w:rPr>
        <w:instrText xml:space="preserve"> HYPERLINK "https://www.wsj.com/articles/u-k-inflation-tops-10-underlining-gloomy-outlook-for-europe-11660718161" </w:instrText>
      </w:r>
      <w:r>
        <w:rPr>
          <w:color w:val="auto"/>
        </w:rPr>
        <w:fldChar w:fldCharType="separate"/>
      </w:r>
      <w:r>
        <w:rPr>
          <w:rStyle w:val="8"/>
          <w:color w:val="auto"/>
          <w:u w:val="none"/>
        </w:rPr>
        <w:t>https://www.wsj.com/articles/u-k-inflation-tops-10-underlining-gloomy-outlook-for-europe-11660718161</w:t>
      </w:r>
      <w:r>
        <w:rPr>
          <w:rStyle w:val="8"/>
          <w:color w:val="auto"/>
          <w:u w:val="none"/>
        </w:rPr>
        <w:fldChar w:fldCharType="end"/>
      </w:r>
      <w:r>
        <w:rPr>
          <w:color w:val="auto"/>
        </w:rPr>
        <w:t xml:space="preserve"> </w:t>
      </w:r>
      <w:r>
        <w:rPr>
          <w:color w:val="auto"/>
          <w:lang w:val="en-IN"/>
        </w:rPr>
        <w:t xml:space="preserve">[Accessed 19th August, 2022] </w:t>
      </w:r>
    </w:p>
    <w:p>
      <w:pPr>
        <w:rPr>
          <w:color w:val="auto"/>
          <w:shd w:val="clear" w:color="auto" w:fill="FFFFFF"/>
        </w:rPr>
      </w:pPr>
      <w:r>
        <w:rPr>
          <w:color w:val="auto"/>
          <w:shd w:val="clear" w:color="auto" w:fill="FFFFFF"/>
        </w:rPr>
        <w:t>Khot, S. and Thiagarajan, S., 2019. Resilience and sustainability of supply chain management in the Indian automobile industry. </w:t>
      </w:r>
      <w:r>
        <w:rPr>
          <w:i/>
          <w:iCs/>
          <w:color w:val="auto"/>
          <w:shd w:val="clear" w:color="auto" w:fill="FFFFFF"/>
        </w:rPr>
        <w:t>International Journal of Data and Network Science</w:t>
      </w:r>
      <w:r>
        <w:rPr>
          <w:color w:val="auto"/>
          <w:shd w:val="clear" w:color="auto" w:fill="FFFFFF"/>
        </w:rPr>
        <w:t>, </w:t>
      </w:r>
      <w:r>
        <w:rPr>
          <w:i/>
          <w:iCs/>
          <w:color w:val="auto"/>
          <w:shd w:val="clear" w:color="auto" w:fill="FFFFFF"/>
        </w:rPr>
        <w:t>3</w:t>
      </w:r>
      <w:r>
        <w:rPr>
          <w:color w:val="auto"/>
          <w:shd w:val="clear" w:color="auto" w:fill="FFFFFF"/>
        </w:rPr>
        <w:t>(4), pp.339-348.</w:t>
      </w:r>
    </w:p>
    <w:p>
      <w:pPr>
        <w:rPr>
          <w:color w:val="auto"/>
          <w:shd w:val="clear" w:color="auto" w:fill="FFFFFF"/>
        </w:rPr>
      </w:pPr>
      <w:r>
        <w:rPr>
          <w:color w:val="auto"/>
          <w:shd w:val="clear" w:color="auto" w:fill="FFFFFF"/>
        </w:rPr>
        <w:t>Krishnan, L.R.K. and Poorani, S., 2022. Ford Debacle Derails' Make in India'Plans: Socio Economic Impacts. </w:t>
      </w:r>
      <w:r>
        <w:rPr>
          <w:i/>
          <w:iCs/>
          <w:color w:val="auto"/>
          <w:shd w:val="clear" w:color="auto" w:fill="FFFFFF"/>
        </w:rPr>
        <w:t>Indian Journal of Industrial Relations</w:t>
      </w:r>
      <w:r>
        <w:rPr>
          <w:color w:val="auto"/>
          <w:shd w:val="clear" w:color="auto" w:fill="FFFFFF"/>
        </w:rPr>
        <w:t>, </w:t>
      </w:r>
      <w:r>
        <w:rPr>
          <w:i/>
          <w:iCs/>
          <w:color w:val="auto"/>
          <w:shd w:val="clear" w:color="auto" w:fill="FFFFFF"/>
        </w:rPr>
        <w:t>57</w:t>
      </w:r>
      <w:r>
        <w:rPr>
          <w:color w:val="auto"/>
          <w:shd w:val="clear" w:color="auto" w:fill="FFFFFF"/>
        </w:rPr>
        <w:t>(4).</w:t>
      </w:r>
    </w:p>
    <w:p>
      <w:pPr>
        <w:rPr>
          <w:color w:val="auto"/>
          <w:lang w:val="en-IN"/>
        </w:rPr>
      </w:pPr>
      <w:r>
        <w:rPr>
          <w:color w:val="auto"/>
          <w:lang w:val="en-IN" w:eastAsia="en-IN"/>
        </w:rPr>
        <w:t xml:space="preserve">Landler, M., and Castle, S., 2022. </w:t>
      </w:r>
      <w:r>
        <w:rPr>
          <w:i/>
          <w:iCs/>
          <w:color w:val="auto"/>
          <w:lang w:val="en-IN" w:eastAsia="en-IN"/>
        </w:rPr>
        <w:t xml:space="preserve">Boris Johnson Quits Amid Latest Scandal, a Messy End to a Messy Tenure. </w:t>
      </w:r>
      <w:r>
        <w:rPr>
          <w:color w:val="auto"/>
          <w:lang w:val="en-IN"/>
        </w:rPr>
        <w:t xml:space="preserve">[online] Available at: </w:t>
      </w:r>
      <w:r>
        <w:rPr>
          <w:color w:val="auto"/>
        </w:rPr>
        <w:fldChar w:fldCharType="begin"/>
      </w:r>
      <w:r>
        <w:rPr>
          <w:color w:val="auto"/>
        </w:rPr>
        <w:instrText xml:space="preserve"> HYPERLINK "https://www.nytimes.com/2022/07/07/world/europe/boris-johnson-resignation-britain.html" </w:instrText>
      </w:r>
      <w:r>
        <w:rPr>
          <w:color w:val="auto"/>
        </w:rPr>
        <w:fldChar w:fldCharType="separate"/>
      </w:r>
      <w:r>
        <w:rPr>
          <w:rStyle w:val="8"/>
          <w:color w:val="auto"/>
          <w:u w:val="none"/>
          <w:lang w:val="en-IN"/>
        </w:rPr>
        <w:t>https://www.nytimes.com/2022/07/07/world/europe/boris-johnson-resignation-britain.html</w:t>
      </w:r>
      <w:r>
        <w:rPr>
          <w:rStyle w:val="8"/>
          <w:color w:val="auto"/>
          <w:u w:val="none"/>
          <w:lang w:val="en-IN"/>
        </w:rPr>
        <w:fldChar w:fldCharType="end"/>
      </w:r>
      <w:r>
        <w:rPr>
          <w:color w:val="auto"/>
          <w:lang w:val="en-IN"/>
        </w:rPr>
        <w:t xml:space="preserve"> [Accessed 19th August, 2022] </w:t>
      </w:r>
    </w:p>
    <w:p>
      <w:pPr>
        <w:rPr>
          <w:color w:val="auto"/>
          <w:shd w:val="clear" w:color="auto" w:fill="FFFFFF"/>
        </w:rPr>
      </w:pPr>
      <w:r>
        <w:rPr>
          <w:color w:val="auto"/>
          <w:shd w:val="clear" w:color="auto" w:fill="FFFFFF"/>
        </w:rPr>
        <w:t>McAlister, L. and Sinha, S., 2021. A customer portfolio management model that relates company’s marketing to its long-term survival. </w:t>
      </w:r>
      <w:r>
        <w:rPr>
          <w:i/>
          <w:iCs/>
          <w:color w:val="auto"/>
          <w:shd w:val="clear" w:color="auto" w:fill="FFFFFF"/>
        </w:rPr>
        <w:t>Journal of the Academy of Marketing Science</w:t>
      </w:r>
      <w:r>
        <w:rPr>
          <w:color w:val="auto"/>
          <w:shd w:val="clear" w:color="auto" w:fill="FFFFFF"/>
        </w:rPr>
        <w:t>, </w:t>
      </w:r>
      <w:r>
        <w:rPr>
          <w:i/>
          <w:iCs/>
          <w:color w:val="auto"/>
          <w:shd w:val="clear" w:color="auto" w:fill="FFFFFF"/>
        </w:rPr>
        <w:t>49</w:t>
      </w:r>
      <w:r>
        <w:rPr>
          <w:color w:val="auto"/>
          <w:shd w:val="clear" w:color="auto" w:fill="FFFFFF"/>
        </w:rPr>
        <w:t>(3), pp.584-600.</w:t>
      </w:r>
    </w:p>
    <w:p>
      <w:pPr>
        <w:rPr>
          <w:color w:val="auto"/>
          <w:shd w:val="clear" w:color="auto" w:fill="FFFFFF"/>
        </w:rPr>
      </w:pPr>
      <w:r>
        <w:rPr>
          <w:color w:val="auto"/>
          <w:shd w:val="clear" w:color="auto" w:fill="FFFFFF"/>
        </w:rPr>
        <w:t>Nagy, J. and Jámbor, Z., 2018. Competitiveness in global trade: The case of the automobile industry. </w:t>
      </w:r>
      <w:r>
        <w:rPr>
          <w:i/>
          <w:iCs/>
          <w:color w:val="auto"/>
          <w:shd w:val="clear" w:color="auto" w:fill="FFFFFF"/>
        </w:rPr>
        <w:t>ECONOMIC ANNALS/EKONOMSKI ANALI</w:t>
      </w:r>
      <w:r>
        <w:rPr>
          <w:color w:val="auto"/>
          <w:shd w:val="clear" w:color="auto" w:fill="FFFFFF"/>
        </w:rPr>
        <w:t>, </w:t>
      </w:r>
      <w:r>
        <w:rPr>
          <w:i/>
          <w:iCs/>
          <w:color w:val="auto"/>
          <w:shd w:val="clear" w:color="auto" w:fill="FFFFFF"/>
        </w:rPr>
        <w:t>63</w:t>
      </w:r>
      <w:r>
        <w:rPr>
          <w:color w:val="auto"/>
          <w:shd w:val="clear" w:color="auto" w:fill="FFFFFF"/>
        </w:rPr>
        <w:t>(218), pp.61-84.</w:t>
      </w:r>
    </w:p>
    <w:p>
      <w:pPr>
        <w:rPr>
          <w:color w:val="auto"/>
          <w:shd w:val="clear" w:color="auto" w:fill="FFFFFF"/>
        </w:rPr>
      </w:pPr>
      <w:r>
        <w:rPr>
          <w:color w:val="auto"/>
          <w:shd w:val="clear" w:color="auto" w:fill="FFFFFF"/>
        </w:rPr>
        <w:t>Paul, J., 2018. Toward a'masstige'theory and strategy for marketing. </w:t>
      </w:r>
      <w:r>
        <w:rPr>
          <w:i/>
          <w:iCs/>
          <w:color w:val="auto"/>
          <w:shd w:val="clear" w:color="auto" w:fill="FFFFFF"/>
        </w:rPr>
        <w:t>European Journal of International Management</w:t>
      </w:r>
      <w:r>
        <w:rPr>
          <w:color w:val="auto"/>
          <w:shd w:val="clear" w:color="auto" w:fill="FFFFFF"/>
        </w:rPr>
        <w:t>, </w:t>
      </w:r>
      <w:r>
        <w:rPr>
          <w:i/>
          <w:iCs/>
          <w:color w:val="auto"/>
          <w:shd w:val="clear" w:color="auto" w:fill="FFFFFF"/>
        </w:rPr>
        <w:t>12</w:t>
      </w:r>
      <w:r>
        <w:rPr>
          <w:color w:val="auto"/>
          <w:shd w:val="clear" w:color="auto" w:fill="FFFFFF"/>
        </w:rPr>
        <w:t>(5-6), pp.722-745.</w:t>
      </w:r>
    </w:p>
    <w:p>
      <w:pPr>
        <w:rPr>
          <w:color w:val="auto"/>
          <w:lang w:val="en-IN"/>
        </w:rPr>
      </w:pPr>
      <w:r>
        <w:rPr>
          <w:color w:val="auto"/>
          <w:lang w:val="en-IN" w:eastAsia="en-IN"/>
        </w:rPr>
        <w:t xml:space="preserve">Ray, S., 2022. </w:t>
      </w:r>
      <w:r>
        <w:rPr>
          <w:i/>
          <w:iCs/>
          <w:color w:val="auto"/>
          <w:lang w:val="en-IN" w:eastAsia="en-IN"/>
        </w:rPr>
        <w:t xml:space="preserve">U.K. Inflation Hits 40-Year High Of 10% As It Bucks G7 Trend—And It’s Expected To Get Worse. </w:t>
      </w:r>
      <w:r>
        <w:rPr>
          <w:color w:val="auto"/>
          <w:lang w:val="en-IN"/>
        </w:rPr>
        <w:t xml:space="preserve">[online] Available at: </w:t>
      </w:r>
      <w:r>
        <w:rPr>
          <w:color w:val="auto"/>
        </w:rPr>
        <w:fldChar w:fldCharType="begin"/>
      </w:r>
      <w:r>
        <w:rPr>
          <w:color w:val="auto"/>
        </w:rPr>
        <w:instrText xml:space="preserve"> HYPERLINK "https://www.forbes.com/sites/siladityaray/2022/08/17/uk-inflation-hits-40-year-high-of-10-as-it-bucks-g7-trend-and-its-expected-to-get-worse/?sh=55be53a2d787" </w:instrText>
      </w:r>
      <w:r>
        <w:rPr>
          <w:color w:val="auto"/>
        </w:rPr>
        <w:fldChar w:fldCharType="separate"/>
      </w:r>
      <w:r>
        <w:rPr>
          <w:rStyle w:val="8"/>
          <w:color w:val="auto"/>
          <w:u w:val="none"/>
        </w:rPr>
        <w:t>https://www.forbes.com/sites/siladityaray/2022/08/17/uk-inflation-hits-40-year-high-of-10-as-it-bucks-g7-trend-and-its-expected-to-get-worse/?sh=55be53a2d787</w:t>
      </w:r>
      <w:r>
        <w:rPr>
          <w:rStyle w:val="8"/>
          <w:color w:val="auto"/>
          <w:u w:val="none"/>
        </w:rPr>
        <w:fldChar w:fldCharType="end"/>
      </w:r>
      <w:r>
        <w:rPr>
          <w:color w:val="auto"/>
        </w:rPr>
        <w:t xml:space="preserve"> </w:t>
      </w:r>
      <w:r>
        <w:rPr>
          <w:color w:val="auto"/>
          <w:lang w:val="en-IN"/>
        </w:rPr>
        <w:t xml:space="preserve">[Accessed 19th August, 2022] </w:t>
      </w:r>
    </w:p>
    <w:p>
      <w:pPr>
        <w:rPr>
          <w:color w:val="auto"/>
          <w:shd w:val="clear" w:color="auto" w:fill="FFFFFF"/>
        </w:rPr>
      </w:pPr>
      <w:r>
        <w:rPr>
          <w:color w:val="auto"/>
          <w:shd w:val="clear" w:color="auto" w:fill="FFFFFF"/>
        </w:rPr>
        <w:t>Vlasic, D., Poldrugovac, K. and Jankovic, S., 2019. The Competitive pricing in marina business: Exploring relative price position and price fluctuation. </w:t>
      </w:r>
      <w:r>
        <w:rPr>
          <w:i/>
          <w:iCs/>
          <w:color w:val="auto"/>
          <w:shd w:val="clear" w:color="auto" w:fill="FFFFFF"/>
        </w:rPr>
        <w:t>Journal of Tourism, Heritage &amp; Services Marketing</w:t>
      </w:r>
      <w:r>
        <w:rPr>
          <w:color w:val="auto"/>
          <w:shd w:val="clear" w:color="auto" w:fill="FFFFFF"/>
        </w:rPr>
        <w:t>, </w:t>
      </w:r>
      <w:r>
        <w:rPr>
          <w:i/>
          <w:iCs/>
          <w:color w:val="auto"/>
          <w:shd w:val="clear" w:color="auto" w:fill="FFFFFF"/>
        </w:rPr>
        <w:t>5</w:t>
      </w:r>
      <w:r>
        <w:rPr>
          <w:color w:val="auto"/>
          <w:shd w:val="clear" w:color="auto" w:fill="FFFFFF"/>
        </w:rPr>
        <w:t>(1), pp.3-8.</w:t>
      </w:r>
    </w:p>
    <w:p>
      <w:pPr>
        <w:rPr>
          <w:i/>
          <w:iCs/>
          <w:color w:val="auto"/>
          <w:lang w:val="en-IN" w:eastAsia="en-IN"/>
        </w:rPr>
      </w:pPr>
      <w:r>
        <w:rPr>
          <w:color w:val="auto"/>
          <w:shd w:val="clear" w:color="auto" w:fill="FFFFFF"/>
        </w:rPr>
        <w:t>Wu, B., MacNeil, I. and Chalaczkiewicz-Ladna, K., 2020. ‘Say on pay’regulations and director remuneration: evidence from the UK in the past two decades. </w:t>
      </w:r>
      <w:r>
        <w:rPr>
          <w:i/>
          <w:iCs/>
          <w:color w:val="auto"/>
          <w:shd w:val="clear" w:color="auto" w:fill="FFFFFF"/>
        </w:rPr>
        <w:t>Journal of Corporate Law Studies</w:t>
      </w:r>
      <w:r>
        <w:rPr>
          <w:color w:val="auto"/>
          <w:shd w:val="clear" w:color="auto" w:fill="FFFFFF"/>
        </w:rPr>
        <w:t>, </w:t>
      </w:r>
      <w:r>
        <w:rPr>
          <w:i/>
          <w:iCs/>
          <w:color w:val="auto"/>
          <w:shd w:val="clear" w:color="auto" w:fill="FFFFFF"/>
        </w:rPr>
        <w:t>20</w:t>
      </w:r>
      <w:r>
        <w:rPr>
          <w:color w:val="auto"/>
          <w:shd w:val="clear" w:color="auto" w:fill="FFFFFF"/>
        </w:rPr>
        <w:t>(2), pp.541-577.</w:t>
      </w:r>
    </w:p>
    <w:p>
      <w:pPr>
        <w:rPr>
          <w:color w:val="auto"/>
          <w:shd w:val="clear" w:color="auto" w:fill="FFFFFF"/>
        </w:rPr>
      </w:pPr>
    </w:p>
    <w:p>
      <w:pPr>
        <w:rPr>
          <w:i/>
          <w:iCs/>
          <w:color w:val="auto"/>
          <w:lang w:val="en-IN" w:eastAsia="en-IN"/>
        </w:rPr>
      </w:pPr>
    </w:p>
    <w:p>
      <w:pPr>
        <w:rPr>
          <w:i/>
          <w:iCs/>
          <w:color w:val="auto"/>
          <w:lang w:val="en-IN" w:eastAsia="en-IN"/>
        </w:rPr>
      </w:pPr>
    </w:p>
    <w:p>
      <w:pPr>
        <w:rPr>
          <w:color w:val="auto"/>
          <w:shd w:val="clear" w:color="auto" w:fill="FFFFFF"/>
        </w:rPr>
      </w:pPr>
    </w:p>
    <w:p>
      <w:pPr>
        <w:rPr>
          <w:color w:val="auto"/>
        </w:rPr>
      </w:pPr>
    </w:p>
    <w:sectPr>
      <w:footerReference r:id="rId5" w:type="default"/>
      <w:pgSz w:w="11906" w:h="16838"/>
      <w:pgMar w:top="1440" w:right="1440" w:bottom="1440" w:left="1440" w:header="708" w:footer="708" w:gutter="0"/>
      <w:pgBorders w:offsetFrom="page">
        <w:top w:val="none" w:sz="0" w:space="0"/>
        <w:left w:val="none" w:sz="0" w:space="0"/>
        <w:bottom w:val="none" w:sz="0" w:space="0"/>
        <w:right w:val="none" w:sz="0" w:space="0"/>
      </w:pgBorders>
      <w:pgNumType w:start="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903707"/>
      <w:docPartObj>
        <w:docPartGallery w:val="AutoText"/>
      </w:docPartObj>
    </w:sdtPr>
    <w:sdtContent>
      <w:p>
        <w:pPr>
          <w:pStyle w:val="6"/>
          <w:jc w:val="right"/>
        </w:pPr>
        <w:r>
          <w:fldChar w:fldCharType="begin"/>
        </w:r>
        <w:r>
          <w:instrText xml:space="preserve"> PAGE   \* MERGEFORMAT </w:instrText>
        </w:r>
        <w:r>
          <w:fldChar w:fldCharType="separate"/>
        </w:r>
        <w: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0A445E"/>
    <w:multiLevelType w:val="multilevel"/>
    <w:tmpl w:val="0A0A44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31F0CB6"/>
    <w:multiLevelType w:val="multilevel"/>
    <w:tmpl w:val="231F0C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4D765CC"/>
    <w:multiLevelType w:val="multilevel"/>
    <w:tmpl w:val="34D765C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279"/>
    <w:rsid w:val="00007E6C"/>
    <w:rsid w:val="00015D49"/>
    <w:rsid w:val="00020E3B"/>
    <w:rsid w:val="0003087B"/>
    <w:rsid w:val="00031FAB"/>
    <w:rsid w:val="0007011F"/>
    <w:rsid w:val="00074B8D"/>
    <w:rsid w:val="000912A6"/>
    <w:rsid w:val="000A3CBF"/>
    <w:rsid w:val="000B0840"/>
    <w:rsid w:val="000B3822"/>
    <w:rsid w:val="000B3C78"/>
    <w:rsid w:val="00141279"/>
    <w:rsid w:val="001551DE"/>
    <w:rsid w:val="00160B48"/>
    <w:rsid w:val="001717C4"/>
    <w:rsid w:val="001904A1"/>
    <w:rsid w:val="001932BA"/>
    <w:rsid w:val="001D561A"/>
    <w:rsid w:val="001D7EBA"/>
    <w:rsid w:val="001E7A03"/>
    <w:rsid w:val="00235E8B"/>
    <w:rsid w:val="00247DB8"/>
    <w:rsid w:val="00274F78"/>
    <w:rsid w:val="00285382"/>
    <w:rsid w:val="00285F36"/>
    <w:rsid w:val="00311D5A"/>
    <w:rsid w:val="00337281"/>
    <w:rsid w:val="003624BE"/>
    <w:rsid w:val="003772CB"/>
    <w:rsid w:val="003874D5"/>
    <w:rsid w:val="003B4368"/>
    <w:rsid w:val="003C4F05"/>
    <w:rsid w:val="004626F8"/>
    <w:rsid w:val="004B770F"/>
    <w:rsid w:val="004C1EA2"/>
    <w:rsid w:val="004E1374"/>
    <w:rsid w:val="004E771B"/>
    <w:rsid w:val="005029D4"/>
    <w:rsid w:val="00516DDB"/>
    <w:rsid w:val="00526715"/>
    <w:rsid w:val="00541991"/>
    <w:rsid w:val="00541D03"/>
    <w:rsid w:val="00552AFA"/>
    <w:rsid w:val="00557C0F"/>
    <w:rsid w:val="005625B7"/>
    <w:rsid w:val="00562763"/>
    <w:rsid w:val="0057296B"/>
    <w:rsid w:val="00573590"/>
    <w:rsid w:val="005A0500"/>
    <w:rsid w:val="005B2DF4"/>
    <w:rsid w:val="005B31DA"/>
    <w:rsid w:val="005C0A04"/>
    <w:rsid w:val="005D4616"/>
    <w:rsid w:val="005D5E3E"/>
    <w:rsid w:val="005D655B"/>
    <w:rsid w:val="006002FD"/>
    <w:rsid w:val="00615BC8"/>
    <w:rsid w:val="00622179"/>
    <w:rsid w:val="00645EAD"/>
    <w:rsid w:val="0068092B"/>
    <w:rsid w:val="00681B95"/>
    <w:rsid w:val="00686F7E"/>
    <w:rsid w:val="006C7BA4"/>
    <w:rsid w:val="006D0083"/>
    <w:rsid w:val="006D3A93"/>
    <w:rsid w:val="006E0B6A"/>
    <w:rsid w:val="0071548E"/>
    <w:rsid w:val="00724C31"/>
    <w:rsid w:val="00726029"/>
    <w:rsid w:val="0074648D"/>
    <w:rsid w:val="00775762"/>
    <w:rsid w:val="007916B3"/>
    <w:rsid w:val="007A0022"/>
    <w:rsid w:val="007C07A6"/>
    <w:rsid w:val="007C6DB3"/>
    <w:rsid w:val="007D5B70"/>
    <w:rsid w:val="007E74ED"/>
    <w:rsid w:val="007F33BA"/>
    <w:rsid w:val="00803821"/>
    <w:rsid w:val="00824D23"/>
    <w:rsid w:val="008C2268"/>
    <w:rsid w:val="008E2B0C"/>
    <w:rsid w:val="00913F23"/>
    <w:rsid w:val="00932A1C"/>
    <w:rsid w:val="00932A83"/>
    <w:rsid w:val="00937215"/>
    <w:rsid w:val="009378E9"/>
    <w:rsid w:val="009655AE"/>
    <w:rsid w:val="009737AE"/>
    <w:rsid w:val="00980CF2"/>
    <w:rsid w:val="009972CE"/>
    <w:rsid w:val="009C022D"/>
    <w:rsid w:val="00A16037"/>
    <w:rsid w:val="00A7059C"/>
    <w:rsid w:val="00A76279"/>
    <w:rsid w:val="00A77A87"/>
    <w:rsid w:val="00A93947"/>
    <w:rsid w:val="00AE0405"/>
    <w:rsid w:val="00AE480D"/>
    <w:rsid w:val="00B21328"/>
    <w:rsid w:val="00B4554C"/>
    <w:rsid w:val="00B54952"/>
    <w:rsid w:val="00B677A1"/>
    <w:rsid w:val="00B72BCD"/>
    <w:rsid w:val="00B831F0"/>
    <w:rsid w:val="00BB2B57"/>
    <w:rsid w:val="00BB69BF"/>
    <w:rsid w:val="00BC6730"/>
    <w:rsid w:val="00BE47C2"/>
    <w:rsid w:val="00BF7A8C"/>
    <w:rsid w:val="00C248EC"/>
    <w:rsid w:val="00C369DA"/>
    <w:rsid w:val="00C406CB"/>
    <w:rsid w:val="00C414CF"/>
    <w:rsid w:val="00C74D42"/>
    <w:rsid w:val="00C85062"/>
    <w:rsid w:val="00C8539A"/>
    <w:rsid w:val="00CB3DF5"/>
    <w:rsid w:val="00D122DC"/>
    <w:rsid w:val="00D25F37"/>
    <w:rsid w:val="00D440FC"/>
    <w:rsid w:val="00D56851"/>
    <w:rsid w:val="00D57B5A"/>
    <w:rsid w:val="00DA0690"/>
    <w:rsid w:val="00DB65DF"/>
    <w:rsid w:val="00DB6EBC"/>
    <w:rsid w:val="00DF3839"/>
    <w:rsid w:val="00E106A3"/>
    <w:rsid w:val="00E436CF"/>
    <w:rsid w:val="00E4407F"/>
    <w:rsid w:val="00E53E95"/>
    <w:rsid w:val="00E6691C"/>
    <w:rsid w:val="00E6715C"/>
    <w:rsid w:val="00E81827"/>
    <w:rsid w:val="00E83885"/>
    <w:rsid w:val="00E9646B"/>
    <w:rsid w:val="00E973B4"/>
    <w:rsid w:val="00EB09B4"/>
    <w:rsid w:val="00EB744A"/>
    <w:rsid w:val="00EC255B"/>
    <w:rsid w:val="00EC7FC7"/>
    <w:rsid w:val="00EE17BF"/>
    <w:rsid w:val="00EF2F91"/>
    <w:rsid w:val="00F135A9"/>
    <w:rsid w:val="00F173D1"/>
    <w:rsid w:val="00F26BD2"/>
    <w:rsid w:val="00F30307"/>
    <w:rsid w:val="00F525B6"/>
    <w:rsid w:val="00F561DF"/>
    <w:rsid w:val="00F67342"/>
    <w:rsid w:val="00F979C4"/>
    <w:rsid w:val="00FD7843"/>
    <w:rsid w:val="00FE591F"/>
    <w:rsid w:val="00FE7798"/>
    <w:rsid w:val="00FF074A"/>
    <w:rsid w:val="00FF0CCC"/>
    <w:rsid w:val="76F34ABB"/>
    <w:rsid w:val="77FF381D"/>
    <w:rsid w:val="7EF5D58D"/>
    <w:rsid w:val="DEBF2498"/>
    <w:rsid w:val="FAA7D7C4"/>
    <w:rsid w:val="FFBFEAD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3"/>
    <w:qFormat/>
    <w:uiPriority w:val="9"/>
    <w:pPr>
      <w:keepNext/>
      <w:keepLines/>
      <w:spacing w:before="240" w:after="0"/>
      <w:outlineLvl w:val="0"/>
    </w:pPr>
    <w:rPr>
      <w:rFonts w:eastAsiaTheme="majorEastAsia" w:cstheme="majorBidi"/>
      <w:b/>
      <w:szCs w:val="32"/>
    </w:rPr>
  </w:style>
  <w:style w:type="paragraph" w:styleId="3">
    <w:name w:val="heading 2"/>
    <w:basedOn w:val="1"/>
    <w:next w:val="1"/>
    <w:link w:val="15"/>
    <w:unhideWhenUsed/>
    <w:qFormat/>
    <w:uiPriority w:val="9"/>
    <w:pPr>
      <w:keepNext/>
      <w:keepLines/>
      <w:spacing w:before="40" w:after="0"/>
      <w:outlineLvl w:val="1"/>
    </w:pPr>
    <w:rPr>
      <w:rFonts w:eastAsiaTheme="majorEastAsia" w:cstheme="majorBidi"/>
      <w:b/>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7"/>
    <w:unhideWhenUsed/>
    <w:qFormat/>
    <w:uiPriority w:val="99"/>
    <w:pPr>
      <w:tabs>
        <w:tab w:val="center" w:pos="4513"/>
        <w:tab w:val="right" w:pos="9026"/>
      </w:tabs>
      <w:spacing w:after="0" w:line="240" w:lineRule="auto"/>
    </w:pPr>
  </w:style>
  <w:style w:type="paragraph" w:styleId="7">
    <w:name w:val="header"/>
    <w:basedOn w:val="1"/>
    <w:link w:val="16"/>
    <w:unhideWhenUsed/>
    <w:qFormat/>
    <w:uiPriority w:val="99"/>
    <w:pPr>
      <w:tabs>
        <w:tab w:val="center" w:pos="4513"/>
        <w:tab w:val="right" w:pos="9026"/>
      </w:tabs>
      <w:spacing w:after="0" w:line="240" w:lineRule="auto"/>
    </w:pPr>
  </w:style>
  <w:style w:type="character" w:styleId="8">
    <w:name w:val="Hyperlink"/>
    <w:basedOn w:val="4"/>
    <w:unhideWhenUsed/>
    <w:qFormat/>
    <w:uiPriority w:val="99"/>
    <w:rPr>
      <w:color w:val="0563C1" w:themeColor="hyperlink"/>
      <w:u w:val="single"/>
      <w14:textFill>
        <w14:solidFill>
          <w14:schemeClr w14:val="hlink"/>
        </w14:solidFill>
      </w14:textFill>
    </w:rPr>
  </w:style>
  <w:style w:type="table" w:styleId="9">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Title"/>
    <w:basedOn w:val="1"/>
    <w:next w:val="1"/>
    <w:link w:val="14"/>
    <w:qFormat/>
    <w:uiPriority w:val="10"/>
    <w:pPr>
      <w:spacing w:after="0"/>
      <w:contextualSpacing/>
      <w:jc w:val="center"/>
    </w:pPr>
    <w:rPr>
      <w:rFonts w:eastAsiaTheme="majorEastAsia" w:cstheme="majorBidi"/>
      <w:b/>
      <w:spacing w:val="-10"/>
      <w:kern w:val="28"/>
      <w:sz w:val="36"/>
      <w:szCs w:val="56"/>
      <w:u w:val="single"/>
    </w:rPr>
  </w:style>
  <w:style w:type="paragraph" w:styleId="11">
    <w:name w:val="toc 1"/>
    <w:basedOn w:val="1"/>
    <w:next w:val="1"/>
    <w:unhideWhenUsed/>
    <w:qFormat/>
    <w:uiPriority w:val="39"/>
    <w:pPr>
      <w:spacing w:after="100"/>
    </w:pPr>
  </w:style>
  <w:style w:type="paragraph" w:styleId="12">
    <w:name w:val="toc 2"/>
    <w:basedOn w:val="1"/>
    <w:next w:val="1"/>
    <w:unhideWhenUsed/>
    <w:qFormat/>
    <w:uiPriority w:val="39"/>
    <w:pPr>
      <w:spacing w:after="100"/>
      <w:ind w:left="240"/>
    </w:pPr>
  </w:style>
  <w:style w:type="character" w:customStyle="1" w:styleId="13">
    <w:name w:val="Heading 1 Char"/>
    <w:basedOn w:val="4"/>
    <w:link w:val="2"/>
    <w:qFormat/>
    <w:uiPriority w:val="9"/>
    <w:rPr>
      <w:rFonts w:ascii="Times New Roman" w:hAnsi="Times New Roman" w:eastAsiaTheme="majorEastAsia" w:cstheme="majorBidi"/>
      <w:b/>
      <w:sz w:val="24"/>
      <w:szCs w:val="32"/>
      <w:lang w:val="en-GB"/>
    </w:rPr>
  </w:style>
  <w:style w:type="character" w:customStyle="1" w:styleId="14">
    <w:name w:val="Title Char"/>
    <w:basedOn w:val="4"/>
    <w:link w:val="10"/>
    <w:qFormat/>
    <w:uiPriority w:val="10"/>
    <w:rPr>
      <w:rFonts w:ascii="Times New Roman" w:hAnsi="Times New Roman" w:eastAsiaTheme="majorEastAsia" w:cstheme="majorBidi"/>
      <w:b/>
      <w:spacing w:val="-10"/>
      <w:kern w:val="28"/>
      <w:sz w:val="36"/>
      <w:szCs w:val="56"/>
      <w:u w:val="single"/>
      <w:lang w:val="en-GB"/>
    </w:rPr>
  </w:style>
  <w:style w:type="character" w:customStyle="1" w:styleId="15">
    <w:name w:val="Heading 2 Char"/>
    <w:basedOn w:val="4"/>
    <w:link w:val="3"/>
    <w:qFormat/>
    <w:uiPriority w:val="9"/>
    <w:rPr>
      <w:rFonts w:ascii="Times New Roman" w:hAnsi="Times New Roman" w:eastAsiaTheme="majorEastAsia" w:cstheme="majorBidi"/>
      <w:b/>
      <w:sz w:val="24"/>
      <w:szCs w:val="26"/>
      <w:lang w:val="en-GB"/>
    </w:rPr>
  </w:style>
  <w:style w:type="character" w:customStyle="1" w:styleId="16">
    <w:name w:val="Header Char"/>
    <w:basedOn w:val="4"/>
    <w:link w:val="7"/>
    <w:qFormat/>
    <w:uiPriority w:val="99"/>
    <w:rPr>
      <w:rFonts w:ascii="Times New Roman" w:hAnsi="Times New Roman"/>
      <w:sz w:val="24"/>
      <w:lang w:val="en-AU"/>
    </w:rPr>
  </w:style>
  <w:style w:type="character" w:customStyle="1" w:styleId="17">
    <w:name w:val="Footer Char"/>
    <w:basedOn w:val="4"/>
    <w:link w:val="6"/>
    <w:qFormat/>
    <w:uiPriority w:val="99"/>
    <w:rPr>
      <w:rFonts w:ascii="Times New Roman" w:hAnsi="Times New Roman"/>
      <w:sz w:val="24"/>
      <w:lang w:val="en-AU"/>
    </w:rPr>
  </w:style>
  <w:style w:type="character" w:customStyle="1" w:styleId="18">
    <w:name w:val="Unresolved Mention"/>
    <w:basedOn w:val="4"/>
    <w:semiHidden/>
    <w:unhideWhenUsed/>
    <w:qFormat/>
    <w:uiPriority w:val="99"/>
    <w:rPr>
      <w:color w:val="605E5C"/>
      <w:shd w:val="clear" w:color="auto" w:fill="E1DFDD"/>
    </w:rPr>
  </w:style>
  <w:style w:type="paragraph" w:styleId="19">
    <w:name w:val="List Paragraph"/>
    <w:basedOn w:val="1"/>
    <w:qFormat/>
    <w:uiPriority w:val="34"/>
    <w:pPr>
      <w:ind w:left="720"/>
      <w:contextualSpacing/>
    </w:pPr>
  </w:style>
  <w:style w:type="paragraph" w:customStyle="1" w:styleId="20">
    <w:name w:val="TOC Heading"/>
    <w:basedOn w:val="2"/>
    <w:next w:val="1"/>
    <w:unhideWhenUsed/>
    <w:qFormat/>
    <w:uiPriority w:val="39"/>
    <w:pPr>
      <w:spacing w:line="259" w:lineRule="auto"/>
      <w:jc w:val="left"/>
      <w:outlineLvl w:val="9"/>
    </w:pPr>
    <w:rPr>
      <w:rFonts w:asciiTheme="majorHAnsi" w:hAnsiTheme="majorHAnsi"/>
      <w:b w:val="0"/>
      <w:color w:val="2F5597" w:themeColor="accent1" w:themeShade="BF"/>
      <w:sz w:val="32"/>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2545</Words>
  <Characters>14731</Characters>
  <Lines>132</Lines>
  <Paragraphs>37</Paragraphs>
  <TotalTime>1637</TotalTime>
  <ScaleCrop>false</ScaleCrop>
  <LinksUpToDate>false</LinksUpToDate>
  <CharactersWithSpaces>17264</CharactersWithSpaces>
  <Application>WPS Office_4.4.1.7616_F1E327BC-269C-435d-A152-05C5408002CA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2022-08-16T16:12:00Z</dcterms:created>
  <dc:creator>Geet</dc:creator>
  <cp:lastModifiedBy>DELL</cp:lastModifiedBy>
  <dcterms:modified xsi:type="dcterms:W3CDTF">2022-08-30T09:19:28Z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1033-4.4.1.7616</vt:lpwstr>
  </property>
</Properties>
</file>