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1BD3" w:rsidRDefault="00076275" w:rsidP="00076275">
      <w:pPr>
        <w:jc w:val="center"/>
        <w:rPr>
          <w:u w:val="single"/>
        </w:rPr>
      </w:pPr>
      <w:r>
        <w:rPr>
          <w:u w:val="single"/>
        </w:rPr>
        <w:t>Sweat</w:t>
      </w:r>
    </w:p>
    <w:p w:rsidR="00076275" w:rsidRDefault="00076275" w:rsidP="00076275">
      <w:pPr>
        <w:jc w:val="center"/>
        <w:rPr>
          <w:u w:val="single"/>
        </w:rPr>
      </w:pPr>
    </w:p>
    <w:p w:rsidR="00076275" w:rsidRPr="00076275" w:rsidRDefault="00076275" w:rsidP="00076275">
      <w:pPr>
        <w:rPr>
          <w:b/>
        </w:rPr>
      </w:pPr>
    </w:p>
    <w:p w:rsidR="00073172" w:rsidRDefault="00BA1D85" w:rsidP="00076275">
      <w:r>
        <w:t xml:space="preserve">Hurston’s short story was </w:t>
      </w:r>
      <w:r w:rsidR="00903E43">
        <w:t>published in 1926, towards the end of the Harlem renaissance</w:t>
      </w:r>
      <w:r w:rsidR="00073172">
        <w:t xml:space="preserve"> in the magazine </w:t>
      </w:r>
      <w:r w:rsidR="00073172" w:rsidRPr="00073172">
        <w:rPr>
          <w:i/>
        </w:rPr>
        <w:t>Fire!!</w:t>
      </w:r>
      <w:r w:rsidR="00073172">
        <w:t xml:space="preserve"> </w:t>
      </w:r>
      <w:r w:rsidR="00073172">
        <w:rPr>
          <w:rStyle w:val="FootnoteReference"/>
        </w:rPr>
        <w:footnoteReference w:id="1"/>
      </w:r>
      <w:r w:rsidR="00903E43">
        <w:t xml:space="preserve"> </w:t>
      </w:r>
      <w:r w:rsidR="00AD0F6C">
        <w:t>‘</w:t>
      </w:r>
      <w:r w:rsidR="00AD0F6C" w:rsidRPr="00585500">
        <w:rPr>
          <w:i/>
        </w:rPr>
        <w:t>Sweat</w:t>
      </w:r>
      <w:r w:rsidR="00AD0F6C">
        <w:t>’ focuses on the female black experience of the early 20</w:t>
      </w:r>
      <w:r w:rsidR="00AD0F6C" w:rsidRPr="00AD0F6C">
        <w:rPr>
          <w:vertAlign w:val="superscript"/>
        </w:rPr>
        <w:t>th</w:t>
      </w:r>
      <w:r w:rsidR="00AD0F6C">
        <w:t xml:space="preserve"> century, with the protagonist, Delia, front and centre of the story. </w:t>
      </w:r>
    </w:p>
    <w:p w:rsidR="00076275" w:rsidRDefault="00AD0F6C" w:rsidP="00076275">
      <w:r>
        <w:t xml:space="preserve">The story opens with Delia </w:t>
      </w:r>
      <w:r w:rsidR="009313AE">
        <w:t>doing white folks’ laundry,</w:t>
      </w:r>
      <w:r>
        <w:t xml:space="preserve"> her husband Sykes comes home and throws a whip onto Delia’s shoulder. Terrified thinking it is a snake, Delia screams and panics causing Sykes to laugh at her distress.</w:t>
      </w:r>
      <w:r w:rsidR="00073172">
        <w:t xml:space="preserve"> </w:t>
      </w:r>
      <w:r>
        <w:t>The story of their marriage then unfolds</w:t>
      </w:r>
      <w:r w:rsidR="00F85410">
        <w:t>.</w:t>
      </w:r>
      <w:r>
        <w:t xml:space="preserve"> Delia has always worked</w:t>
      </w:r>
      <w:r w:rsidR="00CF1134">
        <w:t>,</w:t>
      </w:r>
      <w:r w:rsidR="009313AE">
        <w:t xml:space="preserve"> her job as a washerwoman angers Sykes, he hates her doing laundry for the whites.</w:t>
      </w:r>
      <w:r>
        <w:t xml:space="preserve"> </w:t>
      </w:r>
      <w:r w:rsidR="009313AE">
        <w:t>Throughout their union Delia’s wages have</w:t>
      </w:r>
      <w:r>
        <w:t xml:space="preserve"> paid for the food her husband eats and the house in which they live. When Sykes has work he spends his wages on himself</w:t>
      </w:r>
      <w:r w:rsidR="00F85410">
        <w:t>,</w:t>
      </w:r>
      <w:r>
        <w:t xml:space="preserve"> and will even spend Delia’s money on his mistresses. Sykes has also violently beaten Delia throughout their union and has </w:t>
      </w:r>
      <w:r w:rsidR="00E138DA">
        <w:t>at times starved her.</w:t>
      </w:r>
      <w:r w:rsidR="00073172" w:rsidRPr="00073172">
        <w:t xml:space="preserve"> Tensions mount between the unhappy couple as Sykes’ infidelity grows more serious. He promises his new mistress, Bertha, the house which Delia has paid for, he simply needs to remove Delia first. Delia loves her house, she has created it and planted all the trees and flowers over the years and refuses to leave</w:t>
      </w:r>
      <w:r w:rsidR="00E138DA">
        <w:t>.</w:t>
      </w:r>
      <w:r w:rsidR="00F85410">
        <w:t xml:space="preserve"> There is a glimmer of </w:t>
      </w:r>
      <w:r w:rsidR="0096298F">
        <w:t>a</w:t>
      </w:r>
      <w:r w:rsidR="00F85410">
        <w:t>wakening in Delia as she lays in bed considering everything she has contributed to the marriage and everything that Sykes has taken from it.</w:t>
      </w:r>
      <w:r w:rsidR="00E138DA">
        <w:t xml:space="preserve"> </w:t>
      </w:r>
    </w:p>
    <w:p w:rsidR="00073172" w:rsidRDefault="00073172" w:rsidP="00076275">
      <w:r w:rsidRPr="00073172">
        <w:t xml:space="preserve">Sykes’ response to Delia’s refusal to leave </w:t>
      </w:r>
      <w:r w:rsidR="000E5446">
        <w:t>is</w:t>
      </w:r>
      <w:r w:rsidRPr="00073172">
        <w:t xml:space="preserve"> to drive her out, he places a soap-box with a rattle snake in it next to the door. His plan does not work and the rattlesnake’s presence serves to make Delia angry and resentful, she finally explodes and tells Sykes that she hates him and wants him gone. Upon returning from church Delia finds the snake loose in her laundry hamper, she immediately runs to the barn where she spends the night. At first, she is hysterical and terrified but this gives way to a c</w:t>
      </w:r>
      <w:r w:rsidR="009B386D">
        <w:t>al</w:t>
      </w:r>
      <w:r w:rsidRPr="00073172">
        <w:t>m introspection</w:t>
      </w:r>
      <w:r w:rsidR="009B386D">
        <w:t>,</w:t>
      </w:r>
      <w:r w:rsidRPr="00073172">
        <w:t xml:space="preserve"> and she sleeps. When Delia wakes she creeps back to the house to </w:t>
      </w:r>
      <w:r w:rsidR="000E5446">
        <w:t>witness</w:t>
      </w:r>
      <w:r w:rsidRPr="00073172">
        <w:t xml:space="preserve"> </w:t>
      </w:r>
      <w:r w:rsidR="0096298F">
        <w:t xml:space="preserve">the snake and </w:t>
      </w:r>
      <w:r w:rsidRPr="00073172">
        <w:t xml:space="preserve">Sykes </w:t>
      </w:r>
      <w:r w:rsidR="0096298F">
        <w:t>locked in a</w:t>
      </w:r>
      <w:r w:rsidRPr="00073172">
        <w:t xml:space="preserve"> mutual fight to the death. Sykes calls to her for help, crawling and begging with what little strength he has</w:t>
      </w:r>
      <w:r w:rsidR="0096298F">
        <w:t xml:space="preserve"> left</w:t>
      </w:r>
      <w:r w:rsidRPr="00073172">
        <w:t>. Delia retires to the shade of a nearby tree, and leaves him to die.</w:t>
      </w:r>
    </w:p>
    <w:p w:rsidR="00C062EF" w:rsidRDefault="009B386D" w:rsidP="00076275">
      <w:r>
        <w:t xml:space="preserve">In </w:t>
      </w:r>
      <w:proofErr w:type="spellStart"/>
      <w:r>
        <w:t>Meisenhelder’s</w:t>
      </w:r>
      <w:proofErr w:type="spellEnd"/>
      <w:r>
        <w:t xml:space="preserve"> assessment of </w:t>
      </w:r>
      <w:r w:rsidRPr="009B386D">
        <w:rPr>
          <w:i/>
        </w:rPr>
        <w:t>‘Sweat’</w:t>
      </w:r>
      <w:r>
        <w:rPr>
          <w:i/>
        </w:rPr>
        <w:t xml:space="preserve"> </w:t>
      </w:r>
      <w:r>
        <w:t>the whip is a phallic symbol, a recurrent theme throughout Hurston’s works.</w:t>
      </w:r>
      <w:r>
        <w:rPr>
          <w:rStyle w:val="FootnoteReference"/>
        </w:rPr>
        <w:footnoteReference w:id="2"/>
      </w:r>
      <w:r>
        <w:t xml:space="preserve"> The appearance of the whip in the first opening scene, sets the tone for the rest of the narrative</w:t>
      </w:r>
      <w:r w:rsidR="009313AE">
        <w:t>, as the nature and severity of Delia’s oppression becomes more apparent throughout. Sykes’ dislike of Delia doing laundry for the whites is due to his lack of masculine pride, after the abolition of slavery</w:t>
      </w:r>
      <w:r w:rsidR="0096298F">
        <w:t>,</w:t>
      </w:r>
      <w:r w:rsidR="009313AE">
        <w:t xml:space="preserve"> black women could find work more easily than black men. </w:t>
      </w:r>
      <w:r w:rsidR="000E5446">
        <w:t>Many women</w:t>
      </w:r>
      <w:r w:rsidR="009313AE">
        <w:t>, as in Delia’s case, often became the primary breadwinners causing a crisis of masculinity for their husbands. Often this would lead to spousal abuse and infidelity.</w:t>
      </w:r>
      <w:r w:rsidR="009313AE">
        <w:rPr>
          <w:rStyle w:val="FootnoteReference"/>
        </w:rPr>
        <w:footnoteReference w:id="3"/>
      </w:r>
      <w:r w:rsidR="009313AE">
        <w:t xml:space="preserve"> The lack of employment opportunities was also a factor in the great migration, </w:t>
      </w:r>
      <w:r w:rsidR="00C062EF">
        <w:t>an instigating force of the Harlem renaissance.</w:t>
      </w:r>
    </w:p>
    <w:p w:rsidR="00760399" w:rsidRDefault="00C062EF" w:rsidP="00760399">
      <w:r>
        <w:t xml:space="preserve">One of the leading light’s in the Harlem renaissance was W. E. B. Du </w:t>
      </w:r>
      <w:proofErr w:type="spellStart"/>
      <w:r>
        <w:t>Bois</w:t>
      </w:r>
      <w:proofErr w:type="spellEnd"/>
      <w:r>
        <w:t xml:space="preserve">. Although Hurston’s work characterized many of the aspects of black culture Du </w:t>
      </w:r>
      <w:proofErr w:type="spellStart"/>
      <w:r>
        <w:t>Bois</w:t>
      </w:r>
      <w:proofErr w:type="spellEnd"/>
      <w:r>
        <w:t xml:space="preserve"> w</w:t>
      </w:r>
      <w:r w:rsidR="00760399">
        <w:t xml:space="preserve">ished to be represented, they often clashed. Du </w:t>
      </w:r>
      <w:proofErr w:type="spellStart"/>
      <w:r w:rsidR="00760399">
        <w:t>Bois’</w:t>
      </w:r>
      <w:proofErr w:type="spellEnd"/>
      <w:r w:rsidR="00760399">
        <w:t xml:space="preserve"> firm belief</w:t>
      </w:r>
      <w:r w:rsidR="0096298F">
        <w:t>,</w:t>
      </w:r>
      <w:r w:rsidR="00760399">
        <w:t xml:space="preserve"> was that all black artists had a responsibility to represent black culture </w:t>
      </w:r>
      <w:r w:rsidR="00760399">
        <w:lastRenderedPageBreak/>
        <w:t xml:space="preserve">in only positive ways. </w:t>
      </w:r>
      <w:r w:rsidR="00760399" w:rsidRPr="00760399">
        <w:t>‘</w:t>
      </w:r>
      <w:r w:rsidR="00760399" w:rsidRPr="00760399">
        <w:rPr>
          <w:i/>
        </w:rPr>
        <w:t>Sweat’</w:t>
      </w:r>
      <w:r w:rsidR="00760399" w:rsidRPr="00760399">
        <w:t xml:space="preserve"> with its focus on gender inequalities and abusive males did not conform to his standards. Hurston’s popularity with white audiences also </w:t>
      </w:r>
      <w:r w:rsidR="00760399">
        <w:t xml:space="preserve">created a problem for Du </w:t>
      </w:r>
      <w:proofErr w:type="spellStart"/>
      <w:r w:rsidR="00760399">
        <w:t>Bois</w:t>
      </w:r>
      <w:proofErr w:type="spellEnd"/>
      <w:r w:rsidR="0096298F">
        <w:t>.</w:t>
      </w:r>
      <w:r w:rsidR="00760399">
        <w:t xml:space="preserve"> </w:t>
      </w:r>
      <w:r w:rsidR="0096298F">
        <w:t>H</w:t>
      </w:r>
      <w:r w:rsidR="00760399">
        <w:t xml:space="preserve">e </w:t>
      </w:r>
      <w:r w:rsidR="0096298F">
        <w:t>espoused</w:t>
      </w:r>
      <w:r w:rsidR="00760399">
        <w:t xml:space="preserve"> that black artists needed to educate white’s out of their racial prejudices, in casting Sykes as a lazy, violent and murderous man she was, in Du </w:t>
      </w:r>
      <w:proofErr w:type="spellStart"/>
      <w:r w:rsidR="00760399">
        <w:t>Bois’</w:t>
      </w:r>
      <w:proofErr w:type="spellEnd"/>
      <w:r w:rsidR="00760399">
        <w:t xml:space="preserve"> opinion, affirming them.</w:t>
      </w:r>
      <w:r w:rsidR="00760399">
        <w:rPr>
          <w:rStyle w:val="FootnoteReference"/>
        </w:rPr>
        <w:footnoteReference w:id="4"/>
      </w:r>
    </w:p>
    <w:p w:rsidR="00911BFB" w:rsidRPr="009F5567" w:rsidRDefault="00760399" w:rsidP="00760399">
      <w:r>
        <w:t xml:space="preserve">In </w:t>
      </w:r>
      <w:r w:rsidR="009F5567">
        <w:t>Hurd’</w:t>
      </w:r>
      <w:r>
        <w:t>s article</w:t>
      </w:r>
      <w:r w:rsidR="000E5446">
        <w:t>,</w:t>
      </w:r>
      <w:r>
        <w:t xml:space="preserve"> he claims that </w:t>
      </w:r>
      <w:r w:rsidRPr="00760399">
        <w:rPr>
          <w:i/>
        </w:rPr>
        <w:t>Fire!!</w:t>
      </w:r>
      <w:r>
        <w:t xml:space="preserve"> published Hurston’s work as it contained no whites. The plot was not about the interracial politics of the day, rather the </w:t>
      </w:r>
      <w:proofErr w:type="spellStart"/>
      <w:r>
        <w:t>intraraci</w:t>
      </w:r>
      <w:r w:rsidR="009F5567">
        <w:t>al</w:t>
      </w:r>
      <w:proofErr w:type="spellEnd"/>
      <w:r w:rsidR="009F5567">
        <w:t xml:space="preserve"> relationship between a married couple and the wider black community.</w:t>
      </w:r>
      <w:r w:rsidR="009F5567">
        <w:rPr>
          <w:rStyle w:val="FootnoteReference"/>
        </w:rPr>
        <w:footnoteReference w:id="5"/>
      </w:r>
      <w:r w:rsidR="009F5567">
        <w:t xml:space="preserve"> It is understandable that a magazine aimed at black people would want to feature only black characters. In Du </w:t>
      </w:r>
      <w:proofErr w:type="spellStart"/>
      <w:r w:rsidR="009F5567">
        <w:t>Bois’</w:t>
      </w:r>
      <w:proofErr w:type="spellEnd"/>
      <w:r w:rsidR="009F5567">
        <w:t xml:space="preserve"> ‘</w:t>
      </w:r>
      <w:r w:rsidR="009F5567" w:rsidRPr="009F5567">
        <w:rPr>
          <w:i/>
        </w:rPr>
        <w:t>Souls of Black Folks’</w:t>
      </w:r>
      <w:r w:rsidR="009F5567">
        <w:rPr>
          <w:i/>
        </w:rPr>
        <w:t xml:space="preserve"> </w:t>
      </w:r>
      <w:r w:rsidR="009F5567">
        <w:t>he speaks of African Americans being veiled, only able to view themselves through the perception of the white world they inhabit.</w:t>
      </w:r>
      <w:r w:rsidR="009F5567">
        <w:rPr>
          <w:rStyle w:val="FootnoteReference"/>
        </w:rPr>
        <w:footnoteReference w:id="6"/>
      </w:r>
      <w:r w:rsidR="009F5567">
        <w:t xml:space="preserve"> It would have been a </w:t>
      </w:r>
      <w:r w:rsidR="0096298F">
        <w:t>relief</w:t>
      </w:r>
      <w:r w:rsidR="009F5567">
        <w:t xml:space="preserve"> for the people of Harlem to be </w:t>
      </w:r>
      <w:r w:rsidR="0096298F">
        <w:t>free</w:t>
      </w:r>
      <w:r w:rsidR="009F5567">
        <w:t xml:space="preserve"> of the veil in this way. Hurston’s ‘</w:t>
      </w:r>
      <w:r w:rsidR="009F5567" w:rsidRPr="009F5567">
        <w:rPr>
          <w:i/>
        </w:rPr>
        <w:t>Sweat</w:t>
      </w:r>
      <w:r w:rsidR="009F5567">
        <w:t>’, although it features no white characters, still refers to whites throughout. Delia does the white folks’ laundry, Sykes was taught to drive</w:t>
      </w:r>
      <w:r w:rsidR="00890219">
        <w:t xml:space="preserve"> a car</w:t>
      </w:r>
      <w:r w:rsidR="009F5567">
        <w:t xml:space="preserve"> by a white woman and Delia threatens to tell the whites of Sykes’ mistreatment of her. </w:t>
      </w:r>
      <w:r w:rsidR="00902B2C">
        <w:t>This implies that in America, even in predominantly or exclusively black communities like Harlem, the whites would have been a constant presence. As employers, benefactors and authority figures as represented in Hurston’s tale.</w:t>
      </w:r>
    </w:p>
    <w:p w:rsidR="00911BFB" w:rsidRDefault="00911BFB" w:rsidP="00076275"/>
    <w:p w:rsidR="00875B7E" w:rsidRDefault="00875B7E" w:rsidP="00076275"/>
    <w:p w:rsidR="00875B7E" w:rsidRPr="00875B7E" w:rsidRDefault="00875B7E" w:rsidP="00875B7E">
      <w:pPr>
        <w:rPr>
          <w:u w:val="single"/>
        </w:rPr>
      </w:pPr>
      <w:r w:rsidRPr="00875B7E">
        <w:rPr>
          <w:u w:val="single"/>
        </w:rPr>
        <w:t>Bibliography</w:t>
      </w:r>
    </w:p>
    <w:p w:rsidR="00875B7E" w:rsidRPr="00875B7E" w:rsidRDefault="00875B7E" w:rsidP="00875B7E">
      <w:pPr>
        <w:rPr>
          <w:u w:val="single"/>
        </w:rPr>
      </w:pPr>
    </w:p>
    <w:p w:rsidR="00875B7E" w:rsidRPr="00875B7E" w:rsidRDefault="00875B7E" w:rsidP="00875B7E"/>
    <w:p w:rsidR="00875B7E" w:rsidRPr="00875B7E" w:rsidRDefault="00875B7E" w:rsidP="00875B7E">
      <w:r w:rsidRPr="00875B7E">
        <w:t xml:space="preserve">Edwards </w:t>
      </w:r>
      <w:proofErr w:type="spellStart"/>
      <w:r w:rsidRPr="00875B7E">
        <w:t>Meisenhelder</w:t>
      </w:r>
      <w:proofErr w:type="spellEnd"/>
      <w:r w:rsidRPr="00875B7E">
        <w:t>, Susan, </w:t>
      </w:r>
      <w:r w:rsidRPr="00875B7E">
        <w:rPr>
          <w:i/>
          <w:iCs/>
        </w:rPr>
        <w:t>Hitting a Straight Line with a Crooked Stick</w:t>
      </w:r>
      <w:r w:rsidRPr="00875B7E">
        <w:t> (Tuscaloosa: The University of Alabama Press, 1999)</w:t>
      </w:r>
      <w:r>
        <w:t>.</w:t>
      </w:r>
    </w:p>
    <w:p w:rsidR="00875B7E" w:rsidRPr="00875B7E" w:rsidRDefault="00875B7E" w:rsidP="00875B7E"/>
    <w:p w:rsidR="00875B7E" w:rsidRDefault="00875B7E" w:rsidP="00875B7E">
      <w:r w:rsidRPr="00875B7E">
        <w:t>Hurd Myles Raymond, 'What Goes Around Comes Around: Characterization, Climax and Closure in Hurston's 'Sweat'', </w:t>
      </w:r>
      <w:r w:rsidRPr="00875B7E">
        <w:rPr>
          <w:i/>
          <w:iCs/>
        </w:rPr>
        <w:t>The Langston Hughes Review, </w:t>
      </w:r>
      <w:r w:rsidRPr="00875B7E">
        <w:t>12 (1993), 7</w:t>
      </w:r>
      <w:r>
        <w:t>-15.</w:t>
      </w:r>
      <w:r w:rsidR="001E7163" w:rsidRPr="001E7163">
        <w:t xml:space="preserve"> </w:t>
      </w:r>
    </w:p>
    <w:p w:rsidR="001E7163" w:rsidRPr="00875B7E" w:rsidRDefault="001E7163" w:rsidP="00875B7E"/>
    <w:p w:rsidR="00875B7E" w:rsidRPr="00875B7E" w:rsidRDefault="00875B7E" w:rsidP="00875B7E">
      <w:r w:rsidRPr="00875B7E">
        <w:t>Hurston Zora</w:t>
      </w:r>
      <w:r w:rsidR="00482CD9">
        <w:t>.</w:t>
      </w:r>
      <w:bookmarkStart w:id="0" w:name="_GoBack"/>
      <w:bookmarkEnd w:id="0"/>
      <w:r w:rsidRPr="00875B7E">
        <w:t xml:space="preserve"> N, </w:t>
      </w:r>
      <w:r w:rsidRPr="00875B7E">
        <w:rPr>
          <w:i/>
          <w:iCs/>
        </w:rPr>
        <w:t>Sweat</w:t>
      </w:r>
      <w:r w:rsidRPr="00875B7E">
        <w:t> (New Jersey: Rutgers University Press, 1926)</w:t>
      </w:r>
      <w:r>
        <w:t>.</w:t>
      </w:r>
    </w:p>
    <w:p w:rsidR="00875B7E" w:rsidRPr="00875B7E" w:rsidRDefault="00875B7E" w:rsidP="00875B7E"/>
    <w:p w:rsidR="00875B7E" w:rsidRPr="00875B7E" w:rsidRDefault="00875B7E" w:rsidP="00875B7E">
      <w:r w:rsidRPr="00875B7E">
        <w:t>Hutchinson George, ed., </w:t>
      </w:r>
      <w:r w:rsidRPr="00875B7E">
        <w:rPr>
          <w:i/>
          <w:iCs/>
        </w:rPr>
        <w:t>The Cambridge Companion to the Harlem Renaissance</w:t>
      </w:r>
      <w:r w:rsidRPr="00875B7E">
        <w:t> (Cambridge: Cambridge University Press, 2007)</w:t>
      </w:r>
      <w:r>
        <w:t>.</w:t>
      </w:r>
    </w:p>
    <w:p w:rsidR="00875B7E" w:rsidRPr="00875B7E" w:rsidRDefault="00875B7E" w:rsidP="00875B7E"/>
    <w:p w:rsidR="00875B7E" w:rsidRPr="00875B7E" w:rsidRDefault="00875B7E" w:rsidP="00875B7E">
      <w:r w:rsidRPr="00875B7E">
        <w:t xml:space="preserve">King </w:t>
      </w:r>
      <w:proofErr w:type="spellStart"/>
      <w:r w:rsidRPr="00875B7E">
        <w:t>Lovalerie</w:t>
      </w:r>
      <w:proofErr w:type="spellEnd"/>
      <w:r w:rsidRPr="00875B7E">
        <w:t>, </w:t>
      </w:r>
      <w:r w:rsidRPr="00875B7E">
        <w:rPr>
          <w:i/>
          <w:iCs/>
        </w:rPr>
        <w:t>The Cambridge Introduction to Zora Neale Hurston</w:t>
      </w:r>
      <w:r w:rsidRPr="00875B7E">
        <w:t> (Cambridge: Cambridge University Press, 2008)</w:t>
      </w:r>
      <w:r>
        <w:t>.</w:t>
      </w:r>
    </w:p>
    <w:p w:rsidR="00875B7E" w:rsidRPr="00875B7E" w:rsidRDefault="00875B7E" w:rsidP="00875B7E"/>
    <w:p w:rsidR="00875B7E" w:rsidRPr="00875B7E" w:rsidRDefault="00875B7E" w:rsidP="00875B7E">
      <w:proofErr w:type="spellStart"/>
      <w:r w:rsidRPr="00875B7E">
        <w:t>Witcover</w:t>
      </w:r>
      <w:proofErr w:type="spellEnd"/>
      <w:r w:rsidRPr="00875B7E">
        <w:t xml:space="preserve"> Paul, </w:t>
      </w:r>
      <w:r w:rsidRPr="00875B7E">
        <w:rPr>
          <w:i/>
          <w:iCs/>
        </w:rPr>
        <w:t>Zora Neale Hurston</w:t>
      </w:r>
      <w:r w:rsidRPr="00875B7E">
        <w:t> (L. A.: Holloway House Publishing, 1994)</w:t>
      </w:r>
      <w:r>
        <w:t>.</w:t>
      </w:r>
    </w:p>
    <w:p w:rsidR="00875B7E" w:rsidRPr="00875B7E" w:rsidRDefault="00875B7E" w:rsidP="00875B7E"/>
    <w:p w:rsidR="00875B7E" w:rsidRPr="00875B7E" w:rsidRDefault="00875B7E" w:rsidP="00875B7E"/>
    <w:p w:rsidR="00875B7E" w:rsidRPr="00875B7E" w:rsidRDefault="00875B7E" w:rsidP="00875B7E"/>
    <w:p w:rsidR="00E138DA" w:rsidRPr="00076275" w:rsidRDefault="00E138DA" w:rsidP="00076275"/>
    <w:sectPr w:rsidR="00E138DA" w:rsidRPr="000762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85410" w:rsidRDefault="00F85410" w:rsidP="00F85410">
      <w:pPr>
        <w:spacing w:after="0" w:line="240" w:lineRule="auto"/>
      </w:pPr>
      <w:r>
        <w:separator/>
      </w:r>
    </w:p>
  </w:endnote>
  <w:endnote w:type="continuationSeparator" w:id="0">
    <w:p w:rsidR="00F85410" w:rsidRDefault="00F85410" w:rsidP="00F854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85410" w:rsidRDefault="00F85410" w:rsidP="00F85410">
      <w:pPr>
        <w:spacing w:after="0" w:line="240" w:lineRule="auto"/>
      </w:pPr>
      <w:r>
        <w:separator/>
      </w:r>
    </w:p>
  </w:footnote>
  <w:footnote w:type="continuationSeparator" w:id="0">
    <w:p w:rsidR="00F85410" w:rsidRDefault="00F85410" w:rsidP="00F85410">
      <w:pPr>
        <w:spacing w:after="0" w:line="240" w:lineRule="auto"/>
      </w:pPr>
      <w:r>
        <w:continuationSeparator/>
      </w:r>
    </w:p>
  </w:footnote>
  <w:footnote w:id="1">
    <w:p w:rsidR="00073172" w:rsidRDefault="00073172">
      <w:pPr>
        <w:pStyle w:val="FootnoteText"/>
      </w:pPr>
      <w:r>
        <w:rPr>
          <w:rStyle w:val="FootnoteReference"/>
        </w:rPr>
        <w:footnoteRef/>
      </w:r>
      <w:r w:rsidRPr="00073172">
        <w:t xml:space="preserve"> Myles Raymond</w:t>
      </w:r>
      <w:r w:rsidR="006F2DA4">
        <w:t xml:space="preserve"> Hurd</w:t>
      </w:r>
      <w:r w:rsidRPr="00073172">
        <w:t>, 'What Goes Around Comes Around: Characterization, Climax and Closure in Hurston's 'Sweat'', </w:t>
      </w:r>
      <w:r w:rsidRPr="00073172">
        <w:rPr>
          <w:i/>
          <w:iCs/>
        </w:rPr>
        <w:t>The Langston Hughes Review, </w:t>
      </w:r>
      <w:r w:rsidRPr="00073172">
        <w:t>12 (1993), 7</w:t>
      </w:r>
      <w:r w:rsidR="006F2DA4">
        <w:t>-15.</w:t>
      </w:r>
    </w:p>
  </w:footnote>
  <w:footnote w:id="2">
    <w:p w:rsidR="009B386D" w:rsidRDefault="009B386D">
      <w:pPr>
        <w:pStyle w:val="FootnoteText"/>
      </w:pPr>
      <w:r>
        <w:rPr>
          <w:rStyle w:val="FootnoteReference"/>
        </w:rPr>
        <w:footnoteRef/>
      </w:r>
      <w:r>
        <w:t xml:space="preserve"> </w:t>
      </w:r>
      <w:r w:rsidR="00FE633C">
        <w:t xml:space="preserve">Susan </w:t>
      </w:r>
      <w:r w:rsidRPr="009B386D">
        <w:t xml:space="preserve">Edwards </w:t>
      </w:r>
      <w:proofErr w:type="spellStart"/>
      <w:r w:rsidRPr="009B386D">
        <w:t>Meisenhelder</w:t>
      </w:r>
      <w:proofErr w:type="spellEnd"/>
      <w:r w:rsidRPr="009B386D">
        <w:t>, </w:t>
      </w:r>
      <w:r w:rsidRPr="009B386D">
        <w:rPr>
          <w:i/>
          <w:iCs/>
        </w:rPr>
        <w:t>Hitting a Straight Line with a Crooked Stick</w:t>
      </w:r>
      <w:r w:rsidRPr="009B386D">
        <w:t> (Tuscaloosa: The University of Alabama Press, 1999)</w:t>
      </w:r>
      <w:r w:rsidR="00FE633C">
        <w:t>,</w:t>
      </w:r>
      <w:r>
        <w:t xml:space="preserve"> </w:t>
      </w:r>
      <w:r w:rsidR="00FE633C">
        <w:t>p</w:t>
      </w:r>
      <w:r>
        <w:t>.p. 44, 56.</w:t>
      </w:r>
    </w:p>
  </w:footnote>
  <w:footnote w:id="3">
    <w:p w:rsidR="009313AE" w:rsidRDefault="009313AE">
      <w:pPr>
        <w:pStyle w:val="FootnoteText"/>
      </w:pPr>
      <w:r>
        <w:rPr>
          <w:rStyle w:val="FootnoteReference"/>
        </w:rPr>
        <w:footnoteRef/>
      </w:r>
      <w:r>
        <w:t xml:space="preserve"> </w:t>
      </w:r>
      <w:proofErr w:type="spellStart"/>
      <w:r w:rsidRPr="009313AE">
        <w:t>Lovalerie</w:t>
      </w:r>
      <w:proofErr w:type="spellEnd"/>
      <w:r w:rsidR="00FE633C">
        <w:t xml:space="preserve"> King,</w:t>
      </w:r>
      <w:r w:rsidRPr="009313AE">
        <w:t> </w:t>
      </w:r>
      <w:r w:rsidRPr="009313AE">
        <w:rPr>
          <w:i/>
          <w:iCs/>
        </w:rPr>
        <w:t>The Cambridge Introduction to Zora Neale Hurston</w:t>
      </w:r>
      <w:r w:rsidRPr="009313AE">
        <w:t> (Cambridge: Cambridge University Press, 2008</w:t>
      </w:r>
      <w:r w:rsidR="00FE633C">
        <w:t xml:space="preserve">), </w:t>
      </w:r>
      <w:r>
        <w:t>p. 100</w:t>
      </w:r>
      <w:r w:rsidR="00FE633C">
        <w:t>.</w:t>
      </w:r>
    </w:p>
  </w:footnote>
  <w:footnote w:id="4">
    <w:p w:rsidR="00760399" w:rsidRDefault="00760399">
      <w:pPr>
        <w:pStyle w:val="FootnoteText"/>
      </w:pPr>
      <w:r>
        <w:rPr>
          <w:rStyle w:val="FootnoteReference"/>
        </w:rPr>
        <w:footnoteRef/>
      </w:r>
      <w:r>
        <w:t xml:space="preserve"> </w:t>
      </w:r>
      <w:r w:rsidR="00FE633C">
        <w:t xml:space="preserve">Paul </w:t>
      </w:r>
      <w:proofErr w:type="spellStart"/>
      <w:r w:rsidRPr="00760399">
        <w:t>Witcover</w:t>
      </w:r>
      <w:proofErr w:type="spellEnd"/>
      <w:r w:rsidRPr="00760399">
        <w:t>, </w:t>
      </w:r>
      <w:r w:rsidRPr="00760399">
        <w:rPr>
          <w:i/>
          <w:iCs/>
        </w:rPr>
        <w:t>Zora Neale Hurston</w:t>
      </w:r>
      <w:r w:rsidRPr="00760399">
        <w:t> (L. A: Holloway House Publishing, 1994)</w:t>
      </w:r>
      <w:r w:rsidR="00FE633C">
        <w:t>,</w:t>
      </w:r>
      <w:r>
        <w:t xml:space="preserve"> p 88.</w:t>
      </w:r>
    </w:p>
  </w:footnote>
  <w:footnote w:id="5">
    <w:p w:rsidR="009F5567" w:rsidRDefault="009F5567">
      <w:pPr>
        <w:pStyle w:val="FootnoteText"/>
      </w:pPr>
      <w:r>
        <w:rPr>
          <w:rStyle w:val="FootnoteReference"/>
        </w:rPr>
        <w:footnoteRef/>
      </w:r>
      <w:r w:rsidRPr="009F5567">
        <w:t xml:space="preserve"> Hurd 'What Goes Around Comes Around</w:t>
      </w:r>
      <w:r w:rsidR="00FE633C">
        <w:t>, p.</w:t>
      </w:r>
      <w:r w:rsidRPr="009F5567">
        <w:t xml:space="preserve"> 7</w:t>
      </w:r>
      <w:r w:rsidR="00FE633C">
        <w:t>.</w:t>
      </w:r>
    </w:p>
  </w:footnote>
  <w:footnote w:id="6">
    <w:p w:rsidR="009F5567" w:rsidRDefault="009F5567">
      <w:pPr>
        <w:pStyle w:val="FootnoteText"/>
      </w:pPr>
      <w:r>
        <w:rPr>
          <w:rStyle w:val="FootnoteReference"/>
        </w:rPr>
        <w:footnoteRef/>
      </w:r>
      <w:r>
        <w:t xml:space="preserve"> </w:t>
      </w:r>
      <w:r w:rsidRPr="009F5567">
        <w:t>W. E. Burghardt</w:t>
      </w:r>
      <w:r w:rsidR="00FE633C">
        <w:t xml:space="preserve"> Du </w:t>
      </w:r>
      <w:proofErr w:type="spellStart"/>
      <w:r w:rsidR="00FE633C">
        <w:t>Bois</w:t>
      </w:r>
      <w:proofErr w:type="spellEnd"/>
      <w:r w:rsidR="00FE633C">
        <w:t>,</w:t>
      </w:r>
      <w:r w:rsidRPr="009F5567">
        <w:t> </w:t>
      </w:r>
      <w:r w:rsidRPr="009F5567">
        <w:rPr>
          <w:i/>
          <w:iCs/>
        </w:rPr>
        <w:t>The</w:t>
      </w:r>
      <w:r w:rsidR="00FE633C">
        <w:rPr>
          <w:i/>
          <w:iCs/>
        </w:rPr>
        <w:t xml:space="preserve"> </w:t>
      </w:r>
      <w:r w:rsidRPr="009F5567">
        <w:rPr>
          <w:i/>
          <w:iCs/>
        </w:rPr>
        <w:t>Souls of Black Folk</w:t>
      </w:r>
      <w:r w:rsidRPr="009F5567">
        <w:t> (Chicago: A. C. McClurg &amp; Co, 1903)</w:t>
      </w:r>
      <w:r w:rsidR="00FE633C">
        <w:t>,</w:t>
      </w:r>
      <w:r>
        <w:t xml:space="preserve"> p</w:t>
      </w:r>
      <w:r w:rsidR="00FE633C">
        <w:t>.</w:t>
      </w:r>
      <w:r>
        <w:t xml:space="preserve"> 3.</w:t>
      </w: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p>
    <w:p w:rsidR="00875B7E" w:rsidRDefault="00875B7E">
      <w:pPr>
        <w:pStyle w:val="FootnoteText"/>
      </w:pPr>
      <w:r>
        <w:t xml:space="preserve">                                              </w:t>
      </w:r>
    </w:p>
    <w:p w:rsidR="00875B7E" w:rsidRDefault="00875B7E">
      <w:pPr>
        <w:pStyle w:val="FootnoteText"/>
      </w:pPr>
    </w:p>
    <w:p w:rsidR="00875B7E" w:rsidRDefault="00875B7E">
      <w:pPr>
        <w:pStyle w:val="FootnoteText"/>
      </w:pPr>
    </w:p>
    <w:p w:rsidR="00875B7E" w:rsidRDefault="00875B7E">
      <w:pPr>
        <w:pStyle w:val="FootnoteText"/>
      </w:pP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B816A2"/>
    <w:multiLevelType w:val="hybridMultilevel"/>
    <w:tmpl w:val="D180C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275"/>
    <w:rsid w:val="000057B7"/>
    <w:rsid w:val="00073172"/>
    <w:rsid w:val="00076275"/>
    <w:rsid w:val="00081AD0"/>
    <w:rsid w:val="000E5446"/>
    <w:rsid w:val="001E7163"/>
    <w:rsid w:val="002539E9"/>
    <w:rsid w:val="00316B5E"/>
    <w:rsid w:val="00357F83"/>
    <w:rsid w:val="0037044C"/>
    <w:rsid w:val="003F40DD"/>
    <w:rsid w:val="00455E06"/>
    <w:rsid w:val="00482CD9"/>
    <w:rsid w:val="004D3D9C"/>
    <w:rsid w:val="004F2A5B"/>
    <w:rsid w:val="0056652E"/>
    <w:rsid w:val="00585500"/>
    <w:rsid w:val="005D7CE0"/>
    <w:rsid w:val="0063393A"/>
    <w:rsid w:val="006F2DA4"/>
    <w:rsid w:val="00760399"/>
    <w:rsid w:val="00875B7E"/>
    <w:rsid w:val="00890219"/>
    <w:rsid w:val="008F3441"/>
    <w:rsid w:val="00902B2C"/>
    <w:rsid w:val="00903E43"/>
    <w:rsid w:val="00911BFB"/>
    <w:rsid w:val="009313AE"/>
    <w:rsid w:val="0096298F"/>
    <w:rsid w:val="009B386D"/>
    <w:rsid w:val="009F5567"/>
    <w:rsid w:val="00AB0AD7"/>
    <w:rsid w:val="00AB1B71"/>
    <w:rsid w:val="00AD0F6C"/>
    <w:rsid w:val="00AD4361"/>
    <w:rsid w:val="00B11658"/>
    <w:rsid w:val="00BA1D85"/>
    <w:rsid w:val="00C062EF"/>
    <w:rsid w:val="00C328F7"/>
    <w:rsid w:val="00C9592D"/>
    <w:rsid w:val="00CF1134"/>
    <w:rsid w:val="00D04FA4"/>
    <w:rsid w:val="00D91BD3"/>
    <w:rsid w:val="00DF347B"/>
    <w:rsid w:val="00E138DA"/>
    <w:rsid w:val="00ED3219"/>
    <w:rsid w:val="00F53838"/>
    <w:rsid w:val="00F85410"/>
    <w:rsid w:val="00FE6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E8E4B"/>
  <w15:chartTrackingRefBased/>
  <w15:docId w15:val="{303112DF-B175-413E-984A-B3DD1EB25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854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5410"/>
    <w:rPr>
      <w:sz w:val="20"/>
      <w:szCs w:val="20"/>
    </w:rPr>
  </w:style>
  <w:style w:type="character" w:styleId="FootnoteReference">
    <w:name w:val="footnote reference"/>
    <w:basedOn w:val="DefaultParagraphFont"/>
    <w:uiPriority w:val="99"/>
    <w:semiHidden/>
    <w:unhideWhenUsed/>
    <w:rsid w:val="00F85410"/>
    <w:rPr>
      <w:vertAlign w:val="superscript"/>
    </w:rPr>
  </w:style>
  <w:style w:type="character" w:styleId="Hyperlink">
    <w:name w:val="Hyperlink"/>
    <w:basedOn w:val="DefaultParagraphFont"/>
    <w:uiPriority w:val="99"/>
    <w:unhideWhenUsed/>
    <w:rsid w:val="001E7163"/>
    <w:rPr>
      <w:color w:val="0563C1" w:themeColor="hyperlink"/>
      <w:u w:val="single"/>
    </w:rPr>
  </w:style>
  <w:style w:type="character" w:styleId="UnresolvedMention">
    <w:name w:val="Unresolved Mention"/>
    <w:basedOn w:val="DefaultParagraphFont"/>
    <w:uiPriority w:val="99"/>
    <w:semiHidden/>
    <w:unhideWhenUsed/>
    <w:rsid w:val="001E71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492331">
      <w:bodyDiv w:val="1"/>
      <w:marLeft w:val="0"/>
      <w:marRight w:val="0"/>
      <w:marTop w:val="0"/>
      <w:marBottom w:val="0"/>
      <w:divBdr>
        <w:top w:val="none" w:sz="0" w:space="0" w:color="auto"/>
        <w:left w:val="none" w:sz="0" w:space="0" w:color="auto"/>
        <w:bottom w:val="none" w:sz="0" w:space="0" w:color="auto"/>
        <w:right w:val="none" w:sz="0" w:space="0" w:color="auto"/>
      </w:divBdr>
    </w:div>
    <w:div w:id="920795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C35894-3D94-4C9A-941E-C3A87158F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3</Pages>
  <Words>817</Words>
  <Characters>4661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Rosanna Jevon (1602506)</dc:creator>
  <cp:keywords/>
  <dc:description/>
  <cp:lastModifiedBy>Rosanna Jevon (1602506)</cp:lastModifiedBy>
  <cp:revision>14</cp:revision>
  <dcterms:created xsi:type="dcterms:W3CDTF">2020-01-23T08:47:00Z</dcterms:created>
  <dcterms:modified xsi:type="dcterms:W3CDTF">2020-01-24T10:47:00Z</dcterms:modified>
</cp:coreProperties>
</file>